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D4F9" w14:textId="31925D37" w:rsidR="002E7617" w:rsidRPr="005E1C91" w:rsidRDefault="007717F1" w:rsidP="00B52266">
      <w:pPr>
        <w:spacing w:line="360" w:lineRule="auto"/>
      </w:pPr>
      <w:r>
        <w:rPr>
          <w:noProof/>
          <w:lang w:val="en-AU" w:eastAsia="en-AU"/>
        </w:rPr>
        <w:drawing>
          <wp:anchor distT="0" distB="0" distL="114300" distR="114300" simplePos="0" relativeHeight="251684864" behindDoc="1" locked="0" layoutInCell="1" allowOverlap="1" wp14:anchorId="4EB69885" wp14:editId="276BCC3D">
            <wp:simplePos x="0" y="0"/>
            <wp:positionH relativeFrom="margin">
              <wp:posOffset>4287196</wp:posOffset>
            </wp:positionH>
            <wp:positionV relativeFrom="paragraph">
              <wp:posOffset>179318</wp:posOffset>
            </wp:positionV>
            <wp:extent cx="2514600" cy="1179195"/>
            <wp:effectExtent l="0" t="0" r="0" b="1905"/>
            <wp:wrapTight wrapText="bothSides">
              <wp:wrapPolygon edited="0">
                <wp:start x="0" y="0"/>
                <wp:lineTo x="0" y="21286"/>
                <wp:lineTo x="21436" y="21286"/>
                <wp:lineTo x="21436" y="0"/>
                <wp:lineTo x="0" y="0"/>
              </wp:wrapPolygon>
            </wp:wrapTight>
            <wp:docPr id="28" name="Picture 2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4600" cy="1179195"/>
                    </a:xfrm>
                    <a:prstGeom prst="rect">
                      <a:avLst/>
                    </a:prstGeom>
                  </pic:spPr>
                </pic:pic>
              </a:graphicData>
            </a:graphic>
            <wp14:sizeRelH relativeFrom="page">
              <wp14:pctWidth>0</wp14:pctWidth>
            </wp14:sizeRelH>
            <wp14:sizeRelV relativeFrom="page">
              <wp14:pctHeight>0</wp14:pctHeight>
            </wp14:sizeRelV>
          </wp:anchor>
        </w:drawing>
      </w:r>
      <w:r w:rsidR="000D6961">
        <w:rPr>
          <w:noProof/>
          <w:lang w:val="en-AU" w:eastAsia="en-AU"/>
        </w:rPr>
        <w:drawing>
          <wp:anchor distT="0" distB="0" distL="114300" distR="114300" simplePos="0" relativeHeight="251685888" behindDoc="1" locked="0" layoutInCell="1" allowOverlap="1" wp14:anchorId="7BFB8D4F" wp14:editId="17694179">
            <wp:simplePos x="0" y="0"/>
            <wp:positionH relativeFrom="margin">
              <wp:align>left</wp:align>
            </wp:positionH>
            <wp:positionV relativeFrom="paragraph">
              <wp:posOffset>6034</wp:posOffset>
            </wp:positionV>
            <wp:extent cx="1647825" cy="1647825"/>
            <wp:effectExtent l="0" t="0" r="9525" b="9525"/>
            <wp:wrapTight wrapText="bothSides">
              <wp:wrapPolygon edited="0">
                <wp:start x="0" y="0"/>
                <wp:lineTo x="0" y="21475"/>
                <wp:lineTo x="21475" y="21475"/>
                <wp:lineTo x="21475" y="0"/>
                <wp:lineTo x="0" y="0"/>
              </wp:wrapPolygon>
            </wp:wrapTight>
            <wp:docPr id="14" name="Picture 1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graphical user interfac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7825" cy="1647825"/>
                    </a:xfrm>
                    <a:prstGeom prst="rect">
                      <a:avLst/>
                    </a:prstGeom>
                  </pic:spPr>
                </pic:pic>
              </a:graphicData>
            </a:graphic>
            <wp14:sizeRelH relativeFrom="page">
              <wp14:pctWidth>0</wp14:pctWidth>
            </wp14:sizeRelH>
            <wp14:sizeRelV relativeFrom="page">
              <wp14:pctHeight>0</wp14:pctHeight>
            </wp14:sizeRelV>
          </wp:anchor>
        </w:drawing>
      </w:r>
    </w:p>
    <w:p w14:paraId="4B54BEAE" w14:textId="08602FBE" w:rsidR="002E7617" w:rsidRPr="005E1C91" w:rsidRDefault="002E7617" w:rsidP="00B52266">
      <w:pPr>
        <w:spacing w:line="360" w:lineRule="auto"/>
      </w:pPr>
    </w:p>
    <w:p w14:paraId="6C955D7E" w14:textId="287B62EC" w:rsidR="002E7617" w:rsidRPr="005E1C91" w:rsidRDefault="002E7617" w:rsidP="00B52266">
      <w:pPr>
        <w:spacing w:line="360" w:lineRule="auto"/>
      </w:pPr>
    </w:p>
    <w:p w14:paraId="4FA332CC" w14:textId="25F2E68C" w:rsidR="00261105" w:rsidRPr="005E1C91" w:rsidRDefault="00261105" w:rsidP="00B52266">
      <w:pPr>
        <w:spacing w:line="360" w:lineRule="auto"/>
      </w:pPr>
    </w:p>
    <w:p w14:paraId="3BCBA9A0" w14:textId="03AEDE29" w:rsidR="00261105" w:rsidRPr="005E1C91" w:rsidRDefault="00261105" w:rsidP="00B52266">
      <w:pPr>
        <w:spacing w:line="360" w:lineRule="auto"/>
      </w:pPr>
    </w:p>
    <w:p w14:paraId="51C84D79" w14:textId="1763DC65" w:rsidR="00261105" w:rsidRPr="005E1C91" w:rsidRDefault="00261105" w:rsidP="00B52266">
      <w:pPr>
        <w:spacing w:line="360" w:lineRule="auto"/>
      </w:pPr>
    </w:p>
    <w:p w14:paraId="1C699E24" w14:textId="77777777" w:rsidR="00261105" w:rsidRPr="005E1C91" w:rsidRDefault="00261105" w:rsidP="00B52266">
      <w:pPr>
        <w:spacing w:line="360" w:lineRule="auto"/>
      </w:pPr>
    </w:p>
    <w:p w14:paraId="4D2244E0" w14:textId="77777777" w:rsidR="00261105" w:rsidRPr="005E1C91" w:rsidRDefault="00261105" w:rsidP="00B52266">
      <w:pPr>
        <w:spacing w:line="360" w:lineRule="auto"/>
      </w:pPr>
    </w:p>
    <w:p w14:paraId="775C8DBC" w14:textId="77777777" w:rsidR="00261105" w:rsidRPr="005E1C91" w:rsidRDefault="00261105" w:rsidP="00B52266">
      <w:pPr>
        <w:spacing w:line="360" w:lineRule="auto"/>
      </w:pPr>
    </w:p>
    <w:p w14:paraId="53D6B774" w14:textId="77777777" w:rsidR="00261105" w:rsidRPr="005E1C91" w:rsidRDefault="00261105" w:rsidP="00B52266">
      <w:pPr>
        <w:spacing w:line="360" w:lineRule="auto"/>
      </w:pPr>
    </w:p>
    <w:p w14:paraId="55809742" w14:textId="77777777" w:rsidR="00261105" w:rsidRPr="005E1C91" w:rsidRDefault="00261105" w:rsidP="00B52266">
      <w:pPr>
        <w:spacing w:line="360" w:lineRule="auto"/>
      </w:pPr>
    </w:p>
    <w:p w14:paraId="1B66C735" w14:textId="401C202B" w:rsidR="002E7617" w:rsidRPr="005E1C91" w:rsidRDefault="00D84399" w:rsidP="00B52266">
      <w:pPr>
        <w:spacing w:line="360" w:lineRule="auto"/>
        <w:jc w:val="center"/>
      </w:pPr>
      <w:r w:rsidRPr="005E1C91">
        <w:t xml:space="preserve">Home and Living Options for People with Disabilities: A systematic review </w:t>
      </w:r>
      <w:r w:rsidR="006B698D">
        <w:t xml:space="preserve">and environmental scan </w:t>
      </w:r>
      <w:r w:rsidRPr="005E1C91">
        <w:t xml:space="preserve">of </w:t>
      </w:r>
      <w:r w:rsidR="00261105" w:rsidRPr="005E1C91">
        <w:t xml:space="preserve">strategies to support transition from group homes and congregate care, and those which prevent movement to congregate settings </w:t>
      </w:r>
    </w:p>
    <w:p w14:paraId="7B53EAE7" w14:textId="5D679016" w:rsidR="002E7617" w:rsidRPr="005E1C91" w:rsidRDefault="002E7617" w:rsidP="00B52266">
      <w:pPr>
        <w:spacing w:line="360" w:lineRule="auto"/>
        <w:jc w:val="center"/>
      </w:pPr>
    </w:p>
    <w:p w14:paraId="690F72AF" w14:textId="2127B2EE" w:rsidR="002E7617" w:rsidRPr="005E1C91" w:rsidRDefault="002E7617" w:rsidP="00B52266">
      <w:pPr>
        <w:spacing w:line="360" w:lineRule="auto"/>
        <w:jc w:val="center"/>
      </w:pPr>
      <w:r w:rsidRPr="005E1C91">
        <w:t xml:space="preserve">Date </w:t>
      </w:r>
      <w:r w:rsidR="003D6196">
        <w:t>11</w:t>
      </w:r>
      <w:r w:rsidR="003D6196" w:rsidRPr="00E26BA5">
        <w:rPr>
          <w:vertAlign w:val="superscript"/>
        </w:rPr>
        <w:t>th</w:t>
      </w:r>
      <w:r w:rsidR="003D6196">
        <w:t xml:space="preserve"> March 20</w:t>
      </w:r>
      <w:r w:rsidR="00940CC8">
        <w:t>2</w:t>
      </w:r>
      <w:r w:rsidR="003D6196">
        <w:t>1</w:t>
      </w:r>
      <w:r w:rsidR="00136EA2">
        <w:t xml:space="preserve"> </w:t>
      </w:r>
    </w:p>
    <w:p w14:paraId="2378C9CA" w14:textId="6BE213CF" w:rsidR="002E7617" w:rsidRPr="005E1C91" w:rsidRDefault="002E7617" w:rsidP="00B52266">
      <w:pPr>
        <w:spacing w:line="360" w:lineRule="auto"/>
      </w:pPr>
    </w:p>
    <w:p w14:paraId="5B7EB60F" w14:textId="340641B6" w:rsidR="00261105" w:rsidRDefault="00261105" w:rsidP="00B52266">
      <w:pPr>
        <w:spacing w:line="360" w:lineRule="auto"/>
        <w:jc w:val="center"/>
      </w:pPr>
      <w:r w:rsidRPr="005E1C91">
        <w:t>Authors:</w:t>
      </w:r>
    </w:p>
    <w:p w14:paraId="6F13B3BD" w14:textId="5C3867BC" w:rsidR="001B6608" w:rsidRDefault="001B6608" w:rsidP="00B52266">
      <w:pPr>
        <w:spacing w:line="360" w:lineRule="auto"/>
        <w:jc w:val="center"/>
      </w:pPr>
      <w:r>
        <w:t>Mary-Ann O’Donovan</w:t>
      </w:r>
    </w:p>
    <w:p w14:paraId="7AF08597" w14:textId="25AD6780" w:rsidR="001B6608" w:rsidRDefault="001B6608" w:rsidP="00B52266">
      <w:pPr>
        <w:spacing w:line="360" w:lineRule="auto"/>
        <w:jc w:val="center"/>
      </w:pPr>
      <w:r>
        <w:t>Eleni Demetriou</w:t>
      </w:r>
    </w:p>
    <w:p w14:paraId="08685C31" w14:textId="7444CAF0" w:rsidR="001B6608" w:rsidRDefault="001B6608" w:rsidP="00B52266">
      <w:pPr>
        <w:spacing w:line="360" w:lineRule="auto"/>
        <w:jc w:val="center"/>
      </w:pPr>
      <w:r>
        <w:t>Erin Whittle</w:t>
      </w:r>
    </w:p>
    <w:p w14:paraId="0E2A483C" w14:textId="1CF6D736" w:rsidR="001B6608" w:rsidRDefault="001B6608" w:rsidP="00B52266">
      <w:pPr>
        <w:spacing w:line="360" w:lineRule="auto"/>
        <w:jc w:val="center"/>
      </w:pPr>
      <w:r>
        <w:t>Zacha</w:t>
      </w:r>
      <w:r w:rsidR="009E2736">
        <w:t>riah Duke</w:t>
      </w:r>
    </w:p>
    <w:p w14:paraId="44AAF9E0" w14:textId="03577790" w:rsidR="003D6196" w:rsidRDefault="003D6196" w:rsidP="00B52266">
      <w:pPr>
        <w:spacing w:line="360" w:lineRule="auto"/>
        <w:jc w:val="center"/>
      </w:pPr>
      <w:r>
        <w:t>Tess Aitkens</w:t>
      </w:r>
    </w:p>
    <w:p w14:paraId="546F843F" w14:textId="5C5AD525" w:rsidR="009E2736" w:rsidRPr="005E1C91" w:rsidRDefault="009E2736" w:rsidP="00B52266">
      <w:pPr>
        <w:spacing w:line="360" w:lineRule="auto"/>
        <w:jc w:val="center"/>
      </w:pPr>
      <w:r>
        <w:t xml:space="preserve">Adam Guastella </w:t>
      </w:r>
    </w:p>
    <w:p w14:paraId="225F566D" w14:textId="3E83674B" w:rsidR="00261105" w:rsidRPr="005E1C91" w:rsidRDefault="00261105" w:rsidP="00B52266">
      <w:pPr>
        <w:spacing w:line="360" w:lineRule="auto"/>
      </w:pPr>
    </w:p>
    <w:p w14:paraId="521E7DF7" w14:textId="77777777" w:rsidR="00261105" w:rsidRPr="005E1C91" w:rsidRDefault="00261105" w:rsidP="00B52266">
      <w:pPr>
        <w:spacing w:line="360" w:lineRule="auto"/>
      </w:pPr>
    </w:p>
    <w:p w14:paraId="62CAD71B" w14:textId="59E9F85D" w:rsidR="00261105" w:rsidRPr="005E1C91" w:rsidRDefault="00261105" w:rsidP="00B52266">
      <w:pPr>
        <w:spacing w:line="360" w:lineRule="auto"/>
        <w:rPr>
          <w:b/>
          <w:bCs/>
        </w:rPr>
      </w:pPr>
      <w:r w:rsidRPr="005E1C91">
        <w:rPr>
          <w:b/>
          <w:bCs/>
        </w:rPr>
        <w:br w:type="page"/>
      </w:r>
    </w:p>
    <w:p w14:paraId="082B6A4E" w14:textId="77777777" w:rsidR="009F1895" w:rsidRPr="0029620C" w:rsidRDefault="002E7617" w:rsidP="00B52266">
      <w:pPr>
        <w:spacing w:line="360" w:lineRule="auto"/>
        <w:rPr>
          <w:b/>
          <w:bCs/>
        </w:rPr>
      </w:pPr>
      <w:r w:rsidRPr="0029620C">
        <w:rPr>
          <w:b/>
          <w:bCs/>
        </w:rPr>
        <w:lastRenderedPageBreak/>
        <w:t>Funder details</w:t>
      </w:r>
    </w:p>
    <w:p w14:paraId="685B5C51" w14:textId="44AFAEFC" w:rsidR="002E7617" w:rsidRDefault="009F1895" w:rsidP="00B52266">
      <w:pPr>
        <w:spacing w:line="360" w:lineRule="auto"/>
      </w:pPr>
      <w:r>
        <w:t>This review was funded by the National Disability Insurance Agency</w:t>
      </w:r>
      <w:r w:rsidR="00D027A4">
        <w:t>.</w:t>
      </w:r>
    </w:p>
    <w:p w14:paraId="22D8D02B" w14:textId="1D14B493" w:rsidR="00D872CA" w:rsidRDefault="00D872CA" w:rsidP="00B52266">
      <w:pPr>
        <w:spacing w:line="360" w:lineRule="auto"/>
      </w:pPr>
    </w:p>
    <w:p w14:paraId="42B1FBA4" w14:textId="77777777" w:rsidR="00D872CA" w:rsidRPr="00D872CA" w:rsidRDefault="00D872CA" w:rsidP="00D872CA">
      <w:pPr>
        <w:spacing w:line="360" w:lineRule="auto"/>
        <w:rPr>
          <w:b/>
          <w:bCs/>
          <w:lang w:val="en-AU"/>
        </w:rPr>
      </w:pPr>
      <w:r w:rsidRPr="00D872CA">
        <w:rPr>
          <w:b/>
          <w:bCs/>
          <w:lang w:val="en-AU"/>
        </w:rPr>
        <w:t>Copyright and disclaimer</w:t>
      </w:r>
    </w:p>
    <w:p w14:paraId="107725B8" w14:textId="01FBA4B0" w:rsidR="00D872CA" w:rsidRPr="00D872CA" w:rsidRDefault="008B572E" w:rsidP="00D872CA">
      <w:pPr>
        <w:spacing w:line="360" w:lineRule="auto"/>
      </w:pPr>
      <w:r>
        <w:rPr>
          <w:lang w:val="en-AU"/>
        </w:rPr>
        <w:t xml:space="preserve">This report was commissioned by the </w:t>
      </w:r>
      <w:r w:rsidRPr="00D872CA">
        <w:rPr>
          <w:lang w:val="en-AU"/>
        </w:rPr>
        <w:t>National Disability Insurance</w:t>
      </w:r>
      <w:r>
        <w:rPr>
          <w:lang w:val="en-AU"/>
        </w:rPr>
        <w:t xml:space="preserve"> </w:t>
      </w:r>
      <w:r w:rsidRPr="00D872CA">
        <w:rPr>
          <w:lang w:val="en-AU"/>
        </w:rPr>
        <w:t>Agency</w:t>
      </w:r>
      <w:r>
        <w:rPr>
          <w:lang w:val="en-AU"/>
        </w:rPr>
        <w:t xml:space="preserve">. </w:t>
      </w:r>
      <w:r w:rsidR="00B830EC">
        <w:rPr>
          <w:lang w:val="en-AU"/>
        </w:rPr>
        <w:t>Copyright in this review</w:t>
      </w:r>
      <w:r w:rsidR="00D872CA" w:rsidRPr="00D872CA">
        <w:rPr>
          <w:lang w:val="en-AU"/>
        </w:rPr>
        <w:t xml:space="preserve"> and all the information it contains vests in the National Disability Insurance</w:t>
      </w:r>
      <w:r>
        <w:rPr>
          <w:lang w:val="en-AU"/>
        </w:rPr>
        <w:t xml:space="preserve"> </w:t>
      </w:r>
      <w:r w:rsidR="00D872CA" w:rsidRPr="00D872CA">
        <w:rPr>
          <w:lang w:val="en-AU"/>
        </w:rPr>
        <w:t>Agency.</w:t>
      </w:r>
      <w:r w:rsidR="00D872CA">
        <w:rPr>
          <w:lang w:val="en-AU"/>
        </w:rPr>
        <w:t xml:space="preserve"> </w:t>
      </w:r>
      <w:r w:rsidR="00D872CA" w:rsidRPr="00D872CA">
        <w:t xml:space="preserve">The National Disability Insurance Agency accepts no responsibility for the accuracy or completeness of any material contained </w:t>
      </w:r>
      <w:r w:rsidR="00B830EC">
        <w:t>in this review</w:t>
      </w:r>
      <w:r w:rsidR="00D872CA" w:rsidRPr="00D872CA">
        <w:t xml:space="preserve">. Further, the National Disability Insurance Agency disclaims all liability to any person in respect of anything, and of the consequences of anything, done or omitted to be done by any such person in reliance, whether wholly or partly, upon any information presented </w:t>
      </w:r>
      <w:r w:rsidR="00B830EC">
        <w:t>in this review</w:t>
      </w:r>
      <w:r w:rsidR="00D872CA" w:rsidRPr="00D872CA">
        <w:t>.</w:t>
      </w:r>
    </w:p>
    <w:p w14:paraId="6B73DC79" w14:textId="77777777" w:rsidR="00D872CA" w:rsidRDefault="00D872CA" w:rsidP="00D872CA">
      <w:pPr>
        <w:spacing w:line="360" w:lineRule="auto"/>
        <w:rPr>
          <w:lang w:val="en-AU"/>
        </w:rPr>
      </w:pPr>
    </w:p>
    <w:p w14:paraId="45EEBB5E" w14:textId="3AB6F7CD" w:rsidR="00D872CA" w:rsidRPr="00D872CA" w:rsidRDefault="00D872CA" w:rsidP="00D872CA">
      <w:pPr>
        <w:spacing w:line="360" w:lineRule="auto"/>
        <w:rPr>
          <w:lang w:val="en-AU"/>
        </w:rPr>
      </w:pPr>
      <w:r w:rsidRPr="00D872CA">
        <w:rPr>
          <w:lang w:val="en-AU"/>
        </w:rPr>
        <w:t xml:space="preserve">Material </w:t>
      </w:r>
      <w:r w:rsidR="00B830EC">
        <w:rPr>
          <w:lang w:val="en-AU"/>
        </w:rPr>
        <w:t>in this review</w:t>
      </w:r>
      <w:r w:rsidRPr="00D872CA">
        <w:rPr>
          <w:lang w:val="en-AU"/>
        </w:rPr>
        <w:t xml:space="preserve"> is made available on the understanding that the National Disability Insurance Agency is not providing professional advice. Before relying on any of the material </w:t>
      </w:r>
      <w:r>
        <w:rPr>
          <w:lang w:val="en-AU"/>
        </w:rPr>
        <w:t>in this report</w:t>
      </w:r>
      <w:r w:rsidRPr="00D872CA">
        <w:rPr>
          <w:lang w:val="en-AU"/>
        </w:rPr>
        <w:t>, users should obtain appropriate professional advice.</w:t>
      </w:r>
    </w:p>
    <w:p w14:paraId="087FEADE" w14:textId="77777777" w:rsidR="00D872CA" w:rsidRDefault="00D872CA" w:rsidP="00D872CA">
      <w:pPr>
        <w:spacing w:line="360" w:lineRule="auto"/>
        <w:rPr>
          <w:lang w:val="en-AU"/>
        </w:rPr>
      </w:pPr>
    </w:p>
    <w:p w14:paraId="1EA25C5B" w14:textId="6ECC4862" w:rsidR="00D872CA" w:rsidRPr="00D872CA" w:rsidRDefault="00D872CA" w:rsidP="00D872CA">
      <w:pPr>
        <w:spacing w:line="360" w:lineRule="auto"/>
        <w:rPr>
          <w:lang w:val="en-AU"/>
        </w:rPr>
      </w:pPr>
      <w:r w:rsidRPr="00D872CA">
        <w:rPr>
          <w:lang w:val="en-AU"/>
        </w:rPr>
        <w:t>Views and recommendations of third parties, which m</w:t>
      </w:r>
      <w:r w:rsidR="00B830EC">
        <w:rPr>
          <w:lang w:val="en-AU"/>
        </w:rPr>
        <w:t>ay also be included in this review</w:t>
      </w:r>
      <w:r w:rsidRPr="00D872CA">
        <w:rPr>
          <w:lang w:val="en-AU"/>
        </w:rPr>
        <w:t>, do not necessarily reflect the views of the National Disability Insurance Agency, or indicate a commitment to a particular course of action.</w:t>
      </w:r>
      <w:r>
        <w:rPr>
          <w:lang w:val="en-AU"/>
        </w:rPr>
        <w:t xml:space="preserve"> </w:t>
      </w:r>
      <w:r w:rsidRPr="00D872CA">
        <w:rPr>
          <w:lang w:val="en-AU"/>
        </w:rPr>
        <w:t>Links to other internet sites are for your convenience. These links do not constitute endorsement of material at those sites, or any associated organisation, product or service.</w:t>
      </w:r>
    </w:p>
    <w:p w14:paraId="77A8ECCF" w14:textId="77777777" w:rsidR="00261105" w:rsidRPr="005E1C91" w:rsidRDefault="00261105" w:rsidP="00B52266">
      <w:pPr>
        <w:spacing w:line="360" w:lineRule="auto"/>
      </w:pPr>
    </w:p>
    <w:p w14:paraId="6D98B287" w14:textId="0A624976" w:rsidR="002E7617" w:rsidRPr="0029620C" w:rsidRDefault="002E7617" w:rsidP="00B52266">
      <w:pPr>
        <w:spacing w:line="360" w:lineRule="auto"/>
        <w:rPr>
          <w:b/>
          <w:bCs/>
        </w:rPr>
      </w:pPr>
      <w:r w:rsidRPr="0029620C">
        <w:rPr>
          <w:b/>
          <w:bCs/>
        </w:rPr>
        <w:t>Citation</w:t>
      </w:r>
    </w:p>
    <w:p w14:paraId="1F869109" w14:textId="03C3EDC2" w:rsidR="00C41279" w:rsidRPr="005E1C91" w:rsidRDefault="00C41279" w:rsidP="00C41279">
      <w:pPr>
        <w:spacing w:line="360" w:lineRule="auto"/>
      </w:pPr>
      <w:r>
        <w:t xml:space="preserve">O’Donovan, M-A., Demetriou, E., Whittle, E., Duke, Z., </w:t>
      </w:r>
      <w:r w:rsidR="000D0701">
        <w:t xml:space="preserve">Aitken, T., </w:t>
      </w:r>
      <w:r>
        <w:t xml:space="preserve">&amp; Guastella, A. (2021). </w:t>
      </w:r>
      <w:r w:rsidRPr="005E1C91">
        <w:t xml:space="preserve">Home and Living Options for People with Disabilities: A systematic review </w:t>
      </w:r>
      <w:r>
        <w:t xml:space="preserve">and environmental scan </w:t>
      </w:r>
      <w:r w:rsidRPr="005E1C91">
        <w:t>of strategies to support transition from group homes and congregate care, and those which prevent movement to congregate settings</w:t>
      </w:r>
      <w:r>
        <w:t xml:space="preserve">. Sydney: Centre for Disability Studies/The </w:t>
      </w:r>
      <w:r w:rsidR="00132B9E">
        <w:t xml:space="preserve">University of Sydney. </w:t>
      </w:r>
    </w:p>
    <w:p w14:paraId="1A62CFE2" w14:textId="5BCDCDDE" w:rsidR="002E7617" w:rsidRPr="005E1C91" w:rsidRDefault="002E7617" w:rsidP="00B52266">
      <w:pPr>
        <w:spacing w:line="360" w:lineRule="auto"/>
      </w:pPr>
    </w:p>
    <w:p w14:paraId="0A8F6BFD" w14:textId="790548F4" w:rsidR="002E7617" w:rsidRPr="0029620C" w:rsidRDefault="002E7617" w:rsidP="00B52266">
      <w:pPr>
        <w:spacing w:line="360" w:lineRule="auto"/>
        <w:rPr>
          <w:b/>
          <w:bCs/>
        </w:rPr>
      </w:pPr>
      <w:r w:rsidRPr="0029620C">
        <w:rPr>
          <w:b/>
          <w:bCs/>
        </w:rPr>
        <w:t>Acknowledgements</w:t>
      </w:r>
    </w:p>
    <w:p w14:paraId="5ACCAD14" w14:textId="43EACE11" w:rsidR="009F1895" w:rsidRDefault="009F1895" w:rsidP="00B52266">
      <w:pPr>
        <w:spacing w:line="360" w:lineRule="auto"/>
      </w:pPr>
      <w:r>
        <w:t xml:space="preserve">We would like to thank the wider project team Professor Emerita Patricia O’Brien, </w:t>
      </w:r>
      <w:r w:rsidR="00C41279">
        <w:t xml:space="preserve">Emeritus </w:t>
      </w:r>
      <w:r>
        <w:t>Professor Trevor Parmenter</w:t>
      </w:r>
      <w:r w:rsidR="00C41279">
        <w:t xml:space="preserve"> and Clinical </w:t>
      </w:r>
      <w:r>
        <w:t>Professor Vivienne Riches</w:t>
      </w:r>
      <w:r w:rsidR="0090405B">
        <w:t xml:space="preserve">; and Ms Til Nagle for administrative support. </w:t>
      </w:r>
    </w:p>
    <w:p w14:paraId="17652D2B" w14:textId="14D574C5" w:rsidR="002E7617" w:rsidRPr="005E1C91" w:rsidRDefault="009F1895" w:rsidP="00B52266">
      <w:pPr>
        <w:spacing w:line="360" w:lineRule="auto"/>
      </w:pPr>
      <w:r>
        <w:t xml:space="preserve">We would also like to thank the advisory committee to the project. Full </w:t>
      </w:r>
      <w:r w:rsidR="0029620C">
        <w:t xml:space="preserve">list of advisory group members are </w:t>
      </w:r>
      <w:r w:rsidR="00132B9E">
        <w:t xml:space="preserve">listed </w:t>
      </w:r>
      <w:r w:rsidR="0029620C">
        <w:t>in Appendix A.</w:t>
      </w:r>
      <w:r w:rsidR="00D872CA">
        <w:t xml:space="preserve"> </w:t>
      </w:r>
    </w:p>
    <w:p w14:paraId="33854C0A" w14:textId="77777777" w:rsidR="002E7617" w:rsidRPr="005E1C91" w:rsidRDefault="002E7617" w:rsidP="00B52266">
      <w:pPr>
        <w:spacing w:line="360" w:lineRule="auto"/>
      </w:pPr>
      <w:r w:rsidRPr="005E1C91">
        <w:br w:type="page"/>
      </w:r>
    </w:p>
    <w:sdt>
      <w:sdtPr>
        <w:rPr>
          <w:rFonts w:asciiTheme="minorHAnsi" w:eastAsiaTheme="minorHAnsi" w:hAnsiTheme="minorHAnsi" w:cstheme="minorBidi"/>
          <w:noProof/>
          <w:color w:val="1F4E79" w:themeColor="accent1" w:themeShade="80"/>
          <w:sz w:val="22"/>
          <w:szCs w:val="22"/>
        </w:rPr>
        <w:id w:val="-684283820"/>
        <w:docPartObj>
          <w:docPartGallery w:val="Table of Contents"/>
          <w:docPartUnique/>
        </w:docPartObj>
      </w:sdtPr>
      <w:sdtEndPr>
        <w:rPr>
          <w:color w:val="auto"/>
          <w:sz w:val="20"/>
          <w:szCs w:val="20"/>
        </w:rPr>
      </w:sdtEndPr>
      <w:sdtContent>
        <w:p w14:paraId="1BC2D94D" w14:textId="5977FFC3" w:rsidR="002E7617" w:rsidRPr="00BE673B" w:rsidRDefault="002E7617" w:rsidP="00B52266">
          <w:pPr>
            <w:pStyle w:val="TOCHeading"/>
            <w:spacing w:line="360" w:lineRule="auto"/>
            <w:rPr>
              <w:rFonts w:asciiTheme="minorHAnsi" w:hAnsiTheme="minorHAnsi" w:cstheme="minorHAnsi"/>
              <w:b/>
              <w:bCs/>
              <w:color w:val="auto"/>
              <w:sz w:val="20"/>
              <w:szCs w:val="20"/>
            </w:rPr>
          </w:pPr>
          <w:r w:rsidRPr="00BE673B">
            <w:rPr>
              <w:rFonts w:asciiTheme="minorHAnsi" w:hAnsiTheme="minorHAnsi" w:cstheme="minorHAnsi"/>
              <w:b/>
              <w:bCs/>
              <w:color w:val="auto"/>
              <w:sz w:val="20"/>
              <w:szCs w:val="20"/>
            </w:rPr>
            <w:t>Table of Contents</w:t>
          </w:r>
        </w:p>
        <w:p w14:paraId="5A64477C" w14:textId="69F861F5" w:rsidR="007717F1" w:rsidRDefault="002E7617">
          <w:pPr>
            <w:pStyle w:val="TOC1"/>
            <w:rPr>
              <w:rFonts w:eastAsiaTheme="minorEastAsia"/>
              <w:lang w:val="en-AU" w:eastAsia="en-AU"/>
            </w:rPr>
          </w:pPr>
          <w:r w:rsidRPr="00BE673B">
            <w:rPr>
              <w:noProof w:val="0"/>
              <w:sz w:val="20"/>
              <w:szCs w:val="20"/>
            </w:rPr>
            <w:fldChar w:fldCharType="begin"/>
          </w:r>
          <w:r w:rsidRPr="00BE673B">
            <w:rPr>
              <w:sz w:val="20"/>
              <w:szCs w:val="20"/>
            </w:rPr>
            <w:instrText xml:space="preserve"> TOC \o "1-3" \h \z \u </w:instrText>
          </w:r>
          <w:r w:rsidRPr="00BE673B">
            <w:rPr>
              <w:noProof w:val="0"/>
              <w:sz w:val="20"/>
              <w:szCs w:val="20"/>
            </w:rPr>
            <w:fldChar w:fldCharType="separate"/>
          </w:r>
          <w:hyperlink w:anchor="_Toc73535924" w:history="1">
            <w:r w:rsidR="007717F1" w:rsidRPr="003029D0">
              <w:rPr>
                <w:rStyle w:val="Hyperlink"/>
              </w:rPr>
              <w:t>Overview</w:t>
            </w:r>
            <w:r w:rsidR="007717F1">
              <w:rPr>
                <w:webHidden/>
              </w:rPr>
              <w:tab/>
            </w:r>
            <w:r w:rsidR="007717F1">
              <w:rPr>
                <w:webHidden/>
              </w:rPr>
              <w:fldChar w:fldCharType="begin"/>
            </w:r>
            <w:r w:rsidR="007717F1">
              <w:rPr>
                <w:webHidden/>
              </w:rPr>
              <w:instrText xml:space="preserve"> PAGEREF _Toc73535924 \h </w:instrText>
            </w:r>
            <w:r w:rsidR="007717F1">
              <w:rPr>
                <w:webHidden/>
              </w:rPr>
            </w:r>
            <w:r w:rsidR="007717F1">
              <w:rPr>
                <w:webHidden/>
              </w:rPr>
              <w:fldChar w:fldCharType="separate"/>
            </w:r>
            <w:r w:rsidR="007717F1">
              <w:rPr>
                <w:webHidden/>
              </w:rPr>
              <w:t>7</w:t>
            </w:r>
            <w:r w:rsidR="007717F1">
              <w:rPr>
                <w:webHidden/>
              </w:rPr>
              <w:fldChar w:fldCharType="end"/>
            </w:r>
          </w:hyperlink>
        </w:p>
        <w:p w14:paraId="5417481F" w14:textId="4F828FB3" w:rsidR="007717F1" w:rsidRDefault="001F76D0">
          <w:pPr>
            <w:pStyle w:val="TOC2"/>
            <w:tabs>
              <w:tab w:val="right" w:leader="dot" w:pos="9350"/>
            </w:tabs>
            <w:rPr>
              <w:rFonts w:eastAsiaTheme="minorEastAsia"/>
              <w:noProof/>
              <w:lang w:val="en-AU" w:eastAsia="en-AU"/>
            </w:rPr>
          </w:pPr>
          <w:hyperlink w:anchor="_Toc73535925" w:history="1">
            <w:r w:rsidR="007717F1" w:rsidRPr="003029D0">
              <w:rPr>
                <w:rStyle w:val="Hyperlink"/>
                <w:noProof/>
              </w:rPr>
              <w:t>Key findings</w:t>
            </w:r>
            <w:r w:rsidR="007717F1">
              <w:rPr>
                <w:noProof/>
                <w:webHidden/>
              </w:rPr>
              <w:tab/>
            </w:r>
            <w:r w:rsidR="007717F1">
              <w:rPr>
                <w:noProof/>
                <w:webHidden/>
              </w:rPr>
              <w:fldChar w:fldCharType="begin"/>
            </w:r>
            <w:r w:rsidR="007717F1">
              <w:rPr>
                <w:noProof/>
                <w:webHidden/>
              </w:rPr>
              <w:instrText xml:space="preserve"> PAGEREF _Toc73535925 \h </w:instrText>
            </w:r>
            <w:r w:rsidR="007717F1">
              <w:rPr>
                <w:noProof/>
                <w:webHidden/>
              </w:rPr>
            </w:r>
            <w:r w:rsidR="007717F1">
              <w:rPr>
                <w:noProof/>
                <w:webHidden/>
              </w:rPr>
              <w:fldChar w:fldCharType="separate"/>
            </w:r>
            <w:r w:rsidR="007717F1">
              <w:rPr>
                <w:noProof/>
                <w:webHidden/>
              </w:rPr>
              <w:t>7</w:t>
            </w:r>
            <w:r w:rsidR="007717F1">
              <w:rPr>
                <w:noProof/>
                <w:webHidden/>
              </w:rPr>
              <w:fldChar w:fldCharType="end"/>
            </w:r>
          </w:hyperlink>
        </w:p>
        <w:p w14:paraId="1C36B291" w14:textId="1623C835" w:rsidR="007717F1" w:rsidRDefault="001F76D0">
          <w:pPr>
            <w:pStyle w:val="TOC1"/>
            <w:rPr>
              <w:rFonts w:eastAsiaTheme="minorEastAsia"/>
              <w:lang w:val="en-AU" w:eastAsia="en-AU"/>
            </w:rPr>
          </w:pPr>
          <w:hyperlink w:anchor="_Toc73535926" w:history="1">
            <w:r w:rsidR="007717F1" w:rsidRPr="003029D0">
              <w:rPr>
                <w:rStyle w:val="Hyperlink"/>
              </w:rPr>
              <w:t>Executive Summary</w:t>
            </w:r>
            <w:r w:rsidR="007717F1">
              <w:rPr>
                <w:webHidden/>
              </w:rPr>
              <w:tab/>
            </w:r>
            <w:r w:rsidR="007717F1">
              <w:rPr>
                <w:webHidden/>
              </w:rPr>
              <w:fldChar w:fldCharType="begin"/>
            </w:r>
            <w:r w:rsidR="007717F1">
              <w:rPr>
                <w:webHidden/>
              </w:rPr>
              <w:instrText xml:space="preserve"> PAGEREF _Toc73535926 \h </w:instrText>
            </w:r>
            <w:r w:rsidR="007717F1">
              <w:rPr>
                <w:webHidden/>
              </w:rPr>
            </w:r>
            <w:r w:rsidR="007717F1">
              <w:rPr>
                <w:webHidden/>
              </w:rPr>
              <w:fldChar w:fldCharType="separate"/>
            </w:r>
            <w:r w:rsidR="007717F1">
              <w:rPr>
                <w:webHidden/>
              </w:rPr>
              <w:t>9</w:t>
            </w:r>
            <w:r w:rsidR="007717F1">
              <w:rPr>
                <w:webHidden/>
              </w:rPr>
              <w:fldChar w:fldCharType="end"/>
            </w:r>
          </w:hyperlink>
        </w:p>
        <w:p w14:paraId="796D2E54" w14:textId="39D8CBF5" w:rsidR="007717F1" w:rsidRDefault="001F76D0">
          <w:pPr>
            <w:pStyle w:val="TOC2"/>
            <w:tabs>
              <w:tab w:val="right" w:leader="dot" w:pos="9350"/>
            </w:tabs>
            <w:rPr>
              <w:rFonts w:eastAsiaTheme="minorEastAsia"/>
              <w:noProof/>
              <w:lang w:val="en-AU" w:eastAsia="en-AU"/>
            </w:rPr>
          </w:pPr>
          <w:hyperlink w:anchor="_Toc73535927" w:history="1">
            <w:r w:rsidR="007717F1" w:rsidRPr="003029D0">
              <w:rPr>
                <w:rStyle w:val="Hyperlink"/>
                <w:noProof/>
              </w:rPr>
              <w:t>Background</w:t>
            </w:r>
            <w:r w:rsidR="007717F1">
              <w:rPr>
                <w:noProof/>
                <w:webHidden/>
              </w:rPr>
              <w:tab/>
            </w:r>
            <w:r w:rsidR="007717F1">
              <w:rPr>
                <w:noProof/>
                <w:webHidden/>
              </w:rPr>
              <w:fldChar w:fldCharType="begin"/>
            </w:r>
            <w:r w:rsidR="007717F1">
              <w:rPr>
                <w:noProof/>
                <w:webHidden/>
              </w:rPr>
              <w:instrText xml:space="preserve"> PAGEREF _Toc73535927 \h </w:instrText>
            </w:r>
            <w:r w:rsidR="007717F1">
              <w:rPr>
                <w:noProof/>
                <w:webHidden/>
              </w:rPr>
            </w:r>
            <w:r w:rsidR="007717F1">
              <w:rPr>
                <w:noProof/>
                <w:webHidden/>
              </w:rPr>
              <w:fldChar w:fldCharType="separate"/>
            </w:r>
            <w:r w:rsidR="007717F1">
              <w:rPr>
                <w:noProof/>
                <w:webHidden/>
              </w:rPr>
              <w:t>9</w:t>
            </w:r>
            <w:r w:rsidR="007717F1">
              <w:rPr>
                <w:noProof/>
                <w:webHidden/>
              </w:rPr>
              <w:fldChar w:fldCharType="end"/>
            </w:r>
          </w:hyperlink>
        </w:p>
        <w:p w14:paraId="6C973B8F" w14:textId="7AEF8633" w:rsidR="007717F1" w:rsidRDefault="001F76D0">
          <w:pPr>
            <w:pStyle w:val="TOC2"/>
            <w:tabs>
              <w:tab w:val="right" w:leader="dot" w:pos="9350"/>
            </w:tabs>
            <w:rPr>
              <w:rFonts w:eastAsiaTheme="minorEastAsia"/>
              <w:noProof/>
              <w:lang w:val="en-AU" w:eastAsia="en-AU"/>
            </w:rPr>
          </w:pPr>
          <w:hyperlink w:anchor="_Toc73535928" w:history="1">
            <w:r w:rsidR="007717F1" w:rsidRPr="003029D0">
              <w:rPr>
                <w:rStyle w:val="Hyperlink"/>
                <w:noProof/>
              </w:rPr>
              <w:t>Research questions</w:t>
            </w:r>
            <w:r w:rsidR="007717F1">
              <w:rPr>
                <w:noProof/>
                <w:webHidden/>
              </w:rPr>
              <w:tab/>
            </w:r>
            <w:r w:rsidR="007717F1">
              <w:rPr>
                <w:noProof/>
                <w:webHidden/>
              </w:rPr>
              <w:fldChar w:fldCharType="begin"/>
            </w:r>
            <w:r w:rsidR="007717F1">
              <w:rPr>
                <w:noProof/>
                <w:webHidden/>
              </w:rPr>
              <w:instrText xml:space="preserve"> PAGEREF _Toc73535928 \h </w:instrText>
            </w:r>
            <w:r w:rsidR="007717F1">
              <w:rPr>
                <w:noProof/>
                <w:webHidden/>
              </w:rPr>
            </w:r>
            <w:r w:rsidR="007717F1">
              <w:rPr>
                <w:noProof/>
                <w:webHidden/>
              </w:rPr>
              <w:fldChar w:fldCharType="separate"/>
            </w:r>
            <w:r w:rsidR="007717F1">
              <w:rPr>
                <w:noProof/>
                <w:webHidden/>
              </w:rPr>
              <w:t>9</w:t>
            </w:r>
            <w:r w:rsidR="007717F1">
              <w:rPr>
                <w:noProof/>
                <w:webHidden/>
              </w:rPr>
              <w:fldChar w:fldCharType="end"/>
            </w:r>
          </w:hyperlink>
        </w:p>
        <w:p w14:paraId="00D4BE49" w14:textId="6D18CB09" w:rsidR="007717F1" w:rsidRDefault="001F76D0">
          <w:pPr>
            <w:pStyle w:val="TOC2"/>
            <w:tabs>
              <w:tab w:val="right" w:leader="dot" w:pos="9350"/>
            </w:tabs>
            <w:rPr>
              <w:rFonts w:eastAsiaTheme="minorEastAsia"/>
              <w:noProof/>
              <w:lang w:val="en-AU" w:eastAsia="en-AU"/>
            </w:rPr>
          </w:pPr>
          <w:hyperlink w:anchor="_Toc73535929" w:history="1">
            <w:r w:rsidR="007717F1" w:rsidRPr="003029D0">
              <w:rPr>
                <w:rStyle w:val="Hyperlink"/>
                <w:noProof/>
              </w:rPr>
              <w:t>Methods</w:t>
            </w:r>
            <w:r w:rsidR="007717F1">
              <w:rPr>
                <w:noProof/>
                <w:webHidden/>
              </w:rPr>
              <w:tab/>
            </w:r>
            <w:r w:rsidR="007717F1">
              <w:rPr>
                <w:noProof/>
                <w:webHidden/>
              </w:rPr>
              <w:fldChar w:fldCharType="begin"/>
            </w:r>
            <w:r w:rsidR="007717F1">
              <w:rPr>
                <w:noProof/>
                <w:webHidden/>
              </w:rPr>
              <w:instrText xml:space="preserve"> PAGEREF _Toc73535929 \h </w:instrText>
            </w:r>
            <w:r w:rsidR="007717F1">
              <w:rPr>
                <w:noProof/>
                <w:webHidden/>
              </w:rPr>
            </w:r>
            <w:r w:rsidR="007717F1">
              <w:rPr>
                <w:noProof/>
                <w:webHidden/>
              </w:rPr>
              <w:fldChar w:fldCharType="separate"/>
            </w:r>
            <w:r w:rsidR="007717F1">
              <w:rPr>
                <w:noProof/>
                <w:webHidden/>
              </w:rPr>
              <w:t>9</w:t>
            </w:r>
            <w:r w:rsidR="007717F1">
              <w:rPr>
                <w:noProof/>
                <w:webHidden/>
              </w:rPr>
              <w:fldChar w:fldCharType="end"/>
            </w:r>
          </w:hyperlink>
        </w:p>
        <w:p w14:paraId="7C94A832" w14:textId="3F1ED1C8" w:rsidR="007717F1" w:rsidRDefault="001F76D0">
          <w:pPr>
            <w:pStyle w:val="TOC2"/>
            <w:tabs>
              <w:tab w:val="right" w:leader="dot" w:pos="9350"/>
            </w:tabs>
            <w:rPr>
              <w:rFonts w:eastAsiaTheme="minorEastAsia"/>
              <w:noProof/>
              <w:lang w:val="en-AU" w:eastAsia="en-AU"/>
            </w:rPr>
          </w:pPr>
          <w:hyperlink w:anchor="_Toc73535930" w:history="1">
            <w:r w:rsidR="007717F1" w:rsidRPr="003029D0">
              <w:rPr>
                <w:rStyle w:val="Hyperlink"/>
                <w:noProof/>
              </w:rPr>
              <w:t>Key findings</w:t>
            </w:r>
            <w:r w:rsidR="007717F1">
              <w:rPr>
                <w:noProof/>
                <w:webHidden/>
              </w:rPr>
              <w:tab/>
            </w:r>
            <w:r w:rsidR="007717F1">
              <w:rPr>
                <w:noProof/>
                <w:webHidden/>
              </w:rPr>
              <w:fldChar w:fldCharType="begin"/>
            </w:r>
            <w:r w:rsidR="007717F1">
              <w:rPr>
                <w:noProof/>
                <w:webHidden/>
              </w:rPr>
              <w:instrText xml:space="preserve"> PAGEREF _Toc73535930 \h </w:instrText>
            </w:r>
            <w:r w:rsidR="007717F1">
              <w:rPr>
                <w:noProof/>
                <w:webHidden/>
              </w:rPr>
            </w:r>
            <w:r w:rsidR="007717F1">
              <w:rPr>
                <w:noProof/>
                <w:webHidden/>
              </w:rPr>
              <w:fldChar w:fldCharType="separate"/>
            </w:r>
            <w:r w:rsidR="007717F1">
              <w:rPr>
                <w:noProof/>
                <w:webHidden/>
              </w:rPr>
              <w:t>10</w:t>
            </w:r>
            <w:r w:rsidR="007717F1">
              <w:rPr>
                <w:noProof/>
                <w:webHidden/>
              </w:rPr>
              <w:fldChar w:fldCharType="end"/>
            </w:r>
          </w:hyperlink>
        </w:p>
        <w:p w14:paraId="6E057069" w14:textId="405EFE35" w:rsidR="007717F1" w:rsidRDefault="001F76D0">
          <w:pPr>
            <w:pStyle w:val="TOC3"/>
            <w:tabs>
              <w:tab w:val="right" w:leader="dot" w:pos="9350"/>
            </w:tabs>
            <w:rPr>
              <w:rFonts w:eastAsiaTheme="minorEastAsia"/>
              <w:noProof/>
              <w:lang w:val="en-AU" w:eastAsia="en-AU"/>
            </w:rPr>
          </w:pPr>
          <w:hyperlink w:anchor="_Toc73535931" w:history="1">
            <w:r w:rsidR="007717F1" w:rsidRPr="003029D0">
              <w:rPr>
                <w:rStyle w:val="Hyperlink"/>
                <w:noProof/>
              </w:rPr>
              <w:t>Transitions to alternative accommodation</w:t>
            </w:r>
            <w:r w:rsidR="007717F1">
              <w:rPr>
                <w:noProof/>
                <w:webHidden/>
              </w:rPr>
              <w:tab/>
            </w:r>
            <w:r w:rsidR="007717F1">
              <w:rPr>
                <w:noProof/>
                <w:webHidden/>
              </w:rPr>
              <w:fldChar w:fldCharType="begin"/>
            </w:r>
            <w:r w:rsidR="007717F1">
              <w:rPr>
                <w:noProof/>
                <w:webHidden/>
              </w:rPr>
              <w:instrText xml:space="preserve"> PAGEREF _Toc73535931 \h </w:instrText>
            </w:r>
            <w:r w:rsidR="007717F1">
              <w:rPr>
                <w:noProof/>
                <w:webHidden/>
              </w:rPr>
            </w:r>
            <w:r w:rsidR="007717F1">
              <w:rPr>
                <w:noProof/>
                <w:webHidden/>
              </w:rPr>
              <w:fldChar w:fldCharType="separate"/>
            </w:r>
            <w:r w:rsidR="007717F1">
              <w:rPr>
                <w:noProof/>
                <w:webHidden/>
              </w:rPr>
              <w:t>10</w:t>
            </w:r>
            <w:r w:rsidR="007717F1">
              <w:rPr>
                <w:noProof/>
                <w:webHidden/>
              </w:rPr>
              <w:fldChar w:fldCharType="end"/>
            </w:r>
          </w:hyperlink>
        </w:p>
        <w:p w14:paraId="61B66740" w14:textId="37BB6D2A" w:rsidR="007717F1" w:rsidRDefault="001F76D0">
          <w:pPr>
            <w:pStyle w:val="TOC3"/>
            <w:tabs>
              <w:tab w:val="right" w:leader="dot" w:pos="9350"/>
            </w:tabs>
            <w:rPr>
              <w:rFonts w:eastAsiaTheme="minorEastAsia"/>
              <w:noProof/>
              <w:lang w:val="en-AU" w:eastAsia="en-AU"/>
            </w:rPr>
          </w:pPr>
          <w:hyperlink w:anchor="_Toc73535932" w:history="1">
            <w:r w:rsidR="007717F1" w:rsidRPr="003029D0">
              <w:rPr>
                <w:rStyle w:val="Hyperlink"/>
                <w:noProof/>
              </w:rPr>
              <w:t>Secondary outcomes</w:t>
            </w:r>
            <w:r w:rsidR="007717F1">
              <w:rPr>
                <w:noProof/>
                <w:webHidden/>
              </w:rPr>
              <w:tab/>
            </w:r>
            <w:r w:rsidR="007717F1">
              <w:rPr>
                <w:noProof/>
                <w:webHidden/>
              </w:rPr>
              <w:fldChar w:fldCharType="begin"/>
            </w:r>
            <w:r w:rsidR="007717F1">
              <w:rPr>
                <w:noProof/>
                <w:webHidden/>
              </w:rPr>
              <w:instrText xml:space="preserve"> PAGEREF _Toc73535932 \h </w:instrText>
            </w:r>
            <w:r w:rsidR="007717F1">
              <w:rPr>
                <w:noProof/>
                <w:webHidden/>
              </w:rPr>
            </w:r>
            <w:r w:rsidR="007717F1">
              <w:rPr>
                <w:noProof/>
                <w:webHidden/>
              </w:rPr>
              <w:fldChar w:fldCharType="separate"/>
            </w:r>
            <w:r w:rsidR="007717F1">
              <w:rPr>
                <w:noProof/>
                <w:webHidden/>
              </w:rPr>
              <w:t>10</w:t>
            </w:r>
            <w:r w:rsidR="007717F1">
              <w:rPr>
                <w:noProof/>
                <w:webHidden/>
              </w:rPr>
              <w:fldChar w:fldCharType="end"/>
            </w:r>
          </w:hyperlink>
        </w:p>
        <w:p w14:paraId="2DA3ECE0" w14:textId="47C02DE7" w:rsidR="007717F1" w:rsidRDefault="001F76D0">
          <w:pPr>
            <w:pStyle w:val="TOC3"/>
            <w:tabs>
              <w:tab w:val="right" w:leader="dot" w:pos="9350"/>
            </w:tabs>
            <w:rPr>
              <w:rFonts w:eastAsiaTheme="minorEastAsia"/>
              <w:noProof/>
              <w:lang w:val="en-AU" w:eastAsia="en-AU"/>
            </w:rPr>
          </w:pPr>
          <w:hyperlink w:anchor="_Toc73535933" w:history="1">
            <w:r w:rsidR="007717F1" w:rsidRPr="003029D0">
              <w:rPr>
                <w:rStyle w:val="Hyperlink"/>
                <w:noProof/>
              </w:rPr>
              <w:t>Interventions that enable transition</w:t>
            </w:r>
            <w:r w:rsidR="007717F1">
              <w:rPr>
                <w:noProof/>
                <w:webHidden/>
              </w:rPr>
              <w:tab/>
            </w:r>
            <w:r w:rsidR="007717F1">
              <w:rPr>
                <w:noProof/>
                <w:webHidden/>
              </w:rPr>
              <w:fldChar w:fldCharType="begin"/>
            </w:r>
            <w:r w:rsidR="007717F1">
              <w:rPr>
                <w:noProof/>
                <w:webHidden/>
              </w:rPr>
              <w:instrText xml:space="preserve"> PAGEREF _Toc73535933 \h </w:instrText>
            </w:r>
            <w:r w:rsidR="007717F1">
              <w:rPr>
                <w:noProof/>
                <w:webHidden/>
              </w:rPr>
            </w:r>
            <w:r w:rsidR="007717F1">
              <w:rPr>
                <w:noProof/>
                <w:webHidden/>
              </w:rPr>
              <w:fldChar w:fldCharType="separate"/>
            </w:r>
            <w:r w:rsidR="007717F1">
              <w:rPr>
                <w:noProof/>
                <w:webHidden/>
              </w:rPr>
              <w:t>11</w:t>
            </w:r>
            <w:r w:rsidR="007717F1">
              <w:rPr>
                <w:noProof/>
                <w:webHidden/>
              </w:rPr>
              <w:fldChar w:fldCharType="end"/>
            </w:r>
          </w:hyperlink>
        </w:p>
        <w:p w14:paraId="04C31310" w14:textId="5D430429" w:rsidR="007717F1" w:rsidRDefault="001F76D0">
          <w:pPr>
            <w:pStyle w:val="TOC2"/>
            <w:tabs>
              <w:tab w:val="right" w:leader="dot" w:pos="9350"/>
            </w:tabs>
            <w:rPr>
              <w:rFonts w:eastAsiaTheme="minorEastAsia"/>
              <w:noProof/>
              <w:lang w:val="en-AU" w:eastAsia="en-AU"/>
            </w:rPr>
          </w:pPr>
          <w:hyperlink w:anchor="_Toc73535934" w:history="1">
            <w:r w:rsidR="007717F1" w:rsidRPr="003029D0">
              <w:rPr>
                <w:rStyle w:val="Hyperlink"/>
                <w:noProof/>
              </w:rPr>
              <w:t>Conclusion</w:t>
            </w:r>
            <w:r w:rsidR="007717F1">
              <w:rPr>
                <w:noProof/>
                <w:webHidden/>
              </w:rPr>
              <w:tab/>
            </w:r>
            <w:r w:rsidR="007717F1">
              <w:rPr>
                <w:noProof/>
                <w:webHidden/>
              </w:rPr>
              <w:fldChar w:fldCharType="begin"/>
            </w:r>
            <w:r w:rsidR="007717F1">
              <w:rPr>
                <w:noProof/>
                <w:webHidden/>
              </w:rPr>
              <w:instrText xml:space="preserve"> PAGEREF _Toc73535934 \h </w:instrText>
            </w:r>
            <w:r w:rsidR="007717F1">
              <w:rPr>
                <w:noProof/>
                <w:webHidden/>
              </w:rPr>
            </w:r>
            <w:r w:rsidR="007717F1">
              <w:rPr>
                <w:noProof/>
                <w:webHidden/>
              </w:rPr>
              <w:fldChar w:fldCharType="separate"/>
            </w:r>
            <w:r w:rsidR="007717F1">
              <w:rPr>
                <w:noProof/>
                <w:webHidden/>
              </w:rPr>
              <w:t>12</w:t>
            </w:r>
            <w:r w:rsidR="007717F1">
              <w:rPr>
                <w:noProof/>
                <w:webHidden/>
              </w:rPr>
              <w:fldChar w:fldCharType="end"/>
            </w:r>
          </w:hyperlink>
        </w:p>
        <w:p w14:paraId="4ABEFD71" w14:textId="16684A6D" w:rsidR="007717F1" w:rsidRDefault="001F76D0">
          <w:pPr>
            <w:pStyle w:val="TOC1"/>
            <w:rPr>
              <w:rFonts w:eastAsiaTheme="minorEastAsia"/>
              <w:lang w:val="en-AU" w:eastAsia="en-AU"/>
            </w:rPr>
          </w:pPr>
          <w:hyperlink w:anchor="_Toc73535935" w:history="1">
            <w:r w:rsidR="007717F1" w:rsidRPr="003029D0">
              <w:rPr>
                <w:rStyle w:val="Hyperlink"/>
              </w:rPr>
              <w:t>Introduction</w:t>
            </w:r>
            <w:r w:rsidR="007717F1">
              <w:rPr>
                <w:webHidden/>
              </w:rPr>
              <w:tab/>
            </w:r>
            <w:r w:rsidR="007717F1">
              <w:rPr>
                <w:webHidden/>
              </w:rPr>
              <w:fldChar w:fldCharType="begin"/>
            </w:r>
            <w:r w:rsidR="007717F1">
              <w:rPr>
                <w:webHidden/>
              </w:rPr>
              <w:instrText xml:space="preserve"> PAGEREF _Toc73535935 \h </w:instrText>
            </w:r>
            <w:r w:rsidR="007717F1">
              <w:rPr>
                <w:webHidden/>
              </w:rPr>
            </w:r>
            <w:r w:rsidR="007717F1">
              <w:rPr>
                <w:webHidden/>
              </w:rPr>
              <w:fldChar w:fldCharType="separate"/>
            </w:r>
            <w:r w:rsidR="007717F1">
              <w:rPr>
                <w:webHidden/>
              </w:rPr>
              <w:t>13</w:t>
            </w:r>
            <w:r w:rsidR="007717F1">
              <w:rPr>
                <w:webHidden/>
              </w:rPr>
              <w:fldChar w:fldCharType="end"/>
            </w:r>
          </w:hyperlink>
        </w:p>
        <w:p w14:paraId="1C0DAD79" w14:textId="186A555A" w:rsidR="007717F1" w:rsidRDefault="001F76D0">
          <w:pPr>
            <w:pStyle w:val="TOC1"/>
            <w:rPr>
              <w:rFonts w:eastAsiaTheme="minorEastAsia"/>
              <w:lang w:val="en-AU" w:eastAsia="en-AU"/>
            </w:rPr>
          </w:pPr>
          <w:hyperlink w:anchor="_Toc73535936" w:history="1">
            <w:r w:rsidR="007717F1" w:rsidRPr="003029D0">
              <w:rPr>
                <w:rStyle w:val="Hyperlink"/>
              </w:rPr>
              <w:t>Methodology</w:t>
            </w:r>
            <w:r w:rsidR="007717F1">
              <w:rPr>
                <w:webHidden/>
              </w:rPr>
              <w:tab/>
            </w:r>
            <w:r w:rsidR="007717F1">
              <w:rPr>
                <w:webHidden/>
              </w:rPr>
              <w:fldChar w:fldCharType="begin"/>
            </w:r>
            <w:r w:rsidR="007717F1">
              <w:rPr>
                <w:webHidden/>
              </w:rPr>
              <w:instrText xml:space="preserve"> PAGEREF _Toc73535936 \h </w:instrText>
            </w:r>
            <w:r w:rsidR="007717F1">
              <w:rPr>
                <w:webHidden/>
              </w:rPr>
            </w:r>
            <w:r w:rsidR="007717F1">
              <w:rPr>
                <w:webHidden/>
              </w:rPr>
              <w:fldChar w:fldCharType="separate"/>
            </w:r>
            <w:r w:rsidR="007717F1">
              <w:rPr>
                <w:webHidden/>
              </w:rPr>
              <w:t>14</w:t>
            </w:r>
            <w:r w:rsidR="007717F1">
              <w:rPr>
                <w:webHidden/>
              </w:rPr>
              <w:fldChar w:fldCharType="end"/>
            </w:r>
          </w:hyperlink>
        </w:p>
        <w:p w14:paraId="53C4B121" w14:textId="11F8A643" w:rsidR="007717F1" w:rsidRDefault="001F76D0">
          <w:pPr>
            <w:pStyle w:val="TOC2"/>
            <w:tabs>
              <w:tab w:val="right" w:leader="dot" w:pos="9350"/>
            </w:tabs>
            <w:rPr>
              <w:rFonts w:eastAsiaTheme="minorEastAsia"/>
              <w:noProof/>
              <w:lang w:val="en-AU" w:eastAsia="en-AU"/>
            </w:rPr>
          </w:pPr>
          <w:hyperlink w:anchor="_Toc73535937" w:history="1">
            <w:r w:rsidR="007717F1" w:rsidRPr="003029D0">
              <w:rPr>
                <w:rStyle w:val="Hyperlink"/>
                <w:noProof/>
              </w:rPr>
              <w:t>Eligibility criteria</w:t>
            </w:r>
            <w:r w:rsidR="007717F1">
              <w:rPr>
                <w:noProof/>
                <w:webHidden/>
              </w:rPr>
              <w:tab/>
            </w:r>
            <w:r w:rsidR="007717F1">
              <w:rPr>
                <w:noProof/>
                <w:webHidden/>
              </w:rPr>
              <w:fldChar w:fldCharType="begin"/>
            </w:r>
            <w:r w:rsidR="007717F1">
              <w:rPr>
                <w:noProof/>
                <w:webHidden/>
              </w:rPr>
              <w:instrText xml:space="preserve"> PAGEREF _Toc73535937 \h </w:instrText>
            </w:r>
            <w:r w:rsidR="007717F1">
              <w:rPr>
                <w:noProof/>
                <w:webHidden/>
              </w:rPr>
            </w:r>
            <w:r w:rsidR="007717F1">
              <w:rPr>
                <w:noProof/>
                <w:webHidden/>
              </w:rPr>
              <w:fldChar w:fldCharType="separate"/>
            </w:r>
            <w:r w:rsidR="007717F1">
              <w:rPr>
                <w:noProof/>
                <w:webHidden/>
              </w:rPr>
              <w:t>14</w:t>
            </w:r>
            <w:r w:rsidR="007717F1">
              <w:rPr>
                <w:noProof/>
                <w:webHidden/>
              </w:rPr>
              <w:fldChar w:fldCharType="end"/>
            </w:r>
          </w:hyperlink>
        </w:p>
        <w:p w14:paraId="3BCC2557" w14:textId="4C449669" w:rsidR="007717F1" w:rsidRDefault="001F76D0">
          <w:pPr>
            <w:pStyle w:val="TOC3"/>
            <w:tabs>
              <w:tab w:val="right" w:leader="dot" w:pos="9350"/>
            </w:tabs>
            <w:rPr>
              <w:rFonts w:eastAsiaTheme="minorEastAsia"/>
              <w:noProof/>
              <w:lang w:val="en-AU" w:eastAsia="en-AU"/>
            </w:rPr>
          </w:pPr>
          <w:hyperlink w:anchor="_Toc73535938" w:history="1">
            <w:r w:rsidR="007717F1" w:rsidRPr="003029D0">
              <w:rPr>
                <w:rStyle w:val="Hyperlink"/>
                <w:noProof/>
              </w:rPr>
              <w:t>Study characteristics:</w:t>
            </w:r>
            <w:r w:rsidR="007717F1">
              <w:rPr>
                <w:noProof/>
                <w:webHidden/>
              </w:rPr>
              <w:tab/>
            </w:r>
            <w:r w:rsidR="007717F1">
              <w:rPr>
                <w:noProof/>
                <w:webHidden/>
              </w:rPr>
              <w:fldChar w:fldCharType="begin"/>
            </w:r>
            <w:r w:rsidR="007717F1">
              <w:rPr>
                <w:noProof/>
                <w:webHidden/>
              </w:rPr>
              <w:instrText xml:space="preserve"> PAGEREF _Toc73535938 \h </w:instrText>
            </w:r>
            <w:r w:rsidR="007717F1">
              <w:rPr>
                <w:noProof/>
                <w:webHidden/>
              </w:rPr>
            </w:r>
            <w:r w:rsidR="007717F1">
              <w:rPr>
                <w:noProof/>
                <w:webHidden/>
              </w:rPr>
              <w:fldChar w:fldCharType="separate"/>
            </w:r>
            <w:r w:rsidR="007717F1">
              <w:rPr>
                <w:noProof/>
                <w:webHidden/>
              </w:rPr>
              <w:t>14</w:t>
            </w:r>
            <w:r w:rsidR="007717F1">
              <w:rPr>
                <w:noProof/>
                <w:webHidden/>
              </w:rPr>
              <w:fldChar w:fldCharType="end"/>
            </w:r>
          </w:hyperlink>
        </w:p>
        <w:p w14:paraId="21C15918" w14:textId="681D1BD0" w:rsidR="007717F1" w:rsidRDefault="001F76D0">
          <w:pPr>
            <w:pStyle w:val="TOC3"/>
            <w:tabs>
              <w:tab w:val="right" w:leader="dot" w:pos="9350"/>
            </w:tabs>
            <w:rPr>
              <w:rFonts w:eastAsiaTheme="minorEastAsia"/>
              <w:noProof/>
              <w:lang w:val="en-AU" w:eastAsia="en-AU"/>
            </w:rPr>
          </w:pPr>
          <w:hyperlink w:anchor="_Toc73535939" w:history="1">
            <w:r w:rsidR="007717F1" w:rsidRPr="003029D0">
              <w:rPr>
                <w:rStyle w:val="Hyperlink"/>
                <w:noProof/>
              </w:rPr>
              <w:t>Inclusion/Exclusion criteria:</w:t>
            </w:r>
            <w:r w:rsidR="007717F1">
              <w:rPr>
                <w:noProof/>
                <w:webHidden/>
              </w:rPr>
              <w:tab/>
            </w:r>
            <w:r w:rsidR="007717F1">
              <w:rPr>
                <w:noProof/>
                <w:webHidden/>
              </w:rPr>
              <w:fldChar w:fldCharType="begin"/>
            </w:r>
            <w:r w:rsidR="007717F1">
              <w:rPr>
                <w:noProof/>
                <w:webHidden/>
              </w:rPr>
              <w:instrText xml:space="preserve"> PAGEREF _Toc73535939 \h </w:instrText>
            </w:r>
            <w:r w:rsidR="007717F1">
              <w:rPr>
                <w:noProof/>
                <w:webHidden/>
              </w:rPr>
            </w:r>
            <w:r w:rsidR="007717F1">
              <w:rPr>
                <w:noProof/>
                <w:webHidden/>
              </w:rPr>
              <w:fldChar w:fldCharType="separate"/>
            </w:r>
            <w:r w:rsidR="007717F1">
              <w:rPr>
                <w:noProof/>
                <w:webHidden/>
              </w:rPr>
              <w:t>14</w:t>
            </w:r>
            <w:r w:rsidR="007717F1">
              <w:rPr>
                <w:noProof/>
                <w:webHidden/>
              </w:rPr>
              <w:fldChar w:fldCharType="end"/>
            </w:r>
          </w:hyperlink>
        </w:p>
        <w:p w14:paraId="1183A312" w14:textId="27C98204" w:rsidR="007717F1" w:rsidRDefault="001F76D0">
          <w:pPr>
            <w:pStyle w:val="TOC3"/>
            <w:tabs>
              <w:tab w:val="right" w:leader="dot" w:pos="9350"/>
            </w:tabs>
            <w:rPr>
              <w:rFonts w:eastAsiaTheme="minorEastAsia"/>
              <w:noProof/>
              <w:lang w:val="en-AU" w:eastAsia="en-AU"/>
            </w:rPr>
          </w:pPr>
          <w:hyperlink w:anchor="_Toc73535940" w:history="1">
            <w:r w:rsidR="007717F1" w:rsidRPr="003029D0">
              <w:rPr>
                <w:rStyle w:val="Hyperlink"/>
                <w:noProof/>
              </w:rPr>
              <w:t>Search strategy</w:t>
            </w:r>
            <w:r w:rsidR="007717F1">
              <w:rPr>
                <w:noProof/>
                <w:webHidden/>
              </w:rPr>
              <w:tab/>
            </w:r>
            <w:r w:rsidR="007717F1">
              <w:rPr>
                <w:noProof/>
                <w:webHidden/>
              </w:rPr>
              <w:fldChar w:fldCharType="begin"/>
            </w:r>
            <w:r w:rsidR="007717F1">
              <w:rPr>
                <w:noProof/>
                <w:webHidden/>
              </w:rPr>
              <w:instrText xml:space="preserve"> PAGEREF _Toc73535940 \h </w:instrText>
            </w:r>
            <w:r w:rsidR="007717F1">
              <w:rPr>
                <w:noProof/>
                <w:webHidden/>
              </w:rPr>
            </w:r>
            <w:r w:rsidR="007717F1">
              <w:rPr>
                <w:noProof/>
                <w:webHidden/>
              </w:rPr>
              <w:fldChar w:fldCharType="separate"/>
            </w:r>
            <w:r w:rsidR="007717F1">
              <w:rPr>
                <w:noProof/>
                <w:webHidden/>
              </w:rPr>
              <w:t>15</w:t>
            </w:r>
            <w:r w:rsidR="007717F1">
              <w:rPr>
                <w:noProof/>
                <w:webHidden/>
              </w:rPr>
              <w:fldChar w:fldCharType="end"/>
            </w:r>
          </w:hyperlink>
        </w:p>
        <w:p w14:paraId="0213A99B" w14:textId="4A5ED197" w:rsidR="007717F1" w:rsidRDefault="001F76D0">
          <w:pPr>
            <w:pStyle w:val="TOC2"/>
            <w:tabs>
              <w:tab w:val="right" w:leader="dot" w:pos="9350"/>
            </w:tabs>
            <w:rPr>
              <w:rFonts w:eastAsiaTheme="minorEastAsia"/>
              <w:noProof/>
              <w:lang w:val="en-AU" w:eastAsia="en-AU"/>
            </w:rPr>
          </w:pPr>
          <w:hyperlink w:anchor="_Toc73535941" w:history="1">
            <w:r w:rsidR="007717F1" w:rsidRPr="003029D0">
              <w:rPr>
                <w:rStyle w:val="Hyperlink"/>
                <w:noProof/>
                <w:lang w:val="en-GB"/>
              </w:rPr>
              <w:t xml:space="preserve">Data </w:t>
            </w:r>
            <w:r w:rsidR="007717F1" w:rsidRPr="003029D0">
              <w:rPr>
                <w:rStyle w:val="Hyperlink"/>
                <w:noProof/>
              </w:rPr>
              <w:t>Extraction</w:t>
            </w:r>
            <w:r w:rsidR="007717F1" w:rsidRPr="003029D0">
              <w:rPr>
                <w:rStyle w:val="Hyperlink"/>
                <w:noProof/>
                <w:lang w:val="en-GB"/>
              </w:rPr>
              <w:t xml:space="preserve"> Process</w:t>
            </w:r>
            <w:r w:rsidR="007717F1">
              <w:rPr>
                <w:noProof/>
                <w:webHidden/>
              </w:rPr>
              <w:tab/>
            </w:r>
            <w:r w:rsidR="007717F1">
              <w:rPr>
                <w:noProof/>
                <w:webHidden/>
              </w:rPr>
              <w:fldChar w:fldCharType="begin"/>
            </w:r>
            <w:r w:rsidR="007717F1">
              <w:rPr>
                <w:noProof/>
                <w:webHidden/>
              </w:rPr>
              <w:instrText xml:space="preserve"> PAGEREF _Toc73535941 \h </w:instrText>
            </w:r>
            <w:r w:rsidR="007717F1">
              <w:rPr>
                <w:noProof/>
                <w:webHidden/>
              </w:rPr>
            </w:r>
            <w:r w:rsidR="007717F1">
              <w:rPr>
                <w:noProof/>
                <w:webHidden/>
              </w:rPr>
              <w:fldChar w:fldCharType="separate"/>
            </w:r>
            <w:r w:rsidR="007717F1">
              <w:rPr>
                <w:noProof/>
                <w:webHidden/>
              </w:rPr>
              <w:t>15</w:t>
            </w:r>
            <w:r w:rsidR="007717F1">
              <w:rPr>
                <w:noProof/>
                <w:webHidden/>
              </w:rPr>
              <w:fldChar w:fldCharType="end"/>
            </w:r>
          </w:hyperlink>
        </w:p>
        <w:p w14:paraId="475E5E66" w14:textId="72BFB6A8" w:rsidR="007717F1" w:rsidRDefault="001F76D0">
          <w:pPr>
            <w:pStyle w:val="TOC3"/>
            <w:tabs>
              <w:tab w:val="right" w:leader="dot" w:pos="9350"/>
            </w:tabs>
            <w:rPr>
              <w:rFonts w:eastAsiaTheme="minorEastAsia"/>
              <w:noProof/>
              <w:lang w:val="en-AU" w:eastAsia="en-AU"/>
            </w:rPr>
          </w:pPr>
          <w:hyperlink w:anchor="_Toc73535942" w:history="1">
            <w:r w:rsidR="007717F1" w:rsidRPr="003029D0">
              <w:rPr>
                <w:rStyle w:val="Hyperlink"/>
                <w:noProof/>
              </w:rPr>
              <w:t>Risk of bias in individual studies</w:t>
            </w:r>
            <w:r w:rsidR="007717F1">
              <w:rPr>
                <w:noProof/>
                <w:webHidden/>
              </w:rPr>
              <w:tab/>
            </w:r>
            <w:r w:rsidR="007717F1">
              <w:rPr>
                <w:noProof/>
                <w:webHidden/>
              </w:rPr>
              <w:fldChar w:fldCharType="begin"/>
            </w:r>
            <w:r w:rsidR="007717F1">
              <w:rPr>
                <w:noProof/>
                <w:webHidden/>
              </w:rPr>
              <w:instrText xml:space="preserve"> PAGEREF _Toc73535942 \h </w:instrText>
            </w:r>
            <w:r w:rsidR="007717F1">
              <w:rPr>
                <w:noProof/>
                <w:webHidden/>
              </w:rPr>
            </w:r>
            <w:r w:rsidR="007717F1">
              <w:rPr>
                <w:noProof/>
                <w:webHidden/>
              </w:rPr>
              <w:fldChar w:fldCharType="separate"/>
            </w:r>
            <w:r w:rsidR="007717F1">
              <w:rPr>
                <w:noProof/>
                <w:webHidden/>
              </w:rPr>
              <w:t>16</w:t>
            </w:r>
            <w:r w:rsidR="007717F1">
              <w:rPr>
                <w:noProof/>
                <w:webHidden/>
              </w:rPr>
              <w:fldChar w:fldCharType="end"/>
            </w:r>
          </w:hyperlink>
        </w:p>
        <w:p w14:paraId="0A5846A7" w14:textId="0425CC31" w:rsidR="007717F1" w:rsidRDefault="001F76D0">
          <w:pPr>
            <w:pStyle w:val="TOC3"/>
            <w:tabs>
              <w:tab w:val="right" w:leader="dot" w:pos="9350"/>
            </w:tabs>
            <w:rPr>
              <w:rFonts w:eastAsiaTheme="minorEastAsia"/>
              <w:noProof/>
              <w:lang w:val="en-AU" w:eastAsia="en-AU"/>
            </w:rPr>
          </w:pPr>
          <w:hyperlink w:anchor="_Toc73535943" w:history="1">
            <w:r w:rsidR="007717F1" w:rsidRPr="003029D0">
              <w:rPr>
                <w:rStyle w:val="Hyperlink"/>
                <w:noProof/>
              </w:rPr>
              <w:t>Data Synthesis</w:t>
            </w:r>
            <w:r w:rsidR="007717F1">
              <w:rPr>
                <w:noProof/>
                <w:webHidden/>
              </w:rPr>
              <w:tab/>
            </w:r>
            <w:r w:rsidR="007717F1">
              <w:rPr>
                <w:noProof/>
                <w:webHidden/>
              </w:rPr>
              <w:fldChar w:fldCharType="begin"/>
            </w:r>
            <w:r w:rsidR="007717F1">
              <w:rPr>
                <w:noProof/>
                <w:webHidden/>
              </w:rPr>
              <w:instrText xml:space="preserve"> PAGEREF _Toc73535943 \h </w:instrText>
            </w:r>
            <w:r w:rsidR="007717F1">
              <w:rPr>
                <w:noProof/>
                <w:webHidden/>
              </w:rPr>
            </w:r>
            <w:r w:rsidR="007717F1">
              <w:rPr>
                <w:noProof/>
                <w:webHidden/>
              </w:rPr>
              <w:fldChar w:fldCharType="separate"/>
            </w:r>
            <w:r w:rsidR="007717F1">
              <w:rPr>
                <w:noProof/>
                <w:webHidden/>
              </w:rPr>
              <w:t>16</w:t>
            </w:r>
            <w:r w:rsidR="007717F1">
              <w:rPr>
                <w:noProof/>
                <w:webHidden/>
              </w:rPr>
              <w:fldChar w:fldCharType="end"/>
            </w:r>
          </w:hyperlink>
        </w:p>
        <w:p w14:paraId="779B25BE" w14:textId="025EF827" w:rsidR="007717F1" w:rsidRDefault="001F76D0">
          <w:pPr>
            <w:pStyle w:val="TOC1"/>
            <w:rPr>
              <w:rFonts w:eastAsiaTheme="minorEastAsia"/>
              <w:lang w:val="en-AU" w:eastAsia="en-AU"/>
            </w:rPr>
          </w:pPr>
          <w:hyperlink w:anchor="_Toc73535944" w:history="1">
            <w:r w:rsidR="007717F1" w:rsidRPr="003029D0">
              <w:rPr>
                <w:rStyle w:val="Hyperlink"/>
              </w:rPr>
              <w:t>Results of the systematic review</w:t>
            </w:r>
            <w:r w:rsidR="007717F1">
              <w:rPr>
                <w:webHidden/>
              </w:rPr>
              <w:tab/>
            </w:r>
            <w:r w:rsidR="007717F1">
              <w:rPr>
                <w:webHidden/>
              </w:rPr>
              <w:fldChar w:fldCharType="begin"/>
            </w:r>
            <w:r w:rsidR="007717F1">
              <w:rPr>
                <w:webHidden/>
              </w:rPr>
              <w:instrText xml:space="preserve"> PAGEREF _Toc73535944 \h </w:instrText>
            </w:r>
            <w:r w:rsidR="007717F1">
              <w:rPr>
                <w:webHidden/>
              </w:rPr>
            </w:r>
            <w:r w:rsidR="007717F1">
              <w:rPr>
                <w:webHidden/>
              </w:rPr>
              <w:fldChar w:fldCharType="separate"/>
            </w:r>
            <w:r w:rsidR="007717F1">
              <w:rPr>
                <w:webHidden/>
              </w:rPr>
              <w:t>17</w:t>
            </w:r>
            <w:r w:rsidR="007717F1">
              <w:rPr>
                <w:webHidden/>
              </w:rPr>
              <w:fldChar w:fldCharType="end"/>
            </w:r>
          </w:hyperlink>
        </w:p>
        <w:p w14:paraId="1603E941" w14:textId="07ADA8D0" w:rsidR="007717F1" w:rsidRDefault="001F76D0">
          <w:pPr>
            <w:pStyle w:val="TOC2"/>
            <w:tabs>
              <w:tab w:val="right" w:leader="dot" w:pos="9350"/>
            </w:tabs>
            <w:rPr>
              <w:rFonts w:eastAsiaTheme="minorEastAsia"/>
              <w:noProof/>
              <w:lang w:val="en-AU" w:eastAsia="en-AU"/>
            </w:rPr>
          </w:pPr>
          <w:hyperlink r:id="rId13" w:anchor="_Toc73535945" w:history="1">
            <w:r w:rsidR="007717F1" w:rsidRPr="003029D0">
              <w:rPr>
                <w:rStyle w:val="Hyperlink"/>
                <w:rFonts w:ascii="Calibri" w:hAnsi="Calibri"/>
                <w:b/>
                <w:bCs/>
                <w:noProof/>
                <w:lang w:val="en"/>
              </w:rPr>
              <w:t>Identification</w:t>
            </w:r>
            <w:r w:rsidR="007717F1">
              <w:rPr>
                <w:noProof/>
                <w:webHidden/>
              </w:rPr>
              <w:tab/>
            </w:r>
            <w:r w:rsidR="007717F1">
              <w:rPr>
                <w:noProof/>
                <w:webHidden/>
              </w:rPr>
              <w:fldChar w:fldCharType="begin"/>
            </w:r>
            <w:r w:rsidR="007717F1">
              <w:rPr>
                <w:noProof/>
                <w:webHidden/>
              </w:rPr>
              <w:instrText xml:space="preserve"> PAGEREF _Toc73535945 \h </w:instrText>
            </w:r>
            <w:r w:rsidR="007717F1">
              <w:rPr>
                <w:noProof/>
                <w:webHidden/>
              </w:rPr>
            </w:r>
            <w:r w:rsidR="007717F1">
              <w:rPr>
                <w:noProof/>
                <w:webHidden/>
              </w:rPr>
              <w:fldChar w:fldCharType="separate"/>
            </w:r>
            <w:r w:rsidR="007717F1">
              <w:rPr>
                <w:noProof/>
                <w:webHidden/>
              </w:rPr>
              <w:t>17</w:t>
            </w:r>
            <w:r w:rsidR="007717F1">
              <w:rPr>
                <w:noProof/>
                <w:webHidden/>
              </w:rPr>
              <w:fldChar w:fldCharType="end"/>
            </w:r>
          </w:hyperlink>
        </w:p>
        <w:p w14:paraId="2F182693" w14:textId="0405F49B" w:rsidR="007717F1" w:rsidRDefault="001F76D0">
          <w:pPr>
            <w:pStyle w:val="TOC2"/>
            <w:tabs>
              <w:tab w:val="right" w:leader="dot" w:pos="9350"/>
            </w:tabs>
            <w:rPr>
              <w:rFonts w:eastAsiaTheme="minorEastAsia"/>
              <w:noProof/>
              <w:lang w:val="en-AU" w:eastAsia="en-AU"/>
            </w:rPr>
          </w:pPr>
          <w:hyperlink r:id="rId14" w:anchor="_Toc73535946" w:history="1">
            <w:r w:rsidR="007717F1" w:rsidRPr="003029D0">
              <w:rPr>
                <w:rStyle w:val="Hyperlink"/>
                <w:rFonts w:ascii="Calibri" w:hAnsi="Calibri"/>
                <w:b/>
                <w:bCs/>
                <w:noProof/>
                <w:lang w:val="en"/>
              </w:rPr>
              <w:t>Eligibility</w:t>
            </w:r>
            <w:r w:rsidR="007717F1">
              <w:rPr>
                <w:noProof/>
                <w:webHidden/>
              </w:rPr>
              <w:tab/>
            </w:r>
            <w:r w:rsidR="007717F1">
              <w:rPr>
                <w:noProof/>
                <w:webHidden/>
              </w:rPr>
              <w:fldChar w:fldCharType="begin"/>
            </w:r>
            <w:r w:rsidR="007717F1">
              <w:rPr>
                <w:noProof/>
                <w:webHidden/>
              </w:rPr>
              <w:instrText xml:space="preserve"> PAGEREF _Toc73535946 \h </w:instrText>
            </w:r>
            <w:r w:rsidR="007717F1">
              <w:rPr>
                <w:noProof/>
                <w:webHidden/>
              </w:rPr>
            </w:r>
            <w:r w:rsidR="007717F1">
              <w:rPr>
                <w:noProof/>
                <w:webHidden/>
              </w:rPr>
              <w:fldChar w:fldCharType="separate"/>
            </w:r>
            <w:r w:rsidR="007717F1">
              <w:rPr>
                <w:noProof/>
                <w:webHidden/>
              </w:rPr>
              <w:t>17</w:t>
            </w:r>
            <w:r w:rsidR="007717F1">
              <w:rPr>
                <w:noProof/>
                <w:webHidden/>
              </w:rPr>
              <w:fldChar w:fldCharType="end"/>
            </w:r>
          </w:hyperlink>
        </w:p>
        <w:p w14:paraId="4C8CA593" w14:textId="286ADE32" w:rsidR="007717F1" w:rsidRDefault="001F76D0">
          <w:pPr>
            <w:pStyle w:val="TOC2"/>
            <w:tabs>
              <w:tab w:val="right" w:leader="dot" w:pos="9350"/>
            </w:tabs>
            <w:rPr>
              <w:rFonts w:eastAsiaTheme="minorEastAsia"/>
              <w:noProof/>
              <w:lang w:val="en-AU" w:eastAsia="en-AU"/>
            </w:rPr>
          </w:pPr>
          <w:hyperlink r:id="rId15" w:anchor="_Toc73535947" w:history="1">
            <w:r w:rsidR="007717F1" w:rsidRPr="003029D0">
              <w:rPr>
                <w:rStyle w:val="Hyperlink"/>
                <w:rFonts w:ascii="Calibri" w:hAnsi="Calibri"/>
                <w:b/>
                <w:bCs/>
                <w:noProof/>
                <w:lang w:val="en"/>
              </w:rPr>
              <w:t>Screening</w:t>
            </w:r>
            <w:r w:rsidR="007717F1">
              <w:rPr>
                <w:noProof/>
                <w:webHidden/>
              </w:rPr>
              <w:tab/>
            </w:r>
            <w:r w:rsidR="007717F1">
              <w:rPr>
                <w:noProof/>
                <w:webHidden/>
              </w:rPr>
              <w:fldChar w:fldCharType="begin"/>
            </w:r>
            <w:r w:rsidR="007717F1">
              <w:rPr>
                <w:noProof/>
                <w:webHidden/>
              </w:rPr>
              <w:instrText xml:space="preserve"> PAGEREF _Toc73535947 \h </w:instrText>
            </w:r>
            <w:r w:rsidR="007717F1">
              <w:rPr>
                <w:noProof/>
                <w:webHidden/>
              </w:rPr>
            </w:r>
            <w:r w:rsidR="007717F1">
              <w:rPr>
                <w:noProof/>
                <w:webHidden/>
              </w:rPr>
              <w:fldChar w:fldCharType="separate"/>
            </w:r>
            <w:r w:rsidR="007717F1">
              <w:rPr>
                <w:noProof/>
                <w:webHidden/>
              </w:rPr>
              <w:t>17</w:t>
            </w:r>
            <w:r w:rsidR="007717F1">
              <w:rPr>
                <w:noProof/>
                <w:webHidden/>
              </w:rPr>
              <w:fldChar w:fldCharType="end"/>
            </w:r>
          </w:hyperlink>
        </w:p>
        <w:p w14:paraId="4AB8DFE1" w14:textId="4D5B542B" w:rsidR="007717F1" w:rsidRDefault="001F76D0">
          <w:pPr>
            <w:pStyle w:val="TOC2"/>
            <w:tabs>
              <w:tab w:val="right" w:leader="dot" w:pos="9350"/>
            </w:tabs>
            <w:rPr>
              <w:rFonts w:eastAsiaTheme="minorEastAsia"/>
              <w:noProof/>
              <w:lang w:val="en-AU" w:eastAsia="en-AU"/>
            </w:rPr>
          </w:pPr>
          <w:hyperlink r:id="rId16" w:anchor="_Toc73535948" w:history="1">
            <w:r w:rsidR="007717F1" w:rsidRPr="003029D0">
              <w:rPr>
                <w:rStyle w:val="Hyperlink"/>
                <w:rFonts w:ascii="Calibri" w:hAnsi="Calibri"/>
                <w:b/>
                <w:bCs/>
                <w:noProof/>
                <w:lang w:val="en"/>
              </w:rPr>
              <w:t>Included</w:t>
            </w:r>
            <w:r w:rsidR="007717F1">
              <w:rPr>
                <w:noProof/>
                <w:webHidden/>
              </w:rPr>
              <w:tab/>
            </w:r>
            <w:r w:rsidR="007717F1">
              <w:rPr>
                <w:noProof/>
                <w:webHidden/>
              </w:rPr>
              <w:fldChar w:fldCharType="begin"/>
            </w:r>
            <w:r w:rsidR="007717F1">
              <w:rPr>
                <w:noProof/>
                <w:webHidden/>
              </w:rPr>
              <w:instrText xml:space="preserve"> PAGEREF _Toc73535948 \h </w:instrText>
            </w:r>
            <w:r w:rsidR="007717F1">
              <w:rPr>
                <w:noProof/>
                <w:webHidden/>
              </w:rPr>
            </w:r>
            <w:r w:rsidR="007717F1">
              <w:rPr>
                <w:noProof/>
                <w:webHidden/>
              </w:rPr>
              <w:fldChar w:fldCharType="separate"/>
            </w:r>
            <w:r w:rsidR="007717F1">
              <w:rPr>
                <w:noProof/>
                <w:webHidden/>
              </w:rPr>
              <w:t>17</w:t>
            </w:r>
            <w:r w:rsidR="007717F1">
              <w:rPr>
                <w:noProof/>
                <w:webHidden/>
              </w:rPr>
              <w:fldChar w:fldCharType="end"/>
            </w:r>
          </w:hyperlink>
        </w:p>
        <w:p w14:paraId="31718EA9" w14:textId="31F41399" w:rsidR="007717F1" w:rsidRDefault="001F76D0">
          <w:pPr>
            <w:pStyle w:val="TOC2"/>
            <w:tabs>
              <w:tab w:val="right" w:leader="dot" w:pos="9350"/>
            </w:tabs>
            <w:rPr>
              <w:rFonts w:eastAsiaTheme="minorEastAsia"/>
              <w:noProof/>
              <w:lang w:val="en-AU" w:eastAsia="en-AU"/>
            </w:rPr>
          </w:pPr>
          <w:hyperlink w:anchor="_Toc73535949" w:history="1">
            <w:r w:rsidR="007717F1" w:rsidRPr="003029D0">
              <w:rPr>
                <w:rStyle w:val="Hyperlink"/>
                <w:noProof/>
              </w:rPr>
              <w:t>Description of included studies and papers</w:t>
            </w:r>
            <w:r w:rsidR="007717F1">
              <w:rPr>
                <w:noProof/>
                <w:webHidden/>
              </w:rPr>
              <w:tab/>
            </w:r>
            <w:r w:rsidR="007717F1">
              <w:rPr>
                <w:noProof/>
                <w:webHidden/>
              </w:rPr>
              <w:fldChar w:fldCharType="begin"/>
            </w:r>
            <w:r w:rsidR="007717F1">
              <w:rPr>
                <w:noProof/>
                <w:webHidden/>
              </w:rPr>
              <w:instrText xml:space="preserve"> PAGEREF _Toc73535949 \h </w:instrText>
            </w:r>
            <w:r w:rsidR="007717F1">
              <w:rPr>
                <w:noProof/>
                <w:webHidden/>
              </w:rPr>
            </w:r>
            <w:r w:rsidR="007717F1">
              <w:rPr>
                <w:noProof/>
                <w:webHidden/>
              </w:rPr>
              <w:fldChar w:fldCharType="separate"/>
            </w:r>
            <w:r w:rsidR="007717F1">
              <w:rPr>
                <w:noProof/>
                <w:webHidden/>
              </w:rPr>
              <w:t>18</w:t>
            </w:r>
            <w:r w:rsidR="007717F1">
              <w:rPr>
                <w:noProof/>
                <w:webHidden/>
              </w:rPr>
              <w:fldChar w:fldCharType="end"/>
            </w:r>
          </w:hyperlink>
        </w:p>
        <w:p w14:paraId="6C7AADA7" w14:textId="480AC27C" w:rsidR="007717F1" w:rsidRDefault="001F76D0">
          <w:pPr>
            <w:pStyle w:val="TOC2"/>
            <w:tabs>
              <w:tab w:val="right" w:leader="dot" w:pos="9350"/>
            </w:tabs>
            <w:rPr>
              <w:rFonts w:eastAsiaTheme="minorEastAsia"/>
              <w:noProof/>
              <w:lang w:val="en-AU" w:eastAsia="en-AU"/>
            </w:rPr>
          </w:pPr>
          <w:hyperlink w:anchor="_Toc73535950" w:history="1">
            <w:r w:rsidR="007717F1" w:rsidRPr="003029D0">
              <w:rPr>
                <w:rStyle w:val="Hyperlink"/>
                <w:noProof/>
              </w:rPr>
              <w:t>Outcomes and effectiveness of interventions</w:t>
            </w:r>
            <w:r w:rsidR="007717F1">
              <w:rPr>
                <w:noProof/>
                <w:webHidden/>
              </w:rPr>
              <w:tab/>
            </w:r>
            <w:r w:rsidR="007717F1">
              <w:rPr>
                <w:noProof/>
                <w:webHidden/>
              </w:rPr>
              <w:fldChar w:fldCharType="begin"/>
            </w:r>
            <w:r w:rsidR="007717F1">
              <w:rPr>
                <w:noProof/>
                <w:webHidden/>
              </w:rPr>
              <w:instrText xml:space="preserve"> PAGEREF _Toc73535950 \h </w:instrText>
            </w:r>
            <w:r w:rsidR="007717F1">
              <w:rPr>
                <w:noProof/>
                <w:webHidden/>
              </w:rPr>
            </w:r>
            <w:r w:rsidR="007717F1">
              <w:rPr>
                <w:noProof/>
                <w:webHidden/>
              </w:rPr>
              <w:fldChar w:fldCharType="separate"/>
            </w:r>
            <w:r w:rsidR="007717F1">
              <w:rPr>
                <w:noProof/>
                <w:webHidden/>
              </w:rPr>
              <w:t>18</w:t>
            </w:r>
            <w:r w:rsidR="007717F1">
              <w:rPr>
                <w:noProof/>
                <w:webHidden/>
              </w:rPr>
              <w:fldChar w:fldCharType="end"/>
            </w:r>
          </w:hyperlink>
        </w:p>
        <w:p w14:paraId="3964CBB7" w14:textId="7FCD9963" w:rsidR="007717F1" w:rsidRDefault="001F76D0">
          <w:pPr>
            <w:pStyle w:val="TOC2"/>
            <w:tabs>
              <w:tab w:val="right" w:leader="dot" w:pos="9350"/>
            </w:tabs>
            <w:rPr>
              <w:rFonts w:eastAsiaTheme="minorEastAsia"/>
              <w:noProof/>
              <w:lang w:val="en-AU" w:eastAsia="en-AU"/>
            </w:rPr>
          </w:pPr>
          <w:hyperlink w:anchor="_Toc73535951" w:history="1">
            <w:r w:rsidR="007717F1" w:rsidRPr="003029D0">
              <w:rPr>
                <w:rStyle w:val="Hyperlink"/>
                <w:noProof/>
              </w:rPr>
              <w:t>Housing transitions and models</w:t>
            </w:r>
            <w:r w:rsidR="007717F1">
              <w:rPr>
                <w:noProof/>
                <w:webHidden/>
              </w:rPr>
              <w:tab/>
            </w:r>
            <w:r w:rsidR="007717F1">
              <w:rPr>
                <w:noProof/>
                <w:webHidden/>
              </w:rPr>
              <w:fldChar w:fldCharType="begin"/>
            </w:r>
            <w:r w:rsidR="007717F1">
              <w:rPr>
                <w:noProof/>
                <w:webHidden/>
              </w:rPr>
              <w:instrText xml:space="preserve"> PAGEREF _Toc73535951 \h </w:instrText>
            </w:r>
            <w:r w:rsidR="007717F1">
              <w:rPr>
                <w:noProof/>
                <w:webHidden/>
              </w:rPr>
            </w:r>
            <w:r w:rsidR="007717F1">
              <w:rPr>
                <w:noProof/>
                <w:webHidden/>
              </w:rPr>
              <w:fldChar w:fldCharType="separate"/>
            </w:r>
            <w:r w:rsidR="007717F1">
              <w:rPr>
                <w:noProof/>
                <w:webHidden/>
              </w:rPr>
              <w:t>19</w:t>
            </w:r>
            <w:r w:rsidR="007717F1">
              <w:rPr>
                <w:noProof/>
                <w:webHidden/>
              </w:rPr>
              <w:fldChar w:fldCharType="end"/>
            </w:r>
          </w:hyperlink>
        </w:p>
        <w:p w14:paraId="6AE8029F" w14:textId="2200B53C" w:rsidR="007717F1" w:rsidRDefault="001F76D0">
          <w:pPr>
            <w:pStyle w:val="TOC3"/>
            <w:tabs>
              <w:tab w:val="right" w:leader="dot" w:pos="9350"/>
            </w:tabs>
            <w:rPr>
              <w:rFonts w:eastAsiaTheme="minorEastAsia"/>
              <w:noProof/>
              <w:lang w:val="en-AU" w:eastAsia="en-AU"/>
            </w:rPr>
          </w:pPr>
          <w:hyperlink w:anchor="_Toc73535952" w:history="1">
            <w:r w:rsidR="007717F1" w:rsidRPr="003029D0">
              <w:rPr>
                <w:rStyle w:val="Hyperlink"/>
                <w:noProof/>
              </w:rPr>
              <w:t>Quality of life</w:t>
            </w:r>
            <w:r w:rsidR="007717F1">
              <w:rPr>
                <w:noProof/>
                <w:webHidden/>
              </w:rPr>
              <w:tab/>
            </w:r>
            <w:r w:rsidR="007717F1">
              <w:rPr>
                <w:noProof/>
                <w:webHidden/>
              </w:rPr>
              <w:fldChar w:fldCharType="begin"/>
            </w:r>
            <w:r w:rsidR="007717F1">
              <w:rPr>
                <w:noProof/>
                <w:webHidden/>
              </w:rPr>
              <w:instrText xml:space="preserve"> PAGEREF _Toc73535952 \h </w:instrText>
            </w:r>
            <w:r w:rsidR="007717F1">
              <w:rPr>
                <w:noProof/>
                <w:webHidden/>
              </w:rPr>
            </w:r>
            <w:r w:rsidR="007717F1">
              <w:rPr>
                <w:noProof/>
                <w:webHidden/>
              </w:rPr>
              <w:fldChar w:fldCharType="separate"/>
            </w:r>
            <w:r w:rsidR="007717F1">
              <w:rPr>
                <w:noProof/>
                <w:webHidden/>
              </w:rPr>
              <w:t>35</w:t>
            </w:r>
            <w:r w:rsidR="007717F1">
              <w:rPr>
                <w:noProof/>
                <w:webHidden/>
              </w:rPr>
              <w:fldChar w:fldCharType="end"/>
            </w:r>
          </w:hyperlink>
        </w:p>
        <w:p w14:paraId="61B9711D" w14:textId="5236C15E" w:rsidR="007717F1" w:rsidRDefault="001F76D0">
          <w:pPr>
            <w:pStyle w:val="TOC3"/>
            <w:tabs>
              <w:tab w:val="right" w:leader="dot" w:pos="9350"/>
            </w:tabs>
            <w:rPr>
              <w:rFonts w:eastAsiaTheme="minorEastAsia"/>
              <w:noProof/>
              <w:lang w:val="en-AU" w:eastAsia="en-AU"/>
            </w:rPr>
          </w:pPr>
          <w:hyperlink w:anchor="_Toc73535953" w:history="1">
            <w:r w:rsidR="007717F1" w:rsidRPr="003029D0">
              <w:rPr>
                <w:rStyle w:val="Hyperlink"/>
                <w:noProof/>
              </w:rPr>
              <w:t>Choice and control</w:t>
            </w:r>
            <w:r w:rsidR="007717F1">
              <w:rPr>
                <w:noProof/>
                <w:webHidden/>
              </w:rPr>
              <w:tab/>
            </w:r>
            <w:r w:rsidR="007717F1">
              <w:rPr>
                <w:noProof/>
                <w:webHidden/>
              </w:rPr>
              <w:fldChar w:fldCharType="begin"/>
            </w:r>
            <w:r w:rsidR="007717F1">
              <w:rPr>
                <w:noProof/>
                <w:webHidden/>
              </w:rPr>
              <w:instrText xml:space="preserve"> PAGEREF _Toc73535953 \h </w:instrText>
            </w:r>
            <w:r w:rsidR="007717F1">
              <w:rPr>
                <w:noProof/>
                <w:webHidden/>
              </w:rPr>
            </w:r>
            <w:r w:rsidR="007717F1">
              <w:rPr>
                <w:noProof/>
                <w:webHidden/>
              </w:rPr>
              <w:fldChar w:fldCharType="separate"/>
            </w:r>
            <w:r w:rsidR="007717F1">
              <w:rPr>
                <w:noProof/>
                <w:webHidden/>
              </w:rPr>
              <w:t>41</w:t>
            </w:r>
            <w:r w:rsidR="007717F1">
              <w:rPr>
                <w:noProof/>
                <w:webHidden/>
              </w:rPr>
              <w:fldChar w:fldCharType="end"/>
            </w:r>
          </w:hyperlink>
        </w:p>
        <w:p w14:paraId="22356058" w14:textId="271C534F" w:rsidR="007717F1" w:rsidRDefault="001F76D0">
          <w:pPr>
            <w:pStyle w:val="TOC3"/>
            <w:tabs>
              <w:tab w:val="right" w:leader="dot" w:pos="9350"/>
            </w:tabs>
            <w:rPr>
              <w:rFonts w:eastAsiaTheme="minorEastAsia"/>
              <w:noProof/>
              <w:lang w:val="en-AU" w:eastAsia="en-AU"/>
            </w:rPr>
          </w:pPr>
          <w:hyperlink w:anchor="_Toc73535954" w:history="1">
            <w:r w:rsidR="007717F1" w:rsidRPr="003029D0">
              <w:rPr>
                <w:rStyle w:val="Hyperlink"/>
                <w:noProof/>
              </w:rPr>
              <w:t>Health and functioning</w:t>
            </w:r>
            <w:r w:rsidR="007717F1">
              <w:rPr>
                <w:noProof/>
                <w:webHidden/>
              </w:rPr>
              <w:tab/>
            </w:r>
            <w:r w:rsidR="007717F1">
              <w:rPr>
                <w:noProof/>
                <w:webHidden/>
              </w:rPr>
              <w:fldChar w:fldCharType="begin"/>
            </w:r>
            <w:r w:rsidR="007717F1">
              <w:rPr>
                <w:noProof/>
                <w:webHidden/>
              </w:rPr>
              <w:instrText xml:space="preserve"> PAGEREF _Toc73535954 \h </w:instrText>
            </w:r>
            <w:r w:rsidR="007717F1">
              <w:rPr>
                <w:noProof/>
                <w:webHidden/>
              </w:rPr>
            </w:r>
            <w:r w:rsidR="007717F1">
              <w:rPr>
                <w:noProof/>
                <w:webHidden/>
              </w:rPr>
              <w:fldChar w:fldCharType="separate"/>
            </w:r>
            <w:r w:rsidR="007717F1">
              <w:rPr>
                <w:noProof/>
                <w:webHidden/>
              </w:rPr>
              <w:t>44</w:t>
            </w:r>
            <w:r w:rsidR="007717F1">
              <w:rPr>
                <w:noProof/>
                <w:webHidden/>
              </w:rPr>
              <w:fldChar w:fldCharType="end"/>
            </w:r>
          </w:hyperlink>
        </w:p>
        <w:p w14:paraId="74BDDEA4" w14:textId="18C52D17" w:rsidR="007717F1" w:rsidRDefault="001F76D0">
          <w:pPr>
            <w:pStyle w:val="TOC3"/>
            <w:tabs>
              <w:tab w:val="right" w:leader="dot" w:pos="9350"/>
            </w:tabs>
            <w:rPr>
              <w:rFonts w:eastAsiaTheme="minorEastAsia"/>
              <w:noProof/>
              <w:lang w:val="en-AU" w:eastAsia="en-AU"/>
            </w:rPr>
          </w:pPr>
          <w:hyperlink w:anchor="_Toc73535955" w:history="1">
            <w:r w:rsidR="007717F1" w:rsidRPr="003029D0">
              <w:rPr>
                <w:rStyle w:val="Hyperlink"/>
                <w:noProof/>
              </w:rPr>
              <w:t>Cost benefit</w:t>
            </w:r>
            <w:r w:rsidR="007717F1">
              <w:rPr>
                <w:noProof/>
                <w:webHidden/>
              </w:rPr>
              <w:tab/>
            </w:r>
            <w:r w:rsidR="007717F1">
              <w:rPr>
                <w:noProof/>
                <w:webHidden/>
              </w:rPr>
              <w:fldChar w:fldCharType="begin"/>
            </w:r>
            <w:r w:rsidR="007717F1">
              <w:rPr>
                <w:noProof/>
                <w:webHidden/>
              </w:rPr>
              <w:instrText xml:space="preserve"> PAGEREF _Toc73535955 \h </w:instrText>
            </w:r>
            <w:r w:rsidR="007717F1">
              <w:rPr>
                <w:noProof/>
                <w:webHidden/>
              </w:rPr>
            </w:r>
            <w:r w:rsidR="007717F1">
              <w:rPr>
                <w:noProof/>
                <w:webHidden/>
              </w:rPr>
              <w:fldChar w:fldCharType="separate"/>
            </w:r>
            <w:r w:rsidR="007717F1">
              <w:rPr>
                <w:noProof/>
                <w:webHidden/>
              </w:rPr>
              <w:t>50</w:t>
            </w:r>
            <w:r w:rsidR="007717F1">
              <w:rPr>
                <w:noProof/>
                <w:webHidden/>
              </w:rPr>
              <w:fldChar w:fldCharType="end"/>
            </w:r>
          </w:hyperlink>
        </w:p>
        <w:p w14:paraId="33132F24" w14:textId="6BAC9213" w:rsidR="007717F1" w:rsidRDefault="001F76D0">
          <w:pPr>
            <w:pStyle w:val="TOC3"/>
            <w:tabs>
              <w:tab w:val="right" w:leader="dot" w:pos="9350"/>
            </w:tabs>
            <w:rPr>
              <w:rFonts w:eastAsiaTheme="minorEastAsia"/>
              <w:noProof/>
              <w:lang w:val="en-AU" w:eastAsia="en-AU"/>
            </w:rPr>
          </w:pPr>
          <w:hyperlink w:anchor="_Toc73535956" w:history="1">
            <w:r w:rsidR="007717F1" w:rsidRPr="003029D0">
              <w:rPr>
                <w:rStyle w:val="Hyperlink"/>
                <w:noProof/>
              </w:rPr>
              <w:t>Social inclusion and participation</w:t>
            </w:r>
            <w:r w:rsidR="007717F1">
              <w:rPr>
                <w:noProof/>
                <w:webHidden/>
              </w:rPr>
              <w:tab/>
            </w:r>
            <w:r w:rsidR="007717F1">
              <w:rPr>
                <w:noProof/>
                <w:webHidden/>
              </w:rPr>
              <w:fldChar w:fldCharType="begin"/>
            </w:r>
            <w:r w:rsidR="007717F1">
              <w:rPr>
                <w:noProof/>
                <w:webHidden/>
              </w:rPr>
              <w:instrText xml:space="preserve"> PAGEREF _Toc73535956 \h </w:instrText>
            </w:r>
            <w:r w:rsidR="007717F1">
              <w:rPr>
                <w:noProof/>
                <w:webHidden/>
              </w:rPr>
            </w:r>
            <w:r w:rsidR="007717F1">
              <w:rPr>
                <w:noProof/>
                <w:webHidden/>
              </w:rPr>
              <w:fldChar w:fldCharType="separate"/>
            </w:r>
            <w:r w:rsidR="007717F1">
              <w:rPr>
                <w:noProof/>
                <w:webHidden/>
              </w:rPr>
              <w:t>53</w:t>
            </w:r>
            <w:r w:rsidR="007717F1">
              <w:rPr>
                <w:noProof/>
                <w:webHidden/>
              </w:rPr>
              <w:fldChar w:fldCharType="end"/>
            </w:r>
          </w:hyperlink>
        </w:p>
        <w:p w14:paraId="020451C5" w14:textId="731F81C0" w:rsidR="007717F1" w:rsidRDefault="001F76D0">
          <w:pPr>
            <w:pStyle w:val="TOC2"/>
            <w:tabs>
              <w:tab w:val="right" w:leader="dot" w:pos="9350"/>
            </w:tabs>
            <w:rPr>
              <w:rFonts w:eastAsiaTheme="minorEastAsia"/>
              <w:noProof/>
              <w:lang w:val="en-AU" w:eastAsia="en-AU"/>
            </w:rPr>
          </w:pPr>
          <w:hyperlink w:anchor="_Toc73535957" w:history="1">
            <w:r w:rsidR="007717F1" w:rsidRPr="003029D0">
              <w:rPr>
                <w:rStyle w:val="Hyperlink"/>
                <w:noProof/>
              </w:rPr>
              <w:t>Validation of measurement</w:t>
            </w:r>
            <w:r w:rsidR="007717F1">
              <w:rPr>
                <w:noProof/>
                <w:webHidden/>
              </w:rPr>
              <w:tab/>
            </w:r>
            <w:r w:rsidR="007717F1">
              <w:rPr>
                <w:noProof/>
                <w:webHidden/>
              </w:rPr>
              <w:fldChar w:fldCharType="begin"/>
            </w:r>
            <w:r w:rsidR="007717F1">
              <w:rPr>
                <w:noProof/>
                <w:webHidden/>
              </w:rPr>
              <w:instrText xml:space="preserve"> PAGEREF _Toc73535957 \h </w:instrText>
            </w:r>
            <w:r w:rsidR="007717F1">
              <w:rPr>
                <w:noProof/>
                <w:webHidden/>
              </w:rPr>
            </w:r>
            <w:r w:rsidR="007717F1">
              <w:rPr>
                <w:noProof/>
                <w:webHidden/>
              </w:rPr>
              <w:fldChar w:fldCharType="separate"/>
            </w:r>
            <w:r w:rsidR="007717F1">
              <w:rPr>
                <w:noProof/>
                <w:webHidden/>
              </w:rPr>
              <w:t>54</w:t>
            </w:r>
            <w:r w:rsidR="007717F1">
              <w:rPr>
                <w:noProof/>
                <w:webHidden/>
              </w:rPr>
              <w:fldChar w:fldCharType="end"/>
            </w:r>
          </w:hyperlink>
        </w:p>
        <w:p w14:paraId="7AC1B64C" w14:textId="1EB2E313" w:rsidR="007717F1" w:rsidRDefault="001F76D0">
          <w:pPr>
            <w:pStyle w:val="TOC2"/>
            <w:tabs>
              <w:tab w:val="right" w:leader="dot" w:pos="9350"/>
            </w:tabs>
            <w:rPr>
              <w:rFonts w:eastAsiaTheme="minorEastAsia"/>
              <w:noProof/>
              <w:lang w:val="en-AU" w:eastAsia="en-AU"/>
            </w:rPr>
          </w:pPr>
          <w:hyperlink w:anchor="_Toc73535958" w:history="1">
            <w:r w:rsidR="007717F1" w:rsidRPr="003029D0">
              <w:rPr>
                <w:rStyle w:val="Hyperlink"/>
                <w:rFonts w:eastAsia="Calibri"/>
                <w:noProof/>
                <w:lang w:val="en-AU"/>
              </w:rPr>
              <w:t>Meta-analysis of quantitative studies</w:t>
            </w:r>
            <w:r w:rsidR="007717F1">
              <w:rPr>
                <w:noProof/>
                <w:webHidden/>
              </w:rPr>
              <w:tab/>
            </w:r>
            <w:r w:rsidR="007717F1">
              <w:rPr>
                <w:noProof/>
                <w:webHidden/>
              </w:rPr>
              <w:fldChar w:fldCharType="begin"/>
            </w:r>
            <w:r w:rsidR="007717F1">
              <w:rPr>
                <w:noProof/>
                <w:webHidden/>
              </w:rPr>
              <w:instrText xml:space="preserve"> PAGEREF _Toc73535958 \h </w:instrText>
            </w:r>
            <w:r w:rsidR="007717F1">
              <w:rPr>
                <w:noProof/>
                <w:webHidden/>
              </w:rPr>
            </w:r>
            <w:r w:rsidR="007717F1">
              <w:rPr>
                <w:noProof/>
                <w:webHidden/>
              </w:rPr>
              <w:fldChar w:fldCharType="separate"/>
            </w:r>
            <w:r w:rsidR="007717F1">
              <w:rPr>
                <w:noProof/>
                <w:webHidden/>
              </w:rPr>
              <w:t>55</w:t>
            </w:r>
            <w:r w:rsidR="007717F1">
              <w:rPr>
                <w:noProof/>
                <w:webHidden/>
              </w:rPr>
              <w:fldChar w:fldCharType="end"/>
            </w:r>
          </w:hyperlink>
        </w:p>
        <w:p w14:paraId="747B899B" w14:textId="69A6AFAD" w:rsidR="007717F1" w:rsidRDefault="001F76D0">
          <w:pPr>
            <w:pStyle w:val="TOC2"/>
            <w:tabs>
              <w:tab w:val="right" w:leader="dot" w:pos="9350"/>
            </w:tabs>
            <w:rPr>
              <w:rFonts w:eastAsiaTheme="minorEastAsia"/>
              <w:noProof/>
              <w:lang w:val="en-AU" w:eastAsia="en-AU"/>
            </w:rPr>
          </w:pPr>
          <w:hyperlink w:anchor="_Toc73535959" w:history="1">
            <w:r w:rsidR="007717F1" w:rsidRPr="003029D0">
              <w:rPr>
                <w:rStyle w:val="Hyperlink"/>
                <w:noProof/>
              </w:rPr>
              <w:t>Interventions that enable transition</w:t>
            </w:r>
            <w:r w:rsidR="007717F1">
              <w:rPr>
                <w:noProof/>
                <w:webHidden/>
              </w:rPr>
              <w:tab/>
            </w:r>
            <w:r w:rsidR="007717F1">
              <w:rPr>
                <w:noProof/>
                <w:webHidden/>
              </w:rPr>
              <w:fldChar w:fldCharType="begin"/>
            </w:r>
            <w:r w:rsidR="007717F1">
              <w:rPr>
                <w:noProof/>
                <w:webHidden/>
              </w:rPr>
              <w:instrText xml:space="preserve"> PAGEREF _Toc73535959 \h </w:instrText>
            </w:r>
            <w:r w:rsidR="007717F1">
              <w:rPr>
                <w:noProof/>
                <w:webHidden/>
              </w:rPr>
            </w:r>
            <w:r w:rsidR="007717F1">
              <w:rPr>
                <w:noProof/>
                <w:webHidden/>
              </w:rPr>
              <w:fldChar w:fldCharType="separate"/>
            </w:r>
            <w:r w:rsidR="007717F1">
              <w:rPr>
                <w:noProof/>
                <w:webHidden/>
              </w:rPr>
              <w:t>56</w:t>
            </w:r>
            <w:r w:rsidR="007717F1">
              <w:rPr>
                <w:noProof/>
                <w:webHidden/>
              </w:rPr>
              <w:fldChar w:fldCharType="end"/>
            </w:r>
          </w:hyperlink>
        </w:p>
        <w:p w14:paraId="425AE3CA" w14:textId="42C881FE" w:rsidR="007717F1" w:rsidRDefault="001F76D0">
          <w:pPr>
            <w:pStyle w:val="TOC3"/>
            <w:tabs>
              <w:tab w:val="right" w:leader="dot" w:pos="9350"/>
            </w:tabs>
            <w:rPr>
              <w:rFonts w:eastAsiaTheme="minorEastAsia"/>
              <w:noProof/>
              <w:lang w:val="en-AU" w:eastAsia="en-AU"/>
            </w:rPr>
          </w:pPr>
          <w:hyperlink w:anchor="_Toc73535960" w:history="1">
            <w:r w:rsidR="007717F1" w:rsidRPr="003029D0">
              <w:rPr>
                <w:rStyle w:val="Hyperlink"/>
                <w:noProof/>
              </w:rPr>
              <w:t>Policy</w:t>
            </w:r>
            <w:r w:rsidR="007717F1">
              <w:rPr>
                <w:noProof/>
                <w:webHidden/>
              </w:rPr>
              <w:tab/>
            </w:r>
            <w:r w:rsidR="007717F1">
              <w:rPr>
                <w:noProof/>
                <w:webHidden/>
              </w:rPr>
              <w:fldChar w:fldCharType="begin"/>
            </w:r>
            <w:r w:rsidR="007717F1">
              <w:rPr>
                <w:noProof/>
                <w:webHidden/>
              </w:rPr>
              <w:instrText xml:space="preserve"> PAGEREF _Toc73535960 \h </w:instrText>
            </w:r>
            <w:r w:rsidR="007717F1">
              <w:rPr>
                <w:noProof/>
                <w:webHidden/>
              </w:rPr>
            </w:r>
            <w:r w:rsidR="007717F1">
              <w:rPr>
                <w:noProof/>
                <w:webHidden/>
              </w:rPr>
              <w:fldChar w:fldCharType="separate"/>
            </w:r>
            <w:r w:rsidR="007717F1">
              <w:rPr>
                <w:noProof/>
                <w:webHidden/>
              </w:rPr>
              <w:t>58</w:t>
            </w:r>
            <w:r w:rsidR="007717F1">
              <w:rPr>
                <w:noProof/>
                <w:webHidden/>
              </w:rPr>
              <w:fldChar w:fldCharType="end"/>
            </w:r>
          </w:hyperlink>
        </w:p>
        <w:p w14:paraId="33E18630" w14:textId="1DEF62E6" w:rsidR="007717F1" w:rsidRDefault="001F76D0">
          <w:pPr>
            <w:pStyle w:val="TOC3"/>
            <w:tabs>
              <w:tab w:val="right" w:leader="dot" w:pos="9350"/>
            </w:tabs>
            <w:rPr>
              <w:rFonts w:eastAsiaTheme="minorEastAsia"/>
              <w:noProof/>
              <w:lang w:val="en-AU" w:eastAsia="en-AU"/>
            </w:rPr>
          </w:pPr>
          <w:hyperlink w:anchor="_Toc73535961" w:history="1">
            <w:r w:rsidR="007717F1" w:rsidRPr="003029D0">
              <w:rPr>
                <w:rStyle w:val="Hyperlink"/>
                <w:noProof/>
              </w:rPr>
              <w:t>Organisational</w:t>
            </w:r>
            <w:r w:rsidR="007717F1">
              <w:rPr>
                <w:noProof/>
                <w:webHidden/>
              </w:rPr>
              <w:tab/>
            </w:r>
            <w:r w:rsidR="007717F1">
              <w:rPr>
                <w:noProof/>
                <w:webHidden/>
              </w:rPr>
              <w:fldChar w:fldCharType="begin"/>
            </w:r>
            <w:r w:rsidR="007717F1">
              <w:rPr>
                <w:noProof/>
                <w:webHidden/>
              </w:rPr>
              <w:instrText xml:space="preserve"> PAGEREF _Toc73535961 \h </w:instrText>
            </w:r>
            <w:r w:rsidR="007717F1">
              <w:rPr>
                <w:noProof/>
                <w:webHidden/>
              </w:rPr>
            </w:r>
            <w:r w:rsidR="007717F1">
              <w:rPr>
                <w:noProof/>
                <w:webHidden/>
              </w:rPr>
              <w:fldChar w:fldCharType="separate"/>
            </w:r>
            <w:r w:rsidR="007717F1">
              <w:rPr>
                <w:noProof/>
                <w:webHidden/>
              </w:rPr>
              <w:t>67</w:t>
            </w:r>
            <w:r w:rsidR="007717F1">
              <w:rPr>
                <w:noProof/>
                <w:webHidden/>
              </w:rPr>
              <w:fldChar w:fldCharType="end"/>
            </w:r>
          </w:hyperlink>
        </w:p>
        <w:p w14:paraId="6DE5B60D" w14:textId="58A5A349" w:rsidR="007717F1" w:rsidRDefault="001F76D0">
          <w:pPr>
            <w:pStyle w:val="TOC3"/>
            <w:tabs>
              <w:tab w:val="right" w:leader="dot" w:pos="9350"/>
            </w:tabs>
            <w:rPr>
              <w:rFonts w:eastAsiaTheme="minorEastAsia"/>
              <w:noProof/>
              <w:lang w:val="en-AU" w:eastAsia="en-AU"/>
            </w:rPr>
          </w:pPr>
          <w:hyperlink w:anchor="_Toc73535962" w:history="1">
            <w:r w:rsidR="007717F1" w:rsidRPr="003029D0">
              <w:rPr>
                <w:rStyle w:val="Hyperlink"/>
                <w:noProof/>
              </w:rPr>
              <w:t>Community and environment</w:t>
            </w:r>
            <w:r w:rsidR="007717F1">
              <w:rPr>
                <w:noProof/>
                <w:webHidden/>
              </w:rPr>
              <w:tab/>
            </w:r>
            <w:r w:rsidR="007717F1">
              <w:rPr>
                <w:noProof/>
                <w:webHidden/>
              </w:rPr>
              <w:fldChar w:fldCharType="begin"/>
            </w:r>
            <w:r w:rsidR="007717F1">
              <w:rPr>
                <w:noProof/>
                <w:webHidden/>
              </w:rPr>
              <w:instrText xml:space="preserve"> PAGEREF _Toc73535962 \h </w:instrText>
            </w:r>
            <w:r w:rsidR="007717F1">
              <w:rPr>
                <w:noProof/>
                <w:webHidden/>
              </w:rPr>
            </w:r>
            <w:r w:rsidR="007717F1">
              <w:rPr>
                <w:noProof/>
                <w:webHidden/>
              </w:rPr>
              <w:fldChar w:fldCharType="separate"/>
            </w:r>
            <w:r w:rsidR="007717F1">
              <w:rPr>
                <w:noProof/>
                <w:webHidden/>
              </w:rPr>
              <w:t>82</w:t>
            </w:r>
            <w:r w:rsidR="007717F1">
              <w:rPr>
                <w:noProof/>
                <w:webHidden/>
              </w:rPr>
              <w:fldChar w:fldCharType="end"/>
            </w:r>
          </w:hyperlink>
        </w:p>
        <w:p w14:paraId="20861007" w14:textId="18B4F2AF" w:rsidR="007717F1" w:rsidRDefault="001F76D0">
          <w:pPr>
            <w:pStyle w:val="TOC3"/>
            <w:tabs>
              <w:tab w:val="right" w:leader="dot" w:pos="9350"/>
            </w:tabs>
            <w:rPr>
              <w:rFonts w:eastAsiaTheme="minorEastAsia"/>
              <w:noProof/>
              <w:lang w:val="en-AU" w:eastAsia="en-AU"/>
            </w:rPr>
          </w:pPr>
          <w:hyperlink w:anchor="_Toc73535963" w:history="1">
            <w:r w:rsidR="007717F1" w:rsidRPr="003029D0">
              <w:rPr>
                <w:rStyle w:val="Hyperlink"/>
                <w:noProof/>
              </w:rPr>
              <w:t>Interpersonal</w:t>
            </w:r>
            <w:r w:rsidR="007717F1">
              <w:rPr>
                <w:noProof/>
                <w:webHidden/>
              </w:rPr>
              <w:tab/>
            </w:r>
            <w:r w:rsidR="007717F1">
              <w:rPr>
                <w:noProof/>
                <w:webHidden/>
              </w:rPr>
              <w:fldChar w:fldCharType="begin"/>
            </w:r>
            <w:r w:rsidR="007717F1">
              <w:rPr>
                <w:noProof/>
                <w:webHidden/>
              </w:rPr>
              <w:instrText xml:space="preserve"> PAGEREF _Toc73535963 \h </w:instrText>
            </w:r>
            <w:r w:rsidR="007717F1">
              <w:rPr>
                <w:noProof/>
                <w:webHidden/>
              </w:rPr>
            </w:r>
            <w:r w:rsidR="007717F1">
              <w:rPr>
                <w:noProof/>
                <w:webHidden/>
              </w:rPr>
              <w:fldChar w:fldCharType="separate"/>
            </w:r>
            <w:r w:rsidR="007717F1">
              <w:rPr>
                <w:noProof/>
                <w:webHidden/>
              </w:rPr>
              <w:t>93</w:t>
            </w:r>
            <w:r w:rsidR="007717F1">
              <w:rPr>
                <w:noProof/>
                <w:webHidden/>
              </w:rPr>
              <w:fldChar w:fldCharType="end"/>
            </w:r>
          </w:hyperlink>
        </w:p>
        <w:p w14:paraId="5221A765" w14:textId="37B1188E" w:rsidR="007717F1" w:rsidRDefault="001F76D0">
          <w:pPr>
            <w:pStyle w:val="TOC3"/>
            <w:tabs>
              <w:tab w:val="right" w:leader="dot" w:pos="9350"/>
            </w:tabs>
            <w:rPr>
              <w:rFonts w:eastAsiaTheme="minorEastAsia"/>
              <w:noProof/>
              <w:lang w:val="en-AU" w:eastAsia="en-AU"/>
            </w:rPr>
          </w:pPr>
          <w:hyperlink w:anchor="_Toc73535964" w:history="1">
            <w:r w:rsidR="007717F1" w:rsidRPr="003029D0">
              <w:rPr>
                <w:rStyle w:val="Hyperlink"/>
                <w:noProof/>
              </w:rPr>
              <w:t>Individual</w:t>
            </w:r>
            <w:r w:rsidR="007717F1">
              <w:rPr>
                <w:noProof/>
                <w:webHidden/>
              </w:rPr>
              <w:tab/>
            </w:r>
            <w:r w:rsidR="007717F1">
              <w:rPr>
                <w:noProof/>
                <w:webHidden/>
              </w:rPr>
              <w:fldChar w:fldCharType="begin"/>
            </w:r>
            <w:r w:rsidR="007717F1">
              <w:rPr>
                <w:noProof/>
                <w:webHidden/>
              </w:rPr>
              <w:instrText xml:space="preserve"> PAGEREF _Toc73535964 \h </w:instrText>
            </w:r>
            <w:r w:rsidR="007717F1">
              <w:rPr>
                <w:noProof/>
                <w:webHidden/>
              </w:rPr>
            </w:r>
            <w:r w:rsidR="007717F1">
              <w:rPr>
                <w:noProof/>
                <w:webHidden/>
              </w:rPr>
              <w:fldChar w:fldCharType="separate"/>
            </w:r>
            <w:r w:rsidR="007717F1">
              <w:rPr>
                <w:noProof/>
                <w:webHidden/>
              </w:rPr>
              <w:t>93</w:t>
            </w:r>
            <w:r w:rsidR="007717F1">
              <w:rPr>
                <w:noProof/>
                <w:webHidden/>
              </w:rPr>
              <w:fldChar w:fldCharType="end"/>
            </w:r>
          </w:hyperlink>
        </w:p>
        <w:p w14:paraId="701FB923" w14:textId="47E0D4E3" w:rsidR="007717F1" w:rsidRDefault="001F76D0">
          <w:pPr>
            <w:pStyle w:val="TOC2"/>
            <w:tabs>
              <w:tab w:val="right" w:leader="dot" w:pos="9350"/>
            </w:tabs>
            <w:rPr>
              <w:rFonts w:eastAsiaTheme="minorEastAsia"/>
              <w:noProof/>
              <w:lang w:val="en-AU" w:eastAsia="en-AU"/>
            </w:rPr>
          </w:pPr>
          <w:hyperlink w:anchor="_Toc73535965" w:history="1">
            <w:r w:rsidR="007717F1" w:rsidRPr="003029D0">
              <w:rPr>
                <w:rStyle w:val="Hyperlink"/>
                <w:noProof/>
              </w:rPr>
              <w:t>Factors that do not support transition</w:t>
            </w:r>
            <w:r w:rsidR="007717F1">
              <w:rPr>
                <w:noProof/>
                <w:webHidden/>
              </w:rPr>
              <w:tab/>
            </w:r>
            <w:r w:rsidR="007717F1">
              <w:rPr>
                <w:noProof/>
                <w:webHidden/>
              </w:rPr>
              <w:fldChar w:fldCharType="begin"/>
            </w:r>
            <w:r w:rsidR="007717F1">
              <w:rPr>
                <w:noProof/>
                <w:webHidden/>
              </w:rPr>
              <w:instrText xml:space="preserve"> PAGEREF _Toc73535965 \h </w:instrText>
            </w:r>
            <w:r w:rsidR="007717F1">
              <w:rPr>
                <w:noProof/>
                <w:webHidden/>
              </w:rPr>
            </w:r>
            <w:r w:rsidR="007717F1">
              <w:rPr>
                <w:noProof/>
                <w:webHidden/>
              </w:rPr>
              <w:fldChar w:fldCharType="separate"/>
            </w:r>
            <w:r w:rsidR="007717F1">
              <w:rPr>
                <w:noProof/>
                <w:webHidden/>
              </w:rPr>
              <w:t>100</w:t>
            </w:r>
            <w:r w:rsidR="007717F1">
              <w:rPr>
                <w:noProof/>
                <w:webHidden/>
              </w:rPr>
              <w:fldChar w:fldCharType="end"/>
            </w:r>
          </w:hyperlink>
        </w:p>
        <w:p w14:paraId="0C0E5FB1" w14:textId="7434513A" w:rsidR="007717F1" w:rsidRDefault="001F76D0">
          <w:pPr>
            <w:pStyle w:val="TOC3"/>
            <w:tabs>
              <w:tab w:val="right" w:leader="dot" w:pos="9350"/>
            </w:tabs>
            <w:rPr>
              <w:rFonts w:eastAsiaTheme="minorEastAsia"/>
              <w:noProof/>
              <w:lang w:val="en-AU" w:eastAsia="en-AU"/>
            </w:rPr>
          </w:pPr>
          <w:hyperlink w:anchor="_Toc73535966" w:history="1">
            <w:r w:rsidR="007717F1" w:rsidRPr="003029D0">
              <w:rPr>
                <w:rStyle w:val="Hyperlink"/>
                <w:noProof/>
              </w:rPr>
              <w:t>Policy</w:t>
            </w:r>
            <w:r w:rsidR="007717F1">
              <w:rPr>
                <w:noProof/>
                <w:webHidden/>
              </w:rPr>
              <w:tab/>
            </w:r>
            <w:r w:rsidR="007717F1">
              <w:rPr>
                <w:noProof/>
                <w:webHidden/>
              </w:rPr>
              <w:fldChar w:fldCharType="begin"/>
            </w:r>
            <w:r w:rsidR="007717F1">
              <w:rPr>
                <w:noProof/>
                <w:webHidden/>
              </w:rPr>
              <w:instrText xml:space="preserve"> PAGEREF _Toc73535966 \h </w:instrText>
            </w:r>
            <w:r w:rsidR="007717F1">
              <w:rPr>
                <w:noProof/>
                <w:webHidden/>
              </w:rPr>
            </w:r>
            <w:r w:rsidR="007717F1">
              <w:rPr>
                <w:noProof/>
                <w:webHidden/>
              </w:rPr>
              <w:fldChar w:fldCharType="separate"/>
            </w:r>
            <w:r w:rsidR="007717F1">
              <w:rPr>
                <w:noProof/>
                <w:webHidden/>
              </w:rPr>
              <w:t>100</w:t>
            </w:r>
            <w:r w:rsidR="007717F1">
              <w:rPr>
                <w:noProof/>
                <w:webHidden/>
              </w:rPr>
              <w:fldChar w:fldCharType="end"/>
            </w:r>
          </w:hyperlink>
        </w:p>
        <w:p w14:paraId="1E79B30A" w14:textId="60AB0337" w:rsidR="007717F1" w:rsidRDefault="001F76D0">
          <w:pPr>
            <w:pStyle w:val="TOC3"/>
            <w:tabs>
              <w:tab w:val="right" w:leader="dot" w:pos="9350"/>
            </w:tabs>
            <w:rPr>
              <w:rFonts w:eastAsiaTheme="minorEastAsia"/>
              <w:noProof/>
              <w:lang w:val="en-AU" w:eastAsia="en-AU"/>
            </w:rPr>
          </w:pPr>
          <w:hyperlink w:anchor="_Toc73535967" w:history="1">
            <w:r w:rsidR="007717F1" w:rsidRPr="003029D0">
              <w:rPr>
                <w:rStyle w:val="Hyperlink"/>
                <w:noProof/>
              </w:rPr>
              <w:t>Organisational</w:t>
            </w:r>
            <w:r w:rsidR="007717F1">
              <w:rPr>
                <w:noProof/>
                <w:webHidden/>
              </w:rPr>
              <w:tab/>
            </w:r>
            <w:r w:rsidR="007717F1">
              <w:rPr>
                <w:noProof/>
                <w:webHidden/>
              </w:rPr>
              <w:fldChar w:fldCharType="begin"/>
            </w:r>
            <w:r w:rsidR="007717F1">
              <w:rPr>
                <w:noProof/>
                <w:webHidden/>
              </w:rPr>
              <w:instrText xml:space="preserve"> PAGEREF _Toc73535967 \h </w:instrText>
            </w:r>
            <w:r w:rsidR="007717F1">
              <w:rPr>
                <w:noProof/>
                <w:webHidden/>
              </w:rPr>
            </w:r>
            <w:r w:rsidR="007717F1">
              <w:rPr>
                <w:noProof/>
                <w:webHidden/>
              </w:rPr>
              <w:fldChar w:fldCharType="separate"/>
            </w:r>
            <w:r w:rsidR="007717F1">
              <w:rPr>
                <w:noProof/>
                <w:webHidden/>
              </w:rPr>
              <w:t>100</w:t>
            </w:r>
            <w:r w:rsidR="007717F1">
              <w:rPr>
                <w:noProof/>
                <w:webHidden/>
              </w:rPr>
              <w:fldChar w:fldCharType="end"/>
            </w:r>
          </w:hyperlink>
        </w:p>
        <w:p w14:paraId="3DD640C7" w14:textId="59892F4C" w:rsidR="007717F1" w:rsidRDefault="001F76D0">
          <w:pPr>
            <w:pStyle w:val="TOC3"/>
            <w:tabs>
              <w:tab w:val="right" w:leader="dot" w:pos="9350"/>
            </w:tabs>
            <w:rPr>
              <w:rFonts w:eastAsiaTheme="minorEastAsia"/>
              <w:noProof/>
              <w:lang w:val="en-AU" w:eastAsia="en-AU"/>
            </w:rPr>
          </w:pPr>
          <w:hyperlink w:anchor="_Toc73535968" w:history="1">
            <w:r w:rsidR="007717F1" w:rsidRPr="003029D0">
              <w:rPr>
                <w:rStyle w:val="Hyperlink"/>
                <w:noProof/>
              </w:rPr>
              <w:t>Community and environment</w:t>
            </w:r>
            <w:r w:rsidR="007717F1">
              <w:rPr>
                <w:noProof/>
                <w:webHidden/>
              </w:rPr>
              <w:tab/>
            </w:r>
            <w:r w:rsidR="007717F1">
              <w:rPr>
                <w:noProof/>
                <w:webHidden/>
              </w:rPr>
              <w:fldChar w:fldCharType="begin"/>
            </w:r>
            <w:r w:rsidR="007717F1">
              <w:rPr>
                <w:noProof/>
                <w:webHidden/>
              </w:rPr>
              <w:instrText xml:space="preserve"> PAGEREF _Toc73535968 \h </w:instrText>
            </w:r>
            <w:r w:rsidR="007717F1">
              <w:rPr>
                <w:noProof/>
                <w:webHidden/>
              </w:rPr>
            </w:r>
            <w:r w:rsidR="007717F1">
              <w:rPr>
                <w:noProof/>
                <w:webHidden/>
              </w:rPr>
              <w:fldChar w:fldCharType="separate"/>
            </w:r>
            <w:r w:rsidR="007717F1">
              <w:rPr>
                <w:noProof/>
                <w:webHidden/>
              </w:rPr>
              <w:t>100</w:t>
            </w:r>
            <w:r w:rsidR="007717F1">
              <w:rPr>
                <w:noProof/>
                <w:webHidden/>
              </w:rPr>
              <w:fldChar w:fldCharType="end"/>
            </w:r>
          </w:hyperlink>
        </w:p>
        <w:p w14:paraId="5F7FEA55" w14:textId="379D3644" w:rsidR="007717F1" w:rsidRDefault="001F76D0">
          <w:pPr>
            <w:pStyle w:val="TOC3"/>
            <w:tabs>
              <w:tab w:val="right" w:leader="dot" w:pos="9350"/>
            </w:tabs>
            <w:rPr>
              <w:rFonts w:eastAsiaTheme="minorEastAsia"/>
              <w:noProof/>
              <w:lang w:val="en-AU" w:eastAsia="en-AU"/>
            </w:rPr>
          </w:pPr>
          <w:hyperlink w:anchor="_Toc73535969" w:history="1">
            <w:r w:rsidR="007717F1" w:rsidRPr="003029D0">
              <w:rPr>
                <w:rStyle w:val="Hyperlink"/>
                <w:noProof/>
              </w:rPr>
              <w:t>Interpersonal</w:t>
            </w:r>
            <w:r w:rsidR="007717F1">
              <w:rPr>
                <w:noProof/>
                <w:webHidden/>
              </w:rPr>
              <w:tab/>
            </w:r>
            <w:r w:rsidR="007717F1">
              <w:rPr>
                <w:noProof/>
                <w:webHidden/>
              </w:rPr>
              <w:fldChar w:fldCharType="begin"/>
            </w:r>
            <w:r w:rsidR="007717F1">
              <w:rPr>
                <w:noProof/>
                <w:webHidden/>
              </w:rPr>
              <w:instrText xml:space="preserve"> PAGEREF _Toc73535969 \h </w:instrText>
            </w:r>
            <w:r w:rsidR="007717F1">
              <w:rPr>
                <w:noProof/>
                <w:webHidden/>
              </w:rPr>
            </w:r>
            <w:r w:rsidR="007717F1">
              <w:rPr>
                <w:noProof/>
                <w:webHidden/>
              </w:rPr>
              <w:fldChar w:fldCharType="separate"/>
            </w:r>
            <w:r w:rsidR="007717F1">
              <w:rPr>
                <w:noProof/>
                <w:webHidden/>
              </w:rPr>
              <w:t>101</w:t>
            </w:r>
            <w:r w:rsidR="007717F1">
              <w:rPr>
                <w:noProof/>
                <w:webHidden/>
              </w:rPr>
              <w:fldChar w:fldCharType="end"/>
            </w:r>
          </w:hyperlink>
        </w:p>
        <w:p w14:paraId="494DA921" w14:textId="137E1E4B" w:rsidR="007717F1" w:rsidRDefault="001F76D0">
          <w:pPr>
            <w:pStyle w:val="TOC3"/>
            <w:tabs>
              <w:tab w:val="right" w:leader="dot" w:pos="9350"/>
            </w:tabs>
            <w:rPr>
              <w:rFonts w:eastAsiaTheme="minorEastAsia"/>
              <w:noProof/>
              <w:lang w:val="en-AU" w:eastAsia="en-AU"/>
            </w:rPr>
          </w:pPr>
          <w:hyperlink w:anchor="_Toc73535970" w:history="1">
            <w:r w:rsidR="007717F1" w:rsidRPr="003029D0">
              <w:rPr>
                <w:rStyle w:val="Hyperlink"/>
                <w:noProof/>
              </w:rPr>
              <w:t>Individual</w:t>
            </w:r>
            <w:r w:rsidR="007717F1">
              <w:rPr>
                <w:noProof/>
                <w:webHidden/>
              </w:rPr>
              <w:tab/>
            </w:r>
            <w:r w:rsidR="007717F1">
              <w:rPr>
                <w:noProof/>
                <w:webHidden/>
              </w:rPr>
              <w:fldChar w:fldCharType="begin"/>
            </w:r>
            <w:r w:rsidR="007717F1">
              <w:rPr>
                <w:noProof/>
                <w:webHidden/>
              </w:rPr>
              <w:instrText xml:space="preserve"> PAGEREF _Toc73535970 \h </w:instrText>
            </w:r>
            <w:r w:rsidR="007717F1">
              <w:rPr>
                <w:noProof/>
                <w:webHidden/>
              </w:rPr>
            </w:r>
            <w:r w:rsidR="007717F1">
              <w:rPr>
                <w:noProof/>
                <w:webHidden/>
              </w:rPr>
              <w:fldChar w:fldCharType="separate"/>
            </w:r>
            <w:r w:rsidR="007717F1">
              <w:rPr>
                <w:noProof/>
                <w:webHidden/>
              </w:rPr>
              <w:t>101</w:t>
            </w:r>
            <w:r w:rsidR="007717F1">
              <w:rPr>
                <w:noProof/>
                <w:webHidden/>
              </w:rPr>
              <w:fldChar w:fldCharType="end"/>
            </w:r>
          </w:hyperlink>
        </w:p>
        <w:p w14:paraId="435E2031" w14:textId="7FCEDA9D" w:rsidR="007717F1" w:rsidRDefault="001F76D0">
          <w:pPr>
            <w:pStyle w:val="TOC1"/>
            <w:rPr>
              <w:rFonts w:eastAsiaTheme="minorEastAsia"/>
              <w:lang w:val="en-AU" w:eastAsia="en-AU"/>
            </w:rPr>
          </w:pPr>
          <w:hyperlink w:anchor="_Toc73535971" w:history="1">
            <w:r w:rsidR="007717F1" w:rsidRPr="003029D0">
              <w:rPr>
                <w:rStyle w:val="Hyperlink"/>
              </w:rPr>
              <w:t>Environmental scan</w:t>
            </w:r>
            <w:r w:rsidR="007717F1">
              <w:rPr>
                <w:webHidden/>
              </w:rPr>
              <w:tab/>
            </w:r>
            <w:r w:rsidR="007717F1">
              <w:rPr>
                <w:webHidden/>
              </w:rPr>
              <w:fldChar w:fldCharType="begin"/>
            </w:r>
            <w:r w:rsidR="007717F1">
              <w:rPr>
                <w:webHidden/>
              </w:rPr>
              <w:instrText xml:space="preserve"> PAGEREF _Toc73535971 \h </w:instrText>
            </w:r>
            <w:r w:rsidR="007717F1">
              <w:rPr>
                <w:webHidden/>
              </w:rPr>
            </w:r>
            <w:r w:rsidR="007717F1">
              <w:rPr>
                <w:webHidden/>
              </w:rPr>
              <w:fldChar w:fldCharType="separate"/>
            </w:r>
            <w:r w:rsidR="007717F1">
              <w:rPr>
                <w:webHidden/>
              </w:rPr>
              <w:t>102</w:t>
            </w:r>
            <w:r w:rsidR="007717F1">
              <w:rPr>
                <w:webHidden/>
              </w:rPr>
              <w:fldChar w:fldCharType="end"/>
            </w:r>
          </w:hyperlink>
        </w:p>
        <w:p w14:paraId="0D05E367" w14:textId="589B1FBA" w:rsidR="007717F1" w:rsidRDefault="001F76D0">
          <w:pPr>
            <w:pStyle w:val="TOC2"/>
            <w:tabs>
              <w:tab w:val="right" w:leader="dot" w:pos="9350"/>
            </w:tabs>
            <w:rPr>
              <w:rFonts w:eastAsiaTheme="minorEastAsia"/>
              <w:noProof/>
              <w:lang w:val="en-AU" w:eastAsia="en-AU"/>
            </w:rPr>
          </w:pPr>
          <w:hyperlink w:anchor="_Toc73535972" w:history="1">
            <w:r w:rsidR="007717F1" w:rsidRPr="003029D0">
              <w:rPr>
                <w:rStyle w:val="Hyperlink"/>
                <w:noProof/>
              </w:rPr>
              <w:t>Descriptive summary of information sources</w:t>
            </w:r>
            <w:r w:rsidR="007717F1">
              <w:rPr>
                <w:noProof/>
                <w:webHidden/>
              </w:rPr>
              <w:tab/>
            </w:r>
            <w:r w:rsidR="007717F1">
              <w:rPr>
                <w:noProof/>
                <w:webHidden/>
              </w:rPr>
              <w:fldChar w:fldCharType="begin"/>
            </w:r>
            <w:r w:rsidR="007717F1">
              <w:rPr>
                <w:noProof/>
                <w:webHidden/>
              </w:rPr>
              <w:instrText xml:space="preserve"> PAGEREF _Toc73535972 \h </w:instrText>
            </w:r>
            <w:r w:rsidR="007717F1">
              <w:rPr>
                <w:noProof/>
                <w:webHidden/>
              </w:rPr>
            </w:r>
            <w:r w:rsidR="007717F1">
              <w:rPr>
                <w:noProof/>
                <w:webHidden/>
              </w:rPr>
              <w:fldChar w:fldCharType="separate"/>
            </w:r>
            <w:r w:rsidR="007717F1">
              <w:rPr>
                <w:noProof/>
                <w:webHidden/>
              </w:rPr>
              <w:t>103</w:t>
            </w:r>
            <w:r w:rsidR="007717F1">
              <w:rPr>
                <w:noProof/>
                <w:webHidden/>
              </w:rPr>
              <w:fldChar w:fldCharType="end"/>
            </w:r>
          </w:hyperlink>
        </w:p>
        <w:p w14:paraId="35F1939A" w14:textId="26068BF8" w:rsidR="007717F1" w:rsidRDefault="001F76D0">
          <w:pPr>
            <w:pStyle w:val="TOC2"/>
            <w:tabs>
              <w:tab w:val="right" w:leader="dot" w:pos="9350"/>
            </w:tabs>
            <w:rPr>
              <w:rFonts w:eastAsiaTheme="minorEastAsia"/>
              <w:noProof/>
              <w:lang w:val="en-AU" w:eastAsia="en-AU"/>
            </w:rPr>
          </w:pPr>
          <w:hyperlink w:anchor="_Toc73535973" w:history="1">
            <w:r w:rsidR="007717F1" w:rsidRPr="003029D0">
              <w:rPr>
                <w:rStyle w:val="Hyperlink"/>
                <w:noProof/>
              </w:rPr>
              <w:t>Type of housing model and supports:</w:t>
            </w:r>
            <w:r w:rsidR="007717F1">
              <w:rPr>
                <w:noProof/>
                <w:webHidden/>
              </w:rPr>
              <w:tab/>
            </w:r>
            <w:r w:rsidR="007717F1">
              <w:rPr>
                <w:noProof/>
                <w:webHidden/>
              </w:rPr>
              <w:fldChar w:fldCharType="begin"/>
            </w:r>
            <w:r w:rsidR="007717F1">
              <w:rPr>
                <w:noProof/>
                <w:webHidden/>
              </w:rPr>
              <w:instrText xml:space="preserve"> PAGEREF _Toc73535973 \h </w:instrText>
            </w:r>
            <w:r w:rsidR="007717F1">
              <w:rPr>
                <w:noProof/>
                <w:webHidden/>
              </w:rPr>
            </w:r>
            <w:r w:rsidR="007717F1">
              <w:rPr>
                <w:noProof/>
                <w:webHidden/>
              </w:rPr>
              <w:fldChar w:fldCharType="separate"/>
            </w:r>
            <w:r w:rsidR="007717F1">
              <w:rPr>
                <w:noProof/>
                <w:webHidden/>
              </w:rPr>
              <w:t>120</w:t>
            </w:r>
            <w:r w:rsidR="007717F1">
              <w:rPr>
                <w:noProof/>
                <w:webHidden/>
              </w:rPr>
              <w:fldChar w:fldCharType="end"/>
            </w:r>
          </w:hyperlink>
        </w:p>
        <w:p w14:paraId="0FB842BB" w14:textId="79267102" w:rsidR="007717F1" w:rsidRDefault="001F76D0">
          <w:pPr>
            <w:pStyle w:val="TOC2"/>
            <w:tabs>
              <w:tab w:val="right" w:leader="dot" w:pos="9350"/>
            </w:tabs>
            <w:rPr>
              <w:rFonts w:eastAsiaTheme="minorEastAsia"/>
              <w:noProof/>
              <w:lang w:val="en-AU" w:eastAsia="en-AU"/>
            </w:rPr>
          </w:pPr>
          <w:hyperlink w:anchor="_Toc73535974" w:history="1">
            <w:r w:rsidR="007717F1" w:rsidRPr="003029D0">
              <w:rPr>
                <w:rStyle w:val="Hyperlink"/>
                <w:rFonts w:eastAsia="Times New Roman"/>
                <w:noProof/>
                <w:lang w:val="en-AU"/>
              </w:rPr>
              <w:t>Enablers to transition to independent living:</w:t>
            </w:r>
            <w:r w:rsidR="007717F1">
              <w:rPr>
                <w:noProof/>
                <w:webHidden/>
              </w:rPr>
              <w:tab/>
            </w:r>
            <w:r w:rsidR="007717F1">
              <w:rPr>
                <w:noProof/>
                <w:webHidden/>
              </w:rPr>
              <w:fldChar w:fldCharType="begin"/>
            </w:r>
            <w:r w:rsidR="007717F1">
              <w:rPr>
                <w:noProof/>
                <w:webHidden/>
              </w:rPr>
              <w:instrText xml:space="preserve"> PAGEREF _Toc73535974 \h </w:instrText>
            </w:r>
            <w:r w:rsidR="007717F1">
              <w:rPr>
                <w:noProof/>
                <w:webHidden/>
              </w:rPr>
            </w:r>
            <w:r w:rsidR="007717F1">
              <w:rPr>
                <w:noProof/>
                <w:webHidden/>
              </w:rPr>
              <w:fldChar w:fldCharType="separate"/>
            </w:r>
            <w:r w:rsidR="007717F1">
              <w:rPr>
                <w:noProof/>
                <w:webHidden/>
              </w:rPr>
              <w:t>120</w:t>
            </w:r>
            <w:r w:rsidR="007717F1">
              <w:rPr>
                <w:noProof/>
                <w:webHidden/>
              </w:rPr>
              <w:fldChar w:fldCharType="end"/>
            </w:r>
          </w:hyperlink>
        </w:p>
        <w:p w14:paraId="2AE4B3DC" w14:textId="5F243C91" w:rsidR="007717F1" w:rsidRDefault="001F76D0">
          <w:pPr>
            <w:pStyle w:val="TOC2"/>
            <w:tabs>
              <w:tab w:val="right" w:leader="dot" w:pos="9350"/>
            </w:tabs>
            <w:rPr>
              <w:rFonts w:eastAsiaTheme="minorEastAsia"/>
              <w:noProof/>
              <w:lang w:val="en-AU" w:eastAsia="en-AU"/>
            </w:rPr>
          </w:pPr>
          <w:hyperlink w:anchor="_Toc73535975" w:history="1">
            <w:r w:rsidR="007717F1" w:rsidRPr="003029D0">
              <w:rPr>
                <w:rStyle w:val="Hyperlink"/>
                <w:noProof/>
              </w:rPr>
              <w:t>Outcomes:</w:t>
            </w:r>
            <w:r w:rsidR="007717F1">
              <w:rPr>
                <w:noProof/>
                <w:webHidden/>
              </w:rPr>
              <w:tab/>
            </w:r>
            <w:r w:rsidR="007717F1">
              <w:rPr>
                <w:noProof/>
                <w:webHidden/>
              </w:rPr>
              <w:fldChar w:fldCharType="begin"/>
            </w:r>
            <w:r w:rsidR="007717F1">
              <w:rPr>
                <w:noProof/>
                <w:webHidden/>
              </w:rPr>
              <w:instrText xml:space="preserve"> PAGEREF _Toc73535975 \h </w:instrText>
            </w:r>
            <w:r w:rsidR="007717F1">
              <w:rPr>
                <w:noProof/>
                <w:webHidden/>
              </w:rPr>
            </w:r>
            <w:r w:rsidR="007717F1">
              <w:rPr>
                <w:noProof/>
                <w:webHidden/>
              </w:rPr>
              <w:fldChar w:fldCharType="separate"/>
            </w:r>
            <w:r w:rsidR="007717F1">
              <w:rPr>
                <w:noProof/>
                <w:webHidden/>
              </w:rPr>
              <w:t>121</w:t>
            </w:r>
            <w:r w:rsidR="007717F1">
              <w:rPr>
                <w:noProof/>
                <w:webHidden/>
              </w:rPr>
              <w:fldChar w:fldCharType="end"/>
            </w:r>
          </w:hyperlink>
        </w:p>
        <w:p w14:paraId="22D4D40B" w14:textId="475B432C" w:rsidR="007717F1" w:rsidRDefault="001F76D0">
          <w:pPr>
            <w:pStyle w:val="TOC2"/>
            <w:tabs>
              <w:tab w:val="right" w:leader="dot" w:pos="9350"/>
            </w:tabs>
            <w:rPr>
              <w:rFonts w:eastAsiaTheme="minorEastAsia"/>
              <w:noProof/>
              <w:lang w:val="en-AU" w:eastAsia="en-AU"/>
            </w:rPr>
          </w:pPr>
          <w:hyperlink w:anchor="_Toc73535976" w:history="1">
            <w:r w:rsidR="007717F1" w:rsidRPr="003029D0">
              <w:rPr>
                <w:rStyle w:val="Hyperlink"/>
                <w:noProof/>
              </w:rPr>
              <w:t>Summary:</w:t>
            </w:r>
            <w:r w:rsidR="007717F1">
              <w:rPr>
                <w:noProof/>
                <w:webHidden/>
              </w:rPr>
              <w:tab/>
            </w:r>
            <w:r w:rsidR="007717F1">
              <w:rPr>
                <w:noProof/>
                <w:webHidden/>
              </w:rPr>
              <w:fldChar w:fldCharType="begin"/>
            </w:r>
            <w:r w:rsidR="007717F1">
              <w:rPr>
                <w:noProof/>
                <w:webHidden/>
              </w:rPr>
              <w:instrText xml:space="preserve"> PAGEREF _Toc73535976 \h </w:instrText>
            </w:r>
            <w:r w:rsidR="007717F1">
              <w:rPr>
                <w:noProof/>
                <w:webHidden/>
              </w:rPr>
            </w:r>
            <w:r w:rsidR="007717F1">
              <w:rPr>
                <w:noProof/>
                <w:webHidden/>
              </w:rPr>
              <w:fldChar w:fldCharType="separate"/>
            </w:r>
            <w:r w:rsidR="007717F1">
              <w:rPr>
                <w:noProof/>
                <w:webHidden/>
              </w:rPr>
              <w:t>122</w:t>
            </w:r>
            <w:r w:rsidR="007717F1">
              <w:rPr>
                <w:noProof/>
                <w:webHidden/>
              </w:rPr>
              <w:fldChar w:fldCharType="end"/>
            </w:r>
          </w:hyperlink>
        </w:p>
        <w:p w14:paraId="59D76AA8" w14:textId="2DA21B41" w:rsidR="007717F1" w:rsidRDefault="001F76D0">
          <w:pPr>
            <w:pStyle w:val="TOC1"/>
            <w:rPr>
              <w:rFonts w:eastAsiaTheme="minorEastAsia"/>
              <w:lang w:val="en-AU" w:eastAsia="en-AU"/>
            </w:rPr>
          </w:pPr>
          <w:hyperlink w:anchor="_Toc73535977" w:history="1">
            <w:r w:rsidR="007717F1" w:rsidRPr="003029D0">
              <w:rPr>
                <w:rStyle w:val="Hyperlink"/>
              </w:rPr>
              <w:t>Evidence mapping</w:t>
            </w:r>
            <w:r w:rsidR="007717F1">
              <w:rPr>
                <w:webHidden/>
              </w:rPr>
              <w:tab/>
            </w:r>
            <w:r w:rsidR="007717F1">
              <w:rPr>
                <w:webHidden/>
              </w:rPr>
              <w:fldChar w:fldCharType="begin"/>
            </w:r>
            <w:r w:rsidR="007717F1">
              <w:rPr>
                <w:webHidden/>
              </w:rPr>
              <w:instrText xml:space="preserve"> PAGEREF _Toc73535977 \h </w:instrText>
            </w:r>
            <w:r w:rsidR="007717F1">
              <w:rPr>
                <w:webHidden/>
              </w:rPr>
            </w:r>
            <w:r w:rsidR="007717F1">
              <w:rPr>
                <w:webHidden/>
              </w:rPr>
              <w:fldChar w:fldCharType="separate"/>
            </w:r>
            <w:r w:rsidR="007717F1">
              <w:rPr>
                <w:webHidden/>
              </w:rPr>
              <w:t>123</w:t>
            </w:r>
            <w:r w:rsidR="007717F1">
              <w:rPr>
                <w:webHidden/>
              </w:rPr>
              <w:fldChar w:fldCharType="end"/>
            </w:r>
          </w:hyperlink>
        </w:p>
        <w:p w14:paraId="3823A5DE" w14:textId="5F353CF3" w:rsidR="007717F1" w:rsidRDefault="001F76D0">
          <w:pPr>
            <w:pStyle w:val="TOC1"/>
            <w:rPr>
              <w:rFonts w:eastAsiaTheme="minorEastAsia"/>
              <w:lang w:val="en-AU" w:eastAsia="en-AU"/>
            </w:rPr>
          </w:pPr>
          <w:hyperlink w:anchor="_Toc73535978" w:history="1">
            <w:r w:rsidR="007717F1" w:rsidRPr="003029D0">
              <w:rPr>
                <w:rStyle w:val="Hyperlink"/>
              </w:rPr>
              <w:t>Implications and conclusions</w:t>
            </w:r>
            <w:r w:rsidR="007717F1">
              <w:rPr>
                <w:webHidden/>
              </w:rPr>
              <w:tab/>
            </w:r>
            <w:r w:rsidR="007717F1">
              <w:rPr>
                <w:webHidden/>
              </w:rPr>
              <w:fldChar w:fldCharType="begin"/>
            </w:r>
            <w:r w:rsidR="007717F1">
              <w:rPr>
                <w:webHidden/>
              </w:rPr>
              <w:instrText xml:space="preserve"> PAGEREF _Toc73535978 \h </w:instrText>
            </w:r>
            <w:r w:rsidR="007717F1">
              <w:rPr>
                <w:webHidden/>
              </w:rPr>
            </w:r>
            <w:r w:rsidR="007717F1">
              <w:rPr>
                <w:webHidden/>
              </w:rPr>
              <w:fldChar w:fldCharType="separate"/>
            </w:r>
            <w:r w:rsidR="007717F1">
              <w:rPr>
                <w:webHidden/>
              </w:rPr>
              <w:t>128</w:t>
            </w:r>
            <w:r w:rsidR="007717F1">
              <w:rPr>
                <w:webHidden/>
              </w:rPr>
              <w:fldChar w:fldCharType="end"/>
            </w:r>
          </w:hyperlink>
        </w:p>
        <w:p w14:paraId="4A9F12A2" w14:textId="2BB0EEA5" w:rsidR="007717F1" w:rsidRDefault="001F76D0">
          <w:pPr>
            <w:pStyle w:val="TOC2"/>
            <w:tabs>
              <w:tab w:val="right" w:leader="dot" w:pos="9350"/>
            </w:tabs>
            <w:rPr>
              <w:rFonts w:eastAsiaTheme="minorEastAsia"/>
              <w:noProof/>
              <w:lang w:val="en-AU" w:eastAsia="en-AU"/>
            </w:rPr>
          </w:pPr>
          <w:hyperlink w:anchor="_Toc73535979" w:history="1">
            <w:r w:rsidR="007717F1" w:rsidRPr="003029D0">
              <w:rPr>
                <w:rStyle w:val="Hyperlink"/>
                <w:noProof/>
              </w:rPr>
              <w:t>Summary of findings</w:t>
            </w:r>
            <w:r w:rsidR="007717F1">
              <w:rPr>
                <w:noProof/>
                <w:webHidden/>
              </w:rPr>
              <w:tab/>
            </w:r>
            <w:r w:rsidR="007717F1">
              <w:rPr>
                <w:noProof/>
                <w:webHidden/>
              </w:rPr>
              <w:fldChar w:fldCharType="begin"/>
            </w:r>
            <w:r w:rsidR="007717F1">
              <w:rPr>
                <w:noProof/>
                <w:webHidden/>
              </w:rPr>
              <w:instrText xml:space="preserve"> PAGEREF _Toc73535979 \h </w:instrText>
            </w:r>
            <w:r w:rsidR="007717F1">
              <w:rPr>
                <w:noProof/>
                <w:webHidden/>
              </w:rPr>
            </w:r>
            <w:r w:rsidR="007717F1">
              <w:rPr>
                <w:noProof/>
                <w:webHidden/>
              </w:rPr>
              <w:fldChar w:fldCharType="separate"/>
            </w:r>
            <w:r w:rsidR="007717F1">
              <w:rPr>
                <w:noProof/>
                <w:webHidden/>
              </w:rPr>
              <w:t>128</w:t>
            </w:r>
            <w:r w:rsidR="007717F1">
              <w:rPr>
                <w:noProof/>
                <w:webHidden/>
              </w:rPr>
              <w:fldChar w:fldCharType="end"/>
            </w:r>
          </w:hyperlink>
        </w:p>
        <w:p w14:paraId="539ABAA6" w14:textId="5900DB29" w:rsidR="007717F1" w:rsidRDefault="001F76D0">
          <w:pPr>
            <w:pStyle w:val="TOC2"/>
            <w:tabs>
              <w:tab w:val="right" w:leader="dot" w:pos="9350"/>
            </w:tabs>
            <w:rPr>
              <w:rFonts w:eastAsiaTheme="minorEastAsia"/>
              <w:noProof/>
              <w:lang w:val="en-AU" w:eastAsia="en-AU"/>
            </w:rPr>
          </w:pPr>
          <w:hyperlink w:anchor="_Toc73535980" w:history="1">
            <w:r w:rsidR="007717F1" w:rsidRPr="003029D0">
              <w:rPr>
                <w:rStyle w:val="Hyperlink"/>
                <w:noProof/>
                <w:lang w:val="en-GB"/>
              </w:rPr>
              <w:t>Implications</w:t>
            </w:r>
            <w:r w:rsidR="007717F1">
              <w:rPr>
                <w:noProof/>
                <w:webHidden/>
              </w:rPr>
              <w:tab/>
            </w:r>
            <w:r w:rsidR="007717F1">
              <w:rPr>
                <w:noProof/>
                <w:webHidden/>
              </w:rPr>
              <w:fldChar w:fldCharType="begin"/>
            </w:r>
            <w:r w:rsidR="007717F1">
              <w:rPr>
                <w:noProof/>
                <w:webHidden/>
              </w:rPr>
              <w:instrText xml:space="preserve"> PAGEREF _Toc73535980 \h </w:instrText>
            </w:r>
            <w:r w:rsidR="007717F1">
              <w:rPr>
                <w:noProof/>
                <w:webHidden/>
              </w:rPr>
            </w:r>
            <w:r w:rsidR="007717F1">
              <w:rPr>
                <w:noProof/>
                <w:webHidden/>
              </w:rPr>
              <w:fldChar w:fldCharType="separate"/>
            </w:r>
            <w:r w:rsidR="007717F1">
              <w:rPr>
                <w:noProof/>
                <w:webHidden/>
              </w:rPr>
              <w:t>128</w:t>
            </w:r>
            <w:r w:rsidR="007717F1">
              <w:rPr>
                <w:noProof/>
                <w:webHidden/>
              </w:rPr>
              <w:fldChar w:fldCharType="end"/>
            </w:r>
          </w:hyperlink>
        </w:p>
        <w:p w14:paraId="71F75E6C" w14:textId="7F801F15" w:rsidR="007717F1" w:rsidRDefault="001F76D0">
          <w:pPr>
            <w:pStyle w:val="TOC2"/>
            <w:tabs>
              <w:tab w:val="right" w:leader="dot" w:pos="9350"/>
            </w:tabs>
            <w:rPr>
              <w:rFonts w:eastAsiaTheme="minorEastAsia"/>
              <w:noProof/>
              <w:lang w:val="en-AU" w:eastAsia="en-AU"/>
            </w:rPr>
          </w:pPr>
          <w:hyperlink w:anchor="_Toc73535981" w:history="1">
            <w:r w:rsidR="007717F1" w:rsidRPr="003029D0">
              <w:rPr>
                <w:rStyle w:val="Hyperlink"/>
                <w:noProof/>
                <w:lang w:val="en-GB"/>
              </w:rPr>
              <w:t>Gaps in knowledge</w:t>
            </w:r>
            <w:r w:rsidR="007717F1">
              <w:rPr>
                <w:noProof/>
                <w:webHidden/>
              </w:rPr>
              <w:tab/>
            </w:r>
            <w:r w:rsidR="007717F1">
              <w:rPr>
                <w:noProof/>
                <w:webHidden/>
              </w:rPr>
              <w:fldChar w:fldCharType="begin"/>
            </w:r>
            <w:r w:rsidR="007717F1">
              <w:rPr>
                <w:noProof/>
                <w:webHidden/>
              </w:rPr>
              <w:instrText xml:space="preserve"> PAGEREF _Toc73535981 \h </w:instrText>
            </w:r>
            <w:r w:rsidR="007717F1">
              <w:rPr>
                <w:noProof/>
                <w:webHidden/>
              </w:rPr>
            </w:r>
            <w:r w:rsidR="007717F1">
              <w:rPr>
                <w:noProof/>
                <w:webHidden/>
              </w:rPr>
              <w:fldChar w:fldCharType="separate"/>
            </w:r>
            <w:r w:rsidR="007717F1">
              <w:rPr>
                <w:noProof/>
                <w:webHidden/>
              </w:rPr>
              <w:t>130</w:t>
            </w:r>
            <w:r w:rsidR="007717F1">
              <w:rPr>
                <w:noProof/>
                <w:webHidden/>
              </w:rPr>
              <w:fldChar w:fldCharType="end"/>
            </w:r>
          </w:hyperlink>
        </w:p>
        <w:p w14:paraId="39EE598F" w14:textId="148EFB87" w:rsidR="007717F1" w:rsidRDefault="001F76D0">
          <w:pPr>
            <w:pStyle w:val="TOC2"/>
            <w:tabs>
              <w:tab w:val="right" w:leader="dot" w:pos="9350"/>
            </w:tabs>
            <w:rPr>
              <w:rFonts w:eastAsiaTheme="minorEastAsia"/>
              <w:noProof/>
              <w:lang w:val="en-AU" w:eastAsia="en-AU"/>
            </w:rPr>
          </w:pPr>
          <w:hyperlink w:anchor="_Toc73535982" w:history="1">
            <w:r w:rsidR="007717F1" w:rsidRPr="003029D0">
              <w:rPr>
                <w:rStyle w:val="Hyperlink"/>
                <w:noProof/>
                <w:lang w:val="en-GB"/>
              </w:rPr>
              <w:t>Limitations of the review</w:t>
            </w:r>
            <w:r w:rsidR="007717F1">
              <w:rPr>
                <w:noProof/>
                <w:webHidden/>
              </w:rPr>
              <w:tab/>
            </w:r>
            <w:r w:rsidR="007717F1">
              <w:rPr>
                <w:noProof/>
                <w:webHidden/>
              </w:rPr>
              <w:fldChar w:fldCharType="begin"/>
            </w:r>
            <w:r w:rsidR="007717F1">
              <w:rPr>
                <w:noProof/>
                <w:webHidden/>
              </w:rPr>
              <w:instrText xml:space="preserve"> PAGEREF _Toc73535982 \h </w:instrText>
            </w:r>
            <w:r w:rsidR="007717F1">
              <w:rPr>
                <w:noProof/>
                <w:webHidden/>
              </w:rPr>
            </w:r>
            <w:r w:rsidR="007717F1">
              <w:rPr>
                <w:noProof/>
                <w:webHidden/>
              </w:rPr>
              <w:fldChar w:fldCharType="separate"/>
            </w:r>
            <w:r w:rsidR="007717F1">
              <w:rPr>
                <w:noProof/>
                <w:webHidden/>
              </w:rPr>
              <w:t>131</w:t>
            </w:r>
            <w:r w:rsidR="007717F1">
              <w:rPr>
                <w:noProof/>
                <w:webHidden/>
              </w:rPr>
              <w:fldChar w:fldCharType="end"/>
            </w:r>
          </w:hyperlink>
        </w:p>
        <w:p w14:paraId="07EE9466" w14:textId="7EAD59F1" w:rsidR="007717F1" w:rsidRDefault="001F76D0">
          <w:pPr>
            <w:pStyle w:val="TOC2"/>
            <w:tabs>
              <w:tab w:val="right" w:leader="dot" w:pos="9350"/>
            </w:tabs>
            <w:rPr>
              <w:rFonts w:eastAsiaTheme="minorEastAsia"/>
              <w:noProof/>
              <w:lang w:val="en-AU" w:eastAsia="en-AU"/>
            </w:rPr>
          </w:pPr>
          <w:hyperlink w:anchor="_Toc73535983" w:history="1">
            <w:r w:rsidR="007717F1" w:rsidRPr="003029D0">
              <w:rPr>
                <w:rStyle w:val="Hyperlink"/>
                <w:noProof/>
              </w:rPr>
              <w:t>Considerations</w:t>
            </w:r>
            <w:r w:rsidR="007717F1">
              <w:rPr>
                <w:noProof/>
                <w:webHidden/>
              </w:rPr>
              <w:tab/>
            </w:r>
            <w:r w:rsidR="007717F1">
              <w:rPr>
                <w:noProof/>
                <w:webHidden/>
              </w:rPr>
              <w:fldChar w:fldCharType="begin"/>
            </w:r>
            <w:r w:rsidR="007717F1">
              <w:rPr>
                <w:noProof/>
                <w:webHidden/>
              </w:rPr>
              <w:instrText xml:space="preserve"> PAGEREF _Toc73535983 \h </w:instrText>
            </w:r>
            <w:r w:rsidR="007717F1">
              <w:rPr>
                <w:noProof/>
                <w:webHidden/>
              </w:rPr>
            </w:r>
            <w:r w:rsidR="007717F1">
              <w:rPr>
                <w:noProof/>
                <w:webHidden/>
              </w:rPr>
              <w:fldChar w:fldCharType="separate"/>
            </w:r>
            <w:r w:rsidR="007717F1">
              <w:rPr>
                <w:noProof/>
                <w:webHidden/>
              </w:rPr>
              <w:t>132</w:t>
            </w:r>
            <w:r w:rsidR="007717F1">
              <w:rPr>
                <w:noProof/>
                <w:webHidden/>
              </w:rPr>
              <w:fldChar w:fldCharType="end"/>
            </w:r>
          </w:hyperlink>
        </w:p>
        <w:p w14:paraId="66BFD18A" w14:textId="771E1E57" w:rsidR="007717F1" w:rsidRDefault="001F76D0">
          <w:pPr>
            <w:pStyle w:val="TOC1"/>
            <w:rPr>
              <w:rFonts w:eastAsiaTheme="minorEastAsia"/>
              <w:lang w:val="en-AU" w:eastAsia="en-AU"/>
            </w:rPr>
          </w:pPr>
          <w:hyperlink w:anchor="_Toc73535984" w:history="1">
            <w:r w:rsidR="007717F1" w:rsidRPr="003029D0">
              <w:rPr>
                <w:rStyle w:val="Hyperlink"/>
              </w:rPr>
              <w:t>References</w:t>
            </w:r>
            <w:r w:rsidR="007717F1">
              <w:rPr>
                <w:webHidden/>
              </w:rPr>
              <w:tab/>
            </w:r>
            <w:r w:rsidR="007717F1">
              <w:rPr>
                <w:webHidden/>
              </w:rPr>
              <w:fldChar w:fldCharType="begin"/>
            </w:r>
            <w:r w:rsidR="007717F1">
              <w:rPr>
                <w:webHidden/>
              </w:rPr>
              <w:instrText xml:space="preserve"> PAGEREF _Toc73535984 \h </w:instrText>
            </w:r>
            <w:r w:rsidR="007717F1">
              <w:rPr>
                <w:webHidden/>
              </w:rPr>
            </w:r>
            <w:r w:rsidR="007717F1">
              <w:rPr>
                <w:webHidden/>
              </w:rPr>
              <w:fldChar w:fldCharType="separate"/>
            </w:r>
            <w:r w:rsidR="007717F1">
              <w:rPr>
                <w:webHidden/>
              </w:rPr>
              <w:t>134</w:t>
            </w:r>
            <w:r w:rsidR="007717F1">
              <w:rPr>
                <w:webHidden/>
              </w:rPr>
              <w:fldChar w:fldCharType="end"/>
            </w:r>
          </w:hyperlink>
        </w:p>
        <w:p w14:paraId="67D675B8" w14:textId="5348B064" w:rsidR="007717F1" w:rsidRDefault="001F76D0">
          <w:pPr>
            <w:pStyle w:val="TOC1"/>
            <w:rPr>
              <w:rFonts w:eastAsiaTheme="minorEastAsia"/>
              <w:lang w:val="en-AU" w:eastAsia="en-AU"/>
            </w:rPr>
          </w:pPr>
          <w:hyperlink w:anchor="_Toc73535985" w:history="1">
            <w:r w:rsidR="007717F1" w:rsidRPr="003029D0">
              <w:rPr>
                <w:rStyle w:val="Hyperlink"/>
              </w:rPr>
              <w:t>Appendix A: Members of the Advisory Committee</w:t>
            </w:r>
            <w:r w:rsidR="007717F1">
              <w:rPr>
                <w:webHidden/>
              </w:rPr>
              <w:tab/>
            </w:r>
            <w:r w:rsidR="007717F1">
              <w:rPr>
                <w:webHidden/>
              </w:rPr>
              <w:fldChar w:fldCharType="begin"/>
            </w:r>
            <w:r w:rsidR="007717F1">
              <w:rPr>
                <w:webHidden/>
              </w:rPr>
              <w:instrText xml:space="preserve"> PAGEREF _Toc73535985 \h </w:instrText>
            </w:r>
            <w:r w:rsidR="007717F1">
              <w:rPr>
                <w:webHidden/>
              </w:rPr>
            </w:r>
            <w:r w:rsidR="007717F1">
              <w:rPr>
                <w:webHidden/>
              </w:rPr>
              <w:fldChar w:fldCharType="separate"/>
            </w:r>
            <w:r w:rsidR="007717F1">
              <w:rPr>
                <w:webHidden/>
              </w:rPr>
              <w:t>145</w:t>
            </w:r>
            <w:r w:rsidR="007717F1">
              <w:rPr>
                <w:webHidden/>
              </w:rPr>
              <w:fldChar w:fldCharType="end"/>
            </w:r>
          </w:hyperlink>
        </w:p>
        <w:p w14:paraId="296F04D6" w14:textId="3E2FBE52" w:rsidR="007717F1" w:rsidRDefault="001F76D0">
          <w:pPr>
            <w:pStyle w:val="TOC1"/>
            <w:rPr>
              <w:rFonts w:eastAsiaTheme="minorEastAsia"/>
              <w:lang w:val="en-AU" w:eastAsia="en-AU"/>
            </w:rPr>
          </w:pPr>
          <w:hyperlink w:anchor="_Toc73535986" w:history="1">
            <w:r w:rsidR="007717F1" w:rsidRPr="003029D0">
              <w:rPr>
                <w:rStyle w:val="Hyperlink"/>
              </w:rPr>
              <w:t>Appendix B: PICO</w:t>
            </w:r>
            <w:r w:rsidR="007717F1">
              <w:rPr>
                <w:webHidden/>
              </w:rPr>
              <w:tab/>
            </w:r>
            <w:r w:rsidR="007717F1">
              <w:rPr>
                <w:webHidden/>
              </w:rPr>
              <w:fldChar w:fldCharType="begin"/>
            </w:r>
            <w:r w:rsidR="007717F1">
              <w:rPr>
                <w:webHidden/>
              </w:rPr>
              <w:instrText xml:space="preserve"> PAGEREF _Toc73535986 \h </w:instrText>
            </w:r>
            <w:r w:rsidR="007717F1">
              <w:rPr>
                <w:webHidden/>
              </w:rPr>
            </w:r>
            <w:r w:rsidR="007717F1">
              <w:rPr>
                <w:webHidden/>
              </w:rPr>
              <w:fldChar w:fldCharType="separate"/>
            </w:r>
            <w:r w:rsidR="007717F1">
              <w:rPr>
                <w:webHidden/>
              </w:rPr>
              <w:t>146</w:t>
            </w:r>
            <w:r w:rsidR="007717F1">
              <w:rPr>
                <w:webHidden/>
              </w:rPr>
              <w:fldChar w:fldCharType="end"/>
            </w:r>
          </w:hyperlink>
        </w:p>
        <w:p w14:paraId="23195C49" w14:textId="3D42BF74" w:rsidR="007717F1" w:rsidRDefault="001F76D0">
          <w:pPr>
            <w:pStyle w:val="TOC1"/>
            <w:rPr>
              <w:rFonts w:eastAsiaTheme="minorEastAsia"/>
              <w:lang w:val="en-AU" w:eastAsia="en-AU"/>
            </w:rPr>
          </w:pPr>
          <w:hyperlink w:anchor="_Toc73535987" w:history="1">
            <w:r w:rsidR="007717F1" w:rsidRPr="003029D0">
              <w:rPr>
                <w:rStyle w:val="Hyperlink"/>
              </w:rPr>
              <w:t>Appendix C: Search strategy</w:t>
            </w:r>
            <w:r w:rsidR="007717F1">
              <w:rPr>
                <w:webHidden/>
              </w:rPr>
              <w:tab/>
            </w:r>
            <w:r w:rsidR="007717F1">
              <w:rPr>
                <w:webHidden/>
              </w:rPr>
              <w:fldChar w:fldCharType="begin"/>
            </w:r>
            <w:r w:rsidR="007717F1">
              <w:rPr>
                <w:webHidden/>
              </w:rPr>
              <w:instrText xml:space="preserve"> PAGEREF _Toc73535987 \h </w:instrText>
            </w:r>
            <w:r w:rsidR="007717F1">
              <w:rPr>
                <w:webHidden/>
              </w:rPr>
            </w:r>
            <w:r w:rsidR="007717F1">
              <w:rPr>
                <w:webHidden/>
              </w:rPr>
              <w:fldChar w:fldCharType="separate"/>
            </w:r>
            <w:r w:rsidR="007717F1">
              <w:rPr>
                <w:webHidden/>
              </w:rPr>
              <w:t>147</w:t>
            </w:r>
            <w:r w:rsidR="007717F1">
              <w:rPr>
                <w:webHidden/>
              </w:rPr>
              <w:fldChar w:fldCharType="end"/>
            </w:r>
          </w:hyperlink>
        </w:p>
        <w:p w14:paraId="1EF62E7E" w14:textId="7F327FCF" w:rsidR="007717F1" w:rsidRDefault="001F76D0">
          <w:pPr>
            <w:pStyle w:val="TOC1"/>
            <w:rPr>
              <w:rFonts w:eastAsiaTheme="minorEastAsia"/>
              <w:lang w:val="en-AU" w:eastAsia="en-AU"/>
            </w:rPr>
          </w:pPr>
          <w:hyperlink w:anchor="_Toc73535988" w:history="1">
            <w:r w:rsidR="007717F1" w:rsidRPr="003029D0">
              <w:rPr>
                <w:rStyle w:val="Hyperlink"/>
              </w:rPr>
              <w:t>Appendix D: Data extraction template</w:t>
            </w:r>
            <w:r w:rsidR="007717F1">
              <w:rPr>
                <w:webHidden/>
              </w:rPr>
              <w:tab/>
            </w:r>
            <w:r w:rsidR="007717F1">
              <w:rPr>
                <w:webHidden/>
              </w:rPr>
              <w:fldChar w:fldCharType="begin"/>
            </w:r>
            <w:r w:rsidR="007717F1">
              <w:rPr>
                <w:webHidden/>
              </w:rPr>
              <w:instrText xml:space="preserve"> PAGEREF _Toc73535988 \h </w:instrText>
            </w:r>
            <w:r w:rsidR="007717F1">
              <w:rPr>
                <w:webHidden/>
              </w:rPr>
            </w:r>
            <w:r w:rsidR="007717F1">
              <w:rPr>
                <w:webHidden/>
              </w:rPr>
              <w:fldChar w:fldCharType="separate"/>
            </w:r>
            <w:r w:rsidR="007717F1">
              <w:rPr>
                <w:webHidden/>
              </w:rPr>
              <w:t>148</w:t>
            </w:r>
            <w:r w:rsidR="007717F1">
              <w:rPr>
                <w:webHidden/>
              </w:rPr>
              <w:fldChar w:fldCharType="end"/>
            </w:r>
          </w:hyperlink>
        </w:p>
        <w:p w14:paraId="656266AC" w14:textId="00897DAA" w:rsidR="007717F1" w:rsidRDefault="001F76D0">
          <w:pPr>
            <w:pStyle w:val="TOC1"/>
            <w:rPr>
              <w:rFonts w:eastAsiaTheme="minorEastAsia"/>
              <w:lang w:val="en-AU" w:eastAsia="en-AU"/>
            </w:rPr>
          </w:pPr>
          <w:hyperlink w:anchor="_Toc73535989" w:history="1">
            <w:r w:rsidR="007717F1" w:rsidRPr="003029D0">
              <w:rPr>
                <w:rStyle w:val="Hyperlink"/>
              </w:rPr>
              <w:t>Appendix E: Summary of Studies Reviewed</w:t>
            </w:r>
            <w:r w:rsidR="007717F1">
              <w:rPr>
                <w:webHidden/>
              </w:rPr>
              <w:tab/>
            </w:r>
            <w:r w:rsidR="007717F1">
              <w:rPr>
                <w:webHidden/>
              </w:rPr>
              <w:fldChar w:fldCharType="begin"/>
            </w:r>
            <w:r w:rsidR="007717F1">
              <w:rPr>
                <w:webHidden/>
              </w:rPr>
              <w:instrText xml:space="preserve"> PAGEREF _Toc73535989 \h </w:instrText>
            </w:r>
            <w:r w:rsidR="007717F1">
              <w:rPr>
                <w:webHidden/>
              </w:rPr>
            </w:r>
            <w:r w:rsidR="007717F1">
              <w:rPr>
                <w:webHidden/>
              </w:rPr>
              <w:fldChar w:fldCharType="separate"/>
            </w:r>
            <w:r w:rsidR="007717F1">
              <w:rPr>
                <w:webHidden/>
              </w:rPr>
              <w:t>149</w:t>
            </w:r>
            <w:r w:rsidR="007717F1">
              <w:rPr>
                <w:webHidden/>
              </w:rPr>
              <w:fldChar w:fldCharType="end"/>
            </w:r>
          </w:hyperlink>
        </w:p>
        <w:p w14:paraId="0B09B898" w14:textId="642A08BA" w:rsidR="007717F1" w:rsidRDefault="001F76D0">
          <w:pPr>
            <w:pStyle w:val="TOC1"/>
            <w:rPr>
              <w:rFonts w:eastAsiaTheme="minorEastAsia"/>
              <w:lang w:val="en-AU" w:eastAsia="en-AU"/>
            </w:rPr>
          </w:pPr>
          <w:hyperlink w:anchor="_Toc73535990" w:history="1">
            <w:r w:rsidR="007717F1" w:rsidRPr="003029D0">
              <w:rPr>
                <w:rStyle w:val="Hyperlink"/>
              </w:rPr>
              <w:t>Appendix F: List of organisational websites and documents reviewed in the environmental scan</w:t>
            </w:r>
            <w:r w:rsidR="007717F1">
              <w:rPr>
                <w:webHidden/>
              </w:rPr>
              <w:tab/>
            </w:r>
            <w:r w:rsidR="007717F1">
              <w:rPr>
                <w:webHidden/>
              </w:rPr>
              <w:fldChar w:fldCharType="begin"/>
            </w:r>
            <w:r w:rsidR="007717F1">
              <w:rPr>
                <w:webHidden/>
              </w:rPr>
              <w:instrText xml:space="preserve"> PAGEREF _Toc73535990 \h </w:instrText>
            </w:r>
            <w:r w:rsidR="007717F1">
              <w:rPr>
                <w:webHidden/>
              </w:rPr>
            </w:r>
            <w:r w:rsidR="007717F1">
              <w:rPr>
                <w:webHidden/>
              </w:rPr>
              <w:fldChar w:fldCharType="separate"/>
            </w:r>
            <w:r w:rsidR="007717F1">
              <w:rPr>
                <w:webHidden/>
              </w:rPr>
              <w:t>205</w:t>
            </w:r>
            <w:r w:rsidR="007717F1">
              <w:rPr>
                <w:webHidden/>
              </w:rPr>
              <w:fldChar w:fldCharType="end"/>
            </w:r>
          </w:hyperlink>
        </w:p>
        <w:p w14:paraId="0EFB461C" w14:textId="7196546B" w:rsidR="007717F1" w:rsidRDefault="001F76D0">
          <w:pPr>
            <w:pStyle w:val="TOC1"/>
            <w:rPr>
              <w:rFonts w:eastAsiaTheme="minorEastAsia"/>
              <w:lang w:val="en-AU" w:eastAsia="en-AU"/>
            </w:rPr>
          </w:pPr>
          <w:hyperlink w:anchor="_Toc73535991" w:history="1">
            <w:r w:rsidR="007717F1" w:rsidRPr="003029D0">
              <w:rPr>
                <w:rStyle w:val="Hyperlink"/>
              </w:rPr>
              <w:t>Appendix G: Meta-Analysis Report</w:t>
            </w:r>
            <w:r w:rsidR="007717F1">
              <w:rPr>
                <w:webHidden/>
              </w:rPr>
              <w:tab/>
            </w:r>
            <w:r w:rsidR="007717F1">
              <w:rPr>
                <w:webHidden/>
              </w:rPr>
              <w:fldChar w:fldCharType="begin"/>
            </w:r>
            <w:r w:rsidR="007717F1">
              <w:rPr>
                <w:webHidden/>
              </w:rPr>
              <w:instrText xml:space="preserve"> PAGEREF _Toc73535991 \h </w:instrText>
            </w:r>
            <w:r w:rsidR="007717F1">
              <w:rPr>
                <w:webHidden/>
              </w:rPr>
            </w:r>
            <w:r w:rsidR="007717F1">
              <w:rPr>
                <w:webHidden/>
              </w:rPr>
              <w:fldChar w:fldCharType="separate"/>
            </w:r>
            <w:r w:rsidR="007717F1">
              <w:rPr>
                <w:webHidden/>
              </w:rPr>
              <w:t>223</w:t>
            </w:r>
            <w:r w:rsidR="007717F1">
              <w:rPr>
                <w:webHidden/>
              </w:rPr>
              <w:fldChar w:fldCharType="end"/>
            </w:r>
          </w:hyperlink>
        </w:p>
        <w:p w14:paraId="1D172542" w14:textId="312A7AE6" w:rsidR="002E7617" w:rsidRPr="00BE673B" w:rsidRDefault="002E7617" w:rsidP="00132B9E">
          <w:pPr>
            <w:pStyle w:val="TOC1"/>
            <w:rPr>
              <w:sz w:val="20"/>
              <w:szCs w:val="20"/>
            </w:rPr>
          </w:pPr>
          <w:r w:rsidRPr="00BE673B">
            <w:rPr>
              <w:sz w:val="20"/>
              <w:szCs w:val="20"/>
            </w:rPr>
            <w:fldChar w:fldCharType="end"/>
          </w:r>
        </w:p>
      </w:sdtContent>
    </w:sdt>
    <w:p w14:paraId="69CBF110" w14:textId="4FEBE7C6" w:rsidR="002E7617" w:rsidRPr="005E1C91" w:rsidRDefault="002E7617" w:rsidP="00B52266">
      <w:pPr>
        <w:spacing w:line="360" w:lineRule="auto"/>
      </w:pPr>
      <w:r w:rsidRPr="005E1C91">
        <w:lastRenderedPageBreak/>
        <w:br w:type="page"/>
      </w:r>
    </w:p>
    <w:p w14:paraId="32EB81C3" w14:textId="5FEF932A" w:rsidR="00994737" w:rsidRDefault="005B25E6">
      <w:pPr>
        <w:pStyle w:val="TableofFigures"/>
        <w:tabs>
          <w:tab w:val="right" w:leader="dot" w:pos="9350"/>
        </w:tabs>
        <w:rPr>
          <w:rFonts w:eastAsiaTheme="minorEastAsia"/>
          <w:noProof/>
          <w:lang w:val="en-AU" w:eastAsia="en-AU"/>
        </w:rPr>
      </w:pPr>
      <w:r>
        <w:lastRenderedPageBreak/>
        <w:fldChar w:fldCharType="begin"/>
      </w:r>
      <w:r>
        <w:instrText xml:space="preserve"> TOC \h \z \c "Table" </w:instrText>
      </w:r>
      <w:r>
        <w:fldChar w:fldCharType="separate"/>
      </w:r>
      <w:hyperlink w:anchor="_Toc66355180" w:history="1">
        <w:r w:rsidR="00994737" w:rsidRPr="00903DC5">
          <w:rPr>
            <w:rStyle w:val="Hyperlink"/>
            <w:noProof/>
          </w:rPr>
          <w:t>Table 1</w:t>
        </w:r>
        <w:r w:rsidR="00994737" w:rsidRPr="00903DC5">
          <w:rPr>
            <w:rStyle w:val="Hyperlink"/>
            <w:rFonts w:cstheme="minorHAnsi"/>
            <w:b/>
            <w:bCs/>
            <w:noProof/>
          </w:rPr>
          <w:t xml:space="preserve"> Type of housing models</w:t>
        </w:r>
        <w:r w:rsidR="00994737">
          <w:rPr>
            <w:noProof/>
            <w:webHidden/>
          </w:rPr>
          <w:tab/>
        </w:r>
        <w:r w:rsidR="00994737">
          <w:rPr>
            <w:noProof/>
            <w:webHidden/>
          </w:rPr>
          <w:fldChar w:fldCharType="begin"/>
        </w:r>
        <w:r w:rsidR="00994737">
          <w:rPr>
            <w:noProof/>
            <w:webHidden/>
          </w:rPr>
          <w:instrText xml:space="preserve"> PAGEREF _Toc66355180 \h </w:instrText>
        </w:r>
        <w:r w:rsidR="00994737">
          <w:rPr>
            <w:noProof/>
            <w:webHidden/>
          </w:rPr>
        </w:r>
        <w:r w:rsidR="00994737">
          <w:rPr>
            <w:noProof/>
            <w:webHidden/>
          </w:rPr>
          <w:fldChar w:fldCharType="separate"/>
        </w:r>
        <w:r w:rsidR="000E7FFE">
          <w:rPr>
            <w:noProof/>
            <w:webHidden/>
          </w:rPr>
          <w:t>20</w:t>
        </w:r>
        <w:r w:rsidR="00994737">
          <w:rPr>
            <w:noProof/>
            <w:webHidden/>
          </w:rPr>
          <w:fldChar w:fldCharType="end"/>
        </w:r>
      </w:hyperlink>
    </w:p>
    <w:p w14:paraId="0FDDD2FC" w14:textId="2C014044" w:rsidR="00994737" w:rsidRDefault="001F76D0">
      <w:pPr>
        <w:pStyle w:val="TableofFigures"/>
        <w:tabs>
          <w:tab w:val="right" w:leader="dot" w:pos="9350"/>
        </w:tabs>
        <w:rPr>
          <w:rFonts w:eastAsiaTheme="minorEastAsia"/>
          <w:noProof/>
          <w:lang w:val="en-AU" w:eastAsia="en-AU"/>
        </w:rPr>
      </w:pPr>
      <w:hyperlink w:anchor="_Toc66355181" w:history="1">
        <w:r w:rsidR="00994737" w:rsidRPr="00903DC5">
          <w:rPr>
            <w:rStyle w:val="Hyperlink"/>
            <w:noProof/>
          </w:rPr>
          <w:t>Table 2</w:t>
        </w:r>
        <w:r w:rsidR="00994737" w:rsidRPr="00903DC5">
          <w:rPr>
            <w:rStyle w:val="Hyperlink"/>
            <w:b/>
            <w:bCs/>
            <w:noProof/>
          </w:rPr>
          <w:t xml:space="preserve"> Quality of life measures</w:t>
        </w:r>
        <w:r w:rsidR="00994737">
          <w:rPr>
            <w:noProof/>
            <w:webHidden/>
          </w:rPr>
          <w:tab/>
        </w:r>
        <w:r w:rsidR="00994737">
          <w:rPr>
            <w:noProof/>
            <w:webHidden/>
          </w:rPr>
          <w:fldChar w:fldCharType="begin"/>
        </w:r>
        <w:r w:rsidR="00994737">
          <w:rPr>
            <w:noProof/>
            <w:webHidden/>
          </w:rPr>
          <w:instrText xml:space="preserve"> PAGEREF _Toc66355181 \h </w:instrText>
        </w:r>
        <w:r w:rsidR="00994737">
          <w:rPr>
            <w:noProof/>
            <w:webHidden/>
          </w:rPr>
        </w:r>
        <w:r w:rsidR="00994737">
          <w:rPr>
            <w:noProof/>
            <w:webHidden/>
          </w:rPr>
          <w:fldChar w:fldCharType="separate"/>
        </w:r>
        <w:r w:rsidR="000E7FFE">
          <w:rPr>
            <w:noProof/>
            <w:webHidden/>
          </w:rPr>
          <w:t>35</w:t>
        </w:r>
        <w:r w:rsidR="00994737">
          <w:rPr>
            <w:noProof/>
            <w:webHidden/>
          </w:rPr>
          <w:fldChar w:fldCharType="end"/>
        </w:r>
      </w:hyperlink>
    </w:p>
    <w:p w14:paraId="4BF3C96A" w14:textId="176B45D8" w:rsidR="00994737" w:rsidRDefault="001F76D0">
      <w:pPr>
        <w:pStyle w:val="TableofFigures"/>
        <w:tabs>
          <w:tab w:val="right" w:leader="dot" w:pos="9350"/>
        </w:tabs>
        <w:rPr>
          <w:rFonts w:eastAsiaTheme="minorEastAsia"/>
          <w:noProof/>
          <w:lang w:val="en-AU" w:eastAsia="en-AU"/>
        </w:rPr>
      </w:pPr>
      <w:hyperlink w:anchor="_Toc66355182" w:history="1">
        <w:r w:rsidR="00994737" w:rsidRPr="00903DC5">
          <w:rPr>
            <w:rStyle w:val="Hyperlink"/>
            <w:noProof/>
          </w:rPr>
          <w:t>Table 3</w:t>
        </w:r>
        <w:r w:rsidR="00994737" w:rsidRPr="00903DC5">
          <w:rPr>
            <w:rStyle w:val="Hyperlink"/>
            <w:b/>
            <w:bCs/>
            <w:noProof/>
          </w:rPr>
          <w:t xml:space="preserve"> Choice and control measures</w:t>
        </w:r>
        <w:r w:rsidR="00994737">
          <w:rPr>
            <w:noProof/>
            <w:webHidden/>
          </w:rPr>
          <w:tab/>
        </w:r>
        <w:r w:rsidR="00994737">
          <w:rPr>
            <w:noProof/>
            <w:webHidden/>
          </w:rPr>
          <w:fldChar w:fldCharType="begin"/>
        </w:r>
        <w:r w:rsidR="00994737">
          <w:rPr>
            <w:noProof/>
            <w:webHidden/>
          </w:rPr>
          <w:instrText xml:space="preserve"> PAGEREF _Toc66355182 \h </w:instrText>
        </w:r>
        <w:r w:rsidR="00994737">
          <w:rPr>
            <w:noProof/>
            <w:webHidden/>
          </w:rPr>
        </w:r>
        <w:r w:rsidR="00994737">
          <w:rPr>
            <w:noProof/>
            <w:webHidden/>
          </w:rPr>
          <w:fldChar w:fldCharType="separate"/>
        </w:r>
        <w:r w:rsidR="000E7FFE">
          <w:rPr>
            <w:noProof/>
            <w:webHidden/>
          </w:rPr>
          <w:t>41</w:t>
        </w:r>
        <w:r w:rsidR="00994737">
          <w:rPr>
            <w:noProof/>
            <w:webHidden/>
          </w:rPr>
          <w:fldChar w:fldCharType="end"/>
        </w:r>
      </w:hyperlink>
    </w:p>
    <w:p w14:paraId="6282C65E" w14:textId="3B90EBF7" w:rsidR="00994737" w:rsidRDefault="001F76D0">
      <w:pPr>
        <w:pStyle w:val="TableofFigures"/>
        <w:tabs>
          <w:tab w:val="right" w:leader="dot" w:pos="9350"/>
        </w:tabs>
        <w:rPr>
          <w:rFonts w:eastAsiaTheme="minorEastAsia"/>
          <w:noProof/>
          <w:lang w:val="en-AU" w:eastAsia="en-AU"/>
        </w:rPr>
      </w:pPr>
      <w:hyperlink w:anchor="_Toc66355183" w:history="1">
        <w:r w:rsidR="00994737" w:rsidRPr="00903DC5">
          <w:rPr>
            <w:rStyle w:val="Hyperlink"/>
            <w:noProof/>
          </w:rPr>
          <w:t>Table 4</w:t>
        </w:r>
        <w:r w:rsidR="00994737" w:rsidRPr="00903DC5">
          <w:rPr>
            <w:rStyle w:val="Hyperlink"/>
            <w:b/>
            <w:bCs/>
            <w:noProof/>
          </w:rPr>
          <w:t xml:space="preserve"> Health and Functioning measures</w:t>
        </w:r>
        <w:r w:rsidR="00994737">
          <w:rPr>
            <w:noProof/>
            <w:webHidden/>
          </w:rPr>
          <w:tab/>
        </w:r>
        <w:r w:rsidR="00994737">
          <w:rPr>
            <w:noProof/>
            <w:webHidden/>
          </w:rPr>
          <w:fldChar w:fldCharType="begin"/>
        </w:r>
        <w:r w:rsidR="00994737">
          <w:rPr>
            <w:noProof/>
            <w:webHidden/>
          </w:rPr>
          <w:instrText xml:space="preserve"> PAGEREF _Toc66355183 \h </w:instrText>
        </w:r>
        <w:r w:rsidR="00994737">
          <w:rPr>
            <w:noProof/>
            <w:webHidden/>
          </w:rPr>
        </w:r>
        <w:r w:rsidR="00994737">
          <w:rPr>
            <w:noProof/>
            <w:webHidden/>
          </w:rPr>
          <w:fldChar w:fldCharType="separate"/>
        </w:r>
        <w:r w:rsidR="000E7FFE">
          <w:rPr>
            <w:noProof/>
            <w:webHidden/>
          </w:rPr>
          <w:t>44</w:t>
        </w:r>
        <w:r w:rsidR="00994737">
          <w:rPr>
            <w:noProof/>
            <w:webHidden/>
          </w:rPr>
          <w:fldChar w:fldCharType="end"/>
        </w:r>
      </w:hyperlink>
    </w:p>
    <w:p w14:paraId="4E00DC57" w14:textId="7A38C000" w:rsidR="00994737" w:rsidRDefault="001F76D0">
      <w:pPr>
        <w:pStyle w:val="TableofFigures"/>
        <w:tabs>
          <w:tab w:val="right" w:leader="dot" w:pos="9350"/>
        </w:tabs>
        <w:rPr>
          <w:rFonts w:eastAsiaTheme="minorEastAsia"/>
          <w:noProof/>
          <w:lang w:val="en-AU" w:eastAsia="en-AU"/>
        </w:rPr>
      </w:pPr>
      <w:hyperlink w:anchor="_Toc66355184" w:history="1">
        <w:r w:rsidR="00994737" w:rsidRPr="00903DC5">
          <w:rPr>
            <w:rStyle w:val="Hyperlink"/>
            <w:noProof/>
          </w:rPr>
          <w:t>Table 5</w:t>
        </w:r>
        <w:r w:rsidR="00994737" w:rsidRPr="00903DC5">
          <w:rPr>
            <w:rStyle w:val="Hyperlink"/>
            <w:b/>
            <w:bCs/>
            <w:noProof/>
          </w:rPr>
          <w:t xml:space="preserve"> Cost benefit measures</w:t>
        </w:r>
        <w:r w:rsidR="00994737">
          <w:rPr>
            <w:noProof/>
            <w:webHidden/>
          </w:rPr>
          <w:tab/>
        </w:r>
        <w:r w:rsidR="00994737">
          <w:rPr>
            <w:noProof/>
            <w:webHidden/>
          </w:rPr>
          <w:fldChar w:fldCharType="begin"/>
        </w:r>
        <w:r w:rsidR="00994737">
          <w:rPr>
            <w:noProof/>
            <w:webHidden/>
          </w:rPr>
          <w:instrText xml:space="preserve"> PAGEREF _Toc66355184 \h </w:instrText>
        </w:r>
        <w:r w:rsidR="00994737">
          <w:rPr>
            <w:noProof/>
            <w:webHidden/>
          </w:rPr>
        </w:r>
        <w:r w:rsidR="00994737">
          <w:rPr>
            <w:noProof/>
            <w:webHidden/>
          </w:rPr>
          <w:fldChar w:fldCharType="separate"/>
        </w:r>
        <w:r w:rsidR="000E7FFE">
          <w:rPr>
            <w:noProof/>
            <w:webHidden/>
          </w:rPr>
          <w:t>50</w:t>
        </w:r>
        <w:r w:rsidR="00994737">
          <w:rPr>
            <w:noProof/>
            <w:webHidden/>
          </w:rPr>
          <w:fldChar w:fldCharType="end"/>
        </w:r>
      </w:hyperlink>
    </w:p>
    <w:p w14:paraId="1211C76E" w14:textId="7978587F" w:rsidR="00994737" w:rsidRDefault="001F76D0">
      <w:pPr>
        <w:pStyle w:val="TableofFigures"/>
        <w:tabs>
          <w:tab w:val="right" w:leader="dot" w:pos="9350"/>
        </w:tabs>
        <w:rPr>
          <w:rFonts w:eastAsiaTheme="minorEastAsia"/>
          <w:noProof/>
          <w:lang w:val="en-AU" w:eastAsia="en-AU"/>
        </w:rPr>
      </w:pPr>
      <w:hyperlink w:anchor="_Toc66355185" w:history="1">
        <w:r w:rsidR="00994737" w:rsidRPr="00903DC5">
          <w:rPr>
            <w:rStyle w:val="Hyperlink"/>
            <w:noProof/>
          </w:rPr>
          <w:t xml:space="preserve">Table 6 </w:t>
        </w:r>
        <w:r w:rsidR="00994737" w:rsidRPr="00903DC5">
          <w:rPr>
            <w:rStyle w:val="Hyperlink"/>
            <w:b/>
            <w:bCs/>
            <w:noProof/>
          </w:rPr>
          <w:t>Social inclusion and participation measures</w:t>
        </w:r>
        <w:r w:rsidR="00994737">
          <w:rPr>
            <w:noProof/>
            <w:webHidden/>
          </w:rPr>
          <w:tab/>
        </w:r>
        <w:r w:rsidR="00994737">
          <w:rPr>
            <w:noProof/>
            <w:webHidden/>
          </w:rPr>
          <w:fldChar w:fldCharType="begin"/>
        </w:r>
        <w:r w:rsidR="00994737">
          <w:rPr>
            <w:noProof/>
            <w:webHidden/>
          </w:rPr>
          <w:instrText xml:space="preserve"> PAGEREF _Toc66355185 \h </w:instrText>
        </w:r>
        <w:r w:rsidR="00994737">
          <w:rPr>
            <w:noProof/>
            <w:webHidden/>
          </w:rPr>
        </w:r>
        <w:r w:rsidR="00994737">
          <w:rPr>
            <w:noProof/>
            <w:webHidden/>
          </w:rPr>
          <w:fldChar w:fldCharType="separate"/>
        </w:r>
        <w:r w:rsidR="000E7FFE">
          <w:rPr>
            <w:noProof/>
            <w:webHidden/>
          </w:rPr>
          <w:t>52</w:t>
        </w:r>
        <w:r w:rsidR="00994737">
          <w:rPr>
            <w:noProof/>
            <w:webHidden/>
          </w:rPr>
          <w:fldChar w:fldCharType="end"/>
        </w:r>
      </w:hyperlink>
    </w:p>
    <w:p w14:paraId="4F1C87EC" w14:textId="15DAECF2" w:rsidR="00994737" w:rsidRDefault="001F76D0">
      <w:pPr>
        <w:pStyle w:val="TableofFigures"/>
        <w:tabs>
          <w:tab w:val="right" w:leader="dot" w:pos="9350"/>
        </w:tabs>
        <w:rPr>
          <w:rFonts w:eastAsiaTheme="minorEastAsia"/>
          <w:noProof/>
          <w:lang w:val="en-AU" w:eastAsia="en-AU"/>
        </w:rPr>
      </w:pPr>
      <w:hyperlink w:anchor="_Toc66355186" w:history="1">
        <w:r w:rsidR="00994737" w:rsidRPr="00903DC5">
          <w:rPr>
            <w:rStyle w:val="Hyperlink"/>
            <w:noProof/>
          </w:rPr>
          <w:t>Table 7</w:t>
        </w:r>
        <w:r w:rsidR="00994737" w:rsidRPr="00903DC5">
          <w:rPr>
            <w:rStyle w:val="Hyperlink"/>
            <w:b/>
            <w:bCs/>
            <w:noProof/>
          </w:rPr>
          <w:t xml:space="preserve"> Funding models</w:t>
        </w:r>
        <w:r w:rsidR="00994737">
          <w:rPr>
            <w:noProof/>
            <w:webHidden/>
          </w:rPr>
          <w:tab/>
        </w:r>
        <w:r w:rsidR="00994737">
          <w:rPr>
            <w:noProof/>
            <w:webHidden/>
          </w:rPr>
          <w:fldChar w:fldCharType="begin"/>
        </w:r>
        <w:r w:rsidR="00994737">
          <w:rPr>
            <w:noProof/>
            <w:webHidden/>
          </w:rPr>
          <w:instrText xml:space="preserve"> PAGEREF _Toc66355186 \h </w:instrText>
        </w:r>
        <w:r w:rsidR="00994737">
          <w:rPr>
            <w:noProof/>
            <w:webHidden/>
          </w:rPr>
        </w:r>
        <w:r w:rsidR="00994737">
          <w:rPr>
            <w:noProof/>
            <w:webHidden/>
          </w:rPr>
          <w:fldChar w:fldCharType="separate"/>
        </w:r>
        <w:r w:rsidR="000E7FFE">
          <w:rPr>
            <w:noProof/>
            <w:webHidden/>
          </w:rPr>
          <w:t>58</w:t>
        </w:r>
        <w:r w:rsidR="00994737">
          <w:rPr>
            <w:noProof/>
            <w:webHidden/>
          </w:rPr>
          <w:fldChar w:fldCharType="end"/>
        </w:r>
      </w:hyperlink>
    </w:p>
    <w:p w14:paraId="14975515" w14:textId="1C6A039E" w:rsidR="00994737" w:rsidRDefault="001F76D0">
      <w:pPr>
        <w:pStyle w:val="TableofFigures"/>
        <w:tabs>
          <w:tab w:val="right" w:leader="dot" w:pos="9350"/>
        </w:tabs>
        <w:rPr>
          <w:rFonts w:eastAsiaTheme="minorEastAsia"/>
          <w:noProof/>
          <w:lang w:val="en-AU" w:eastAsia="en-AU"/>
        </w:rPr>
      </w:pPr>
      <w:hyperlink w:anchor="_Toc66355187" w:history="1">
        <w:r w:rsidR="00994737" w:rsidRPr="00903DC5">
          <w:rPr>
            <w:rStyle w:val="Hyperlink"/>
            <w:noProof/>
          </w:rPr>
          <w:t>Table 8</w:t>
        </w:r>
        <w:r w:rsidR="00994737" w:rsidRPr="00903DC5">
          <w:rPr>
            <w:rStyle w:val="Hyperlink"/>
            <w:b/>
            <w:bCs/>
            <w:noProof/>
          </w:rPr>
          <w:t xml:space="preserve"> Housing stock</w:t>
        </w:r>
        <w:r w:rsidR="00994737">
          <w:rPr>
            <w:noProof/>
            <w:webHidden/>
          </w:rPr>
          <w:tab/>
        </w:r>
        <w:r w:rsidR="00994737">
          <w:rPr>
            <w:noProof/>
            <w:webHidden/>
          </w:rPr>
          <w:fldChar w:fldCharType="begin"/>
        </w:r>
        <w:r w:rsidR="00994737">
          <w:rPr>
            <w:noProof/>
            <w:webHidden/>
          </w:rPr>
          <w:instrText xml:space="preserve"> PAGEREF _Toc66355187 \h </w:instrText>
        </w:r>
        <w:r w:rsidR="00994737">
          <w:rPr>
            <w:noProof/>
            <w:webHidden/>
          </w:rPr>
        </w:r>
        <w:r w:rsidR="00994737">
          <w:rPr>
            <w:noProof/>
            <w:webHidden/>
          </w:rPr>
          <w:fldChar w:fldCharType="separate"/>
        </w:r>
        <w:r w:rsidR="000E7FFE">
          <w:rPr>
            <w:noProof/>
            <w:webHidden/>
          </w:rPr>
          <w:t>65</w:t>
        </w:r>
        <w:r w:rsidR="00994737">
          <w:rPr>
            <w:noProof/>
            <w:webHidden/>
          </w:rPr>
          <w:fldChar w:fldCharType="end"/>
        </w:r>
      </w:hyperlink>
    </w:p>
    <w:p w14:paraId="0CA7D322" w14:textId="2ED375A4" w:rsidR="00994737" w:rsidRDefault="001F76D0">
      <w:pPr>
        <w:pStyle w:val="TableofFigures"/>
        <w:tabs>
          <w:tab w:val="right" w:leader="dot" w:pos="9350"/>
        </w:tabs>
        <w:rPr>
          <w:rFonts w:eastAsiaTheme="minorEastAsia"/>
          <w:noProof/>
          <w:lang w:val="en-AU" w:eastAsia="en-AU"/>
        </w:rPr>
      </w:pPr>
      <w:hyperlink w:anchor="_Toc66355188" w:history="1">
        <w:r w:rsidR="00994737" w:rsidRPr="00903DC5">
          <w:rPr>
            <w:rStyle w:val="Hyperlink"/>
            <w:noProof/>
          </w:rPr>
          <w:t>Table 9</w:t>
        </w:r>
        <w:r w:rsidR="00994737" w:rsidRPr="00903DC5">
          <w:rPr>
            <w:rStyle w:val="Hyperlink"/>
            <w:b/>
            <w:bCs/>
            <w:noProof/>
          </w:rPr>
          <w:t xml:space="preserve"> Transition and supports programs</w:t>
        </w:r>
        <w:r w:rsidR="00994737">
          <w:rPr>
            <w:noProof/>
            <w:webHidden/>
          </w:rPr>
          <w:tab/>
        </w:r>
        <w:r w:rsidR="00994737">
          <w:rPr>
            <w:noProof/>
            <w:webHidden/>
          </w:rPr>
          <w:fldChar w:fldCharType="begin"/>
        </w:r>
        <w:r w:rsidR="00994737">
          <w:rPr>
            <w:noProof/>
            <w:webHidden/>
          </w:rPr>
          <w:instrText xml:space="preserve"> PAGEREF _Toc66355188 \h </w:instrText>
        </w:r>
        <w:r w:rsidR="00994737">
          <w:rPr>
            <w:noProof/>
            <w:webHidden/>
          </w:rPr>
        </w:r>
        <w:r w:rsidR="00994737">
          <w:rPr>
            <w:noProof/>
            <w:webHidden/>
          </w:rPr>
          <w:fldChar w:fldCharType="separate"/>
        </w:r>
        <w:r w:rsidR="000E7FFE">
          <w:rPr>
            <w:noProof/>
            <w:webHidden/>
          </w:rPr>
          <w:t>67</w:t>
        </w:r>
        <w:r w:rsidR="00994737">
          <w:rPr>
            <w:noProof/>
            <w:webHidden/>
          </w:rPr>
          <w:fldChar w:fldCharType="end"/>
        </w:r>
      </w:hyperlink>
    </w:p>
    <w:p w14:paraId="1D5B844A" w14:textId="3253F028" w:rsidR="00994737" w:rsidRDefault="001F76D0">
      <w:pPr>
        <w:pStyle w:val="TableofFigures"/>
        <w:tabs>
          <w:tab w:val="right" w:leader="dot" w:pos="9350"/>
        </w:tabs>
        <w:rPr>
          <w:rFonts w:eastAsiaTheme="minorEastAsia"/>
          <w:noProof/>
          <w:lang w:val="en-AU" w:eastAsia="en-AU"/>
        </w:rPr>
      </w:pPr>
      <w:hyperlink w:anchor="_Toc66355189" w:history="1">
        <w:r w:rsidR="00994737" w:rsidRPr="00903DC5">
          <w:rPr>
            <w:rStyle w:val="Hyperlink"/>
            <w:noProof/>
          </w:rPr>
          <w:t>Table 10</w:t>
        </w:r>
        <w:r w:rsidR="00994737" w:rsidRPr="00903DC5">
          <w:rPr>
            <w:rStyle w:val="Hyperlink"/>
            <w:b/>
            <w:bCs/>
            <w:noProof/>
            <w:lang w:val="en-GB"/>
          </w:rPr>
          <w:t xml:space="preserve"> Staff skills and training</w:t>
        </w:r>
        <w:r w:rsidR="00994737">
          <w:rPr>
            <w:noProof/>
            <w:webHidden/>
          </w:rPr>
          <w:tab/>
        </w:r>
        <w:r w:rsidR="00994737">
          <w:rPr>
            <w:noProof/>
            <w:webHidden/>
          </w:rPr>
          <w:fldChar w:fldCharType="begin"/>
        </w:r>
        <w:r w:rsidR="00994737">
          <w:rPr>
            <w:noProof/>
            <w:webHidden/>
          </w:rPr>
          <w:instrText xml:space="preserve"> PAGEREF _Toc66355189 \h </w:instrText>
        </w:r>
        <w:r w:rsidR="00994737">
          <w:rPr>
            <w:noProof/>
            <w:webHidden/>
          </w:rPr>
        </w:r>
        <w:r w:rsidR="00994737">
          <w:rPr>
            <w:noProof/>
            <w:webHidden/>
          </w:rPr>
          <w:fldChar w:fldCharType="separate"/>
        </w:r>
        <w:r w:rsidR="000E7FFE">
          <w:rPr>
            <w:noProof/>
            <w:webHidden/>
          </w:rPr>
          <w:t>78</w:t>
        </w:r>
        <w:r w:rsidR="00994737">
          <w:rPr>
            <w:noProof/>
            <w:webHidden/>
          </w:rPr>
          <w:fldChar w:fldCharType="end"/>
        </w:r>
      </w:hyperlink>
    </w:p>
    <w:p w14:paraId="5AEEC28E" w14:textId="472F77CD" w:rsidR="00994737" w:rsidRDefault="001F76D0">
      <w:pPr>
        <w:pStyle w:val="TableofFigures"/>
        <w:tabs>
          <w:tab w:val="right" w:leader="dot" w:pos="9350"/>
        </w:tabs>
        <w:rPr>
          <w:rFonts w:eastAsiaTheme="minorEastAsia"/>
          <w:noProof/>
          <w:lang w:val="en-AU" w:eastAsia="en-AU"/>
        </w:rPr>
      </w:pPr>
      <w:hyperlink w:anchor="_Toc66355190" w:history="1">
        <w:r w:rsidR="00994737" w:rsidRPr="00903DC5">
          <w:rPr>
            <w:rStyle w:val="Hyperlink"/>
            <w:noProof/>
          </w:rPr>
          <w:t>Table 11</w:t>
        </w:r>
        <w:r w:rsidR="00994737" w:rsidRPr="00903DC5">
          <w:rPr>
            <w:rStyle w:val="Hyperlink"/>
            <w:b/>
            <w:bCs/>
            <w:noProof/>
          </w:rPr>
          <w:t xml:space="preserve"> Community integration supports</w:t>
        </w:r>
        <w:r w:rsidR="00994737">
          <w:rPr>
            <w:noProof/>
            <w:webHidden/>
          </w:rPr>
          <w:tab/>
        </w:r>
        <w:r w:rsidR="00994737">
          <w:rPr>
            <w:noProof/>
            <w:webHidden/>
          </w:rPr>
          <w:fldChar w:fldCharType="begin"/>
        </w:r>
        <w:r w:rsidR="00994737">
          <w:rPr>
            <w:noProof/>
            <w:webHidden/>
          </w:rPr>
          <w:instrText xml:space="preserve"> PAGEREF _Toc66355190 \h </w:instrText>
        </w:r>
        <w:r w:rsidR="00994737">
          <w:rPr>
            <w:noProof/>
            <w:webHidden/>
          </w:rPr>
        </w:r>
        <w:r w:rsidR="00994737">
          <w:rPr>
            <w:noProof/>
            <w:webHidden/>
          </w:rPr>
          <w:fldChar w:fldCharType="separate"/>
        </w:r>
        <w:r w:rsidR="000E7FFE">
          <w:rPr>
            <w:noProof/>
            <w:webHidden/>
          </w:rPr>
          <w:t>82</w:t>
        </w:r>
        <w:r w:rsidR="00994737">
          <w:rPr>
            <w:noProof/>
            <w:webHidden/>
          </w:rPr>
          <w:fldChar w:fldCharType="end"/>
        </w:r>
      </w:hyperlink>
    </w:p>
    <w:p w14:paraId="14AA99DB" w14:textId="2839F8F0" w:rsidR="00994737" w:rsidRDefault="001F76D0">
      <w:pPr>
        <w:pStyle w:val="TableofFigures"/>
        <w:tabs>
          <w:tab w:val="right" w:leader="dot" w:pos="9350"/>
        </w:tabs>
        <w:rPr>
          <w:rFonts w:eastAsiaTheme="minorEastAsia"/>
          <w:noProof/>
          <w:lang w:val="en-AU" w:eastAsia="en-AU"/>
        </w:rPr>
      </w:pPr>
      <w:hyperlink w:anchor="_Toc66355191" w:history="1">
        <w:r w:rsidR="00994737" w:rsidRPr="00903DC5">
          <w:rPr>
            <w:rStyle w:val="Hyperlink"/>
            <w:noProof/>
          </w:rPr>
          <w:t>Table 12</w:t>
        </w:r>
        <w:r w:rsidR="00994737" w:rsidRPr="00903DC5">
          <w:rPr>
            <w:rStyle w:val="Hyperlink"/>
            <w:b/>
            <w:bCs/>
            <w:noProof/>
            <w:lang w:val="en-GB"/>
          </w:rPr>
          <w:t xml:space="preserve"> Assistive technology and housing modifications</w:t>
        </w:r>
        <w:r w:rsidR="00994737">
          <w:rPr>
            <w:noProof/>
            <w:webHidden/>
          </w:rPr>
          <w:tab/>
        </w:r>
        <w:r w:rsidR="00994737">
          <w:rPr>
            <w:noProof/>
            <w:webHidden/>
          </w:rPr>
          <w:fldChar w:fldCharType="begin"/>
        </w:r>
        <w:r w:rsidR="00994737">
          <w:rPr>
            <w:noProof/>
            <w:webHidden/>
          </w:rPr>
          <w:instrText xml:space="preserve"> PAGEREF _Toc66355191 \h </w:instrText>
        </w:r>
        <w:r w:rsidR="00994737">
          <w:rPr>
            <w:noProof/>
            <w:webHidden/>
          </w:rPr>
        </w:r>
        <w:r w:rsidR="00994737">
          <w:rPr>
            <w:noProof/>
            <w:webHidden/>
          </w:rPr>
          <w:fldChar w:fldCharType="separate"/>
        </w:r>
        <w:r w:rsidR="000E7FFE">
          <w:rPr>
            <w:noProof/>
            <w:webHidden/>
          </w:rPr>
          <w:t>90</w:t>
        </w:r>
        <w:r w:rsidR="00994737">
          <w:rPr>
            <w:noProof/>
            <w:webHidden/>
          </w:rPr>
          <w:fldChar w:fldCharType="end"/>
        </w:r>
      </w:hyperlink>
    </w:p>
    <w:p w14:paraId="6FDD18FC" w14:textId="20412A33" w:rsidR="00994737" w:rsidRDefault="001F76D0">
      <w:pPr>
        <w:pStyle w:val="TableofFigures"/>
        <w:tabs>
          <w:tab w:val="right" w:leader="dot" w:pos="9350"/>
        </w:tabs>
        <w:rPr>
          <w:rFonts w:eastAsiaTheme="minorEastAsia"/>
          <w:noProof/>
          <w:lang w:val="en-AU" w:eastAsia="en-AU"/>
        </w:rPr>
      </w:pPr>
      <w:hyperlink w:anchor="_Toc66355192" w:history="1">
        <w:r w:rsidR="00994737" w:rsidRPr="00903DC5">
          <w:rPr>
            <w:rStyle w:val="Hyperlink"/>
            <w:noProof/>
          </w:rPr>
          <w:t>Table 13</w:t>
        </w:r>
        <w:r w:rsidR="00994737" w:rsidRPr="00903DC5">
          <w:rPr>
            <w:rStyle w:val="Hyperlink"/>
            <w:b/>
            <w:bCs/>
            <w:noProof/>
          </w:rPr>
          <w:t xml:space="preserve"> Individual training and skill development</w:t>
        </w:r>
        <w:r w:rsidR="00994737">
          <w:rPr>
            <w:noProof/>
            <w:webHidden/>
          </w:rPr>
          <w:tab/>
        </w:r>
        <w:r w:rsidR="00994737">
          <w:rPr>
            <w:noProof/>
            <w:webHidden/>
          </w:rPr>
          <w:fldChar w:fldCharType="begin"/>
        </w:r>
        <w:r w:rsidR="00994737">
          <w:rPr>
            <w:noProof/>
            <w:webHidden/>
          </w:rPr>
          <w:instrText xml:space="preserve"> PAGEREF _Toc66355192 \h </w:instrText>
        </w:r>
        <w:r w:rsidR="00994737">
          <w:rPr>
            <w:noProof/>
            <w:webHidden/>
          </w:rPr>
        </w:r>
        <w:r w:rsidR="00994737">
          <w:rPr>
            <w:noProof/>
            <w:webHidden/>
          </w:rPr>
          <w:fldChar w:fldCharType="separate"/>
        </w:r>
        <w:r w:rsidR="000E7FFE">
          <w:rPr>
            <w:noProof/>
            <w:webHidden/>
          </w:rPr>
          <w:t>94</w:t>
        </w:r>
        <w:r w:rsidR="00994737">
          <w:rPr>
            <w:noProof/>
            <w:webHidden/>
          </w:rPr>
          <w:fldChar w:fldCharType="end"/>
        </w:r>
      </w:hyperlink>
    </w:p>
    <w:p w14:paraId="10145EC1" w14:textId="3F2801F2" w:rsidR="00994737" w:rsidRDefault="001F76D0">
      <w:pPr>
        <w:pStyle w:val="TableofFigures"/>
        <w:tabs>
          <w:tab w:val="right" w:leader="dot" w:pos="9350"/>
        </w:tabs>
        <w:rPr>
          <w:rFonts w:eastAsiaTheme="minorEastAsia"/>
          <w:noProof/>
          <w:lang w:val="en-AU" w:eastAsia="en-AU"/>
        </w:rPr>
      </w:pPr>
      <w:hyperlink w:anchor="_Toc66355193" w:history="1">
        <w:r w:rsidR="00994737" w:rsidRPr="00903DC5">
          <w:rPr>
            <w:rStyle w:val="Hyperlink"/>
            <w:noProof/>
          </w:rPr>
          <w:t>Table 14</w:t>
        </w:r>
        <w:r w:rsidR="00994737" w:rsidRPr="00903DC5">
          <w:rPr>
            <w:rStyle w:val="Hyperlink"/>
            <w:b/>
            <w:bCs/>
            <w:noProof/>
          </w:rPr>
          <w:t xml:space="preserve"> Information sources reviewed in the environmental scan</w:t>
        </w:r>
        <w:r w:rsidR="00994737">
          <w:rPr>
            <w:noProof/>
            <w:webHidden/>
          </w:rPr>
          <w:tab/>
        </w:r>
        <w:r w:rsidR="00994737">
          <w:rPr>
            <w:noProof/>
            <w:webHidden/>
          </w:rPr>
          <w:fldChar w:fldCharType="begin"/>
        </w:r>
        <w:r w:rsidR="00994737">
          <w:rPr>
            <w:noProof/>
            <w:webHidden/>
          </w:rPr>
          <w:instrText xml:space="preserve"> PAGEREF _Toc66355193 \h </w:instrText>
        </w:r>
        <w:r w:rsidR="00994737">
          <w:rPr>
            <w:noProof/>
            <w:webHidden/>
          </w:rPr>
        </w:r>
        <w:r w:rsidR="00994737">
          <w:rPr>
            <w:noProof/>
            <w:webHidden/>
          </w:rPr>
          <w:fldChar w:fldCharType="separate"/>
        </w:r>
        <w:r w:rsidR="000E7FFE">
          <w:rPr>
            <w:noProof/>
            <w:webHidden/>
          </w:rPr>
          <w:t>102</w:t>
        </w:r>
        <w:r w:rsidR="00994737">
          <w:rPr>
            <w:noProof/>
            <w:webHidden/>
          </w:rPr>
          <w:fldChar w:fldCharType="end"/>
        </w:r>
      </w:hyperlink>
    </w:p>
    <w:p w14:paraId="7883D878" w14:textId="22A9247B" w:rsidR="00994737" w:rsidRDefault="001F76D0">
      <w:pPr>
        <w:pStyle w:val="TableofFigures"/>
        <w:tabs>
          <w:tab w:val="right" w:leader="dot" w:pos="9350"/>
        </w:tabs>
        <w:rPr>
          <w:rFonts w:eastAsiaTheme="minorEastAsia"/>
          <w:noProof/>
          <w:lang w:val="en-AU" w:eastAsia="en-AU"/>
        </w:rPr>
      </w:pPr>
      <w:hyperlink w:anchor="_Toc66355194" w:history="1">
        <w:r w:rsidR="00994737" w:rsidRPr="00903DC5">
          <w:rPr>
            <w:rStyle w:val="Hyperlink"/>
            <w:noProof/>
          </w:rPr>
          <w:t>Table 15 Evidence map</w:t>
        </w:r>
        <w:r w:rsidR="00994737">
          <w:rPr>
            <w:noProof/>
            <w:webHidden/>
          </w:rPr>
          <w:tab/>
        </w:r>
        <w:r w:rsidR="00994737">
          <w:rPr>
            <w:noProof/>
            <w:webHidden/>
          </w:rPr>
          <w:fldChar w:fldCharType="begin"/>
        </w:r>
        <w:r w:rsidR="00994737">
          <w:rPr>
            <w:noProof/>
            <w:webHidden/>
          </w:rPr>
          <w:instrText xml:space="preserve"> PAGEREF _Toc66355194 \h </w:instrText>
        </w:r>
        <w:r w:rsidR="00994737">
          <w:rPr>
            <w:noProof/>
            <w:webHidden/>
          </w:rPr>
        </w:r>
        <w:r w:rsidR="00994737">
          <w:rPr>
            <w:noProof/>
            <w:webHidden/>
          </w:rPr>
          <w:fldChar w:fldCharType="separate"/>
        </w:r>
        <w:r w:rsidR="000E7FFE">
          <w:rPr>
            <w:noProof/>
            <w:webHidden/>
          </w:rPr>
          <w:t>123</w:t>
        </w:r>
        <w:r w:rsidR="00994737">
          <w:rPr>
            <w:noProof/>
            <w:webHidden/>
          </w:rPr>
          <w:fldChar w:fldCharType="end"/>
        </w:r>
      </w:hyperlink>
    </w:p>
    <w:p w14:paraId="751462EF" w14:textId="07D808AC" w:rsidR="00994737" w:rsidRDefault="001F76D0">
      <w:pPr>
        <w:pStyle w:val="TableofFigures"/>
        <w:tabs>
          <w:tab w:val="right" w:leader="dot" w:pos="9350"/>
        </w:tabs>
        <w:rPr>
          <w:rFonts w:eastAsiaTheme="minorEastAsia"/>
          <w:noProof/>
          <w:lang w:val="en-AU" w:eastAsia="en-AU"/>
        </w:rPr>
      </w:pPr>
      <w:hyperlink w:anchor="_Toc66355195" w:history="1">
        <w:r w:rsidR="00994737" w:rsidRPr="00903DC5">
          <w:rPr>
            <w:rStyle w:val="Hyperlink"/>
            <w:noProof/>
          </w:rPr>
          <w:t>Table 16</w:t>
        </w:r>
        <w:r w:rsidR="00994737" w:rsidRPr="00903DC5">
          <w:rPr>
            <w:rStyle w:val="Hyperlink"/>
            <w:b/>
            <w:bCs/>
            <w:noProof/>
          </w:rPr>
          <w:t xml:space="preserve"> Characteristics of studies included in review</w:t>
        </w:r>
        <w:r w:rsidR="00994737">
          <w:rPr>
            <w:noProof/>
            <w:webHidden/>
          </w:rPr>
          <w:tab/>
        </w:r>
        <w:r w:rsidR="00994737">
          <w:rPr>
            <w:noProof/>
            <w:webHidden/>
          </w:rPr>
          <w:fldChar w:fldCharType="begin"/>
        </w:r>
        <w:r w:rsidR="00994737">
          <w:rPr>
            <w:noProof/>
            <w:webHidden/>
          </w:rPr>
          <w:instrText xml:space="preserve"> PAGEREF _Toc66355195 \h </w:instrText>
        </w:r>
        <w:r w:rsidR="00994737">
          <w:rPr>
            <w:noProof/>
            <w:webHidden/>
          </w:rPr>
        </w:r>
        <w:r w:rsidR="00994737">
          <w:rPr>
            <w:noProof/>
            <w:webHidden/>
          </w:rPr>
          <w:fldChar w:fldCharType="separate"/>
        </w:r>
        <w:r w:rsidR="000E7FFE">
          <w:rPr>
            <w:noProof/>
            <w:webHidden/>
          </w:rPr>
          <w:t>148</w:t>
        </w:r>
        <w:r w:rsidR="00994737">
          <w:rPr>
            <w:noProof/>
            <w:webHidden/>
          </w:rPr>
          <w:fldChar w:fldCharType="end"/>
        </w:r>
      </w:hyperlink>
    </w:p>
    <w:p w14:paraId="43FC56EE" w14:textId="77777777" w:rsidR="00994737" w:rsidRDefault="005B25E6" w:rsidP="005B25E6">
      <w:pPr>
        <w:rPr>
          <w:noProof/>
        </w:rPr>
      </w:pPr>
      <w:r>
        <w:fldChar w:fldCharType="end"/>
      </w:r>
      <w:r>
        <w:fldChar w:fldCharType="begin"/>
      </w:r>
      <w:r>
        <w:instrText xml:space="preserve"> TOC \h \z \c "Figure" </w:instrText>
      </w:r>
      <w:r>
        <w:fldChar w:fldCharType="separate"/>
      </w:r>
    </w:p>
    <w:p w14:paraId="06EDAA23" w14:textId="4D43250E" w:rsidR="00994737" w:rsidRDefault="001F76D0">
      <w:pPr>
        <w:pStyle w:val="TableofFigures"/>
        <w:tabs>
          <w:tab w:val="right" w:leader="dot" w:pos="9350"/>
        </w:tabs>
        <w:rPr>
          <w:rFonts w:eastAsiaTheme="minorEastAsia"/>
          <w:noProof/>
          <w:lang w:val="en-AU" w:eastAsia="en-AU"/>
        </w:rPr>
      </w:pPr>
      <w:hyperlink w:anchor="_Toc66355196" w:history="1">
        <w:r w:rsidR="00994737" w:rsidRPr="00165B33">
          <w:rPr>
            <w:rStyle w:val="Hyperlink"/>
            <w:noProof/>
          </w:rPr>
          <w:t xml:space="preserve">Figure 1 </w:t>
        </w:r>
        <w:r w:rsidR="00994737" w:rsidRPr="00165B33">
          <w:rPr>
            <w:rStyle w:val="Hyperlink"/>
            <w:rFonts w:ascii="Calibri" w:eastAsia="Times New Roman" w:hAnsi="Calibri" w:cs="Calibri"/>
            <w:b/>
            <w:bCs/>
            <w:noProof/>
            <w:lang w:val="en-GB"/>
          </w:rPr>
          <w:t>PRISMA flowchart</w:t>
        </w:r>
        <w:r w:rsidR="00994737">
          <w:rPr>
            <w:noProof/>
            <w:webHidden/>
          </w:rPr>
          <w:tab/>
        </w:r>
        <w:r w:rsidR="00994737">
          <w:rPr>
            <w:noProof/>
            <w:webHidden/>
          </w:rPr>
          <w:fldChar w:fldCharType="begin"/>
        </w:r>
        <w:r w:rsidR="00994737">
          <w:rPr>
            <w:noProof/>
            <w:webHidden/>
          </w:rPr>
          <w:instrText xml:space="preserve"> PAGEREF _Toc66355196 \h </w:instrText>
        </w:r>
        <w:r w:rsidR="00994737">
          <w:rPr>
            <w:noProof/>
            <w:webHidden/>
          </w:rPr>
        </w:r>
        <w:r w:rsidR="00994737">
          <w:rPr>
            <w:noProof/>
            <w:webHidden/>
          </w:rPr>
          <w:fldChar w:fldCharType="separate"/>
        </w:r>
        <w:r w:rsidR="000E7FFE">
          <w:rPr>
            <w:noProof/>
            <w:webHidden/>
          </w:rPr>
          <w:t>16</w:t>
        </w:r>
        <w:r w:rsidR="00994737">
          <w:rPr>
            <w:noProof/>
            <w:webHidden/>
          </w:rPr>
          <w:fldChar w:fldCharType="end"/>
        </w:r>
      </w:hyperlink>
    </w:p>
    <w:p w14:paraId="66A4C499" w14:textId="7FA7405A" w:rsidR="00994737" w:rsidRDefault="001F76D0">
      <w:pPr>
        <w:pStyle w:val="TableofFigures"/>
        <w:tabs>
          <w:tab w:val="right" w:leader="dot" w:pos="9350"/>
        </w:tabs>
        <w:rPr>
          <w:rFonts w:eastAsiaTheme="minorEastAsia"/>
          <w:noProof/>
          <w:lang w:val="en-AU" w:eastAsia="en-AU"/>
        </w:rPr>
      </w:pPr>
      <w:hyperlink w:anchor="_Toc66355197" w:history="1">
        <w:r w:rsidR="00994737" w:rsidRPr="00165B33">
          <w:rPr>
            <w:rStyle w:val="Hyperlink"/>
            <w:noProof/>
          </w:rPr>
          <w:t>Figure 2</w:t>
        </w:r>
        <w:r w:rsidR="00994737" w:rsidRPr="00165B33">
          <w:rPr>
            <w:rStyle w:val="Hyperlink"/>
            <w:rFonts w:eastAsia="Times New Roman" w:cstheme="minorHAnsi"/>
            <w:b/>
            <w:bCs/>
            <w:noProof/>
            <w:lang w:val="en-GB"/>
          </w:rPr>
          <w:t xml:space="preserve"> Overview of findings</w:t>
        </w:r>
        <w:r w:rsidR="00994737">
          <w:rPr>
            <w:noProof/>
            <w:webHidden/>
          </w:rPr>
          <w:tab/>
        </w:r>
        <w:r w:rsidR="00994737">
          <w:rPr>
            <w:noProof/>
            <w:webHidden/>
          </w:rPr>
          <w:fldChar w:fldCharType="begin"/>
        </w:r>
        <w:r w:rsidR="00994737">
          <w:rPr>
            <w:noProof/>
            <w:webHidden/>
          </w:rPr>
          <w:instrText xml:space="preserve"> PAGEREF _Toc66355197 \h </w:instrText>
        </w:r>
        <w:r w:rsidR="00994737">
          <w:rPr>
            <w:noProof/>
            <w:webHidden/>
          </w:rPr>
        </w:r>
        <w:r w:rsidR="00994737">
          <w:rPr>
            <w:noProof/>
            <w:webHidden/>
          </w:rPr>
          <w:fldChar w:fldCharType="separate"/>
        </w:r>
        <w:r w:rsidR="000E7FFE">
          <w:rPr>
            <w:noProof/>
            <w:webHidden/>
          </w:rPr>
          <w:t>56</w:t>
        </w:r>
        <w:r w:rsidR="00994737">
          <w:rPr>
            <w:noProof/>
            <w:webHidden/>
          </w:rPr>
          <w:fldChar w:fldCharType="end"/>
        </w:r>
      </w:hyperlink>
    </w:p>
    <w:p w14:paraId="7C46FDA8" w14:textId="10777FD0" w:rsidR="00911495" w:rsidRDefault="005B25E6" w:rsidP="005B25E6">
      <w:r>
        <w:fldChar w:fldCharType="end"/>
      </w:r>
    </w:p>
    <w:p w14:paraId="62F9A407" w14:textId="77777777" w:rsidR="00911495" w:rsidRDefault="00911495" w:rsidP="00911495"/>
    <w:p w14:paraId="3FC96EDE" w14:textId="77777777" w:rsidR="00AC2927" w:rsidRDefault="00AC2927"/>
    <w:p w14:paraId="32CB58E6" w14:textId="77777777" w:rsidR="00AC2927" w:rsidRDefault="00AC2927"/>
    <w:p w14:paraId="00BE4422" w14:textId="2DAF2280" w:rsidR="00487160" w:rsidRDefault="00487160">
      <w:r>
        <w:br w:type="page"/>
      </w:r>
    </w:p>
    <w:p w14:paraId="0C4ABFB5" w14:textId="77777777" w:rsidR="008210B6" w:rsidRPr="007D612A" w:rsidRDefault="008210B6" w:rsidP="007D612A">
      <w:pPr>
        <w:pStyle w:val="Heading1"/>
      </w:pPr>
      <w:bookmarkStart w:id="0" w:name="_Toc73535924"/>
      <w:r w:rsidRPr="007D612A">
        <w:lastRenderedPageBreak/>
        <w:t>Overview</w:t>
      </w:r>
      <w:bookmarkEnd w:id="0"/>
      <w:r w:rsidRPr="007D612A">
        <w:t xml:space="preserve"> </w:t>
      </w:r>
    </w:p>
    <w:p w14:paraId="3359622E" w14:textId="21755DE5" w:rsidR="00F5342A" w:rsidRPr="00F5342A" w:rsidRDefault="008210B6" w:rsidP="00F1214C">
      <w:pPr>
        <w:pStyle w:val="xxmsolistparagraph"/>
        <w:shd w:val="clear" w:color="auto" w:fill="FFFFFF"/>
        <w:spacing w:before="120" w:beforeAutospacing="0" w:after="0" w:afterAutospacing="0" w:line="360" w:lineRule="auto"/>
        <w:rPr>
          <w:rFonts w:asciiTheme="minorHAnsi" w:eastAsiaTheme="minorHAnsi" w:hAnsiTheme="minorHAnsi" w:cstheme="minorBidi"/>
          <w:sz w:val="22"/>
          <w:szCs w:val="22"/>
          <w:lang w:val="en-US" w:eastAsia="en-US"/>
        </w:rPr>
      </w:pPr>
      <w:r w:rsidRPr="00F5342A">
        <w:rPr>
          <w:rFonts w:asciiTheme="minorHAnsi" w:eastAsiaTheme="minorHAnsi" w:hAnsiTheme="minorHAnsi" w:cstheme="minorBidi"/>
          <w:sz w:val="22"/>
          <w:szCs w:val="22"/>
          <w:lang w:val="en-US" w:eastAsia="en-US"/>
        </w:rPr>
        <w:t xml:space="preserve">The </w:t>
      </w:r>
      <w:r w:rsidR="00F5342A">
        <w:rPr>
          <w:rFonts w:asciiTheme="minorHAnsi" w:eastAsiaTheme="minorHAnsi" w:hAnsiTheme="minorHAnsi" w:cstheme="minorBidi"/>
          <w:sz w:val="22"/>
          <w:szCs w:val="22"/>
          <w:lang w:val="en-US" w:eastAsia="en-US"/>
        </w:rPr>
        <w:t xml:space="preserve">aim </w:t>
      </w:r>
      <w:r w:rsidR="00F5342A" w:rsidRPr="00F5342A">
        <w:rPr>
          <w:rFonts w:asciiTheme="minorHAnsi" w:eastAsiaTheme="minorHAnsi" w:hAnsiTheme="minorHAnsi" w:cstheme="minorBidi"/>
          <w:sz w:val="22"/>
          <w:szCs w:val="22"/>
          <w:lang w:val="en-US" w:eastAsia="en-US"/>
        </w:rPr>
        <w:t xml:space="preserve">of this review </w:t>
      </w:r>
      <w:r w:rsidRPr="00F5342A">
        <w:rPr>
          <w:rFonts w:asciiTheme="minorHAnsi" w:eastAsiaTheme="minorHAnsi" w:hAnsiTheme="minorHAnsi" w:cstheme="minorBidi"/>
          <w:sz w:val="22"/>
          <w:szCs w:val="22"/>
          <w:lang w:val="en-US" w:eastAsia="en-US"/>
        </w:rPr>
        <w:t xml:space="preserve">was to </w:t>
      </w:r>
      <w:r w:rsidR="00F5342A" w:rsidRPr="00F5342A">
        <w:rPr>
          <w:rFonts w:asciiTheme="minorHAnsi" w:eastAsiaTheme="minorHAnsi" w:hAnsiTheme="minorHAnsi" w:cstheme="minorBidi"/>
          <w:sz w:val="22"/>
          <w:szCs w:val="22"/>
          <w:lang w:val="en-US" w:eastAsia="en-US"/>
        </w:rPr>
        <w:t>understand the intervention</w:t>
      </w:r>
      <w:r w:rsidR="00F5342A">
        <w:rPr>
          <w:rFonts w:asciiTheme="minorHAnsi" w:eastAsiaTheme="minorHAnsi" w:hAnsiTheme="minorHAnsi" w:cstheme="minorBidi"/>
          <w:sz w:val="22"/>
          <w:szCs w:val="22"/>
          <w:lang w:val="en-US" w:eastAsia="en-US"/>
        </w:rPr>
        <w:t xml:space="preserve">s and </w:t>
      </w:r>
      <w:r w:rsidR="00F5342A" w:rsidRPr="00F5342A">
        <w:rPr>
          <w:rFonts w:asciiTheme="minorHAnsi" w:eastAsiaTheme="minorHAnsi" w:hAnsiTheme="minorHAnsi" w:cstheme="minorBidi"/>
          <w:sz w:val="22"/>
          <w:szCs w:val="22"/>
          <w:lang w:val="en-US" w:eastAsia="en-US"/>
        </w:rPr>
        <w:t xml:space="preserve">strategies that are being used to help people transition out of institutional care </w:t>
      </w:r>
      <w:r w:rsidR="006930B7">
        <w:rPr>
          <w:rFonts w:asciiTheme="minorHAnsi" w:eastAsiaTheme="minorHAnsi" w:hAnsiTheme="minorHAnsi" w:cstheme="minorBidi"/>
          <w:sz w:val="22"/>
          <w:szCs w:val="22"/>
          <w:lang w:val="en-US" w:eastAsia="en-US"/>
        </w:rPr>
        <w:t xml:space="preserve">into </w:t>
      </w:r>
      <w:r w:rsidR="00F5342A" w:rsidRPr="00F5342A">
        <w:rPr>
          <w:rFonts w:asciiTheme="minorHAnsi" w:eastAsiaTheme="minorHAnsi" w:hAnsiTheme="minorHAnsi" w:cstheme="minorBidi"/>
          <w:sz w:val="22"/>
          <w:szCs w:val="22"/>
          <w:lang w:val="en-US" w:eastAsia="en-US"/>
        </w:rPr>
        <w:t xml:space="preserve">more individualised home and living options. </w:t>
      </w:r>
      <w:r w:rsidR="006930B7" w:rsidRPr="006930B7">
        <w:rPr>
          <w:rFonts w:asciiTheme="minorHAnsi" w:eastAsiaTheme="minorHAnsi" w:hAnsiTheme="minorHAnsi" w:cstheme="minorBidi"/>
          <w:sz w:val="22"/>
          <w:szCs w:val="22"/>
          <w:lang w:val="en-US" w:eastAsia="en-US"/>
        </w:rPr>
        <w:t>Oliver et al (2020) define individualised housing</w:t>
      </w:r>
      <w:r w:rsidR="006930B7" w:rsidRPr="00D3719D">
        <w:rPr>
          <w:rFonts w:ascii="Calibri" w:hAnsi="Calibri"/>
          <w:sz w:val="22"/>
          <w:szCs w:val="22"/>
        </w:rPr>
        <w:t xml:space="preserve"> as “housing options that are life stage appropriate, where people with disability have choice regarding where and with whom they live, the support they receive and their day to day activities”. This is a useful definition to guide reference to individualised housing in this report but the reader should note that often papers did not clearly define what was meant by idividualised or community in the specific context.</w:t>
      </w:r>
      <w:r w:rsidR="006930B7">
        <w:rPr>
          <w:rFonts w:ascii="Calibri" w:hAnsi="Calibri"/>
        </w:rPr>
        <w:t xml:space="preserve"> </w:t>
      </w:r>
      <w:r w:rsidR="006930B7">
        <w:rPr>
          <w:rFonts w:asciiTheme="minorHAnsi" w:eastAsiaTheme="minorHAnsi" w:hAnsiTheme="minorHAnsi" w:cstheme="minorBidi"/>
          <w:sz w:val="22"/>
          <w:szCs w:val="22"/>
          <w:lang w:val="en-US" w:eastAsia="en-US"/>
        </w:rPr>
        <w:t xml:space="preserve">The review </w:t>
      </w:r>
      <w:r w:rsidR="00F5342A" w:rsidRPr="00F5342A">
        <w:rPr>
          <w:rFonts w:asciiTheme="minorHAnsi" w:eastAsiaTheme="minorHAnsi" w:hAnsiTheme="minorHAnsi" w:cstheme="minorBidi"/>
          <w:sz w:val="22"/>
          <w:szCs w:val="22"/>
          <w:lang w:val="en-US" w:eastAsia="en-US"/>
        </w:rPr>
        <w:t>also</w:t>
      </w:r>
      <w:r w:rsidR="006930B7">
        <w:rPr>
          <w:rFonts w:asciiTheme="minorHAnsi" w:eastAsiaTheme="minorHAnsi" w:hAnsiTheme="minorHAnsi" w:cstheme="minorBidi"/>
          <w:sz w:val="22"/>
          <w:szCs w:val="22"/>
          <w:lang w:val="en-US" w:eastAsia="en-US"/>
        </w:rPr>
        <w:t xml:space="preserve"> aimed </w:t>
      </w:r>
      <w:r w:rsidR="00F5342A" w:rsidRPr="00F5342A">
        <w:rPr>
          <w:rFonts w:asciiTheme="minorHAnsi" w:eastAsiaTheme="minorHAnsi" w:hAnsiTheme="minorHAnsi" w:cstheme="minorBidi"/>
          <w:sz w:val="22"/>
          <w:szCs w:val="22"/>
          <w:lang w:val="en-US" w:eastAsia="en-US"/>
        </w:rPr>
        <w:t xml:space="preserve"> to </w:t>
      </w:r>
      <w:r w:rsidRPr="00F5342A">
        <w:rPr>
          <w:rFonts w:asciiTheme="minorHAnsi" w:eastAsiaTheme="minorHAnsi" w:hAnsiTheme="minorHAnsi" w:cstheme="minorBidi"/>
          <w:sz w:val="22"/>
          <w:szCs w:val="22"/>
          <w:lang w:val="en-US" w:eastAsia="en-US"/>
        </w:rPr>
        <w:t>document the evidence</w:t>
      </w:r>
      <w:r w:rsidR="006C2AA7">
        <w:rPr>
          <w:rFonts w:asciiTheme="minorHAnsi" w:eastAsiaTheme="minorHAnsi" w:hAnsiTheme="minorHAnsi" w:cstheme="minorBidi"/>
          <w:sz w:val="22"/>
          <w:szCs w:val="22"/>
          <w:lang w:val="en-US" w:eastAsia="en-US"/>
        </w:rPr>
        <w:t xml:space="preserve"> for</w:t>
      </w:r>
      <w:r w:rsidR="00F5342A" w:rsidRPr="00F5342A">
        <w:rPr>
          <w:rFonts w:asciiTheme="minorHAnsi" w:eastAsiaTheme="minorHAnsi" w:hAnsiTheme="minorHAnsi" w:cstheme="minorBidi"/>
          <w:sz w:val="22"/>
          <w:szCs w:val="22"/>
          <w:lang w:val="en-US" w:eastAsia="en-US"/>
        </w:rPr>
        <w:t xml:space="preserve"> the </w:t>
      </w:r>
      <w:r w:rsidRPr="00F5342A">
        <w:rPr>
          <w:rFonts w:asciiTheme="minorHAnsi" w:eastAsiaTheme="minorHAnsi" w:hAnsiTheme="minorHAnsi" w:cstheme="minorBidi"/>
          <w:sz w:val="22"/>
          <w:szCs w:val="22"/>
          <w:lang w:val="en-US" w:eastAsia="en-US"/>
        </w:rPr>
        <w:t>strategies</w:t>
      </w:r>
      <w:r w:rsidR="00F5342A" w:rsidRPr="00F5342A">
        <w:rPr>
          <w:rFonts w:asciiTheme="minorHAnsi" w:eastAsiaTheme="minorHAnsi" w:hAnsiTheme="minorHAnsi" w:cstheme="minorBidi"/>
          <w:sz w:val="22"/>
          <w:szCs w:val="22"/>
          <w:lang w:val="en-US" w:eastAsia="en-US"/>
        </w:rPr>
        <w:t xml:space="preserve"> </w:t>
      </w:r>
      <w:r w:rsidR="006930B7">
        <w:rPr>
          <w:rFonts w:asciiTheme="minorHAnsi" w:eastAsiaTheme="minorHAnsi" w:hAnsiTheme="minorHAnsi" w:cstheme="minorBidi"/>
          <w:sz w:val="22"/>
          <w:szCs w:val="22"/>
          <w:lang w:val="en-US" w:eastAsia="en-US"/>
        </w:rPr>
        <w:t xml:space="preserve">found to </w:t>
      </w:r>
      <w:r w:rsidR="00F5342A" w:rsidRPr="00D3719D">
        <w:rPr>
          <w:rFonts w:asciiTheme="minorHAnsi" w:eastAsiaTheme="minorHAnsi" w:hAnsiTheme="minorHAnsi"/>
          <w:sz w:val="22"/>
          <w:szCs w:val="22"/>
        </w:rPr>
        <w:t>support this transition</w:t>
      </w:r>
      <w:r w:rsidRPr="00D3719D">
        <w:rPr>
          <w:rFonts w:asciiTheme="minorHAnsi" w:eastAsiaTheme="minorHAnsi" w:hAnsiTheme="minorHAnsi"/>
          <w:sz w:val="22"/>
          <w:szCs w:val="22"/>
        </w:rPr>
        <w:t>.</w:t>
      </w:r>
    </w:p>
    <w:p w14:paraId="58BDA0C8" w14:textId="29E41614" w:rsidR="007D612A" w:rsidRPr="00F5342A" w:rsidRDefault="00F5342A" w:rsidP="00F5342A">
      <w:pPr>
        <w:pStyle w:val="xxmsolistparagraph"/>
        <w:shd w:val="clear" w:color="auto" w:fill="FFFFFF"/>
        <w:spacing w:before="0" w:beforeAutospacing="0" w:after="0" w:afterAutospacing="0" w:line="360" w:lineRule="auto"/>
        <w:rPr>
          <w:rFonts w:asciiTheme="minorHAnsi" w:eastAsiaTheme="minorHAnsi" w:hAnsiTheme="minorHAnsi" w:cstheme="minorBidi"/>
          <w:sz w:val="22"/>
          <w:szCs w:val="22"/>
          <w:lang w:val="en-US" w:eastAsia="en-US"/>
        </w:rPr>
      </w:pPr>
      <w:r w:rsidRPr="00F5342A">
        <w:rPr>
          <w:rFonts w:asciiTheme="minorHAnsi" w:eastAsiaTheme="minorHAnsi" w:hAnsiTheme="minorHAnsi" w:cstheme="minorBidi"/>
          <w:sz w:val="22"/>
          <w:szCs w:val="22"/>
          <w:lang w:val="en-US" w:eastAsia="en-US"/>
        </w:rPr>
        <w:t xml:space="preserve">A systematic review and environmental scan of evidence from 2000-2020 across 10 academic databases, 55 organisation websites and </w:t>
      </w:r>
      <w:r w:rsidR="00E14DDD">
        <w:rPr>
          <w:rFonts w:asciiTheme="minorHAnsi" w:eastAsiaTheme="minorHAnsi" w:hAnsiTheme="minorHAnsi" w:cstheme="minorBidi"/>
          <w:sz w:val="22"/>
          <w:szCs w:val="22"/>
          <w:lang w:val="en-US" w:eastAsia="en-US"/>
        </w:rPr>
        <w:t>4</w:t>
      </w:r>
      <w:r w:rsidR="00393708">
        <w:rPr>
          <w:rFonts w:asciiTheme="minorHAnsi" w:eastAsiaTheme="minorHAnsi" w:hAnsiTheme="minorHAnsi" w:cstheme="minorBidi"/>
          <w:sz w:val="22"/>
          <w:szCs w:val="22"/>
          <w:lang w:val="en-US" w:eastAsia="en-US"/>
        </w:rPr>
        <w:t>9</w:t>
      </w:r>
      <w:r w:rsidRPr="00F5342A">
        <w:rPr>
          <w:rFonts w:asciiTheme="minorHAnsi" w:eastAsiaTheme="minorHAnsi" w:hAnsiTheme="minorHAnsi" w:cstheme="minorBidi"/>
          <w:sz w:val="22"/>
          <w:szCs w:val="22"/>
          <w:lang w:val="en-US" w:eastAsia="en-US"/>
        </w:rPr>
        <w:t xml:space="preserve"> grey literature documents was run in October 2020. </w:t>
      </w:r>
    </w:p>
    <w:p w14:paraId="2D4098E4" w14:textId="134AEB29" w:rsidR="008210B6" w:rsidRPr="00BA1862" w:rsidRDefault="008210B6" w:rsidP="00BA1862">
      <w:pPr>
        <w:pStyle w:val="xxmsolistparagraph"/>
        <w:shd w:val="clear" w:color="auto" w:fill="FFFFFF"/>
        <w:spacing w:before="0" w:beforeAutospacing="0" w:after="0" w:afterAutospacing="0" w:line="360" w:lineRule="auto"/>
        <w:rPr>
          <w:rFonts w:asciiTheme="minorHAnsi" w:eastAsiaTheme="minorHAnsi" w:hAnsiTheme="minorHAnsi" w:cstheme="minorBidi"/>
          <w:sz w:val="22"/>
          <w:szCs w:val="22"/>
          <w:lang w:val="en-US" w:eastAsia="en-US"/>
        </w:rPr>
      </w:pPr>
      <w:r w:rsidRPr="00F5342A">
        <w:rPr>
          <w:rFonts w:asciiTheme="minorHAnsi" w:eastAsiaTheme="minorHAnsi" w:hAnsiTheme="minorHAnsi" w:cstheme="minorBidi"/>
          <w:sz w:val="22"/>
          <w:szCs w:val="22"/>
          <w:lang w:val="en-US" w:eastAsia="en-US"/>
        </w:rPr>
        <w:t xml:space="preserve">The academic literature predominantly reported on the process of de-institutionalisation to community group living (n=48 of 105). Twenty papers </w:t>
      </w:r>
      <w:r w:rsidR="00F5342A">
        <w:rPr>
          <w:rFonts w:asciiTheme="minorHAnsi" w:eastAsiaTheme="minorHAnsi" w:hAnsiTheme="minorHAnsi" w:cstheme="minorBidi"/>
          <w:sz w:val="22"/>
          <w:szCs w:val="22"/>
          <w:lang w:val="en-US" w:eastAsia="en-US"/>
        </w:rPr>
        <w:t xml:space="preserve">from this literature </w:t>
      </w:r>
      <w:r w:rsidRPr="00F5342A">
        <w:rPr>
          <w:rFonts w:asciiTheme="minorHAnsi" w:eastAsiaTheme="minorHAnsi" w:hAnsiTheme="minorHAnsi" w:cstheme="minorBidi"/>
          <w:sz w:val="22"/>
          <w:szCs w:val="22"/>
          <w:lang w:val="en-US" w:eastAsia="en-US"/>
        </w:rPr>
        <w:t>specifically addressed individualised or independent supported living models. The grey literature provided evidence of individualised or independent supported living (n=16), and movement from congregated settings (n=22). The environmental scan</w:t>
      </w:r>
      <w:r w:rsidR="00AC4680">
        <w:rPr>
          <w:rFonts w:asciiTheme="minorHAnsi" w:eastAsiaTheme="minorHAnsi" w:hAnsiTheme="minorHAnsi" w:cstheme="minorBidi"/>
          <w:sz w:val="22"/>
          <w:szCs w:val="22"/>
          <w:lang w:val="en-US" w:eastAsia="en-US"/>
        </w:rPr>
        <w:t xml:space="preserve"> described</w:t>
      </w:r>
      <w:r w:rsidRPr="00F5342A">
        <w:rPr>
          <w:rFonts w:asciiTheme="minorHAnsi" w:eastAsiaTheme="minorHAnsi" w:hAnsiTheme="minorHAnsi" w:cstheme="minorBidi"/>
          <w:sz w:val="22"/>
          <w:szCs w:val="22"/>
          <w:lang w:val="en-US" w:eastAsia="en-US"/>
        </w:rPr>
        <w:t xml:space="preserve"> accommodation interventions and supports implemented in the disability sector, with 26 organisations providing specialist accommodation and 21 offering consulting and information services to support people with disabilities in the housing process.  </w:t>
      </w:r>
    </w:p>
    <w:p w14:paraId="22363F24" w14:textId="12192E5A" w:rsidR="008210B6" w:rsidRDefault="008210B6" w:rsidP="008210B6">
      <w:pPr>
        <w:spacing w:line="360" w:lineRule="auto"/>
        <w:jc w:val="both"/>
      </w:pPr>
      <w:r w:rsidRPr="005E1C91">
        <w:t xml:space="preserve">The comprehensive search </w:t>
      </w:r>
      <w:r w:rsidR="00F5342A">
        <w:t>that was conducted included</w:t>
      </w:r>
      <w:r>
        <w:t xml:space="preserve"> </w:t>
      </w:r>
      <w:r w:rsidR="00967240">
        <w:t>five</w:t>
      </w:r>
      <w:r w:rsidR="00BA1862">
        <w:t xml:space="preserve"> </w:t>
      </w:r>
      <w:r>
        <w:t>types of accommodation that people with disabilities transition</w:t>
      </w:r>
      <w:r w:rsidR="003C1170">
        <w:t>ed</w:t>
      </w:r>
      <w:r>
        <w:t xml:space="preserve"> </w:t>
      </w:r>
      <w:r w:rsidR="00F5342A">
        <w:t>into, which</w:t>
      </w:r>
      <w:r>
        <w:t xml:space="preserve"> facilitate</w:t>
      </w:r>
      <w:r w:rsidR="00F5342A">
        <w:t>d greater</w:t>
      </w:r>
      <w:r>
        <w:t xml:space="preserve"> independen</w:t>
      </w:r>
      <w:r w:rsidR="00F5342A">
        <w:t>ce</w:t>
      </w:r>
      <w:r>
        <w:t xml:space="preserve"> a</w:t>
      </w:r>
      <w:r w:rsidR="00F5342A">
        <w:t>s</w:t>
      </w:r>
      <w:r>
        <w:t xml:space="preserve"> a</w:t>
      </w:r>
      <w:r w:rsidRPr="005E1C91">
        <w:t>lternative</w:t>
      </w:r>
      <w:r>
        <w:t>s</w:t>
      </w:r>
      <w:r w:rsidRPr="005E1C91">
        <w:t xml:space="preserve"> to institutional or group home models</w:t>
      </w:r>
      <w:r>
        <w:t xml:space="preserve">. </w:t>
      </w:r>
      <w:r w:rsidR="00F5342A">
        <w:t>In this review, this included</w:t>
      </w:r>
      <w:r>
        <w:t>:</w:t>
      </w:r>
      <w:r w:rsidRPr="006A1677">
        <w:t xml:space="preserve"> </w:t>
      </w:r>
      <w:r>
        <w:t>1.</w:t>
      </w:r>
      <w:r w:rsidR="00D65059">
        <w:t xml:space="preserve"> Community or supported; 2. </w:t>
      </w:r>
      <w:r w:rsidR="00967240">
        <w:t>I</w:t>
      </w:r>
      <w:r>
        <w:t xml:space="preserve">ndependent or semi-independent </w:t>
      </w:r>
      <w:r w:rsidR="00F5342A">
        <w:t xml:space="preserve">homes, </w:t>
      </w:r>
      <w:r>
        <w:t>including living alone, co-residency, relationships</w:t>
      </w:r>
      <w:r w:rsidR="00D65059">
        <w:t xml:space="preserve">; </w:t>
      </w:r>
      <w:r w:rsidR="00593DC2">
        <w:t xml:space="preserve">3. Home ownership (shared equity); 4. Home pooling; </w:t>
      </w:r>
      <w:r w:rsidR="00BA1862">
        <w:t xml:space="preserve">5. </w:t>
      </w:r>
      <w:r w:rsidR="00967240">
        <w:t>H</w:t>
      </w:r>
      <w:r>
        <w:t xml:space="preserve">ousing modifications/redesign/technology including assistive technology and wider living ecology adaptations. Though housing modifications are not a transition </w:t>
      </w:r>
      <w:r w:rsidR="00F5342A">
        <w:t xml:space="preserve">to other housing </w:t>
      </w:r>
      <w:r>
        <w:t>per se, support to redesign and adapt a home is an intervention which</w:t>
      </w:r>
      <w:r w:rsidR="00F5342A">
        <w:t xml:space="preserve"> is typically employed to prevent </w:t>
      </w:r>
      <w:r>
        <w:t>transition to congregate setting</w:t>
      </w:r>
      <w:r w:rsidR="00F5342A">
        <w:t xml:space="preserve"> and was therefore included as part of this review</w:t>
      </w:r>
      <w:r>
        <w:t>.</w:t>
      </w:r>
      <w:r>
        <w:rPr>
          <w:rFonts w:asciiTheme="majorHAnsi" w:eastAsiaTheme="majorEastAsia" w:hAnsiTheme="majorHAnsi" w:cstheme="majorBidi"/>
          <w:color w:val="1F4E79" w:themeColor="accent1" w:themeShade="80"/>
          <w:sz w:val="26"/>
          <w:szCs w:val="26"/>
        </w:rPr>
        <w:t xml:space="preserve"> </w:t>
      </w:r>
    </w:p>
    <w:p w14:paraId="16211987" w14:textId="6516B75C" w:rsidR="008210B6" w:rsidRDefault="008210B6" w:rsidP="008210B6">
      <w:pPr>
        <w:pStyle w:val="Heading2"/>
      </w:pPr>
      <w:bookmarkStart w:id="1" w:name="_Toc73535925"/>
      <w:r>
        <w:t>Key findings</w:t>
      </w:r>
      <w:bookmarkEnd w:id="1"/>
    </w:p>
    <w:p w14:paraId="0EDD1488" w14:textId="61F71DE0" w:rsidR="008210B6" w:rsidRDefault="00F5342A" w:rsidP="00B06301">
      <w:pPr>
        <w:pStyle w:val="ListParagraph"/>
        <w:numPr>
          <w:ilvl w:val="0"/>
          <w:numId w:val="10"/>
        </w:numPr>
        <w:spacing w:line="360" w:lineRule="auto"/>
        <w:jc w:val="both"/>
      </w:pPr>
      <w:r>
        <w:t xml:space="preserve">Interventions that enable transition exist at policy </w:t>
      </w:r>
      <w:r w:rsidRPr="001703E4">
        <w:rPr>
          <w:i/>
          <w:iCs/>
        </w:rPr>
        <w:t>(flexible funding, adequate housing stock),</w:t>
      </w:r>
      <w:r>
        <w:t xml:space="preserve"> organisational </w:t>
      </w:r>
      <w:r w:rsidRPr="001703E4">
        <w:rPr>
          <w:i/>
          <w:iCs/>
        </w:rPr>
        <w:t>(staff training, provision of specialist services, person centred values</w:t>
      </w:r>
      <w:r>
        <w:t xml:space="preserve">), community </w:t>
      </w:r>
      <w:r w:rsidRPr="001703E4">
        <w:rPr>
          <w:i/>
          <w:iCs/>
        </w:rPr>
        <w:t>(technology, outreach supports</w:t>
      </w:r>
      <w:r>
        <w:t xml:space="preserve">), interpersonal </w:t>
      </w:r>
      <w:r w:rsidRPr="001703E4">
        <w:rPr>
          <w:i/>
          <w:iCs/>
        </w:rPr>
        <w:t>(staff support and informal</w:t>
      </w:r>
      <w:r>
        <w:rPr>
          <w:i/>
          <w:iCs/>
        </w:rPr>
        <w:t xml:space="preserve"> networks and</w:t>
      </w:r>
      <w:r w:rsidRPr="001703E4">
        <w:rPr>
          <w:i/>
          <w:iCs/>
        </w:rPr>
        <w:t xml:space="preserve"> supports)</w:t>
      </w:r>
      <w:r>
        <w:t xml:space="preserve"> and individual level</w:t>
      </w:r>
      <w:r w:rsidR="00370CB2">
        <w:t>s</w:t>
      </w:r>
      <w:r>
        <w:t xml:space="preserve"> </w:t>
      </w:r>
      <w:r w:rsidRPr="001703E4">
        <w:rPr>
          <w:i/>
          <w:iCs/>
        </w:rPr>
        <w:t xml:space="preserve">(involvement and </w:t>
      </w:r>
      <w:r w:rsidR="00C33163">
        <w:rPr>
          <w:i/>
          <w:iCs/>
        </w:rPr>
        <w:t>skill development</w:t>
      </w:r>
      <w:r w:rsidRPr="001703E4">
        <w:rPr>
          <w:i/>
          <w:iCs/>
        </w:rPr>
        <w:t>).</w:t>
      </w:r>
      <w:r>
        <w:t xml:space="preserve"> Barriers to transition also exist at each of these levels</w:t>
      </w:r>
    </w:p>
    <w:p w14:paraId="2510848B" w14:textId="1FF88008" w:rsidR="00AC4680" w:rsidRDefault="00AC4680" w:rsidP="00B06301">
      <w:pPr>
        <w:pStyle w:val="ListParagraph"/>
        <w:numPr>
          <w:ilvl w:val="0"/>
          <w:numId w:val="10"/>
        </w:numPr>
        <w:spacing w:line="360" w:lineRule="auto"/>
        <w:jc w:val="both"/>
      </w:pPr>
      <w:r>
        <w:lastRenderedPageBreak/>
        <w:t xml:space="preserve">Improvements in independence, quality of life and wellbeing, social inclusion and participation (including attainment of social valued roles), health and functioning, </w:t>
      </w:r>
      <w:r w:rsidR="00370CB2">
        <w:t xml:space="preserve">and </w:t>
      </w:r>
      <w:r>
        <w:t xml:space="preserve">adaptive behaviour were found for people with disabilities following transition to housing alternatives other than congregate and group home settings. </w:t>
      </w:r>
    </w:p>
    <w:p w14:paraId="526959A1" w14:textId="5B823E96" w:rsidR="008210B6" w:rsidRDefault="00AC4680" w:rsidP="00B06301">
      <w:pPr>
        <w:pStyle w:val="ListParagraph"/>
        <w:numPr>
          <w:ilvl w:val="0"/>
          <w:numId w:val="10"/>
        </w:numPr>
        <w:spacing w:line="360" w:lineRule="auto"/>
        <w:jc w:val="both"/>
      </w:pPr>
      <w:r>
        <w:t xml:space="preserve">While there was </w:t>
      </w:r>
      <w:r w:rsidR="007717F1">
        <w:t xml:space="preserve">some </w:t>
      </w:r>
      <w:r>
        <w:t xml:space="preserve">evidence of benefit from housing transition across a range of outcome measures, </w:t>
      </w:r>
      <w:r w:rsidR="00C84DA9">
        <w:t>i</w:t>
      </w:r>
      <w:r w:rsidR="008210B6">
        <w:t>ndicators and tools used to measure effectiveness were varied across studies with n</w:t>
      </w:r>
      <w:r w:rsidR="008210B6" w:rsidRPr="005E1C91">
        <w:t xml:space="preserve">o </w:t>
      </w:r>
      <w:r w:rsidR="008210B6">
        <w:t xml:space="preserve">standardised </w:t>
      </w:r>
      <w:r w:rsidR="008210B6" w:rsidRPr="005E1C91">
        <w:t>outcome measure</w:t>
      </w:r>
      <w:r w:rsidR="008210B6">
        <w:t xml:space="preserve"> within a category (for example, no single measure of quality of life)</w:t>
      </w:r>
      <w:r w:rsidR="008210B6" w:rsidRPr="005E1C91">
        <w:t xml:space="preserve"> </w:t>
      </w:r>
      <w:r w:rsidR="008210B6">
        <w:t xml:space="preserve">and no standard suite of outcome measures being implemented (studies measured a range of factors but not the same range in each study).  </w:t>
      </w:r>
    </w:p>
    <w:p w14:paraId="5A885339" w14:textId="559D6EDE" w:rsidR="008210B6" w:rsidRDefault="008210B6" w:rsidP="00B06301">
      <w:pPr>
        <w:pStyle w:val="ListParagraph"/>
        <w:numPr>
          <w:ilvl w:val="0"/>
          <w:numId w:val="10"/>
        </w:numPr>
        <w:spacing w:line="360" w:lineRule="auto"/>
        <w:jc w:val="both"/>
      </w:pPr>
      <w:r>
        <w:t xml:space="preserve">The evidence on cost-effectiveness </w:t>
      </w:r>
      <w:r w:rsidR="003D6196">
        <w:t>for living options other than congregate settings</w:t>
      </w:r>
      <w:r w:rsidR="00967240">
        <w:t xml:space="preserve"> </w:t>
      </w:r>
      <w:r>
        <w:t>was limited (n=</w:t>
      </w:r>
      <w:r w:rsidR="00C032F7">
        <w:t>5</w:t>
      </w:r>
      <w:r>
        <w:t>) and inconclusive</w:t>
      </w:r>
      <w:r w:rsidR="00AC4680">
        <w:t>, requiring further data</w:t>
      </w:r>
      <w:r>
        <w:t>.</w:t>
      </w:r>
    </w:p>
    <w:p w14:paraId="3AEDAA0B" w14:textId="4D927513" w:rsidR="008210B6" w:rsidRDefault="008210B6" w:rsidP="00B06301">
      <w:pPr>
        <w:pStyle w:val="ListParagraph"/>
        <w:numPr>
          <w:ilvl w:val="0"/>
          <w:numId w:val="10"/>
        </w:numPr>
        <w:spacing w:line="360" w:lineRule="auto"/>
        <w:jc w:val="both"/>
      </w:pPr>
      <w:r>
        <w:t xml:space="preserve">Evaluation of effectiveness of current practices </w:t>
      </w:r>
      <w:r w:rsidR="00370CB2">
        <w:t xml:space="preserve">was </w:t>
      </w:r>
      <w:r>
        <w:t xml:space="preserve">not </w:t>
      </w:r>
      <w:r w:rsidR="00F1214C">
        <w:t>detectible</w:t>
      </w:r>
      <w:r w:rsidR="00370CB2">
        <w:t xml:space="preserve"> </w:t>
      </w:r>
      <w:r>
        <w:t xml:space="preserve">in the environmental scan. Many of these initiatives are new and developing. There is a need to evaluate these practices to establish impact on participant outcomes. </w:t>
      </w:r>
    </w:p>
    <w:p w14:paraId="3777E9E5" w14:textId="6565E4D3" w:rsidR="00476C3F" w:rsidRDefault="00E7233A">
      <w:pPr>
        <w:rPr>
          <w:rFonts w:asciiTheme="majorHAnsi" w:eastAsiaTheme="majorEastAsia" w:hAnsiTheme="majorHAnsi" w:cstheme="majorBidi"/>
          <w:color w:val="1F4E79" w:themeColor="accent1" w:themeShade="80"/>
          <w:sz w:val="32"/>
          <w:szCs w:val="32"/>
        </w:rPr>
      </w:pPr>
      <w:r>
        <w:t xml:space="preserve">The review took a whole of person approach and identified a range of strategies that have been documented as supporting transition. Some but not all of these are likely to reside within the remit of the NDIA solely. </w:t>
      </w:r>
      <w:r w:rsidR="00476C3F">
        <w:br w:type="page"/>
      </w:r>
    </w:p>
    <w:p w14:paraId="4AA136E5" w14:textId="73E8725A" w:rsidR="008210B6" w:rsidRDefault="008210B6" w:rsidP="00862141">
      <w:pPr>
        <w:pStyle w:val="Heading1"/>
      </w:pPr>
      <w:bookmarkStart w:id="2" w:name="_Toc73535926"/>
      <w:r w:rsidRPr="005E1C91">
        <w:lastRenderedPageBreak/>
        <w:t xml:space="preserve">Executive </w:t>
      </w:r>
      <w:r w:rsidRPr="0009532F">
        <w:t>Summary</w:t>
      </w:r>
      <w:bookmarkEnd w:id="2"/>
      <w:r w:rsidRPr="005E1C91">
        <w:t xml:space="preserve"> </w:t>
      </w:r>
    </w:p>
    <w:p w14:paraId="228F3459" w14:textId="77777777" w:rsidR="007D612A" w:rsidRPr="004A1567" w:rsidRDefault="007D612A" w:rsidP="007D612A">
      <w:pPr>
        <w:pStyle w:val="Heading2"/>
        <w:spacing w:before="120" w:after="120"/>
      </w:pPr>
      <w:bookmarkStart w:id="3" w:name="_Toc73535927"/>
      <w:r w:rsidRPr="005E1C91">
        <w:t>Background</w:t>
      </w:r>
      <w:bookmarkEnd w:id="3"/>
    </w:p>
    <w:p w14:paraId="4AD7EBCC" w14:textId="5E4EBDA6" w:rsidR="00964C69" w:rsidRPr="00964C69" w:rsidRDefault="007D612A" w:rsidP="00964C69">
      <w:pPr>
        <w:pStyle w:val="xxmsolistparagraph"/>
        <w:shd w:val="clear" w:color="auto" w:fill="FFFFFF"/>
        <w:spacing w:before="120" w:beforeAutospacing="0" w:after="0" w:afterAutospacing="0" w:line="360" w:lineRule="auto"/>
        <w:rPr>
          <w:rFonts w:asciiTheme="minorHAnsi" w:eastAsiaTheme="minorHAnsi" w:hAnsiTheme="minorHAnsi" w:cstheme="minorBidi"/>
          <w:sz w:val="22"/>
          <w:szCs w:val="22"/>
          <w:lang w:val="en-US" w:eastAsia="en-US"/>
        </w:rPr>
      </w:pPr>
      <w:r w:rsidRPr="00E7233A">
        <w:rPr>
          <w:rFonts w:asciiTheme="minorHAnsi" w:hAnsiTheme="minorHAnsi"/>
          <w:sz w:val="22"/>
          <w:szCs w:val="22"/>
        </w:rPr>
        <w:t xml:space="preserve">This review was commissioned by the NDIA to systematically document evidence-based approaches to </w:t>
      </w:r>
      <w:r w:rsidR="00E7233A">
        <w:rPr>
          <w:rFonts w:asciiTheme="minorHAnsi" w:hAnsiTheme="minorHAnsi"/>
          <w:sz w:val="22"/>
          <w:szCs w:val="22"/>
        </w:rPr>
        <w:t xml:space="preserve">transition to more </w:t>
      </w:r>
      <w:r w:rsidRPr="00E7233A">
        <w:rPr>
          <w:rFonts w:asciiTheme="minorHAnsi" w:hAnsiTheme="minorHAnsi"/>
          <w:sz w:val="22"/>
          <w:szCs w:val="22"/>
        </w:rPr>
        <w:t>independent</w:t>
      </w:r>
      <w:r w:rsidR="00E7233A">
        <w:rPr>
          <w:rFonts w:asciiTheme="minorHAnsi" w:hAnsiTheme="minorHAnsi"/>
          <w:sz w:val="22"/>
          <w:szCs w:val="22"/>
        </w:rPr>
        <w:t xml:space="preserve"> and/or individualised</w:t>
      </w:r>
      <w:r w:rsidRPr="00E7233A">
        <w:rPr>
          <w:rFonts w:asciiTheme="minorHAnsi" w:hAnsiTheme="minorHAnsi"/>
          <w:sz w:val="22"/>
          <w:szCs w:val="22"/>
        </w:rPr>
        <w:t xml:space="preserve"> living. Specifically, this review aimed to collate evidence to highlight what works well to support transition out of congregate or group home facilities, and that which prevents movement into these facilities by people with disabilities. One of the underpinning values of the NDIS as an individualised funding source, is to facilitate greater choice and control by people with disabilities in their lives. This review </w:t>
      </w:r>
      <w:r w:rsidR="00AC4680" w:rsidRPr="00E7233A">
        <w:rPr>
          <w:rFonts w:asciiTheme="minorHAnsi" w:hAnsiTheme="minorHAnsi"/>
          <w:sz w:val="22"/>
          <w:szCs w:val="22"/>
        </w:rPr>
        <w:t>aims to</w:t>
      </w:r>
      <w:r w:rsidRPr="00E7233A">
        <w:rPr>
          <w:rFonts w:asciiTheme="minorHAnsi" w:hAnsiTheme="minorHAnsi"/>
          <w:sz w:val="22"/>
          <w:szCs w:val="22"/>
        </w:rPr>
        <w:t xml:space="preserve"> support decision making about funding and supports for people with disabilities to access the living option of their choosing and inform NDIA home and living policy development.</w:t>
      </w:r>
      <w:r w:rsidR="00964C69" w:rsidRPr="00E7233A">
        <w:rPr>
          <w:rFonts w:asciiTheme="minorHAnsi" w:hAnsiTheme="minorHAnsi"/>
          <w:sz w:val="22"/>
          <w:szCs w:val="22"/>
        </w:rPr>
        <w:t xml:space="preserve"> </w:t>
      </w:r>
      <w:r w:rsidR="00E7233A" w:rsidRPr="00D3719D">
        <w:rPr>
          <w:rFonts w:asciiTheme="minorHAnsi" w:hAnsiTheme="minorHAnsi" w:cstheme="minorHAnsi"/>
          <w:sz w:val="22"/>
          <w:szCs w:val="22"/>
        </w:rPr>
        <w:t>The review took a whole of person approach and identified a range of strategies that have been documented as supporting transition. Some but not all of these are likely to reside within the remit of the NDIA solely. Intersectoral collaboration did feature as an enabler to transition.</w:t>
      </w:r>
      <w:r w:rsidR="00E7233A">
        <w:t xml:space="preserve"> </w:t>
      </w:r>
    </w:p>
    <w:p w14:paraId="7E1D7291" w14:textId="77777777" w:rsidR="007D612A" w:rsidRPr="005E1C91" w:rsidRDefault="007D612A" w:rsidP="007D612A">
      <w:pPr>
        <w:pStyle w:val="Heading2"/>
        <w:spacing w:before="120" w:after="120" w:line="360" w:lineRule="auto"/>
        <w:jc w:val="both"/>
      </w:pPr>
      <w:bookmarkStart w:id="4" w:name="_Toc73535928"/>
      <w:r w:rsidRPr="005E1C91">
        <w:t>Research questions</w:t>
      </w:r>
      <w:bookmarkEnd w:id="4"/>
      <w:r w:rsidRPr="005E1C91">
        <w:t xml:space="preserve"> </w:t>
      </w:r>
    </w:p>
    <w:p w14:paraId="4AC12793" w14:textId="77777777" w:rsidR="007D612A" w:rsidRPr="009A6C1D" w:rsidRDefault="007D612A" w:rsidP="007D612A">
      <w:pPr>
        <w:spacing w:before="120" w:after="120" w:line="360" w:lineRule="auto"/>
        <w:jc w:val="both"/>
        <w:rPr>
          <w:lang w:val="en-AU"/>
        </w:rPr>
      </w:pPr>
      <w:r w:rsidRPr="005E1C91">
        <w:rPr>
          <w:lang w:val="en-GB"/>
        </w:rPr>
        <w:t xml:space="preserve">The specific research questions guiding this review were: </w:t>
      </w:r>
    </w:p>
    <w:p w14:paraId="6F1818D4" w14:textId="77777777" w:rsidR="007D612A" w:rsidRPr="005E1C91" w:rsidRDefault="007D612A" w:rsidP="00516AB9">
      <w:pPr>
        <w:pStyle w:val="ListParagraph"/>
        <w:numPr>
          <w:ilvl w:val="0"/>
          <w:numId w:val="27"/>
        </w:numPr>
        <w:spacing w:before="120" w:after="120" w:line="360" w:lineRule="auto"/>
        <w:ind w:left="426" w:hanging="426"/>
        <w:jc w:val="both"/>
        <w:rPr>
          <w:lang w:val="en-GB"/>
        </w:rPr>
      </w:pPr>
      <w:r w:rsidRPr="005E1C91">
        <w:rPr>
          <w:lang w:val="en-GB"/>
        </w:rPr>
        <w:t xml:space="preserve">What interventions/approaches are being used to enable and support people currently in group homes, institutional care and </w:t>
      </w:r>
      <w:r>
        <w:rPr>
          <w:lang w:val="en-GB"/>
        </w:rPr>
        <w:t>residential aged care (</w:t>
      </w:r>
      <w:r w:rsidRPr="005E1C91">
        <w:rPr>
          <w:lang w:val="en-GB"/>
        </w:rPr>
        <w:t>RAC</w:t>
      </w:r>
      <w:r>
        <w:rPr>
          <w:lang w:val="en-GB"/>
        </w:rPr>
        <w:t>)</w:t>
      </w:r>
      <w:r w:rsidRPr="005E1C91">
        <w:rPr>
          <w:lang w:val="en-GB"/>
        </w:rPr>
        <w:t xml:space="preserve"> to move to </w:t>
      </w:r>
      <w:r>
        <w:rPr>
          <w:lang w:val="en-GB"/>
        </w:rPr>
        <w:t xml:space="preserve">alternative </w:t>
      </w:r>
      <w:r w:rsidRPr="005E1C91">
        <w:rPr>
          <w:lang w:val="en-GB"/>
        </w:rPr>
        <w:t>accommodation</w:t>
      </w:r>
      <w:r>
        <w:rPr>
          <w:lang w:val="en-GB"/>
        </w:rPr>
        <w:t>?</w:t>
      </w:r>
    </w:p>
    <w:p w14:paraId="0A7D6279" w14:textId="77777777" w:rsidR="007D612A" w:rsidRPr="005E1C91" w:rsidRDefault="007D612A" w:rsidP="00516AB9">
      <w:pPr>
        <w:pStyle w:val="ListParagraph"/>
        <w:numPr>
          <w:ilvl w:val="0"/>
          <w:numId w:val="27"/>
        </w:numPr>
        <w:spacing w:before="120" w:after="120" w:line="360" w:lineRule="auto"/>
        <w:ind w:left="426" w:hanging="426"/>
        <w:jc w:val="both"/>
        <w:rPr>
          <w:lang w:val="en-AU"/>
        </w:rPr>
      </w:pPr>
      <w:r w:rsidRPr="009A6C1D">
        <w:rPr>
          <w:lang w:val="en-GB"/>
        </w:rPr>
        <w:t>What interventions/approaches are being used to</w:t>
      </w:r>
      <w:r w:rsidRPr="005E1C91">
        <w:rPr>
          <w:lang w:val="en-GB"/>
        </w:rPr>
        <w:t xml:space="preserve"> </w:t>
      </w:r>
      <w:r w:rsidRPr="009A6C1D">
        <w:rPr>
          <w:lang w:val="en-GB"/>
        </w:rPr>
        <w:t>enable and</w:t>
      </w:r>
      <w:r w:rsidRPr="005E1C91">
        <w:rPr>
          <w:lang w:val="en-GB"/>
        </w:rPr>
        <w:t xml:space="preserve"> prevent young people with disability and adults with recently acquired disability from moving into group homes and RAC</w:t>
      </w:r>
      <w:r>
        <w:rPr>
          <w:lang w:val="en-GB"/>
        </w:rPr>
        <w:t>?</w:t>
      </w:r>
    </w:p>
    <w:p w14:paraId="07376D57" w14:textId="77777777" w:rsidR="007D612A" w:rsidRPr="005E1C91" w:rsidRDefault="007D612A" w:rsidP="00516AB9">
      <w:pPr>
        <w:pStyle w:val="ListParagraph"/>
        <w:numPr>
          <w:ilvl w:val="0"/>
          <w:numId w:val="27"/>
        </w:numPr>
        <w:spacing w:before="120" w:after="120" w:line="360" w:lineRule="auto"/>
        <w:ind w:left="426" w:hanging="426"/>
        <w:jc w:val="both"/>
        <w:rPr>
          <w:lang w:val="en-AU"/>
        </w:rPr>
      </w:pPr>
      <w:r w:rsidRPr="005E1C91">
        <w:rPr>
          <w:lang w:val="en-GB"/>
        </w:rPr>
        <w:t>How is the effectiveness of each intervention being measured?</w:t>
      </w:r>
    </w:p>
    <w:p w14:paraId="746A4A9D" w14:textId="77777777" w:rsidR="007D612A" w:rsidRPr="000B42A5" w:rsidRDefault="007D612A" w:rsidP="00516AB9">
      <w:pPr>
        <w:pStyle w:val="ListParagraph"/>
        <w:numPr>
          <w:ilvl w:val="0"/>
          <w:numId w:val="27"/>
        </w:numPr>
        <w:spacing w:before="120" w:after="120"/>
        <w:ind w:left="426" w:hanging="426"/>
      </w:pPr>
      <w:r w:rsidRPr="000B42A5">
        <w:rPr>
          <w:lang w:val="en-GB"/>
        </w:rPr>
        <w:t>Have these measures been validated and, if so, with what populations?</w:t>
      </w:r>
    </w:p>
    <w:p w14:paraId="79755B2A" w14:textId="77777777" w:rsidR="007D612A" w:rsidRPr="005E1C91" w:rsidRDefault="007D612A" w:rsidP="00F30930">
      <w:pPr>
        <w:pStyle w:val="Heading2"/>
        <w:spacing w:before="240" w:after="120"/>
        <w:jc w:val="both"/>
      </w:pPr>
      <w:bookmarkStart w:id="5" w:name="_Toc73535929"/>
      <w:r w:rsidRPr="005E1C91">
        <w:t>Methods</w:t>
      </w:r>
      <w:bookmarkEnd w:id="5"/>
    </w:p>
    <w:p w14:paraId="263742DC" w14:textId="3A9AEE58" w:rsidR="007D612A" w:rsidRPr="005E1C91" w:rsidRDefault="007D612A" w:rsidP="00F30930">
      <w:pPr>
        <w:spacing w:before="120" w:after="120" w:line="360" w:lineRule="auto"/>
      </w:pPr>
      <w:r>
        <w:t>A d</w:t>
      </w:r>
      <w:r w:rsidRPr="005E1C91">
        <w:t>esk</w:t>
      </w:r>
      <w:r>
        <w:t>-</w:t>
      </w:r>
      <w:r w:rsidRPr="005E1C91">
        <w:t>based evidence review was undertaken to answer the</w:t>
      </w:r>
      <w:r>
        <w:t xml:space="preserve"> above research </w:t>
      </w:r>
      <w:r w:rsidRPr="005E1C91">
        <w:t xml:space="preserve">questions. There were </w:t>
      </w:r>
      <w:r w:rsidR="00370CB2">
        <w:t>three</w:t>
      </w:r>
      <w:r w:rsidRPr="005E1C91">
        <w:t xml:space="preserve"> distinct elements:</w:t>
      </w:r>
    </w:p>
    <w:p w14:paraId="310CBB47" w14:textId="1503C9C5" w:rsidR="007D612A" w:rsidRPr="005E1C91" w:rsidRDefault="007D612A" w:rsidP="007D612A">
      <w:pPr>
        <w:pStyle w:val="ListParagraph"/>
        <w:numPr>
          <w:ilvl w:val="0"/>
          <w:numId w:val="1"/>
        </w:numPr>
        <w:spacing w:before="120" w:after="120" w:line="360" w:lineRule="auto"/>
        <w:jc w:val="both"/>
      </w:pPr>
      <w:r w:rsidRPr="005E1C91">
        <w:t xml:space="preserve">Systematic review of academic literature across </w:t>
      </w:r>
      <w:r>
        <w:t>10</w:t>
      </w:r>
      <w:r w:rsidRPr="005E1C91">
        <w:t xml:space="preserve"> academic databases</w:t>
      </w:r>
      <w:r>
        <w:t xml:space="preserve"> (n=10</w:t>
      </w:r>
      <w:r w:rsidR="00F60C9D">
        <w:t>9</w:t>
      </w:r>
      <w:r>
        <w:t xml:space="preserve"> papers);</w:t>
      </w:r>
    </w:p>
    <w:p w14:paraId="507965F6" w14:textId="77777777" w:rsidR="007D612A" w:rsidRPr="005E1C91" w:rsidRDefault="007D612A" w:rsidP="007D612A">
      <w:pPr>
        <w:pStyle w:val="ListParagraph"/>
        <w:numPr>
          <w:ilvl w:val="0"/>
          <w:numId w:val="1"/>
        </w:numPr>
        <w:spacing w:before="120" w:after="120" w:line="360" w:lineRule="auto"/>
        <w:jc w:val="both"/>
      </w:pPr>
      <w:r w:rsidRPr="005E1C91">
        <w:t xml:space="preserve">An environmental scan of current or emerging interventions across Australia and internationally identified through on-line searching, consultation with steering committee </w:t>
      </w:r>
      <w:r>
        <w:t xml:space="preserve">and project </w:t>
      </w:r>
      <w:r w:rsidRPr="005E1C91">
        <w:t>members and informal contacts with sector experts</w:t>
      </w:r>
      <w:r>
        <w:t xml:space="preserve"> (n=55 websites); and</w:t>
      </w:r>
    </w:p>
    <w:p w14:paraId="5C498008" w14:textId="7CBE611A" w:rsidR="007D612A" w:rsidRPr="0060519D" w:rsidRDefault="007D612A" w:rsidP="007D612A">
      <w:pPr>
        <w:pStyle w:val="ListParagraph"/>
        <w:numPr>
          <w:ilvl w:val="0"/>
          <w:numId w:val="1"/>
        </w:numPr>
        <w:spacing w:before="120" w:after="120" w:line="360" w:lineRule="auto"/>
        <w:jc w:val="both"/>
        <w:rPr>
          <w:lang w:val="en-GB"/>
        </w:rPr>
      </w:pPr>
      <w:r w:rsidRPr="005E1C91">
        <w:t xml:space="preserve">A review of grey literature (policy, </w:t>
      </w:r>
      <w:r>
        <w:t>protocols, commissioned reports</w:t>
      </w:r>
      <w:r w:rsidRPr="005E1C91">
        <w:t>) identified through the systematic review and environmental scan process</w:t>
      </w:r>
      <w:r>
        <w:t xml:space="preserve"> (n=</w:t>
      </w:r>
      <w:r w:rsidR="00F60C9D">
        <w:t>4</w:t>
      </w:r>
      <w:r w:rsidR="00F03061">
        <w:t>9</w:t>
      </w:r>
      <w:r>
        <w:t xml:space="preserve"> grey literature documents). </w:t>
      </w:r>
    </w:p>
    <w:p w14:paraId="0AC1A1CE" w14:textId="4ACAC3D0" w:rsidR="007D612A" w:rsidRPr="005E1C91" w:rsidRDefault="007D612A" w:rsidP="0037051F">
      <w:pPr>
        <w:spacing w:line="360" w:lineRule="auto"/>
      </w:pPr>
      <w:r w:rsidRPr="005E1C91">
        <w:lastRenderedPageBreak/>
        <w:t xml:space="preserve">The </w:t>
      </w:r>
      <w:r w:rsidR="00370CB2">
        <w:t>three</w:t>
      </w:r>
      <w:r w:rsidRPr="005E1C91">
        <w:t xml:space="preserve"> steps above were supplemented by hand searching and reference checking of reference lists. </w:t>
      </w:r>
      <w:r w:rsidRPr="00B12398">
        <w:rPr>
          <w:lang w:val="en-GB"/>
        </w:rPr>
        <w:t>Any evidence on interventions were examined to identify</w:t>
      </w:r>
      <w:r w:rsidR="00370CB2">
        <w:rPr>
          <w:lang w:val="en-GB"/>
        </w:rPr>
        <w:t>:</w:t>
      </w:r>
      <w:r w:rsidRPr="00B12398">
        <w:rPr>
          <w:lang w:val="en-GB"/>
        </w:rPr>
        <w:t xml:space="preserve"> what is effective (with whom, how and under what circumstances), </w:t>
      </w:r>
      <w:r w:rsidR="00370CB2">
        <w:rPr>
          <w:lang w:val="en-GB"/>
        </w:rPr>
        <w:t xml:space="preserve">and </w:t>
      </w:r>
      <w:r w:rsidRPr="00B12398">
        <w:rPr>
          <w:lang w:val="en-GB"/>
        </w:rPr>
        <w:t>where is the evidence strong and consistent to support implementation. Recognising the lag that can exist between research publication and practice, the study also involved an environmental scan of current and emerging models of home and living options, with a particular focus on models that support transition to independent</w:t>
      </w:r>
      <w:r w:rsidR="00E7233A">
        <w:rPr>
          <w:lang w:val="en-GB"/>
        </w:rPr>
        <w:t xml:space="preserve"> and/or individualised</w:t>
      </w:r>
      <w:r w:rsidRPr="00B12398">
        <w:rPr>
          <w:lang w:val="en-GB"/>
        </w:rPr>
        <w:t xml:space="preserve"> living.</w:t>
      </w:r>
    </w:p>
    <w:p w14:paraId="416908B8" w14:textId="77777777" w:rsidR="007D612A" w:rsidRDefault="007D612A" w:rsidP="007D612A">
      <w:pPr>
        <w:pStyle w:val="Heading2"/>
        <w:spacing w:before="120" w:after="120"/>
      </w:pPr>
      <w:bookmarkStart w:id="6" w:name="_Toc73535930"/>
      <w:r>
        <w:t>Key findings</w:t>
      </w:r>
      <w:bookmarkEnd w:id="6"/>
    </w:p>
    <w:p w14:paraId="75804D1D" w14:textId="77777777" w:rsidR="007D612A" w:rsidRDefault="007D612A" w:rsidP="00B5199A">
      <w:pPr>
        <w:pStyle w:val="Heading3"/>
      </w:pPr>
      <w:bookmarkStart w:id="7" w:name="_Toc73535931"/>
      <w:r>
        <w:t>Transitions to alternative accommodation</w:t>
      </w:r>
      <w:bookmarkEnd w:id="7"/>
      <w:r>
        <w:t xml:space="preserve"> </w:t>
      </w:r>
    </w:p>
    <w:p w14:paraId="561B3C4F" w14:textId="72F3B026" w:rsidR="007D612A" w:rsidRDefault="007D612A" w:rsidP="007D612A">
      <w:pPr>
        <w:spacing w:before="120" w:after="120" w:line="360" w:lineRule="auto"/>
        <w:jc w:val="both"/>
      </w:pPr>
      <w:r>
        <w:t>The majority of transitions identified in the academic literature were moves from institutions to community settings (n=48), typically community group homes but the type of community setting was not always specified (n=10). Transitions to independent or semi-independent settings were reported in academic papers (n=20), though not always clearly disaggregated or consistently defined. The grey literature reported on the transition to community (n=22). There is also evidence of people with disabilities transitioning to independent living models (n=16)</w:t>
      </w:r>
      <w:r w:rsidR="00E32AF0">
        <w:t>.</w:t>
      </w:r>
    </w:p>
    <w:p w14:paraId="6DE57664" w14:textId="2DA9930D" w:rsidR="007D612A" w:rsidRDefault="00B54E43" w:rsidP="007D612A">
      <w:pPr>
        <w:spacing w:before="120" w:after="120" w:line="360" w:lineRule="auto"/>
        <w:jc w:val="both"/>
      </w:pPr>
      <w:r>
        <w:t>Housing models identified that offer alternative</w:t>
      </w:r>
      <w:r w:rsidR="00903F32">
        <w:t>s</w:t>
      </w:r>
      <w:r>
        <w:t xml:space="preserve"> to institutional and group home models </w:t>
      </w:r>
      <w:r w:rsidR="00AA45C6">
        <w:t xml:space="preserve">are categorised into </w:t>
      </w:r>
      <w:r w:rsidR="00845F5E">
        <w:t>f</w:t>
      </w:r>
      <w:r w:rsidR="006656E0">
        <w:t>ive</w:t>
      </w:r>
      <w:r w:rsidR="00AA45C6">
        <w:t xml:space="preserve"> types: </w:t>
      </w:r>
      <w:r w:rsidR="007D612A">
        <w:t xml:space="preserve"> </w:t>
      </w:r>
    </w:p>
    <w:p w14:paraId="2D67905C" w14:textId="321D725F" w:rsidR="00EE6420" w:rsidRDefault="00EE6420" w:rsidP="00B06301">
      <w:pPr>
        <w:pStyle w:val="ListParagraph"/>
        <w:numPr>
          <w:ilvl w:val="0"/>
          <w:numId w:val="8"/>
        </w:numPr>
        <w:spacing w:before="120" w:after="120" w:line="360" w:lineRule="auto"/>
        <w:jc w:val="both"/>
      </w:pPr>
      <w:r>
        <w:t>Community or Supported living or supported accommodation</w:t>
      </w:r>
    </w:p>
    <w:p w14:paraId="16FBD66A" w14:textId="438FA265" w:rsidR="007D612A" w:rsidRDefault="007D612A" w:rsidP="00B06301">
      <w:pPr>
        <w:pStyle w:val="ListParagraph"/>
        <w:numPr>
          <w:ilvl w:val="0"/>
          <w:numId w:val="8"/>
        </w:numPr>
        <w:spacing w:before="120" w:after="120" w:line="360" w:lineRule="auto"/>
        <w:jc w:val="both"/>
      </w:pPr>
      <w:r>
        <w:t>Independent or semi-independent</w:t>
      </w:r>
      <w:r w:rsidR="00A83FFB">
        <w:t xml:space="preserve"> or personali</w:t>
      </w:r>
      <w:r w:rsidR="00967240">
        <w:t>s</w:t>
      </w:r>
      <w:r w:rsidR="00A83FFB">
        <w:t>ed living</w:t>
      </w:r>
      <w:r w:rsidR="00B216BC">
        <w:t xml:space="preserve"> (</w:t>
      </w:r>
      <w:r>
        <w:t>including living alone, co-residency, relationships, rental</w:t>
      </w:r>
      <w:r w:rsidR="00B216BC">
        <w:t>)</w:t>
      </w:r>
    </w:p>
    <w:p w14:paraId="6C8A1252" w14:textId="77777777" w:rsidR="00EE6420" w:rsidRDefault="005D67BE" w:rsidP="00B06301">
      <w:pPr>
        <w:pStyle w:val="ListParagraph"/>
        <w:numPr>
          <w:ilvl w:val="0"/>
          <w:numId w:val="8"/>
        </w:numPr>
        <w:spacing w:before="120" w:after="120" w:line="360" w:lineRule="auto"/>
        <w:jc w:val="both"/>
      </w:pPr>
      <w:r>
        <w:t>Home ownership/shared equity</w:t>
      </w:r>
    </w:p>
    <w:p w14:paraId="302E8F4B" w14:textId="4621D4AE" w:rsidR="005D67BE" w:rsidRDefault="00EE6420" w:rsidP="00B06301">
      <w:pPr>
        <w:pStyle w:val="ListParagraph"/>
        <w:numPr>
          <w:ilvl w:val="0"/>
          <w:numId w:val="8"/>
        </w:numPr>
        <w:spacing w:before="120" w:after="120" w:line="360" w:lineRule="auto"/>
        <w:jc w:val="both"/>
      </w:pPr>
      <w:r>
        <w:t>H</w:t>
      </w:r>
      <w:r w:rsidR="005D67BE">
        <w:t>ome pooling (keyring)</w:t>
      </w:r>
    </w:p>
    <w:p w14:paraId="21502A70" w14:textId="12A35398" w:rsidR="007D612A" w:rsidRDefault="007D612A" w:rsidP="00B06301">
      <w:pPr>
        <w:pStyle w:val="ListParagraph"/>
        <w:numPr>
          <w:ilvl w:val="0"/>
          <w:numId w:val="8"/>
        </w:numPr>
        <w:spacing w:before="120" w:after="120" w:line="360" w:lineRule="auto"/>
        <w:jc w:val="both"/>
      </w:pPr>
      <w:r>
        <w:t>Housing modifications/redesign/technology including assistive technology and wider living ecology adaptations)</w:t>
      </w:r>
    </w:p>
    <w:p w14:paraId="7101A22F" w14:textId="33347ED7" w:rsidR="00F964F9" w:rsidRPr="005E1C91" w:rsidDel="00925921" w:rsidRDefault="00973826" w:rsidP="00B5199A">
      <w:pPr>
        <w:pStyle w:val="Heading3"/>
      </w:pPr>
      <w:bookmarkStart w:id="8" w:name="_Toc73535932"/>
      <w:r>
        <w:t>Secondary o</w:t>
      </w:r>
      <w:r w:rsidR="00F964F9" w:rsidDel="00925921">
        <w:t>utco</w:t>
      </w:r>
      <w:r>
        <w:t>mes</w:t>
      </w:r>
      <w:bookmarkEnd w:id="8"/>
    </w:p>
    <w:p w14:paraId="66B7E9B2" w14:textId="3B03EF3A" w:rsidR="00F964F9" w:rsidDel="00925921" w:rsidRDefault="001D796D" w:rsidP="00F964F9">
      <w:pPr>
        <w:spacing w:before="120" w:after="120" w:line="360" w:lineRule="auto"/>
      </w:pPr>
      <w:r>
        <w:t xml:space="preserve">Secondary outcomes of the </w:t>
      </w:r>
      <w:r w:rsidR="00EE6420">
        <w:t>move to alternative accommodation</w:t>
      </w:r>
      <w:r w:rsidR="00F964F9" w:rsidDel="00925921">
        <w:t xml:space="preserve"> using self-report quantitative measures</w:t>
      </w:r>
      <w:r w:rsidR="00F964F9">
        <w:t xml:space="preserve"> identified </w:t>
      </w:r>
      <w:r w:rsidR="00F964F9" w:rsidDel="00925921">
        <w:t xml:space="preserve">in the systematic review </w:t>
      </w:r>
      <w:r w:rsidR="00F964F9">
        <w:t>examined</w:t>
      </w:r>
      <w:r w:rsidR="00F964F9" w:rsidDel="00925921">
        <w:t>:</w:t>
      </w:r>
    </w:p>
    <w:p w14:paraId="388D3EFC" w14:textId="5BD03E3A" w:rsidR="00F964F9" w:rsidRDefault="00F964F9" w:rsidP="00B06301">
      <w:pPr>
        <w:pStyle w:val="ListParagraph"/>
        <w:numPr>
          <w:ilvl w:val="0"/>
          <w:numId w:val="7"/>
        </w:numPr>
        <w:spacing w:before="120" w:after="120" w:line="360" w:lineRule="auto"/>
      </w:pPr>
      <w:r w:rsidDel="00925921">
        <w:t>Quality of life (n=</w:t>
      </w:r>
      <w:r w:rsidR="00F60C9D">
        <w:t>25</w:t>
      </w:r>
      <w:r w:rsidDel="00925921">
        <w:t>)</w:t>
      </w:r>
    </w:p>
    <w:p w14:paraId="1DB623EA" w14:textId="3A978E63" w:rsidR="00F964F9" w:rsidDel="00925921" w:rsidRDefault="00F964F9" w:rsidP="00B06301">
      <w:pPr>
        <w:pStyle w:val="ListParagraph"/>
        <w:numPr>
          <w:ilvl w:val="0"/>
          <w:numId w:val="7"/>
        </w:numPr>
        <w:spacing w:before="120" w:after="120" w:line="360" w:lineRule="auto"/>
      </w:pPr>
      <w:r w:rsidDel="00925921">
        <w:t>Choice and control (n=</w:t>
      </w:r>
      <w:r w:rsidR="00F60C9D">
        <w:t>12</w:t>
      </w:r>
      <w:r w:rsidDel="00925921">
        <w:t>)</w:t>
      </w:r>
    </w:p>
    <w:p w14:paraId="6F8C7DBB" w14:textId="655994E8" w:rsidR="00F964F9" w:rsidDel="00925921" w:rsidRDefault="00F964F9" w:rsidP="00B06301">
      <w:pPr>
        <w:pStyle w:val="ListParagraph"/>
        <w:numPr>
          <w:ilvl w:val="0"/>
          <w:numId w:val="7"/>
        </w:numPr>
        <w:spacing w:before="120" w:after="120" w:line="360" w:lineRule="auto"/>
      </w:pPr>
      <w:r w:rsidDel="00925921">
        <w:t>Health</w:t>
      </w:r>
      <w:r>
        <w:t xml:space="preserve">, </w:t>
      </w:r>
      <w:r w:rsidDel="00925921">
        <w:t>functioning</w:t>
      </w:r>
      <w:r>
        <w:t xml:space="preserve"> and adaptive behaviour</w:t>
      </w:r>
      <w:r w:rsidDel="00925921">
        <w:t xml:space="preserve"> (n=</w:t>
      </w:r>
      <w:r w:rsidR="00F60C9D">
        <w:t>23</w:t>
      </w:r>
      <w:r w:rsidDel="00925921">
        <w:t>)</w:t>
      </w:r>
    </w:p>
    <w:p w14:paraId="1C1075F5" w14:textId="38B26604" w:rsidR="00F964F9" w:rsidRDefault="00F964F9" w:rsidP="00B06301">
      <w:pPr>
        <w:pStyle w:val="ListParagraph"/>
        <w:numPr>
          <w:ilvl w:val="0"/>
          <w:numId w:val="7"/>
        </w:numPr>
        <w:spacing w:before="120" w:after="120" w:line="360" w:lineRule="auto"/>
      </w:pPr>
      <w:r w:rsidDel="00925921">
        <w:t>Social inclusion and participation (n=</w:t>
      </w:r>
      <w:r w:rsidR="00F60C9D">
        <w:t>1</w:t>
      </w:r>
      <w:r w:rsidDel="00925921">
        <w:t>)</w:t>
      </w:r>
    </w:p>
    <w:p w14:paraId="3E89EB2E" w14:textId="2F008A36" w:rsidR="00F964F9" w:rsidRDefault="00F964F9" w:rsidP="00B06301">
      <w:pPr>
        <w:pStyle w:val="ListParagraph"/>
        <w:numPr>
          <w:ilvl w:val="0"/>
          <w:numId w:val="7"/>
        </w:numPr>
        <w:spacing w:before="120" w:after="120" w:line="360" w:lineRule="auto"/>
      </w:pPr>
      <w:r>
        <w:lastRenderedPageBreak/>
        <w:t>Cost benefit (n=</w:t>
      </w:r>
      <w:r w:rsidR="00F60C9D">
        <w:t>5</w:t>
      </w:r>
      <w:r>
        <w:t>)</w:t>
      </w:r>
    </w:p>
    <w:p w14:paraId="4C101FDF" w14:textId="1ECAB4E1" w:rsidR="00F964F9" w:rsidRDefault="00F964F9" w:rsidP="00F964F9">
      <w:pPr>
        <w:spacing w:before="120" w:after="120" w:line="360" w:lineRule="auto"/>
      </w:pPr>
      <w:r>
        <w:t xml:space="preserve">These were discussed and reported qualitatively also, with additional qualitative indicators of </w:t>
      </w:r>
      <w:r w:rsidR="00085ED9">
        <w:t xml:space="preserve">perceived </w:t>
      </w:r>
      <w:r>
        <w:t xml:space="preserve">effectiveness </w:t>
      </w:r>
      <w:r w:rsidR="00903F32">
        <w:t xml:space="preserve">of </w:t>
      </w:r>
      <w:r>
        <w:t xml:space="preserve">improved relationships and loneliness reported. </w:t>
      </w:r>
    </w:p>
    <w:p w14:paraId="21A397E3" w14:textId="6B0A2319" w:rsidR="00F964F9" w:rsidRDefault="00F964F9" w:rsidP="00F964F9">
      <w:pPr>
        <w:spacing w:before="120" w:after="120" w:line="360" w:lineRule="auto"/>
      </w:pPr>
      <w:r w:rsidDel="00925921">
        <w:t>Of note, no single</w:t>
      </w:r>
      <w:r>
        <w:t xml:space="preserve"> </w:t>
      </w:r>
      <w:r w:rsidDel="00925921">
        <w:t xml:space="preserve">measure </w:t>
      </w:r>
      <w:r>
        <w:t xml:space="preserve">was </w:t>
      </w:r>
      <w:r w:rsidDel="00925921">
        <w:t xml:space="preserve">used </w:t>
      </w:r>
      <w:r>
        <w:t xml:space="preserve">consistently </w:t>
      </w:r>
      <w:r w:rsidDel="00925921">
        <w:t xml:space="preserve">across studies and the range of measures employed to assess effectiveness also varied. The use of self-report, person-focused measures </w:t>
      </w:r>
      <w:r w:rsidR="00085ED9">
        <w:t xml:space="preserve">was </w:t>
      </w:r>
      <w:r w:rsidR="00903F32">
        <w:t>a positive feature. However, t</w:t>
      </w:r>
      <w:r w:rsidDel="00925921">
        <w:t>he lack of consistency in the selection of measurement makes comparisons between studies and across time challenging.</w:t>
      </w:r>
      <w:r>
        <w:t xml:space="preserve"> </w:t>
      </w:r>
    </w:p>
    <w:p w14:paraId="1B78C50F" w14:textId="77777777" w:rsidR="007D612A" w:rsidRDefault="007D612A" w:rsidP="00B5199A">
      <w:pPr>
        <w:pStyle w:val="Heading3"/>
      </w:pPr>
      <w:bookmarkStart w:id="9" w:name="_Toc73535933"/>
      <w:r>
        <w:t>Interventions that enable transition</w:t>
      </w:r>
      <w:bookmarkEnd w:id="9"/>
    </w:p>
    <w:p w14:paraId="032C9709" w14:textId="70957D48" w:rsidR="007D612A" w:rsidRDefault="000B3708" w:rsidP="00F30930">
      <w:pPr>
        <w:spacing w:before="120" w:line="360" w:lineRule="auto"/>
      </w:pPr>
      <w:r>
        <w:t>A number of interventions that enable transition were identified. These are reported at five levels – policy, organisational, community and environmental, interpersonal and individual</w:t>
      </w:r>
      <w:r w:rsidR="003519B8">
        <w:t>.</w:t>
      </w:r>
    </w:p>
    <w:p w14:paraId="14B9B836" w14:textId="21CA5381" w:rsidR="00F462E3" w:rsidRDefault="00F462E3" w:rsidP="00D34E2F">
      <w:pPr>
        <w:spacing w:line="360" w:lineRule="auto"/>
      </w:pPr>
      <w:r w:rsidRPr="00FA3F18">
        <w:rPr>
          <w:b/>
          <w:bCs/>
        </w:rPr>
        <w:t>Policy and system level:</w:t>
      </w:r>
      <w:r w:rsidR="00EE50AF">
        <w:t xml:space="preserve"> </w:t>
      </w:r>
      <w:r w:rsidR="003B3117">
        <w:t xml:space="preserve">The literature is largely supportive of </w:t>
      </w:r>
      <w:r w:rsidR="00EE50AF">
        <w:t xml:space="preserve">individualised, flexible and direct funding </w:t>
      </w:r>
      <w:r w:rsidR="00D15C57">
        <w:t>policies</w:t>
      </w:r>
      <w:r w:rsidR="00EE50AF">
        <w:t xml:space="preserve"> </w:t>
      </w:r>
      <w:r w:rsidR="00E442AB">
        <w:t xml:space="preserve">and its facilitation of more personalised living arrangements. </w:t>
      </w:r>
      <w:r w:rsidR="008E4845">
        <w:t>Evidence is predominantly qualitative and descriptive with reports of implementation in the</w:t>
      </w:r>
      <w:r w:rsidR="009E5BC4">
        <w:t xml:space="preserve"> UK, the Netherlands, Australia, USA, Italy. </w:t>
      </w:r>
      <w:r w:rsidR="00DD7F80">
        <w:t xml:space="preserve">Addressing sufficient supply of affordable and accessible housing to meet demand for </w:t>
      </w:r>
      <w:r w:rsidR="00D34E2F">
        <w:t xml:space="preserve">homes beyond the group home and institution are noted in the grey literature. </w:t>
      </w:r>
    </w:p>
    <w:p w14:paraId="33DCBBE5" w14:textId="579E724C" w:rsidR="00F462E3" w:rsidRDefault="00F462E3" w:rsidP="00F462E3">
      <w:pPr>
        <w:pStyle w:val="CommentText"/>
        <w:spacing w:before="120" w:after="120" w:line="360" w:lineRule="auto"/>
      </w:pPr>
      <w:r>
        <w:rPr>
          <w:b/>
          <w:bCs/>
        </w:rPr>
        <w:t xml:space="preserve">Organisational: </w:t>
      </w:r>
      <w:r w:rsidR="00085ED9" w:rsidRPr="000D28D6">
        <w:rPr>
          <w:bCs/>
        </w:rPr>
        <w:t xml:space="preserve">There is </w:t>
      </w:r>
      <w:r w:rsidR="00B6543F">
        <w:rPr>
          <w:bCs/>
        </w:rPr>
        <w:t>some</w:t>
      </w:r>
      <w:r w:rsidR="00B6543F" w:rsidRPr="000D28D6">
        <w:rPr>
          <w:bCs/>
        </w:rPr>
        <w:t xml:space="preserve"> </w:t>
      </w:r>
      <w:r w:rsidR="00085ED9" w:rsidRPr="00085ED9">
        <w:rPr>
          <w:bCs/>
        </w:rPr>
        <w:t>evidence</w:t>
      </w:r>
      <w:r w:rsidR="003D6196">
        <w:rPr>
          <w:bCs/>
        </w:rPr>
        <w:t xml:space="preserve"> </w:t>
      </w:r>
      <w:r w:rsidR="00F30930">
        <w:rPr>
          <w:bCs/>
        </w:rPr>
        <w:t>favouring</w:t>
      </w:r>
      <w:r w:rsidR="00085ED9" w:rsidRPr="000D28D6">
        <w:rPr>
          <w:bCs/>
        </w:rPr>
        <w:t xml:space="preserve"> the </w:t>
      </w:r>
      <w:r w:rsidR="00085ED9">
        <w:t xml:space="preserve">delivery </w:t>
      </w:r>
      <w:r w:rsidR="0057587B">
        <w:t xml:space="preserve">of support programmes </w:t>
      </w:r>
      <w:r w:rsidR="00646677" w:rsidRPr="00F5070C">
        <w:rPr>
          <w:lang w:val="en-AU"/>
        </w:rPr>
        <w:t>to facilitate transition from congregated settings or homelessness to de-congregated setting or independent living</w:t>
      </w:r>
      <w:r w:rsidR="00A06545">
        <w:rPr>
          <w:lang w:val="en-AU"/>
        </w:rPr>
        <w:t>, with the</w:t>
      </w:r>
      <w:r w:rsidR="0057587B">
        <w:rPr>
          <w:lang w:val="en-AU"/>
        </w:rPr>
        <w:t xml:space="preserve"> q</w:t>
      </w:r>
      <w:r w:rsidR="00646677" w:rsidRPr="00F5070C">
        <w:rPr>
          <w:lang w:val="en-AU"/>
        </w:rPr>
        <w:t xml:space="preserve">uality of </w:t>
      </w:r>
      <w:r w:rsidR="00A06545">
        <w:rPr>
          <w:lang w:val="en-AU"/>
        </w:rPr>
        <w:t xml:space="preserve">most of </w:t>
      </w:r>
      <w:r w:rsidR="00646677" w:rsidRPr="00F5070C">
        <w:rPr>
          <w:lang w:val="en-AU"/>
        </w:rPr>
        <w:t>the stud</w:t>
      </w:r>
      <w:r w:rsidR="00A06545">
        <w:rPr>
          <w:lang w:val="en-AU"/>
        </w:rPr>
        <w:t>ies involved</w:t>
      </w:r>
      <w:r w:rsidR="00646677" w:rsidRPr="00F5070C">
        <w:rPr>
          <w:lang w:val="en-AU"/>
        </w:rPr>
        <w:t xml:space="preserve"> </w:t>
      </w:r>
      <w:r w:rsidR="008930DF">
        <w:rPr>
          <w:lang w:val="en-AU"/>
        </w:rPr>
        <w:t>rated as fair</w:t>
      </w:r>
      <w:r w:rsidR="00646677" w:rsidRPr="00F5070C">
        <w:rPr>
          <w:lang w:val="en-AU"/>
        </w:rPr>
        <w:t xml:space="preserve">. </w:t>
      </w:r>
      <w:r w:rsidR="00495F3C">
        <w:rPr>
          <w:lang w:val="en-AU"/>
        </w:rPr>
        <w:t>Staff training</w:t>
      </w:r>
      <w:r w:rsidR="00E82B88">
        <w:rPr>
          <w:lang w:val="en-AU"/>
        </w:rPr>
        <w:t xml:space="preserve">, such as Active Support and Person-centredness, </w:t>
      </w:r>
      <w:r>
        <w:t>to support an individual in a person-centred way to choose where to live and navigate the housing market</w:t>
      </w:r>
      <w:r w:rsidR="00E82B88">
        <w:t xml:space="preserve">, </w:t>
      </w:r>
      <w:r w:rsidR="00A06545">
        <w:t>were</w:t>
      </w:r>
      <w:r>
        <w:t xml:space="preserve"> identified as effective mechanisms</w:t>
      </w:r>
      <w:r w:rsidR="00A06545">
        <w:t>:</w:t>
      </w:r>
      <w:r w:rsidR="00E044B2">
        <w:t xml:space="preserve"> </w:t>
      </w:r>
      <w:r w:rsidR="00085ED9">
        <w:t>however</w:t>
      </w:r>
      <w:r w:rsidR="00F30930">
        <w:t>,</w:t>
      </w:r>
      <w:r w:rsidR="00085ED9">
        <w:t xml:space="preserve"> </w:t>
      </w:r>
      <w:r w:rsidR="00E044B2">
        <w:t xml:space="preserve">data </w:t>
      </w:r>
      <w:r w:rsidR="00903F32">
        <w:t>were</w:t>
      </w:r>
      <w:r w:rsidR="00085ED9">
        <w:t xml:space="preserve"> </w:t>
      </w:r>
      <w:r w:rsidR="00E044B2">
        <w:t>mainly qualitative and report</w:t>
      </w:r>
      <w:r w:rsidR="00A06545">
        <w:t>ed</w:t>
      </w:r>
      <w:r w:rsidR="00E044B2">
        <w:t xml:space="preserve"> on individual experiences or case studies. </w:t>
      </w:r>
    </w:p>
    <w:p w14:paraId="36211696" w14:textId="2EC4CBB1" w:rsidR="00F462E3" w:rsidRDefault="00F462E3" w:rsidP="00F462E3">
      <w:pPr>
        <w:pStyle w:val="CommentText"/>
        <w:spacing w:before="120" w:after="120" w:line="360" w:lineRule="auto"/>
      </w:pPr>
      <w:r w:rsidRPr="00FA3F18">
        <w:rPr>
          <w:b/>
          <w:bCs/>
        </w:rPr>
        <w:t>Community &amp; environmental:</w:t>
      </w:r>
      <w:r>
        <w:t xml:space="preserve"> </w:t>
      </w:r>
      <w:r w:rsidR="000F7518">
        <w:t xml:space="preserve">Community outreach supports were identified as </w:t>
      </w:r>
      <w:r w:rsidR="004028E9">
        <w:t xml:space="preserve">enablers to community integration, </w:t>
      </w:r>
      <w:r w:rsidR="00364203">
        <w:t xml:space="preserve">particularly </w:t>
      </w:r>
      <w:r w:rsidR="004028E9">
        <w:t>for people with mental health problems. Access to appropriate and speciali</w:t>
      </w:r>
      <w:r w:rsidR="00085ED9">
        <w:t>s</w:t>
      </w:r>
      <w:r w:rsidR="004028E9">
        <w:t>ed support</w:t>
      </w:r>
      <w:r w:rsidR="00205857">
        <w:t>s</w:t>
      </w:r>
      <w:r w:rsidR="006656E0">
        <w:t xml:space="preserve"> including access to assistive technology </w:t>
      </w:r>
      <w:r w:rsidR="00493278">
        <w:t>facilitated independent living.</w:t>
      </w:r>
      <w:r w:rsidR="002A3987">
        <w:t xml:space="preserve"> </w:t>
      </w:r>
    </w:p>
    <w:p w14:paraId="2E6C3C87" w14:textId="2CF99813" w:rsidR="00F462E3" w:rsidRDefault="00F462E3" w:rsidP="00F462E3">
      <w:pPr>
        <w:pStyle w:val="CommentText"/>
        <w:spacing w:before="120" w:after="120" w:line="360" w:lineRule="auto"/>
      </w:pPr>
      <w:r w:rsidRPr="00FA3F18">
        <w:rPr>
          <w:b/>
          <w:bCs/>
        </w:rPr>
        <w:t>Interpersonal:</w:t>
      </w:r>
      <w:r>
        <w:t xml:space="preserve"> T</w:t>
      </w:r>
      <w:r w:rsidR="00476C3F">
        <w:t>o facilitate social inclusion and community involvement post transition,</w:t>
      </w:r>
      <w:r>
        <w:t xml:space="preserve"> supports to enable building and maintaining social relationships, and to ensure true inclusion and integration in the community</w:t>
      </w:r>
      <w:r w:rsidR="00C15421">
        <w:t xml:space="preserve"> are important</w:t>
      </w:r>
      <w:r>
        <w:t xml:space="preserve">. </w:t>
      </w:r>
      <w:r w:rsidR="00205857">
        <w:t xml:space="preserve">This was expressed qualitatively </w:t>
      </w:r>
      <w:r w:rsidR="00C15421">
        <w:t xml:space="preserve">in the literature. </w:t>
      </w:r>
      <w:r w:rsidR="00205857">
        <w:t xml:space="preserve"> </w:t>
      </w:r>
      <w:r w:rsidR="000F5A50">
        <w:t xml:space="preserve">The role of informal support networks features strongly in the qualitative and grey literature. </w:t>
      </w:r>
    </w:p>
    <w:p w14:paraId="239ED7C4" w14:textId="32017F7C" w:rsidR="00E044B2" w:rsidRDefault="00F462E3" w:rsidP="00F462E3">
      <w:pPr>
        <w:pStyle w:val="CommentText"/>
        <w:spacing w:before="120" w:after="120" w:line="360" w:lineRule="auto"/>
      </w:pPr>
      <w:r w:rsidRPr="00C37641">
        <w:rPr>
          <w:b/>
          <w:bCs/>
        </w:rPr>
        <w:lastRenderedPageBreak/>
        <w:t>Individual:</w:t>
      </w:r>
      <w:r>
        <w:t xml:space="preserve"> </w:t>
      </w:r>
      <w:r w:rsidR="00E044B2">
        <w:t>Training to support transition</w:t>
      </w:r>
      <w:r w:rsidR="000751AF">
        <w:t xml:space="preserve"> and adapting to independent living </w:t>
      </w:r>
      <w:r w:rsidR="00CC076C">
        <w:t>were enablers, with</w:t>
      </w:r>
      <w:r w:rsidR="00A06545">
        <w:t xml:space="preserve"> </w:t>
      </w:r>
      <w:r w:rsidR="000751AF">
        <w:t xml:space="preserve">indicators of success </w:t>
      </w:r>
      <w:r w:rsidR="00CC076C">
        <w:t xml:space="preserve">involving </w:t>
      </w:r>
      <w:r w:rsidR="000751AF">
        <w:t xml:space="preserve">‘Place and Train’ and ‘Housing First’ models, where the individual </w:t>
      </w:r>
      <w:r w:rsidR="003A4805">
        <w:t xml:space="preserve">is housed </w:t>
      </w:r>
      <w:r w:rsidR="00E7233A">
        <w:t xml:space="preserve">first </w:t>
      </w:r>
      <w:r w:rsidR="003A4805">
        <w:t xml:space="preserve">and training </w:t>
      </w:r>
      <w:r w:rsidR="00E7233A">
        <w:t xml:space="preserve">in </w:t>
      </w:r>
      <w:r w:rsidR="003A4805">
        <w:t xml:space="preserve">independent living skills provided in the new home. </w:t>
      </w:r>
    </w:p>
    <w:p w14:paraId="18249514" w14:textId="5F1A2763" w:rsidR="007D612A" w:rsidRDefault="003519B8" w:rsidP="00E044B2">
      <w:pPr>
        <w:spacing w:before="120" w:after="120" w:line="360" w:lineRule="auto"/>
        <w:jc w:val="both"/>
      </w:pPr>
      <w:r>
        <w:t xml:space="preserve">Barriers to transition also exist at each of these levels. </w:t>
      </w:r>
    </w:p>
    <w:p w14:paraId="4BFC40C8" w14:textId="77777777" w:rsidR="007D612A" w:rsidRPr="005E1C91" w:rsidRDefault="007D612A" w:rsidP="007D612A">
      <w:pPr>
        <w:pStyle w:val="Heading2"/>
        <w:spacing w:before="120" w:after="120"/>
      </w:pPr>
      <w:bookmarkStart w:id="10" w:name="_Toc73535934"/>
      <w:r w:rsidRPr="000018DD">
        <w:t>Conclusion</w:t>
      </w:r>
      <w:bookmarkEnd w:id="10"/>
    </w:p>
    <w:p w14:paraId="7A33B7C7" w14:textId="7493B1CA" w:rsidR="007D612A" w:rsidRPr="00E529AE" w:rsidRDefault="007D612A" w:rsidP="00EF079A">
      <w:pPr>
        <w:spacing w:before="120" w:after="120" w:line="360" w:lineRule="auto"/>
        <w:jc w:val="both"/>
      </w:pPr>
      <w:r>
        <w:t xml:space="preserve">The review </w:t>
      </w:r>
      <w:r w:rsidR="006828B0">
        <w:t xml:space="preserve">found </w:t>
      </w:r>
      <w:r>
        <w:t xml:space="preserve">that to date </w:t>
      </w:r>
      <w:r w:rsidR="006804CD">
        <w:t xml:space="preserve">most research about transitions from congregate settings relate to </w:t>
      </w:r>
      <w:r>
        <w:t xml:space="preserve">the movement to group homes. The evidence supports de-institutionalisation, outlines the benefits for people to live in the community with regards to quality of life, health, participation and adaptive behaviour, as well as the importance of and rights of people with disabilities to have choice over where they live and who they live with. There is evidence to show the variable effectiveness of community group homes and the occurrence of ‘mini-institutions’ in the community which further gives weight to prioritise person-directed models of housing which respond to the individual’s needs and open pathways to mainstream housing options in the community. There is </w:t>
      </w:r>
      <w:r w:rsidR="00B6543F">
        <w:t>limited</w:t>
      </w:r>
      <w:r>
        <w:t xml:space="preserve"> research </w:t>
      </w:r>
      <w:r w:rsidR="00E65A86">
        <w:t xml:space="preserve">evidence </w:t>
      </w:r>
      <w:r>
        <w:t>available to date which looks at the effectiveness of intervention</w:t>
      </w:r>
      <w:r w:rsidR="004C2826">
        <w:t>s supporting people to move</w:t>
      </w:r>
      <w:r>
        <w:t xml:space="preserve"> to independent living. </w:t>
      </w:r>
      <w:r w:rsidR="004C2826">
        <w:t>Though the qualitative</w:t>
      </w:r>
      <w:r w:rsidR="00EF079A">
        <w:t>,</w:t>
      </w:r>
      <w:r w:rsidR="004C2826">
        <w:t xml:space="preserve"> grey literature</w:t>
      </w:r>
      <w:r w:rsidR="00EF079A">
        <w:t xml:space="preserve"> and environmental scan highlight</w:t>
      </w:r>
      <w:r w:rsidR="004C2826">
        <w:t xml:space="preserve"> a distinct move away from specialist housing to mainstream options with support, and greater emphasis on flexibility of funding models and supports. In particular, the review identifies work being undertaken by disability providers, housing associations, families and people with disabilities, in the development and maintenance of innovative models of housing within the mainstream housing market, that respond to the needs and desires of the person with disability.  </w:t>
      </w:r>
      <w:r>
        <w:t xml:space="preserve">This needs to be the focus of future research </w:t>
      </w:r>
      <w:r w:rsidR="00EF079A">
        <w:t xml:space="preserve">and evaluation </w:t>
      </w:r>
      <w:r>
        <w:t>with a strong emphasis on the voices and unique experiences of people with disabilities in the journey to</w:t>
      </w:r>
      <w:r w:rsidR="00CC076C">
        <w:t xml:space="preserve"> individual, independent, supported </w:t>
      </w:r>
      <w:r w:rsidR="00CC076C" w:rsidRPr="00E529AE">
        <w:t>living of their choosing</w:t>
      </w:r>
      <w:r w:rsidR="00CC076C">
        <w:t xml:space="preserve"> as well as the</w:t>
      </w:r>
      <w:r>
        <w:t xml:space="preserve"> challenges and succes</w:t>
      </w:r>
      <w:r w:rsidR="00CC076C">
        <w:t>ses encountered in these journeys</w:t>
      </w:r>
      <w:r w:rsidRPr="00E529AE">
        <w:t xml:space="preserve">. </w:t>
      </w:r>
    </w:p>
    <w:p w14:paraId="1871A99F" w14:textId="5B84F800" w:rsidR="00EF079A" w:rsidRPr="00E529AE" w:rsidRDefault="00EF079A">
      <w:r w:rsidRPr="00E529AE">
        <w:br w:type="page"/>
      </w:r>
    </w:p>
    <w:p w14:paraId="3A603851" w14:textId="03E4D3AA" w:rsidR="002E7617" w:rsidRPr="00C84DA9" w:rsidRDefault="002E7617" w:rsidP="00C84DA9">
      <w:pPr>
        <w:pStyle w:val="Heading1"/>
      </w:pPr>
      <w:bookmarkStart w:id="11" w:name="_Toc73535935"/>
      <w:r w:rsidRPr="00C84DA9">
        <w:lastRenderedPageBreak/>
        <w:t>Introduction</w:t>
      </w:r>
      <w:bookmarkEnd w:id="11"/>
      <w:r w:rsidRPr="00C84DA9">
        <w:t xml:space="preserve"> </w:t>
      </w:r>
    </w:p>
    <w:p w14:paraId="03573FD5" w14:textId="1F79B762" w:rsidR="000335B1" w:rsidRPr="00E529AE" w:rsidRDefault="00811E7B" w:rsidP="00F30930">
      <w:pPr>
        <w:spacing w:before="120" w:line="360" w:lineRule="auto"/>
        <w:jc w:val="both"/>
      </w:pPr>
      <w:r w:rsidRPr="00E529AE">
        <w:t xml:space="preserve">Housing is a human right (UNUDHR 1948, UNCRP, 2006). People with disabilities </w:t>
      </w:r>
      <w:r w:rsidR="002B4661" w:rsidRPr="00E529AE">
        <w:t xml:space="preserve">do </w:t>
      </w:r>
      <w:r w:rsidRPr="00E529AE">
        <w:t>not ha</w:t>
      </w:r>
      <w:r w:rsidR="002B4661" w:rsidRPr="00E529AE">
        <w:t>ve</w:t>
      </w:r>
      <w:r w:rsidRPr="00E529AE">
        <w:t xml:space="preserve"> the same opportunity to access their own home compared to the general population</w:t>
      </w:r>
      <w:r w:rsidR="008E030A" w:rsidRPr="00E529AE">
        <w:t xml:space="preserve">. </w:t>
      </w:r>
      <w:r w:rsidR="000118D2" w:rsidRPr="00E529AE">
        <w:t>The</w:t>
      </w:r>
      <w:r w:rsidRPr="00E529AE">
        <w:t xml:space="preserve"> dominant model of accommodation for people with disability </w:t>
      </w:r>
      <w:r w:rsidR="000118D2" w:rsidRPr="00E529AE">
        <w:t xml:space="preserve">historically </w:t>
      </w:r>
      <w:r w:rsidRPr="00E529AE">
        <w:t>has been</w:t>
      </w:r>
      <w:r w:rsidR="000118D2" w:rsidRPr="00E529AE">
        <w:t xml:space="preserve"> the </w:t>
      </w:r>
      <w:r w:rsidR="00016C77" w:rsidRPr="00E529AE">
        <w:t>institutionalisation</w:t>
      </w:r>
      <w:r w:rsidR="000118D2" w:rsidRPr="00E529AE">
        <w:t>al model</w:t>
      </w:r>
      <w:r w:rsidR="00016C77" w:rsidRPr="00E529AE">
        <w:t xml:space="preserve"> </w:t>
      </w:r>
      <w:r w:rsidRPr="00E529AE">
        <w:t>or some other congregate setting</w:t>
      </w:r>
      <w:r w:rsidR="006054A1" w:rsidRPr="00E529AE">
        <w:t xml:space="preserve">. </w:t>
      </w:r>
      <w:r w:rsidRPr="00E529AE">
        <w:t xml:space="preserve"> </w:t>
      </w:r>
      <w:r w:rsidR="00DA6794" w:rsidRPr="00E529AE">
        <w:t xml:space="preserve">The family home and remaining in the care of the family is also a dominant model of living for many people with disability, often without </w:t>
      </w:r>
      <w:r w:rsidR="002F5DCF" w:rsidRPr="00E529AE">
        <w:t xml:space="preserve">preference of the individual with disability considered. </w:t>
      </w:r>
      <w:r w:rsidRPr="00E529AE">
        <w:t xml:space="preserve"> </w:t>
      </w:r>
      <w:r w:rsidR="000242F2" w:rsidRPr="00E529AE">
        <w:t>Rising house prices and low housing stock make the possibility of moving out of home very challenging (Kroehn et al, 2007).</w:t>
      </w:r>
    </w:p>
    <w:p w14:paraId="74011585" w14:textId="5F2ACE51" w:rsidR="00D03D27" w:rsidRPr="00E529AE" w:rsidRDefault="00D03D27" w:rsidP="00D03D27">
      <w:pPr>
        <w:spacing w:line="360" w:lineRule="auto"/>
        <w:jc w:val="both"/>
      </w:pPr>
      <w:r w:rsidRPr="00E529AE">
        <w:t>In addition, though national policies and UN Conventions purport the right to cho</w:t>
      </w:r>
      <w:r w:rsidR="000242F2" w:rsidRPr="00E529AE">
        <w:t>ose</w:t>
      </w:r>
      <w:r w:rsidRPr="00E529AE">
        <w:t>, there is emerging evidence that some people with disability are being moved into congregate settings (O’Donovan, 2015) such as nursing homes or other aged care facilities.</w:t>
      </w:r>
    </w:p>
    <w:p w14:paraId="331245B6" w14:textId="77420303" w:rsidR="00EF079A" w:rsidRPr="00E529AE" w:rsidRDefault="00D54568" w:rsidP="008E030A">
      <w:pPr>
        <w:spacing w:line="360" w:lineRule="auto"/>
        <w:jc w:val="both"/>
      </w:pPr>
      <w:r w:rsidRPr="00E529AE">
        <w:t>During the initial stages of de-institutionali</w:t>
      </w:r>
      <w:r w:rsidR="006828B0">
        <w:t>s</w:t>
      </w:r>
      <w:r w:rsidRPr="00E529AE">
        <w:t xml:space="preserve">ation, the community group home was a desired destination, with evidence highlighting improved quality of life and other indicators for people with disabilities in community group homes compared with larger congregate settings (McCarron et al, 2018). More recent evidence illustrates that often institutional values and culture persist in group homes, and the person-centred gains anticipated did not materialise.  For many people with disabilities, living in the community did not equate with being a part of or having a sense of belonging to the community (Milner and Kelly, 2009), with limited social integration achieved. Choice and control over one’s life, including </w:t>
      </w:r>
      <w:r w:rsidR="00E7233A">
        <w:t xml:space="preserve">the choice of </w:t>
      </w:r>
      <w:r w:rsidRPr="00E529AE">
        <w:t xml:space="preserve">who </w:t>
      </w:r>
      <w:r w:rsidR="00E7233A">
        <w:t xml:space="preserve">to </w:t>
      </w:r>
      <w:r w:rsidRPr="00E529AE">
        <w:t>share</w:t>
      </w:r>
      <w:r w:rsidR="00E7233A">
        <w:t xml:space="preserve"> </w:t>
      </w:r>
      <w:r w:rsidRPr="00E529AE">
        <w:t>the accommodation</w:t>
      </w:r>
      <w:r w:rsidR="00E7233A">
        <w:t xml:space="preserve"> with</w:t>
      </w:r>
      <w:r w:rsidRPr="00E529AE">
        <w:t xml:space="preserve">, was restricted for many.  The work </w:t>
      </w:r>
      <w:r w:rsidRPr="000700B0">
        <w:t xml:space="preserve">of Bigby </w:t>
      </w:r>
      <w:r w:rsidR="000700B0">
        <w:t>et al (2014)</w:t>
      </w:r>
      <w:r w:rsidRPr="00E529AE">
        <w:t xml:space="preserve"> has helped to highlight the importance of the quality of supports provided in group homes to achieve better outcomes for people with disabilities. Models other than the institution and group home require </w:t>
      </w:r>
      <w:r w:rsidR="000B5C14" w:rsidRPr="00E529AE">
        <w:t xml:space="preserve">focus and </w:t>
      </w:r>
      <w:r w:rsidR="00CC076C">
        <w:t xml:space="preserve">further </w:t>
      </w:r>
      <w:r w:rsidR="00A60AE3">
        <w:t>e</w:t>
      </w:r>
      <w:r w:rsidR="00DD3657">
        <w:t>xamination</w:t>
      </w:r>
      <w:r w:rsidR="00A60AE3">
        <w:t xml:space="preserve"> and evaluation. </w:t>
      </w:r>
    </w:p>
    <w:p w14:paraId="019005DE" w14:textId="410CBA68" w:rsidR="00EF079A" w:rsidRPr="00C84DA9" w:rsidRDefault="00EF079A" w:rsidP="008E030A">
      <w:pPr>
        <w:pStyle w:val="CommentText"/>
        <w:spacing w:line="360" w:lineRule="auto"/>
        <w:rPr>
          <w:szCs w:val="22"/>
        </w:rPr>
      </w:pPr>
      <w:r w:rsidRPr="00B069D1">
        <w:rPr>
          <w:szCs w:val="22"/>
        </w:rPr>
        <w:t>The NDIA has a plan to support people to move to more individuali</w:t>
      </w:r>
      <w:r w:rsidR="000335B1" w:rsidRPr="00B069D1">
        <w:rPr>
          <w:szCs w:val="22"/>
        </w:rPr>
        <w:t>s</w:t>
      </w:r>
      <w:r w:rsidRPr="00501013">
        <w:rPr>
          <w:szCs w:val="22"/>
        </w:rPr>
        <w:t>ed living.</w:t>
      </w:r>
      <w:r w:rsidR="000335B1" w:rsidRPr="001B6608">
        <w:rPr>
          <w:szCs w:val="22"/>
        </w:rPr>
        <w:t xml:space="preserve"> </w:t>
      </w:r>
      <w:r w:rsidRPr="001B6608">
        <w:rPr>
          <w:szCs w:val="22"/>
        </w:rPr>
        <w:t>This review therefore seeks to identify the evidence for interventions to enable the transition and to</w:t>
      </w:r>
      <w:r w:rsidR="00D03D27" w:rsidRPr="00C84DA9">
        <w:rPr>
          <w:szCs w:val="22"/>
        </w:rPr>
        <w:t xml:space="preserve"> inform the NDIA to</w:t>
      </w:r>
      <w:r w:rsidRPr="00C84DA9">
        <w:rPr>
          <w:szCs w:val="22"/>
        </w:rPr>
        <w:t xml:space="preserve"> deliver on this goal.</w:t>
      </w:r>
    </w:p>
    <w:p w14:paraId="7CBC6EC9" w14:textId="3C103857" w:rsidR="00864928" w:rsidRDefault="00864928">
      <w:r>
        <w:br w:type="page"/>
      </w:r>
    </w:p>
    <w:p w14:paraId="6B1580E7" w14:textId="2D456079" w:rsidR="002E7617" w:rsidRPr="00864928" w:rsidRDefault="00E04C24" w:rsidP="00864928">
      <w:pPr>
        <w:pStyle w:val="Heading1"/>
      </w:pPr>
      <w:bookmarkStart w:id="12" w:name="_Toc73535936"/>
      <w:r w:rsidRPr="00864928">
        <w:lastRenderedPageBreak/>
        <w:t>M</w:t>
      </w:r>
      <w:r w:rsidR="002E7617" w:rsidRPr="00864928">
        <w:t>ethodology</w:t>
      </w:r>
      <w:bookmarkEnd w:id="12"/>
    </w:p>
    <w:p w14:paraId="0DA76E94" w14:textId="6C1B8828" w:rsidR="00F46899" w:rsidRPr="00E529AE" w:rsidRDefault="008A0108" w:rsidP="00F46899">
      <w:pPr>
        <w:spacing w:before="120" w:after="120" w:line="360" w:lineRule="auto"/>
        <w:jc w:val="both"/>
      </w:pPr>
      <w:r w:rsidRPr="00864928">
        <w:t xml:space="preserve">This </w:t>
      </w:r>
      <w:r w:rsidR="0021669E" w:rsidRPr="00864928">
        <w:t xml:space="preserve">section </w:t>
      </w:r>
      <w:r w:rsidRPr="00864928">
        <w:t>documents the methods used to identify evidence to address the research questions</w:t>
      </w:r>
      <w:r w:rsidR="003906E0" w:rsidRPr="00864928">
        <w:t xml:space="preserve">. </w:t>
      </w:r>
      <w:r w:rsidR="00F46899" w:rsidRPr="00E529AE">
        <w:t xml:space="preserve">A desk-based evidence review was undertaken </w:t>
      </w:r>
      <w:r w:rsidR="008E666E" w:rsidRPr="00E529AE">
        <w:t xml:space="preserve">which had </w:t>
      </w:r>
      <w:r w:rsidR="00B65ED7">
        <w:t>three</w:t>
      </w:r>
      <w:r w:rsidR="00B65ED7" w:rsidRPr="00E529AE">
        <w:t xml:space="preserve"> </w:t>
      </w:r>
      <w:r w:rsidR="00F46899" w:rsidRPr="00E529AE">
        <w:t>distinct elements:</w:t>
      </w:r>
    </w:p>
    <w:p w14:paraId="6B49EBC5" w14:textId="77777777" w:rsidR="00F46899" w:rsidRPr="00E529AE" w:rsidRDefault="00F46899" w:rsidP="00B06301">
      <w:pPr>
        <w:pStyle w:val="ListParagraph"/>
        <w:numPr>
          <w:ilvl w:val="0"/>
          <w:numId w:val="13"/>
        </w:numPr>
        <w:spacing w:before="120" w:after="120" w:line="360" w:lineRule="auto"/>
        <w:jc w:val="both"/>
      </w:pPr>
      <w:r w:rsidRPr="00E529AE">
        <w:t>Systematic review of academic literature across 10 academic databases (n=105 papers);</w:t>
      </w:r>
    </w:p>
    <w:p w14:paraId="0DE6D3C3" w14:textId="77777777" w:rsidR="00F46899" w:rsidRPr="00E529AE" w:rsidRDefault="00F46899" w:rsidP="00B06301">
      <w:pPr>
        <w:pStyle w:val="ListParagraph"/>
        <w:numPr>
          <w:ilvl w:val="0"/>
          <w:numId w:val="13"/>
        </w:numPr>
        <w:spacing w:before="120" w:after="120" w:line="360" w:lineRule="auto"/>
        <w:jc w:val="both"/>
      </w:pPr>
      <w:r w:rsidRPr="00E529AE">
        <w:t>An environmental scan of current or emerging interventions across Australia and internationally identified through on-line searching, consultation with steering committee and project members and informal contacts with sector experts (n=55 websites); and</w:t>
      </w:r>
    </w:p>
    <w:p w14:paraId="6B56A898" w14:textId="77777777" w:rsidR="00F46899" w:rsidRPr="00E529AE" w:rsidRDefault="00F46899" w:rsidP="00B06301">
      <w:pPr>
        <w:pStyle w:val="ListParagraph"/>
        <w:numPr>
          <w:ilvl w:val="0"/>
          <w:numId w:val="13"/>
        </w:numPr>
        <w:spacing w:before="120" w:after="120" w:line="360" w:lineRule="auto"/>
        <w:jc w:val="both"/>
        <w:rPr>
          <w:lang w:val="en-GB"/>
        </w:rPr>
      </w:pPr>
      <w:r w:rsidRPr="00E529AE">
        <w:t xml:space="preserve">A review of grey literature (policy, protocols, commissioned reports) identified through the systematic review and environmental scan process (n=50 grey literature documents). </w:t>
      </w:r>
    </w:p>
    <w:p w14:paraId="3A9BF764" w14:textId="0D5124A4" w:rsidR="001B4338" w:rsidRPr="00E529AE" w:rsidRDefault="00F46899" w:rsidP="00EB57A9">
      <w:pPr>
        <w:spacing w:line="360" w:lineRule="auto"/>
      </w:pPr>
      <w:r w:rsidRPr="00E529AE">
        <w:t xml:space="preserve">The </w:t>
      </w:r>
      <w:r w:rsidR="00B65ED7">
        <w:t>three</w:t>
      </w:r>
      <w:r w:rsidR="00B65ED7" w:rsidRPr="00E529AE">
        <w:t xml:space="preserve"> </w:t>
      </w:r>
      <w:r w:rsidRPr="00E529AE">
        <w:t xml:space="preserve">steps above were supplemented by hand searching and checking of reference lists. </w:t>
      </w:r>
      <w:r w:rsidRPr="00E529AE">
        <w:rPr>
          <w:lang w:val="en-GB"/>
        </w:rPr>
        <w:t xml:space="preserve">Any evidence on interventions were examined to identify what is effective (with whom, how and under what circumstances), </w:t>
      </w:r>
      <w:r w:rsidR="006F5FCA">
        <w:rPr>
          <w:lang w:val="en-GB"/>
        </w:rPr>
        <w:t xml:space="preserve">and </w:t>
      </w:r>
      <w:r w:rsidRPr="00E529AE">
        <w:rPr>
          <w:lang w:val="en-GB"/>
        </w:rPr>
        <w:t>where is the evidence strong and consistent to support implementation. Recognising the lag that can exist between research publication and practice, the study also involved an environmental scan of current and emerging models of home and living options, with a particular focus on models that support transition to independent living.</w:t>
      </w:r>
    </w:p>
    <w:p w14:paraId="0C6E7B97" w14:textId="6DC13984" w:rsidR="001B4338" w:rsidRPr="00F30930" w:rsidRDefault="001B4338" w:rsidP="00F30930">
      <w:pPr>
        <w:pStyle w:val="Heading2"/>
        <w:spacing w:before="120" w:line="360" w:lineRule="auto"/>
        <w:jc w:val="both"/>
        <w:rPr>
          <w:sz w:val="24"/>
          <w:szCs w:val="24"/>
        </w:rPr>
      </w:pPr>
      <w:bookmarkStart w:id="13" w:name="_Toc73535937"/>
      <w:r w:rsidRPr="00F30930">
        <w:rPr>
          <w:sz w:val="24"/>
          <w:szCs w:val="24"/>
        </w:rPr>
        <w:t>Eligibility criteria</w:t>
      </w:r>
      <w:bookmarkEnd w:id="13"/>
      <w:r w:rsidRPr="00F30930">
        <w:rPr>
          <w:sz w:val="24"/>
          <w:szCs w:val="24"/>
        </w:rPr>
        <w:t xml:space="preserve"> </w:t>
      </w:r>
    </w:p>
    <w:p w14:paraId="50AF2620" w14:textId="7CF7676A" w:rsidR="001B4338" w:rsidRPr="00A333A4" w:rsidRDefault="001B4338" w:rsidP="00E9472A">
      <w:pPr>
        <w:spacing w:after="8" w:line="360" w:lineRule="auto"/>
        <w:jc w:val="both"/>
        <w:rPr>
          <w:rFonts w:ascii="Calibri" w:eastAsia="Times New Roman" w:hAnsi="Calibri" w:cs="Calibri"/>
        </w:rPr>
      </w:pPr>
      <w:bookmarkStart w:id="14" w:name="_Toc73535938"/>
      <w:r w:rsidRPr="001B4338">
        <w:rPr>
          <w:rStyle w:val="Heading3Char"/>
        </w:rPr>
        <w:t>Study characteristics:</w:t>
      </w:r>
      <w:bookmarkEnd w:id="14"/>
      <w:r w:rsidRPr="00AE14D7">
        <w:rPr>
          <w:rFonts w:ascii="Calibri" w:eastAsia="Times New Roman" w:hAnsi="Calibri" w:cs="Calibri"/>
          <w:b/>
          <w:bCs/>
          <w:sz w:val="20"/>
          <w:szCs w:val="20"/>
        </w:rPr>
        <w:t xml:space="preserve"> </w:t>
      </w:r>
      <w:r w:rsidRPr="00F30930">
        <w:rPr>
          <w:rFonts w:ascii="Calibri" w:eastAsia="Times New Roman" w:hAnsi="Calibri" w:cs="Calibri"/>
        </w:rPr>
        <w:t>Studies eligible for inclusion included any study design (including randomi</w:t>
      </w:r>
      <w:r w:rsidR="00B65ED7">
        <w:rPr>
          <w:rFonts w:ascii="Calibri" w:eastAsia="Times New Roman" w:hAnsi="Calibri" w:cs="Calibri"/>
        </w:rPr>
        <w:t>s</w:t>
      </w:r>
      <w:r w:rsidRPr="00A333A4">
        <w:rPr>
          <w:rFonts w:ascii="Calibri" w:eastAsia="Times New Roman" w:hAnsi="Calibri" w:cs="Calibri"/>
        </w:rPr>
        <w:t xml:space="preserve">ed control trials, cross-sectional studies and prospective/retrospective before and after studies, interrupted time-series studies and qualitative descriptive studies) published in the English language in peer reviewed journals between 2000 </w:t>
      </w:r>
      <w:r w:rsidR="00986D83" w:rsidRPr="00A333A4">
        <w:rPr>
          <w:rFonts w:ascii="Calibri" w:eastAsia="Times New Roman" w:hAnsi="Calibri" w:cs="Calibri"/>
        </w:rPr>
        <w:t>and</w:t>
      </w:r>
      <w:r w:rsidR="006B7816" w:rsidRPr="00A333A4">
        <w:rPr>
          <w:rFonts w:ascii="Calibri" w:eastAsia="Times New Roman" w:hAnsi="Calibri" w:cs="Calibri"/>
        </w:rPr>
        <w:t xml:space="preserve"> </w:t>
      </w:r>
      <w:r w:rsidRPr="00A333A4">
        <w:rPr>
          <w:rFonts w:ascii="Calibri" w:eastAsia="Times New Roman" w:hAnsi="Calibri" w:cs="Calibri"/>
        </w:rPr>
        <w:t>2020.  The timeframe was selected to maximise the capture of</w:t>
      </w:r>
      <w:r w:rsidR="00D2684E" w:rsidRPr="00A333A4">
        <w:rPr>
          <w:rFonts w:ascii="Calibri" w:eastAsia="Times New Roman" w:hAnsi="Calibri" w:cs="Calibri"/>
        </w:rPr>
        <w:t xml:space="preserve"> </w:t>
      </w:r>
      <w:r w:rsidR="009C032E" w:rsidRPr="00A333A4">
        <w:rPr>
          <w:rFonts w:ascii="Calibri" w:eastAsia="Times New Roman" w:hAnsi="Calibri" w:cs="Calibri"/>
        </w:rPr>
        <w:t>contemporary</w:t>
      </w:r>
      <w:r w:rsidRPr="00A333A4">
        <w:rPr>
          <w:rFonts w:ascii="Calibri" w:eastAsia="Times New Roman" w:hAnsi="Calibri" w:cs="Calibri"/>
        </w:rPr>
        <w:t xml:space="preserve"> innovative strategies for de-congregated living.</w:t>
      </w:r>
      <w:r w:rsidR="00B15E77" w:rsidRPr="00A333A4">
        <w:rPr>
          <w:rFonts w:ascii="Calibri" w:eastAsia="Times New Roman" w:hAnsi="Calibri" w:cs="Calibri"/>
        </w:rPr>
        <w:t xml:space="preserve"> The complete PICO is in Appendix </w:t>
      </w:r>
      <w:r w:rsidR="00E44E2D" w:rsidRPr="00A333A4">
        <w:rPr>
          <w:rFonts w:ascii="Calibri" w:eastAsia="Times New Roman" w:hAnsi="Calibri" w:cs="Calibri"/>
        </w:rPr>
        <w:t>B.</w:t>
      </w:r>
    </w:p>
    <w:p w14:paraId="535726C2" w14:textId="77777777" w:rsidR="00986D83" w:rsidRPr="00A333A4" w:rsidRDefault="00702375" w:rsidP="00A333A4">
      <w:pPr>
        <w:spacing w:before="120" w:after="8" w:line="360" w:lineRule="auto"/>
        <w:jc w:val="both"/>
        <w:rPr>
          <w:rFonts w:ascii="Calibri" w:eastAsia="Times New Roman" w:hAnsi="Calibri" w:cs="Calibri"/>
          <w:lang w:val="en-GB"/>
        </w:rPr>
      </w:pPr>
      <w:bookmarkStart w:id="15" w:name="_Toc73535939"/>
      <w:r>
        <w:rPr>
          <w:rStyle w:val="Heading3Char"/>
        </w:rPr>
        <w:t>Inclusion/</w:t>
      </w:r>
      <w:r w:rsidR="001B4338" w:rsidRPr="001B4338">
        <w:rPr>
          <w:rStyle w:val="Heading3Char"/>
        </w:rPr>
        <w:t>Exclusion criteria:</w:t>
      </w:r>
      <w:bookmarkEnd w:id="15"/>
      <w:r w:rsidR="001B4338" w:rsidRPr="00AE14D7">
        <w:rPr>
          <w:rFonts w:ascii="Calibri" w:eastAsia="Times New Roman" w:hAnsi="Calibri" w:cs="Calibri"/>
          <w:b/>
          <w:bCs/>
          <w:sz w:val="20"/>
          <w:szCs w:val="20"/>
          <w:lang w:val="en-GB"/>
        </w:rPr>
        <w:t xml:space="preserve"> </w:t>
      </w:r>
      <w:r w:rsidR="001B4338" w:rsidRPr="00A333A4">
        <w:rPr>
          <w:rFonts w:ascii="Calibri" w:eastAsia="Times New Roman" w:hAnsi="Calibri" w:cs="Calibri"/>
          <w:lang w:val="en-GB"/>
        </w:rPr>
        <w:t>studies were excluded if</w:t>
      </w:r>
      <w:r w:rsidR="002B4661" w:rsidRPr="00A333A4">
        <w:rPr>
          <w:rFonts w:ascii="Calibri" w:eastAsia="Times New Roman" w:hAnsi="Calibri" w:cs="Calibri"/>
          <w:lang w:val="en-GB"/>
        </w:rPr>
        <w:t xml:space="preserve"> the study</w:t>
      </w:r>
      <w:r w:rsidR="001B4338" w:rsidRPr="00A333A4">
        <w:rPr>
          <w:rFonts w:ascii="Calibri" w:eastAsia="Times New Roman" w:hAnsi="Calibri" w:cs="Calibri"/>
          <w:lang w:val="en-GB"/>
        </w:rPr>
        <w:t xml:space="preserve"> </w:t>
      </w:r>
    </w:p>
    <w:p w14:paraId="0A2F08C7" w14:textId="1D9E1F10" w:rsidR="00986D83" w:rsidRPr="00A333A4" w:rsidRDefault="001B4338" w:rsidP="00516AB9">
      <w:pPr>
        <w:spacing w:after="8" w:line="360" w:lineRule="auto"/>
        <w:ind w:left="491" w:hanging="491"/>
        <w:jc w:val="both"/>
        <w:rPr>
          <w:rFonts w:ascii="Calibri" w:hAnsi="Calibri" w:cs="Calibri"/>
        </w:rPr>
      </w:pPr>
      <w:r w:rsidRPr="00A333A4">
        <w:rPr>
          <w:rFonts w:ascii="Calibri" w:eastAsia="Times New Roman" w:hAnsi="Calibri" w:cs="Calibri"/>
          <w:lang w:val="en-GB"/>
        </w:rPr>
        <w:t>(a)</w:t>
      </w:r>
      <w:r w:rsidR="006F5FCA">
        <w:rPr>
          <w:rFonts w:ascii="Calibri" w:eastAsia="Times New Roman" w:hAnsi="Calibri" w:cs="Calibri"/>
          <w:lang w:val="en-GB"/>
        </w:rPr>
        <w:tab/>
      </w:r>
      <w:r w:rsidRPr="00A333A4">
        <w:rPr>
          <w:rFonts w:ascii="Calibri" w:eastAsia="Times New Roman" w:hAnsi="Calibri" w:cs="Calibri"/>
          <w:lang w:val="en-GB"/>
        </w:rPr>
        <w:t xml:space="preserve">only assessed participants over the age of 65 or under the age of 18, </w:t>
      </w:r>
    </w:p>
    <w:p w14:paraId="7A729E0A" w14:textId="561A7144" w:rsidR="00986D83" w:rsidRPr="00A333A4" w:rsidRDefault="001B4338" w:rsidP="00516AB9">
      <w:pPr>
        <w:spacing w:after="8" w:line="360" w:lineRule="auto"/>
        <w:ind w:left="491" w:hanging="491"/>
        <w:jc w:val="both"/>
        <w:rPr>
          <w:rFonts w:ascii="Calibri" w:hAnsi="Calibri" w:cs="Calibri"/>
        </w:rPr>
      </w:pPr>
      <w:r w:rsidRPr="00A333A4">
        <w:rPr>
          <w:rFonts w:ascii="Calibri" w:eastAsia="Times New Roman" w:hAnsi="Calibri" w:cs="Calibri"/>
          <w:lang w:val="en-GB"/>
        </w:rPr>
        <w:t>(b)</w:t>
      </w:r>
      <w:r w:rsidR="006F5FCA">
        <w:rPr>
          <w:rFonts w:ascii="Calibri" w:eastAsia="Times New Roman" w:hAnsi="Calibri" w:cs="Calibri"/>
          <w:lang w:val="en-GB"/>
        </w:rPr>
        <w:tab/>
      </w:r>
      <w:r w:rsidRPr="00A333A4">
        <w:rPr>
          <w:rFonts w:ascii="Calibri" w:eastAsia="Times New Roman" w:hAnsi="Calibri" w:cs="Calibri"/>
          <w:lang w:val="en-GB"/>
        </w:rPr>
        <w:t xml:space="preserve">included a broad age group but did not report separately for participants aged between 18-65 years of age </w:t>
      </w:r>
    </w:p>
    <w:p w14:paraId="0F40B42C" w14:textId="56E6BEC0" w:rsidR="00986D83" w:rsidRPr="00A333A4" w:rsidRDefault="0053468A" w:rsidP="00516AB9">
      <w:pPr>
        <w:spacing w:after="8" w:line="360" w:lineRule="auto"/>
        <w:ind w:left="491" w:hanging="491"/>
        <w:jc w:val="both"/>
        <w:rPr>
          <w:rFonts w:ascii="Calibri" w:hAnsi="Calibri" w:cs="Calibri"/>
        </w:rPr>
      </w:pPr>
      <w:r w:rsidRPr="00A333A4">
        <w:rPr>
          <w:rFonts w:ascii="Calibri" w:eastAsia="Times New Roman" w:hAnsi="Calibri" w:cs="Calibri"/>
          <w:lang w:val="en-GB"/>
        </w:rPr>
        <w:t xml:space="preserve">(c) </w:t>
      </w:r>
      <w:r w:rsidR="006F5FCA">
        <w:rPr>
          <w:rFonts w:ascii="Calibri" w:eastAsia="Times New Roman" w:hAnsi="Calibri" w:cs="Calibri"/>
          <w:lang w:val="en-GB"/>
        </w:rPr>
        <w:tab/>
        <w:t>did not include</w:t>
      </w:r>
      <w:r w:rsidRPr="00A333A4">
        <w:rPr>
          <w:rFonts w:ascii="Calibri" w:eastAsia="Times New Roman" w:hAnsi="Calibri" w:cs="Calibri"/>
          <w:lang w:val="en-GB"/>
        </w:rPr>
        <w:t xml:space="preserve"> transition </w:t>
      </w:r>
      <w:r w:rsidR="006F5FCA">
        <w:rPr>
          <w:rFonts w:ascii="Calibri" w:eastAsia="Times New Roman" w:hAnsi="Calibri" w:cs="Calibri"/>
          <w:lang w:val="en-GB"/>
        </w:rPr>
        <w:t>taking</w:t>
      </w:r>
      <w:r w:rsidR="006F5FCA" w:rsidRPr="00A333A4">
        <w:rPr>
          <w:rFonts w:ascii="Calibri" w:eastAsia="Times New Roman" w:hAnsi="Calibri" w:cs="Calibri"/>
          <w:lang w:val="en-GB"/>
        </w:rPr>
        <w:t xml:space="preserve"> </w:t>
      </w:r>
      <w:r w:rsidRPr="00A333A4">
        <w:rPr>
          <w:rFonts w:ascii="Calibri" w:eastAsia="Times New Roman" w:hAnsi="Calibri" w:cs="Calibri"/>
          <w:lang w:val="en-GB"/>
        </w:rPr>
        <w:t xml:space="preserve">place </w:t>
      </w:r>
    </w:p>
    <w:p w14:paraId="62B0CE38" w14:textId="26074545" w:rsidR="00986D83" w:rsidRPr="00A333A4" w:rsidRDefault="001B4338" w:rsidP="00516AB9">
      <w:pPr>
        <w:spacing w:after="8" w:line="360" w:lineRule="auto"/>
        <w:ind w:left="491" w:hanging="491"/>
        <w:jc w:val="both"/>
        <w:rPr>
          <w:rFonts w:ascii="Calibri" w:hAnsi="Calibri" w:cs="Calibri"/>
        </w:rPr>
      </w:pPr>
      <w:r w:rsidRPr="00A333A4">
        <w:rPr>
          <w:rFonts w:ascii="Calibri" w:eastAsia="Times New Roman" w:hAnsi="Calibri" w:cs="Calibri"/>
          <w:lang w:val="en-GB"/>
        </w:rPr>
        <w:t>(</w:t>
      </w:r>
      <w:r w:rsidR="0053468A" w:rsidRPr="00A333A4">
        <w:rPr>
          <w:rFonts w:ascii="Calibri" w:eastAsia="Times New Roman" w:hAnsi="Calibri" w:cs="Calibri"/>
          <w:lang w:val="en-GB"/>
        </w:rPr>
        <w:t>d</w:t>
      </w:r>
      <w:r w:rsidRPr="00A333A4">
        <w:rPr>
          <w:rFonts w:ascii="Calibri" w:eastAsia="Times New Roman" w:hAnsi="Calibri" w:cs="Calibri"/>
          <w:lang w:val="en-GB"/>
        </w:rPr>
        <w:t>)</w:t>
      </w:r>
      <w:r w:rsidR="006F5FCA">
        <w:rPr>
          <w:rFonts w:ascii="Calibri" w:eastAsia="Times New Roman" w:hAnsi="Calibri" w:cs="Calibri"/>
          <w:lang w:val="en-GB"/>
        </w:rPr>
        <w:tab/>
      </w:r>
      <w:r w:rsidR="00A333A4">
        <w:rPr>
          <w:rFonts w:ascii="Calibri" w:eastAsia="Times New Roman" w:hAnsi="Calibri" w:cs="Calibri"/>
          <w:lang w:val="en-GB"/>
        </w:rPr>
        <w:t xml:space="preserve">its </w:t>
      </w:r>
      <w:r w:rsidRPr="00A333A4">
        <w:rPr>
          <w:rFonts w:ascii="Calibri" w:eastAsia="Times New Roman" w:hAnsi="Calibri" w:cs="Calibri"/>
          <w:lang w:val="en-GB"/>
        </w:rPr>
        <w:t xml:space="preserve">publication date was prior to the targeted time period of 2000 to 2020 </w:t>
      </w:r>
    </w:p>
    <w:p w14:paraId="5D556BD6" w14:textId="6A433699" w:rsidR="00986D83" w:rsidRPr="00A333A4" w:rsidRDefault="001B4338" w:rsidP="00516AB9">
      <w:pPr>
        <w:spacing w:after="8" w:line="360" w:lineRule="auto"/>
        <w:ind w:left="491" w:hanging="491"/>
        <w:jc w:val="both"/>
        <w:rPr>
          <w:rFonts w:ascii="Calibri" w:hAnsi="Calibri" w:cs="Calibri"/>
        </w:rPr>
      </w:pPr>
      <w:r w:rsidRPr="00A333A4">
        <w:rPr>
          <w:rFonts w:ascii="Calibri" w:eastAsia="Times New Roman" w:hAnsi="Calibri" w:cs="Calibri"/>
          <w:lang w:val="en-GB"/>
        </w:rPr>
        <w:t>(</w:t>
      </w:r>
      <w:r w:rsidR="0053468A" w:rsidRPr="00A333A4">
        <w:rPr>
          <w:rFonts w:ascii="Calibri" w:eastAsia="Times New Roman" w:hAnsi="Calibri" w:cs="Calibri"/>
          <w:lang w:val="en-GB"/>
        </w:rPr>
        <w:t>e</w:t>
      </w:r>
      <w:r w:rsidRPr="00A333A4">
        <w:rPr>
          <w:rFonts w:ascii="Calibri" w:eastAsia="Times New Roman" w:hAnsi="Calibri" w:cs="Calibri"/>
          <w:lang w:val="en-GB"/>
        </w:rPr>
        <w:t>)</w:t>
      </w:r>
      <w:r w:rsidR="006F5FCA">
        <w:rPr>
          <w:rFonts w:ascii="Calibri" w:eastAsia="Times New Roman" w:hAnsi="Calibri" w:cs="Calibri"/>
          <w:lang w:val="en-GB"/>
        </w:rPr>
        <w:tab/>
      </w:r>
      <w:r w:rsidRPr="00A333A4">
        <w:rPr>
          <w:rFonts w:ascii="Calibri" w:eastAsia="Times New Roman" w:hAnsi="Calibri" w:cs="Calibri"/>
          <w:lang w:val="en-GB"/>
        </w:rPr>
        <w:t>content type was theoretical</w:t>
      </w:r>
      <w:r w:rsidRPr="00A333A4">
        <w:rPr>
          <w:rFonts w:ascii="Calibri" w:hAnsi="Calibri" w:cs="Calibri"/>
        </w:rPr>
        <w:t xml:space="preserve">, </w:t>
      </w:r>
      <w:r w:rsidR="00A333A4">
        <w:rPr>
          <w:rFonts w:ascii="Calibri" w:hAnsi="Calibri" w:cs="Calibri"/>
        </w:rPr>
        <w:t xml:space="preserve">in </w:t>
      </w:r>
      <w:r w:rsidRPr="00A333A4">
        <w:rPr>
          <w:rFonts w:ascii="Calibri" w:hAnsi="Calibri" w:cs="Calibri"/>
        </w:rPr>
        <w:t xml:space="preserve">books, book chapters, editorials, unpublished dissertations or conference abstracts </w:t>
      </w:r>
    </w:p>
    <w:p w14:paraId="6A566F0A" w14:textId="7A38C985" w:rsidR="001B4338" w:rsidRPr="00A333A4" w:rsidRDefault="001B4338" w:rsidP="00516AB9">
      <w:pPr>
        <w:spacing w:after="8" w:line="360" w:lineRule="auto"/>
        <w:ind w:left="491" w:hanging="491"/>
        <w:jc w:val="both"/>
        <w:rPr>
          <w:rFonts w:ascii="Calibri" w:hAnsi="Calibri" w:cs="Calibri"/>
        </w:rPr>
      </w:pPr>
      <w:r w:rsidRPr="00A333A4">
        <w:rPr>
          <w:rFonts w:ascii="Calibri" w:hAnsi="Calibri" w:cs="Calibri"/>
        </w:rPr>
        <w:t>(</w:t>
      </w:r>
      <w:r w:rsidR="0053468A" w:rsidRPr="00A333A4">
        <w:rPr>
          <w:rFonts w:ascii="Calibri" w:hAnsi="Calibri" w:cs="Calibri"/>
        </w:rPr>
        <w:t>f</w:t>
      </w:r>
      <w:r w:rsidRPr="00A333A4">
        <w:rPr>
          <w:rFonts w:ascii="Calibri" w:hAnsi="Calibri" w:cs="Calibri"/>
        </w:rPr>
        <w:t>)</w:t>
      </w:r>
      <w:r w:rsidR="006F5FCA">
        <w:rPr>
          <w:rFonts w:ascii="Calibri" w:hAnsi="Calibri" w:cs="Calibri"/>
        </w:rPr>
        <w:tab/>
      </w:r>
      <w:r w:rsidR="00A333A4">
        <w:rPr>
          <w:rFonts w:ascii="Calibri" w:hAnsi="Calibri" w:cs="Calibri"/>
        </w:rPr>
        <w:t xml:space="preserve">the </w:t>
      </w:r>
      <w:r w:rsidRPr="00A333A4">
        <w:rPr>
          <w:rFonts w:ascii="Calibri" w:hAnsi="Calibri" w:cs="Calibri"/>
        </w:rPr>
        <w:t>reported content had insufficient information to appraise design, method, outcomes and results.</w:t>
      </w:r>
    </w:p>
    <w:p w14:paraId="4C97238E" w14:textId="2EBC16AA" w:rsidR="001B4338" w:rsidRPr="00A333A4" w:rsidRDefault="002F14A5" w:rsidP="00E9472A">
      <w:pPr>
        <w:spacing w:after="8" w:line="360" w:lineRule="auto"/>
        <w:jc w:val="both"/>
        <w:rPr>
          <w:rFonts w:ascii="Calibri" w:eastAsia="Times New Roman" w:hAnsi="Calibri" w:cs="Calibri"/>
          <w:lang w:val="en-GB"/>
        </w:rPr>
      </w:pPr>
      <w:r w:rsidRPr="00A333A4">
        <w:rPr>
          <w:rFonts w:ascii="Calibri" w:eastAsia="Times New Roman" w:hAnsi="Calibri" w:cs="Calibri"/>
          <w:lang w:val="en-GB"/>
        </w:rPr>
        <w:lastRenderedPageBreak/>
        <w:t xml:space="preserve">The eligibility criteria for the environmental scan and grey literature </w:t>
      </w:r>
      <w:r w:rsidR="006F5FCA">
        <w:rPr>
          <w:rFonts w:ascii="Calibri" w:eastAsia="Times New Roman" w:hAnsi="Calibri" w:cs="Calibri"/>
          <w:lang w:val="en-GB"/>
        </w:rPr>
        <w:t>were</w:t>
      </w:r>
      <w:r w:rsidR="006F5FCA" w:rsidRPr="00A333A4">
        <w:rPr>
          <w:rFonts w:ascii="Calibri" w:eastAsia="Times New Roman" w:hAnsi="Calibri" w:cs="Calibri"/>
          <w:lang w:val="en-GB"/>
        </w:rPr>
        <w:t xml:space="preserve"> </w:t>
      </w:r>
      <w:r w:rsidR="00395443" w:rsidRPr="00A333A4">
        <w:rPr>
          <w:rFonts w:ascii="Calibri" w:eastAsia="Times New Roman" w:hAnsi="Calibri" w:cs="Calibri"/>
          <w:lang w:val="en-GB"/>
        </w:rPr>
        <w:t xml:space="preserve">broader as </w:t>
      </w:r>
      <w:r w:rsidR="00B5199A">
        <w:rPr>
          <w:rFonts w:ascii="Calibri" w:eastAsia="Times New Roman" w:hAnsi="Calibri" w:cs="Calibri"/>
          <w:lang w:val="en-GB"/>
        </w:rPr>
        <w:t>these</w:t>
      </w:r>
      <w:r w:rsidR="00B5199A" w:rsidRPr="00A333A4">
        <w:rPr>
          <w:rFonts w:ascii="Calibri" w:eastAsia="Times New Roman" w:hAnsi="Calibri" w:cs="Calibri"/>
          <w:lang w:val="en-GB"/>
        </w:rPr>
        <w:t xml:space="preserve"> </w:t>
      </w:r>
      <w:r w:rsidR="00A333A4">
        <w:rPr>
          <w:rFonts w:ascii="Calibri" w:eastAsia="Times New Roman" w:hAnsi="Calibri" w:cs="Calibri"/>
          <w:lang w:val="en-GB"/>
        </w:rPr>
        <w:t>were a response</w:t>
      </w:r>
      <w:r w:rsidR="00A333A4" w:rsidRPr="00A333A4">
        <w:rPr>
          <w:rFonts w:ascii="Calibri" w:eastAsia="Times New Roman" w:hAnsi="Calibri" w:cs="Calibri"/>
          <w:lang w:val="en-GB"/>
        </w:rPr>
        <w:t xml:space="preserve"> </w:t>
      </w:r>
      <w:r w:rsidR="00395443" w:rsidRPr="00A333A4">
        <w:rPr>
          <w:rFonts w:ascii="Calibri" w:eastAsia="Times New Roman" w:hAnsi="Calibri" w:cs="Calibri"/>
          <w:lang w:val="en-GB"/>
        </w:rPr>
        <w:t>to recommendations from experts in the area of housing and transition including an international steering committee. Project reports, policy documents, papers and websites that were deemed relevant but were not identified in the systematic re</w:t>
      </w:r>
      <w:r w:rsidR="00864928" w:rsidRPr="00A333A4">
        <w:rPr>
          <w:rFonts w:ascii="Calibri" w:eastAsia="Times New Roman" w:hAnsi="Calibri" w:cs="Calibri"/>
          <w:lang w:val="en-GB"/>
        </w:rPr>
        <w:t>vi</w:t>
      </w:r>
      <w:r w:rsidR="00395443" w:rsidRPr="00A333A4">
        <w:rPr>
          <w:rFonts w:ascii="Calibri" w:eastAsia="Times New Roman" w:hAnsi="Calibri" w:cs="Calibri"/>
          <w:lang w:val="en-GB"/>
        </w:rPr>
        <w:t>ew of academic databases were included</w:t>
      </w:r>
      <w:r w:rsidR="0015754A" w:rsidRPr="00A333A4">
        <w:rPr>
          <w:rFonts w:ascii="Calibri" w:eastAsia="Times New Roman" w:hAnsi="Calibri" w:cs="Calibri"/>
          <w:lang w:val="en-GB"/>
        </w:rPr>
        <w:t>.</w:t>
      </w:r>
      <w:r w:rsidR="00395443" w:rsidRPr="00A333A4">
        <w:rPr>
          <w:rFonts w:ascii="Calibri" w:eastAsia="Times New Roman" w:hAnsi="Calibri" w:cs="Calibri"/>
          <w:lang w:val="en-GB"/>
        </w:rPr>
        <w:t xml:space="preserve"> </w:t>
      </w:r>
    </w:p>
    <w:p w14:paraId="5D3BD2BB" w14:textId="667CF69A" w:rsidR="001B4338" w:rsidRPr="009F31DD" w:rsidRDefault="001B4338" w:rsidP="00B5199A">
      <w:pPr>
        <w:pStyle w:val="Heading3"/>
        <w:rPr>
          <w:lang w:val="en-GB"/>
        </w:rPr>
      </w:pPr>
      <w:bookmarkStart w:id="16" w:name="_Toc73535940"/>
      <w:r w:rsidRPr="00D2684E">
        <w:rPr>
          <w:rStyle w:val="Heading2Char"/>
        </w:rPr>
        <w:t>S</w:t>
      </w:r>
      <w:r w:rsidR="00290B10" w:rsidRPr="00D2684E">
        <w:rPr>
          <w:rStyle w:val="Heading2Char"/>
        </w:rPr>
        <w:t>earch strategy</w:t>
      </w:r>
      <w:bookmarkEnd w:id="16"/>
      <w:r w:rsidR="00290B10" w:rsidRPr="00D2684E">
        <w:rPr>
          <w:rStyle w:val="Heading2Char"/>
        </w:rPr>
        <w:t xml:space="preserve"> </w:t>
      </w:r>
    </w:p>
    <w:p w14:paraId="2257B58F" w14:textId="2B6DFF5A" w:rsidR="00F964F9" w:rsidRPr="00A333A4" w:rsidRDefault="00290B10" w:rsidP="00A333A4">
      <w:pPr>
        <w:spacing w:before="120" w:after="8" w:line="360" w:lineRule="auto"/>
        <w:jc w:val="both"/>
        <w:rPr>
          <w:rFonts w:eastAsia="Times New Roman" w:cstheme="minorHAnsi"/>
          <w:lang w:val="en-GB"/>
        </w:rPr>
      </w:pPr>
      <w:r w:rsidRPr="00A333A4">
        <w:rPr>
          <w:rFonts w:eastAsia="Times New Roman" w:cstheme="minorHAnsi"/>
          <w:lang w:val="en-GB"/>
        </w:rPr>
        <w:t>Ten academic databases were searched for the systematic review</w:t>
      </w:r>
      <w:r w:rsidR="00125703" w:rsidRPr="00A333A4">
        <w:rPr>
          <w:rFonts w:eastAsia="Times New Roman" w:cstheme="minorHAnsi"/>
          <w:lang w:val="en-GB"/>
        </w:rPr>
        <w:t xml:space="preserve"> in October 2020. </w:t>
      </w:r>
      <w:r w:rsidR="00B5199A">
        <w:rPr>
          <w:rFonts w:eastAsia="Times New Roman" w:cstheme="minorHAnsi"/>
          <w:lang w:val="en-GB"/>
        </w:rPr>
        <w:t>The s</w:t>
      </w:r>
      <w:r w:rsidR="00EE2D21" w:rsidRPr="00A333A4">
        <w:rPr>
          <w:rFonts w:eastAsia="Times New Roman" w:cstheme="minorHAnsi"/>
          <w:lang w:val="en-GB"/>
        </w:rPr>
        <w:t>earch</w:t>
      </w:r>
      <w:r w:rsidR="00222ADE" w:rsidRPr="00A333A4">
        <w:rPr>
          <w:rFonts w:eastAsia="Times New Roman" w:cstheme="minorHAnsi"/>
          <w:lang w:val="en-GB"/>
        </w:rPr>
        <w:t xml:space="preserve"> string </w:t>
      </w:r>
      <w:r w:rsidR="00EE2D21" w:rsidRPr="00A333A4">
        <w:rPr>
          <w:rFonts w:eastAsia="Times New Roman" w:cstheme="minorHAnsi"/>
          <w:lang w:val="en-GB"/>
        </w:rPr>
        <w:t xml:space="preserve">combined </w:t>
      </w:r>
      <w:r w:rsidR="00222ADE" w:rsidRPr="00A333A4">
        <w:rPr>
          <w:rFonts w:eastAsia="Times New Roman" w:cstheme="minorHAnsi"/>
          <w:lang w:val="en-GB"/>
        </w:rPr>
        <w:t>living arrangement</w:t>
      </w:r>
      <w:r w:rsidR="0049342C" w:rsidRPr="00A333A4">
        <w:rPr>
          <w:rFonts w:eastAsia="Times New Roman" w:cstheme="minorHAnsi"/>
          <w:lang w:val="en-GB"/>
        </w:rPr>
        <w:t xml:space="preserve">, movement and transition, and interventions </w:t>
      </w:r>
      <w:r w:rsidR="00EE2D21" w:rsidRPr="00A333A4">
        <w:rPr>
          <w:rFonts w:eastAsia="Times New Roman" w:cstheme="minorHAnsi"/>
          <w:lang w:val="en-GB"/>
        </w:rPr>
        <w:t>with disability</w:t>
      </w:r>
      <w:r w:rsidR="0049342C" w:rsidRPr="00A333A4">
        <w:rPr>
          <w:rFonts w:eastAsia="Times New Roman" w:cstheme="minorHAnsi"/>
          <w:lang w:val="en-GB"/>
        </w:rPr>
        <w:t xml:space="preserve">. The full search string and list of databases searched are in Appendix </w:t>
      </w:r>
      <w:r w:rsidR="004472CD" w:rsidRPr="00A333A4">
        <w:rPr>
          <w:rFonts w:eastAsia="Times New Roman" w:cstheme="minorHAnsi"/>
          <w:lang w:val="en-GB"/>
        </w:rPr>
        <w:t>C</w:t>
      </w:r>
      <w:r w:rsidR="0049342C" w:rsidRPr="00A333A4">
        <w:rPr>
          <w:rFonts w:eastAsia="Times New Roman" w:cstheme="minorHAnsi"/>
          <w:lang w:val="en-GB"/>
        </w:rPr>
        <w:t xml:space="preserve">. </w:t>
      </w:r>
      <w:r w:rsidR="001B4338" w:rsidRPr="00A333A4">
        <w:rPr>
          <w:rFonts w:eastAsia="Times New Roman" w:cstheme="minorHAnsi"/>
          <w:lang w:val="en-GB"/>
        </w:rPr>
        <w:t xml:space="preserve"> </w:t>
      </w:r>
    </w:p>
    <w:p w14:paraId="6C9CCE51" w14:textId="084CDB81" w:rsidR="001B4338" w:rsidRPr="00A333A4" w:rsidRDefault="00F964F9" w:rsidP="00F964F9">
      <w:pPr>
        <w:spacing w:after="8" w:line="360" w:lineRule="auto"/>
        <w:jc w:val="both"/>
        <w:rPr>
          <w:rFonts w:eastAsia="Times New Roman" w:cstheme="minorHAnsi"/>
          <w:lang w:val="en-GB"/>
        </w:rPr>
      </w:pPr>
      <w:r w:rsidRPr="00A333A4">
        <w:rPr>
          <w:rFonts w:cs="Arial"/>
        </w:rPr>
        <w:t>M</w:t>
      </w:r>
      <w:r w:rsidR="00527217" w:rsidRPr="00A333A4">
        <w:rPr>
          <w:rFonts w:cs="Arial"/>
        </w:rPr>
        <w:t xml:space="preserve">embers of the research team and advisory committee compiled a list of non-government organisations nationally and internationally that are pursuing innovative home options for people with disability (see Appendix </w:t>
      </w:r>
      <w:r w:rsidR="004472CD" w:rsidRPr="00A333A4">
        <w:rPr>
          <w:rFonts w:cs="Arial"/>
        </w:rPr>
        <w:t>A</w:t>
      </w:r>
      <w:r w:rsidR="00527217" w:rsidRPr="00A333A4">
        <w:rPr>
          <w:rFonts w:cs="Arial"/>
        </w:rPr>
        <w:t xml:space="preserve">). This was supplemented by organic internet searches of NGO, disability research centres and disability property developer websites. </w:t>
      </w:r>
      <w:r w:rsidR="00527217" w:rsidRPr="00A333A4">
        <w:rPr>
          <w:rFonts w:ascii="Calibri" w:eastAsia="Times New Roman" w:hAnsi="Calibri" w:cs="Calibri"/>
          <w:lang w:val="en-GB"/>
        </w:rPr>
        <w:t xml:space="preserve">Information extracted from the environmental scan was summarised using </w:t>
      </w:r>
      <w:r w:rsidR="00B5199A">
        <w:rPr>
          <w:rFonts w:ascii="Calibri" w:eastAsia="Times New Roman" w:hAnsi="Calibri" w:cs="Calibri"/>
          <w:lang w:val="en-GB"/>
        </w:rPr>
        <w:t xml:space="preserve">a </w:t>
      </w:r>
      <w:r w:rsidR="00527217" w:rsidRPr="00A333A4">
        <w:rPr>
          <w:rFonts w:ascii="Calibri" w:eastAsia="Times New Roman" w:hAnsi="Calibri" w:cs="Calibri"/>
          <w:lang w:val="en-GB"/>
        </w:rPr>
        <w:t>standardised matrix based on the study’s eligibility criteria and key research questions.</w:t>
      </w:r>
      <w:r w:rsidR="004E368F" w:rsidRPr="00A333A4">
        <w:rPr>
          <w:rFonts w:ascii="Calibri" w:eastAsia="Times New Roman" w:hAnsi="Calibri" w:cs="Calibri"/>
          <w:lang w:val="en-GB"/>
        </w:rPr>
        <w:t xml:space="preserve"> </w:t>
      </w:r>
      <w:r w:rsidR="004E368F" w:rsidRPr="00A333A4">
        <w:rPr>
          <w:rFonts w:cs="Arial"/>
        </w:rPr>
        <w:t>In addition to the scoping of current practice through websites and reports, stakeholders</w:t>
      </w:r>
      <w:r w:rsidR="004E368F" w:rsidRPr="00A333A4">
        <w:rPr>
          <w:rFonts w:cs="Arial"/>
          <w:b/>
          <w:bCs/>
        </w:rPr>
        <w:t xml:space="preserve"> </w:t>
      </w:r>
      <w:r w:rsidR="004E368F" w:rsidRPr="00A333A4">
        <w:rPr>
          <w:rFonts w:cs="Arial"/>
        </w:rPr>
        <w:t>working in organisations where innovative home options for people with disability is evident were contacted. The point of this exercise was to gather information on innovative, successful and/or unsuccessful home and living options that have been designed, piloted and/or implemented in practice (small or large scale), but which may not be available in the academic or grey literature.</w:t>
      </w:r>
    </w:p>
    <w:p w14:paraId="56A3EAA4" w14:textId="35E9F0B2" w:rsidR="001B4338" w:rsidRPr="00A333A4" w:rsidRDefault="002C2F4E" w:rsidP="00E9472A">
      <w:pPr>
        <w:spacing w:after="8" w:line="360" w:lineRule="auto"/>
        <w:jc w:val="both"/>
        <w:rPr>
          <w:rFonts w:ascii="Calibri" w:eastAsia="Times New Roman" w:hAnsi="Calibri" w:cs="Calibri"/>
          <w:lang w:val="en-GB"/>
        </w:rPr>
      </w:pPr>
      <w:r w:rsidRPr="00A333A4">
        <w:rPr>
          <w:rFonts w:ascii="Calibri" w:eastAsia="Times New Roman" w:hAnsi="Calibri" w:cs="Calibri"/>
          <w:lang w:val="en-GB"/>
        </w:rPr>
        <w:t xml:space="preserve">Grey literature was identified through a manual </w:t>
      </w:r>
      <w:r w:rsidR="000D0E6D" w:rsidRPr="00A333A4">
        <w:rPr>
          <w:rFonts w:ascii="Calibri" w:eastAsia="Times New Roman" w:hAnsi="Calibri" w:cs="Calibri"/>
          <w:lang w:val="en-GB"/>
        </w:rPr>
        <w:t xml:space="preserve">search of output from </w:t>
      </w:r>
      <w:r w:rsidRPr="00A333A4">
        <w:rPr>
          <w:rFonts w:ascii="Calibri" w:eastAsia="Times New Roman" w:hAnsi="Calibri" w:cs="Calibri"/>
          <w:lang w:val="en-GB"/>
        </w:rPr>
        <w:t xml:space="preserve">the </w:t>
      </w:r>
      <w:r w:rsidR="000D0E6D" w:rsidRPr="00A333A4">
        <w:rPr>
          <w:rFonts w:ascii="Calibri" w:eastAsia="Times New Roman" w:hAnsi="Calibri" w:cs="Calibri"/>
          <w:lang w:val="en-GB"/>
        </w:rPr>
        <w:t>systematic review above, prioritising policy documents, government reports and non-peer reviewed literat</w:t>
      </w:r>
      <w:r w:rsidR="0008684B" w:rsidRPr="00A333A4">
        <w:rPr>
          <w:rFonts w:ascii="Calibri" w:eastAsia="Times New Roman" w:hAnsi="Calibri" w:cs="Calibri"/>
          <w:lang w:val="en-GB"/>
        </w:rPr>
        <w:t>ure. Similarly</w:t>
      </w:r>
      <w:r w:rsidR="00B5199A">
        <w:rPr>
          <w:rFonts w:ascii="Calibri" w:eastAsia="Times New Roman" w:hAnsi="Calibri" w:cs="Calibri"/>
          <w:lang w:val="en-GB"/>
        </w:rPr>
        <w:t>,</w:t>
      </w:r>
      <w:r w:rsidR="0008684B" w:rsidRPr="00A333A4">
        <w:rPr>
          <w:rFonts w:ascii="Calibri" w:eastAsia="Times New Roman" w:hAnsi="Calibri" w:cs="Calibri"/>
          <w:lang w:val="en-GB"/>
        </w:rPr>
        <w:t xml:space="preserve"> documents identified in the environmental scanning process and through project networks and </w:t>
      </w:r>
      <w:r w:rsidR="00B5199A">
        <w:rPr>
          <w:rFonts w:ascii="Calibri" w:eastAsia="Times New Roman" w:hAnsi="Calibri" w:cs="Calibri"/>
          <w:lang w:val="en-GB"/>
        </w:rPr>
        <w:t xml:space="preserve">the </w:t>
      </w:r>
      <w:r w:rsidR="0008684B" w:rsidRPr="00A333A4">
        <w:rPr>
          <w:rFonts w:ascii="Calibri" w:eastAsia="Times New Roman" w:hAnsi="Calibri" w:cs="Calibri"/>
          <w:lang w:val="en-GB"/>
        </w:rPr>
        <w:t xml:space="preserve">steering committee were included </w:t>
      </w:r>
      <w:r w:rsidR="005B4ECE" w:rsidRPr="00A333A4">
        <w:rPr>
          <w:rFonts w:ascii="Calibri" w:eastAsia="Times New Roman" w:hAnsi="Calibri" w:cs="Calibri"/>
          <w:lang w:val="en-GB"/>
        </w:rPr>
        <w:t xml:space="preserve">in this section of the review. </w:t>
      </w:r>
    </w:p>
    <w:p w14:paraId="28FE8F06" w14:textId="718141E9" w:rsidR="001B4338" w:rsidRPr="00864928" w:rsidRDefault="001B4338" w:rsidP="00A333A4">
      <w:pPr>
        <w:pStyle w:val="Heading2"/>
        <w:rPr>
          <w:lang w:val="en-GB"/>
        </w:rPr>
      </w:pPr>
      <w:bookmarkStart w:id="17" w:name="_Toc73535941"/>
      <w:r w:rsidRPr="00864928">
        <w:rPr>
          <w:lang w:val="en-GB"/>
        </w:rPr>
        <w:t>Data</w:t>
      </w:r>
      <w:r w:rsidR="00411033" w:rsidRPr="00864928">
        <w:rPr>
          <w:lang w:val="en-GB"/>
        </w:rPr>
        <w:t xml:space="preserve"> </w:t>
      </w:r>
      <w:r w:rsidRPr="00A333A4">
        <w:t>Extraction</w:t>
      </w:r>
      <w:r w:rsidRPr="00864928">
        <w:rPr>
          <w:lang w:val="en-GB"/>
        </w:rPr>
        <w:t xml:space="preserve"> Process</w:t>
      </w:r>
      <w:bookmarkEnd w:id="17"/>
      <w:r w:rsidRPr="00864928">
        <w:rPr>
          <w:lang w:val="en-GB"/>
        </w:rPr>
        <w:t xml:space="preserve"> </w:t>
      </w:r>
    </w:p>
    <w:p w14:paraId="48C1A515" w14:textId="6ACD0E2D" w:rsidR="001B4338" w:rsidRPr="0018763D" w:rsidRDefault="00DE17C4" w:rsidP="00A333A4">
      <w:pPr>
        <w:spacing w:before="120" w:after="8" w:line="360" w:lineRule="auto"/>
        <w:jc w:val="both"/>
        <w:rPr>
          <w:rFonts w:ascii="Calibri" w:hAnsi="Calibri" w:cs="Calibri"/>
        </w:rPr>
      </w:pPr>
      <w:r w:rsidRPr="00E44E2D">
        <w:rPr>
          <w:rFonts w:ascii="Calibri" w:eastAsia="Times New Roman" w:hAnsi="Calibri" w:cs="Calibri"/>
          <w:lang w:val="en-GB"/>
        </w:rPr>
        <w:t xml:space="preserve">All studies that met initial search strategy eligibility criteria were initially </w:t>
      </w:r>
      <w:r w:rsidR="003C44BA" w:rsidRPr="00E44E2D">
        <w:rPr>
          <w:rFonts w:ascii="Calibri" w:eastAsia="Times New Roman" w:hAnsi="Calibri" w:cs="Calibri"/>
          <w:lang w:val="en-GB"/>
        </w:rPr>
        <w:t xml:space="preserve">included </w:t>
      </w:r>
      <w:r w:rsidR="006804CD">
        <w:rPr>
          <w:rFonts w:ascii="Calibri" w:eastAsia="Times New Roman" w:hAnsi="Calibri" w:cs="Calibri"/>
          <w:lang w:val="en-GB"/>
        </w:rPr>
        <w:t>in</w:t>
      </w:r>
      <w:r w:rsidR="006804CD" w:rsidRPr="00E44E2D">
        <w:rPr>
          <w:rFonts w:ascii="Calibri" w:eastAsia="Times New Roman" w:hAnsi="Calibri" w:cs="Calibri"/>
          <w:lang w:val="en-GB"/>
        </w:rPr>
        <w:t xml:space="preserve"> </w:t>
      </w:r>
      <w:r w:rsidRPr="00E44E2D">
        <w:rPr>
          <w:rFonts w:ascii="Calibri" w:eastAsia="Times New Roman" w:hAnsi="Calibri" w:cs="Calibri"/>
          <w:lang w:val="en-GB"/>
        </w:rPr>
        <w:t>the EndNote reference library.  Covidence software was utilised for abstract and full text screening using two independent reviewers (ED and EW) for each stage</w:t>
      </w:r>
      <w:r w:rsidRPr="0029620C">
        <w:rPr>
          <w:rFonts w:ascii="Calibri" w:eastAsia="Times New Roman" w:hAnsi="Calibri" w:cs="Calibri"/>
          <w:lang w:val="en-GB"/>
        </w:rPr>
        <w:t xml:space="preserve"> of the process with any conflicts independently resolved by a third reviewer (MAOD).  </w:t>
      </w:r>
      <w:r w:rsidR="00FD64DF" w:rsidRPr="00501E99">
        <w:rPr>
          <w:rFonts w:ascii="Calibri" w:eastAsia="Times New Roman" w:hAnsi="Calibri" w:cs="Calibri"/>
          <w:lang w:val="en-GB"/>
        </w:rPr>
        <w:t xml:space="preserve">Data from the </w:t>
      </w:r>
      <w:r w:rsidR="00DE64CE" w:rsidRPr="00501E99">
        <w:rPr>
          <w:rFonts w:ascii="Calibri" w:eastAsia="Times New Roman" w:hAnsi="Calibri" w:cs="Calibri"/>
          <w:lang w:val="en-GB"/>
        </w:rPr>
        <w:t xml:space="preserve">academic and </w:t>
      </w:r>
      <w:r w:rsidR="00FD64DF" w:rsidRPr="00501E99">
        <w:rPr>
          <w:rFonts w:ascii="Calibri" w:eastAsia="Times New Roman" w:hAnsi="Calibri" w:cs="Calibri"/>
          <w:lang w:val="en-GB"/>
        </w:rPr>
        <w:t xml:space="preserve">grey literature </w:t>
      </w:r>
      <w:r w:rsidR="00B5199A">
        <w:rPr>
          <w:rFonts w:ascii="Calibri" w:eastAsia="Times New Roman" w:hAnsi="Calibri" w:cs="Calibri"/>
          <w:lang w:val="en-GB"/>
        </w:rPr>
        <w:t>were</w:t>
      </w:r>
      <w:r w:rsidR="00B5199A" w:rsidRPr="00501E99">
        <w:rPr>
          <w:rFonts w:ascii="Calibri" w:eastAsia="Times New Roman" w:hAnsi="Calibri" w:cs="Calibri"/>
          <w:lang w:val="en-GB"/>
        </w:rPr>
        <w:t xml:space="preserve"> </w:t>
      </w:r>
      <w:r w:rsidR="00FD64DF" w:rsidRPr="00501E99">
        <w:rPr>
          <w:rFonts w:ascii="Calibri" w:eastAsia="Times New Roman" w:hAnsi="Calibri" w:cs="Calibri"/>
          <w:lang w:val="en-GB"/>
        </w:rPr>
        <w:t xml:space="preserve">extracted using a </w:t>
      </w:r>
      <w:r w:rsidRPr="00501E99">
        <w:rPr>
          <w:rFonts w:ascii="Calibri" w:eastAsia="Times New Roman" w:hAnsi="Calibri" w:cs="Calibri"/>
          <w:lang w:val="en-GB"/>
        </w:rPr>
        <w:t>data extraction template devised for this project</w:t>
      </w:r>
      <w:r w:rsidR="00C918D5" w:rsidRPr="007510FE">
        <w:rPr>
          <w:rFonts w:ascii="Calibri" w:eastAsia="Times New Roman" w:hAnsi="Calibri" w:cs="Calibri"/>
          <w:lang w:val="en-GB"/>
        </w:rPr>
        <w:t xml:space="preserve"> (</w:t>
      </w:r>
      <w:r w:rsidR="00C918D5" w:rsidRPr="00E44E2D">
        <w:rPr>
          <w:rFonts w:ascii="Calibri" w:eastAsia="Times New Roman" w:hAnsi="Calibri" w:cs="Calibri"/>
          <w:lang w:val="en-GB"/>
        </w:rPr>
        <w:t xml:space="preserve">Appendix </w:t>
      </w:r>
      <w:r w:rsidR="004472CD" w:rsidRPr="00E44E2D">
        <w:rPr>
          <w:rFonts w:ascii="Calibri" w:eastAsia="Times New Roman" w:hAnsi="Calibri" w:cs="Calibri"/>
          <w:lang w:val="en-GB"/>
        </w:rPr>
        <w:t>D</w:t>
      </w:r>
      <w:r w:rsidR="00C918D5" w:rsidRPr="00E44E2D">
        <w:rPr>
          <w:rFonts w:ascii="Calibri" w:eastAsia="Times New Roman" w:hAnsi="Calibri" w:cs="Calibri"/>
          <w:lang w:val="en-GB"/>
        </w:rPr>
        <w:t>)</w:t>
      </w:r>
      <w:r w:rsidRPr="00E44E2D">
        <w:rPr>
          <w:rFonts w:ascii="Calibri" w:eastAsia="Times New Roman" w:hAnsi="Calibri" w:cs="Calibri"/>
          <w:lang w:val="en-GB"/>
        </w:rPr>
        <w:t xml:space="preserve"> and which standardised the approach across reviewers. </w:t>
      </w:r>
      <w:r w:rsidR="0086411B" w:rsidRPr="00E44E2D">
        <w:rPr>
          <w:rFonts w:ascii="Calibri" w:eastAsia="Times New Roman" w:hAnsi="Calibri" w:cs="Calibri"/>
          <w:lang w:val="en-GB"/>
        </w:rPr>
        <w:t xml:space="preserve">The data extraction form recorded </w:t>
      </w:r>
      <w:r w:rsidR="002C0E46" w:rsidRPr="00E44E2D">
        <w:rPr>
          <w:rFonts w:ascii="Calibri" w:eastAsia="Times New Roman" w:hAnsi="Calibri" w:cs="Calibri"/>
          <w:lang w:val="en-GB"/>
        </w:rPr>
        <w:t xml:space="preserve">citation, country and region, year of publication, sample composition and size, study design, type of transition, type of housing model, type of supports, outcomes measures, validation of measurement, </w:t>
      </w:r>
      <w:r w:rsidR="00B5199A">
        <w:rPr>
          <w:rFonts w:ascii="Calibri" w:eastAsia="Times New Roman" w:hAnsi="Calibri" w:cs="Calibri"/>
          <w:lang w:val="en-GB"/>
        </w:rPr>
        <w:t xml:space="preserve">and </w:t>
      </w:r>
      <w:r w:rsidR="002C0E46" w:rsidRPr="00E44E2D">
        <w:rPr>
          <w:rFonts w:ascii="Calibri" w:eastAsia="Times New Roman" w:hAnsi="Calibri" w:cs="Calibri"/>
          <w:lang w:val="en-GB"/>
        </w:rPr>
        <w:t xml:space="preserve">key findings. </w:t>
      </w:r>
      <w:r w:rsidR="00FE41AE" w:rsidRPr="00E44E2D">
        <w:rPr>
          <w:rFonts w:ascii="Calibri" w:eastAsia="Times New Roman" w:hAnsi="Calibri" w:cs="Calibri"/>
          <w:lang w:val="en-GB"/>
        </w:rPr>
        <w:t xml:space="preserve">An amended data extraction form was </w:t>
      </w:r>
      <w:r w:rsidR="00FE41AE" w:rsidRPr="00E44E2D">
        <w:rPr>
          <w:rFonts w:ascii="Calibri" w:eastAsia="Times New Roman" w:hAnsi="Calibri" w:cs="Calibri"/>
          <w:lang w:val="en-GB"/>
        </w:rPr>
        <w:lastRenderedPageBreak/>
        <w:t xml:space="preserve">used for the </w:t>
      </w:r>
      <w:r w:rsidR="0086411B" w:rsidRPr="00E44E2D">
        <w:rPr>
          <w:rFonts w:ascii="Calibri" w:eastAsia="Times New Roman" w:hAnsi="Calibri" w:cs="Calibri"/>
          <w:lang w:val="en-GB"/>
        </w:rPr>
        <w:t>environmental scan and recorded</w:t>
      </w:r>
      <w:r w:rsidR="00493278" w:rsidRPr="00E44E2D">
        <w:rPr>
          <w:rFonts w:ascii="Calibri" w:eastAsia="Times New Roman" w:hAnsi="Calibri" w:cs="Calibri"/>
          <w:lang w:val="en-GB"/>
        </w:rPr>
        <w:t xml:space="preserve"> website</w:t>
      </w:r>
      <w:r w:rsidR="00023C88" w:rsidRPr="00E44E2D">
        <w:rPr>
          <w:rFonts w:ascii="Calibri" w:eastAsia="Times New Roman" w:hAnsi="Calibri" w:cs="Calibri"/>
          <w:lang w:val="en-GB"/>
        </w:rPr>
        <w:t>, participant profile, type of intervention, housing model and supports, and eligibility criteria set by the agency to access supports and services. O</w:t>
      </w:r>
      <w:r w:rsidR="000201F3" w:rsidRPr="00E44E2D">
        <w:rPr>
          <w:rFonts w:ascii="Calibri" w:eastAsia="Times New Roman" w:hAnsi="Calibri" w:cs="Calibri"/>
          <w:lang w:val="en-GB"/>
        </w:rPr>
        <w:t>ne researcher compiled the list of websites for review with</w:t>
      </w:r>
      <w:r w:rsidR="00B65ED7">
        <w:rPr>
          <w:rFonts w:ascii="Calibri" w:eastAsia="Times New Roman" w:hAnsi="Calibri" w:cs="Calibri"/>
          <w:lang w:val="en-GB"/>
        </w:rPr>
        <w:t xml:space="preserve"> three</w:t>
      </w:r>
      <w:r w:rsidR="000201F3" w:rsidRPr="00E44E2D">
        <w:rPr>
          <w:rFonts w:ascii="Calibri" w:eastAsia="Times New Roman" w:hAnsi="Calibri" w:cs="Calibri"/>
          <w:lang w:val="en-GB"/>
        </w:rPr>
        <w:t xml:space="preserve"> researchers involved in extraction</w:t>
      </w:r>
      <w:r w:rsidR="00894FD2" w:rsidRPr="00E44E2D">
        <w:rPr>
          <w:rFonts w:ascii="Calibri" w:eastAsia="Times New Roman" w:hAnsi="Calibri" w:cs="Calibri"/>
          <w:lang w:val="en-GB"/>
        </w:rPr>
        <w:t xml:space="preserve"> for the environmental scan</w:t>
      </w:r>
      <w:r w:rsidR="000201F3" w:rsidRPr="00E44E2D">
        <w:rPr>
          <w:rFonts w:ascii="Calibri" w:eastAsia="Times New Roman" w:hAnsi="Calibri" w:cs="Calibri"/>
          <w:lang w:val="en-GB"/>
        </w:rPr>
        <w:t xml:space="preserve">. </w:t>
      </w:r>
      <w:r w:rsidR="00894FD2" w:rsidRPr="00E44E2D">
        <w:rPr>
          <w:rFonts w:ascii="Calibri" w:eastAsia="Times New Roman" w:hAnsi="Calibri" w:cs="Calibri"/>
          <w:lang w:val="en-GB"/>
        </w:rPr>
        <w:t xml:space="preserve">An overview to check consistency and quality of data extraction then took place. </w:t>
      </w:r>
      <w:r w:rsidR="000201F3" w:rsidRPr="00E44E2D">
        <w:rPr>
          <w:rFonts w:ascii="Calibri" w:eastAsia="Times New Roman" w:hAnsi="Calibri" w:cs="Calibri"/>
          <w:lang w:val="en-GB"/>
        </w:rPr>
        <w:t xml:space="preserve"> </w:t>
      </w:r>
    </w:p>
    <w:p w14:paraId="01A6DD24" w14:textId="3C588156" w:rsidR="001B4338" w:rsidRPr="00A333A4" w:rsidRDefault="001B4338" w:rsidP="00B5199A">
      <w:pPr>
        <w:pStyle w:val="Heading3"/>
      </w:pPr>
      <w:bookmarkStart w:id="18" w:name="_Toc73535942"/>
      <w:r w:rsidRPr="00A333A4">
        <w:t>Risk of bias in individual studies</w:t>
      </w:r>
      <w:bookmarkEnd w:id="18"/>
    </w:p>
    <w:p w14:paraId="733ED375" w14:textId="5E1F3E44" w:rsidR="00380AB6" w:rsidRPr="00225F55" w:rsidRDefault="00702375" w:rsidP="00A333A4">
      <w:pPr>
        <w:spacing w:before="120" w:line="360" w:lineRule="auto"/>
        <w:jc w:val="both"/>
        <w:rPr>
          <w:rFonts w:ascii="Calibri" w:hAnsi="Calibri" w:cs="Calibri"/>
        </w:rPr>
      </w:pPr>
      <w:r w:rsidRPr="000D0701">
        <w:rPr>
          <w:rFonts w:ascii="Calibri" w:hAnsi="Calibri" w:cs="Calibri"/>
        </w:rPr>
        <w:t xml:space="preserve">The quality of each study included in the </w:t>
      </w:r>
      <w:r w:rsidR="00380AB6" w:rsidRPr="000D0701">
        <w:rPr>
          <w:rFonts w:ascii="Calibri" w:hAnsi="Calibri" w:cs="Calibri"/>
        </w:rPr>
        <w:t>academic literature</w:t>
      </w:r>
      <w:r w:rsidRPr="000D0701">
        <w:rPr>
          <w:rFonts w:ascii="Calibri" w:hAnsi="Calibri" w:cs="Calibri"/>
        </w:rPr>
        <w:t xml:space="preserve"> was assessed based on the Joanna Briggs institute (JBI) quality assessment tools</w:t>
      </w:r>
      <w:r w:rsidR="00CD5F99" w:rsidRPr="000D0701">
        <w:rPr>
          <w:rFonts w:ascii="Calibri" w:hAnsi="Calibri" w:cs="Calibri"/>
        </w:rPr>
        <w:t>. Checklists for cohort, cross sectional and qualitative studies were used depending on the study design</w:t>
      </w:r>
      <w:r w:rsidRPr="000D0701">
        <w:rPr>
          <w:rFonts w:ascii="Calibri" w:hAnsi="Calibri" w:cs="Calibri"/>
        </w:rPr>
        <w:t>.</w:t>
      </w:r>
      <w:r w:rsidR="00B44D1F" w:rsidRPr="000D0701">
        <w:rPr>
          <w:rFonts w:ascii="Calibri" w:hAnsi="Calibri" w:cs="Calibri"/>
        </w:rPr>
        <w:t xml:space="preserve"> </w:t>
      </w:r>
      <w:r w:rsidR="00091018" w:rsidRPr="000D0701">
        <w:rPr>
          <w:rFonts w:ascii="Calibri" w:hAnsi="Calibri" w:cs="Calibri"/>
        </w:rPr>
        <w:t xml:space="preserve"> </w:t>
      </w:r>
      <w:r w:rsidR="00CD5F99" w:rsidRPr="000D0701">
        <w:rPr>
          <w:rFonts w:ascii="Calibri" w:hAnsi="Calibri" w:cs="Calibri"/>
        </w:rPr>
        <w:t xml:space="preserve">Each study was rated based on the information on selection of participants, study design, methodology for statistical analysis or narrative synthesis and interpretation of findings. Overall rating scores were summed as ‘poor’ (50 percent or less of the checklist criteria were met), ‘fair’ (75 percent or less) and ‘good’ (over 75 percent of the checklist criteria were met). </w:t>
      </w:r>
      <w:r w:rsidR="00250BBE" w:rsidRPr="000D0701">
        <w:rPr>
          <w:rFonts w:ascii="Calibri" w:hAnsi="Calibri" w:cs="Calibri"/>
        </w:rPr>
        <w:t xml:space="preserve">The included qualitative and quantitative papers were assessed by an independent researcher using the JBI tools. Once the initial review was complete, a random sample comprising ten percent of each category of the included papers was re-assessed for consistency by two other </w:t>
      </w:r>
      <w:r w:rsidR="00250BBE" w:rsidRPr="006429B3">
        <w:rPr>
          <w:rFonts w:ascii="Calibri" w:hAnsi="Calibri" w:cs="Calibri"/>
        </w:rPr>
        <w:t>researchers.</w:t>
      </w:r>
      <w:r w:rsidR="00DB1525" w:rsidRPr="006429B3">
        <w:rPr>
          <w:rFonts w:ascii="Calibri" w:hAnsi="Calibri" w:cs="Calibri"/>
        </w:rPr>
        <w:t xml:space="preserve"> </w:t>
      </w:r>
      <w:r w:rsidR="00380AB6" w:rsidRPr="006429B3">
        <w:rPr>
          <w:rFonts w:ascii="Calibri" w:hAnsi="Calibri" w:cs="Calibri"/>
        </w:rPr>
        <w:t>Quality</w:t>
      </w:r>
      <w:r w:rsidR="00380AB6" w:rsidRPr="00225F55">
        <w:rPr>
          <w:rFonts w:ascii="Calibri" w:hAnsi="Calibri" w:cs="Calibri"/>
        </w:rPr>
        <w:t xml:space="preserve"> assessment of grey literature and environmental scan websites was not completed. Once these sources met the broad eligibility criteria and/or had been recommended by experts, then they were included. </w:t>
      </w:r>
      <w:r w:rsidR="00A60AE3">
        <w:rPr>
          <w:rFonts w:ascii="Calibri" w:hAnsi="Calibri" w:cs="Calibri"/>
        </w:rPr>
        <w:t xml:space="preserve">As such, findings from these sources should be interpreted with the lack of quality assessment in mind. </w:t>
      </w:r>
    </w:p>
    <w:p w14:paraId="7FC1FE25" w14:textId="2B4B9DC0" w:rsidR="001B4338" w:rsidRPr="00225F55" w:rsidRDefault="001B4338" w:rsidP="00B5199A">
      <w:pPr>
        <w:pStyle w:val="Heading3"/>
      </w:pPr>
      <w:bookmarkStart w:id="19" w:name="_Toc73535943"/>
      <w:r w:rsidRPr="00225F55">
        <w:t>Data Synthesis</w:t>
      </w:r>
      <w:bookmarkEnd w:id="19"/>
    </w:p>
    <w:p w14:paraId="41F0DC17" w14:textId="1C41A0EE" w:rsidR="001B4338" w:rsidRPr="00225F55" w:rsidRDefault="00326006" w:rsidP="00A333A4">
      <w:pPr>
        <w:spacing w:before="120" w:after="8" w:line="360" w:lineRule="auto"/>
        <w:jc w:val="both"/>
        <w:rPr>
          <w:rFonts w:ascii="Calibri" w:eastAsia="Times New Roman" w:hAnsi="Calibri" w:cs="Calibri"/>
          <w:lang w:val="en-GB"/>
        </w:rPr>
      </w:pPr>
      <w:r w:rsidRPr="00225F55">
        <w:rPr>
          <w:rFonts w:ascii="Calibri" w:eastAsia="Times New Roman" w:hAnsi="Calibri" w:cs="Calibri"/>
          <w:lang w:val="en-GB"/>
        </w:rPr>
        <w:t>An initial thematic analysis of qualitative, quantitative and grey literature was completed. Th</w:t>
      </w:r>
      <w:r w:rsidR="00411033" w:rsidRPr="00225F55">
        <w:rPr>
          <w:rFonts w:ascii="Calibri" w:eastAsia="Times New Roman" w:hAnsi="Calibri" w:cs="Calibri"/>
          <w:lang w:val="en-GB"/>
        </w:rPr>
        <w:t xml:space="preserve">e findings were synthesised using an ecological framework adapted from </w:t>
      </w:r>
      <w:r w:rsidR="00225F55" w:rsidRPr="00225F55">
        <w:rPr>
          <w:rFonts w:ascii="Calibri" w:eastAsia="Times New Roman" w:hAnsi="Calibri" w:cs="Calibri"/>
          <w:lang w:val="en-GB"/>
        </w:rPr>
        <w:t>M</w:t>
      </w:r>
      <w:r w:rsidR="00225F55">
        <w:rPr>
          <w:rFonts w:ascii="Calibri" w:eastAsia="Times New Roman" w:hAnsi="Calibri" w:cs="Calibri"/>
          <w:lang w:val="en-GB"/>
        </w:rPr>
        <w:t>cL</w:t>
      </w:r>
      <w:r w:rsidR="00225F55" w:rsidRPr="00225F55">
        <w:rPr>
          <w:rFonts w:ascii="Calibri" w:eastAsia="Times New Roman" w:hAnsi="Calibri" w:cs="Calibri"/>
          <w:lang w:val="en-GB"/>
        </w:rPr>
        <w:t>eroy et al</w:t>
      </w:r>
      <w:r w:rsidR="00225F55">
        <w:rPr>
          <w:rFonts w:ascii="Calibri" w:eastAsia="Times New Roman" w:hAnsi="Calibri" w:cs="Calibri"/>
          <w:lang w:val="en-GB"/>
        </w:rPr>
        <w:t xml:space="preserve"> </w:t>
      </w:r>
      <w:r w:rsidR="00225F55" w:rsidRPr="00225F55">
        <w:rPr>
          <w:rFonts w:ascii="Calibri" w:eastAsia="Times New Roman" w:hAnsi="Calibri" w:cs="Calibri"/>
          <w:lang w:val="en-GB"/>
        </w:rPr>
        <w:t>(1988)</w:t>
      </w:r>
      <w:r w:rsidR="00411033" w:rsidRPr="00225F55">
        <w:rPr>
          <w:rFonts w:ascii="Calibri" w:eastAsia="Times New Roman" w:hAnsi="Calibri" w:cs="Calibri"/>
          <w:lang w:val="en-GB"/>
        </w:rPr>
        <w:t xml:space="preserve">. This is presented in the findings chapter. </w:t>
      </w:r>
      <w:r w:rsidR="001B4338" w:rsidRPr="00225F55">
        <w:rPr>
          <w:rFonts w:ascii="Calibri" w:eastAsia="Times New Roman" w:hAnsi="Calibri" w:cs="Calibri"/>
        </w:rPr>
        <w:t>Quantitative synthesis of appropriate studies was completed using the Comprehensive Meta-Analysis (CMA) software</w:t>
      </w:r>
      <w:r w:rsidR="007D376E" w:rsidRPr="00225F55">
        <w:rPr>
          <w:rFonts w:ascii="Calibri" w:eastAsia="Times New Roman" w:hAnsi="Calibri" w:cs="Calibri"/>
        </w:rPr>
        <w:t xml:space="preserve">. </w:t>
      </w:r>
      <w:r w:rsidR="00681AE4" w:rsidRPr="00225F55">
        <w:rPr>
          <w:rFonts w:ascii="Calibri" w:eastAsia="Times New Roman" w:hAnsi="Calibri" w:cs="Calibri"/>
        </w:rPr>
        <w:t xml:space="preserve">A detailed </w:t>
      </w:r>
      <w:r w:rsidR="00F71E3D" w:rsidRPr="00225F55">
        <w:rPr>
          <w:rFonts w:ascii="Calibri" w:eastAsia="Times New Roman" w:hAnsi="Calibri" w:cs="Calibri"/>
        </w:rPr>
        <w:t xml:space="preserve">report of the meta-analysis findings is presented </w:t>
      </w:r>
      <w:r w:rsidR="00F71E3D" w:rsidRPr="0015754A">
        <w:rPr>
          <w:rFonts w:ascii="Calibri" w:eastAsia="Times New Roman" w:hAnsi="Calibri" w:cs="Calibri"/>
        </w:rPr>
        <w:t xml:space="preserve">in Appendix </w:t>
      </w:r>
      <w:r w:rsidR="003446B0">
        <w:rPr>
          <w:rFonts w:ascii="Calibri" w:eastAsia="Times New Roman" w:hAnsi="Calibri" w:cs="Calibri"/>
        </w:rPr>
        <w:t>G</w:t>
      </w:r>
      <w:r w:rsidR="00F71E3D" w:rsidRPr="0015754A">
        <w:rPr>
          <w:rFonts w:ascii="Calibri" w:eastAsia="Times New Roman" w:hAnsi="Calibri" w:cs="Calibri"/>
        </w:rPr>
        <w:t>.</w:t>
      </w:r>
      <w:r w:rsidR="00F71E3D" w:rsidRPr="00225F55">
        <w:rPr>
          <w:rFonts w:ascii="Calibri" w:eastAsia="Times New Roman" w:hAnsi="Calibri" w:cs="Calibri"/>
        </w:rPr>
        <w:t xml:space="preserve">  Results are provided for the overall effect size and </w:t>
      </w:r>
      <w:r w:rsidR="001B4338" w:rsidRPr="00225F55">
        <w:rPr>
          <w:rFonts w:ascii="Calibri" w:eastAsia="Times New Roman" w:hAnsi="Calibri" w:cs="Calibri"/>
        </w:rPr>
        <w:t>statistical information on between study</w:t>
      </w:r>
      <w:r w:rsidR="001B4338" w:rsidRPr="00E529AE">
        <w:t xml:space="preserve"> </w:t>
      </w:r>
      <w:r w:rsidR="001B4338" w:rsidRPr="00225F55">
        <w:t>heterogeneity (</w:t>
      </w:r>
      <w:r w:rsidR="001B4338" w:rsidRPr="00225F55">
        <w:rPr>
          <w:rFonts w:ascii="Calibri" w:eastAsia="Times New Roman" w:hAnsi="Calibri" w:cs="Calibri"/>
        </w:rPr>
        <w:t>I</w:t>
      </w:r>
      <w:r w:rsidR="001B4338" w:rsidRPr="00225F55">
        <w:rPr>
          <w:rFonts w:ascii="Calibri" w:eastAsia="Times New Roman" w:hAnsi="Calibri" w:cs="Calibri"/>
          <w:vertAlign w:val="superscript"/>
        </w:rPr>
        <w:t>2</w:t>
      </w:r>
      <w:r w:rsidR="001B4338" w:rsidRPr="00225F55">
        <w:rPr>
          <w:rFonts w:ascii="Calibri" w:eastAsia="Times New Roman" w:hAnsi="Calibri" w:cs="Calibri"/>
        </w:rPr>
        <w:t xml:space="preserve"> statistic), between sub-group heterogeneity (Cochrane’s Q-statistic), sensitivity analysis, and m</w:t>
      </w:r>
      <w:r w:rsidR="001B4338" w:rsidRPr="00225F55">
        <w:rPr>
          <w:rFonts w:ascii="Calibri" w:hAnsi="Calibri" w:cs="Calibri"/>
        </w:rPr>
        <w:t>eta-bias (r</w:t>
      </w:r>
      <w:r w:rsidR="001B4338" w:rsidRPr="00225F55">
        <w:rPr>
          <w:rFonts w:ascii="Calibri" w:eastAsia="Times New Roman" w:hAnsi="Calibri" w:cs="Calibri"/>
          <w:lang w:val="en-GB"/>
        </w:rPr>
        <w:t xml:space="preserve">isk of publication bias </w:t>
      </w:r>
      <w:r w:rsidR="00F71E3D" w:rsidRPr="00225F55">
        <w:rPr>
          <w:rFonts w:ascii="Calibri" w:eastAsia="Times New Roman" w:hAnsi="Calibri" w:cs="Calibri"/>
          <w:lang w:val="en-GB"/>
        </w:rPr>
        <w:t xml:space="preserve">based on </w:t>
      </w:r>
      <w:r w:rsidR="001B4338" w:rsidRPr="00225F55">
        <w:rPr>
          <w:rFonts w:ascii="Calibri" w:eastAsia="Times New Roman" w:hAnsi="Calibri" w:cs="Calibri"/>
          <w:lang w:val="en-GB"/>
        </w:rPr>
        <w:t>funnel plot inspection and Egger’s regression test).</w:t>
      </w:r>
    </w:p>
    <w:p w14:paraId="75CA0F43" w14:textId="63B88316" w:rsidR="00290B10" w:rsidRPr="00231888" w:rsidRDefault="00290B10" w:rsidP="00E9472A">
      <w:pPr>
        <w:spacing w:after="8" w:line="360" w:lineRule="auto"/>
        <w:jc w:val="both"/>
        <w:rPr>
          <w:rFonts w:ascii="Calibri" w:eastAsia="Times New Roman" w:hAnsi="Calibri" w:cs="Calibri"/>
          <w:sz w:val="20"/>
          <w:szCs w:val="20"/>
          <w:lang w:val="en-AU"/>
        </w:rPr>
      </w:pPr>
    </w:p>
    <w:p w14:paraId="719A3058" w14:textId="77777777" w:rsidR="00624F3A" w:rsidRDefault="00624F3A" w:rsidP="00E9472A">
      <w:pPr>
        <w:spacing w:after="8" w:line="360" w:lineRule="auto"/>
        <w:jc w:val="both"/>
        <w:rPr>
          <w:rFonts w:ascii="Calibri" w:eastAsia="Times New Roman" w:hAnsi="Calibri" w:cs="Calibri"/>
          <w:sz w:val="20"/>
          <w:szCs w:val="20"/>
          <w:lang w:val="en-GB"/>
        </w:rPr>
      </w:pPr>
    </w:p>
    <w:p w14:paraId="0FE6E86C" w14:textId="0F81B947" w:rsidR="006E0AF3" w:rsidRDefault="006E0AF3">
      <w:r>
        <w:br w:type="page"/>
      </w:r>
    </w:p>
    <w:p w14:paraId="0DE5CDF1" w14:textId="5343670B" w:rsidR="002E7617" w:rsidRPr="005E1C91" w:rsidRDefault="0081140F" w:rsidP="00B52266">
      <w:pPr>
        <w:pStyle w:val="Heading1"/>
        <w:spacing w:line="360" w:lineRule="auto"/>
      </w:pPr>
      <w:bookmarkStart w:id="20" w:name="_Toc73535944"/>
      <w:r>
        <w:lastRenderedPageBreak/>
        <w:t>Results</w:t>
      </w:r>
      <w:r w:rsidR="00F51CF6">
        <w:t xml:space="preserve"> of the systematic review</w:t>
      </w:r>
      <w:bookmarkEnd w:id="20"/>
    </w:p>
    <w:p w14:paraId="0357BBE3" w14:textId="78ACACAF" w:rsidR="0081140F" w:rsidRPr="00477C20" w:rsidRDefault="004E2EEA" w:rsidP="00B810FA">
      <w:pPr>
        <w:spacing w:line="360" w:lineRule="auto"/>
        <w:rPr>
          <w:rFonts w:ascii="Calibri" w:eastAsia="Times New Roman" w:hAnsi="Calibri" w:cs="Calibri"/>
          <w:lang w:val="en-GB"/>
        </w:rPr>
      </w:pPr>
      <w:r>
        <w:t>This section reports on the results</w:t>
      </w:r>
      <w:r w:rsidR="00106C34">
        <w:t xml:space="preserve"> and findings</w:t>
      </w:r>
      <w:r>
        <w:t xml:space="preserve"> of the </w:t>
      </w:r>
      <w:r w:rsidR="00285273">
        <w:t>systematic review of academic and grey literature</w:t>
      </w:r>
      <w:r w:rsidR="00106C34">
        <w:t>.</w:t>
      </w:r>
      <w:r w:rsidR="00285273">
        <w:t xml:space="preserve"> Results from the environmental scan </w:t>
      </w:r>
      <w:r w:rsidR="00B5199A">
        <w:t>are</w:t>
      </w:r>
      <w:r w:rsidR="00285273">
        <w:t xml:space="preserve"> presented in the next section.</w:t>
      </w:r>
      <w:r w:rsidR="000E469C">
        <w:t xml:space="preserve"> </w:t>
      </w:r>
      <w:r w:rsidR="00F874E4">
        <w:t>A total of 25,1</w:t>
      </w:r>
      <w:r w:rsidR="00B810FA">
        <w:t xml:space="preserve">85 papers were </w:t>
      </w:r>
      <w:r w:rsidR="00B810FA" w:rsidRPr="00477C20">
        <w:rPr>
          <w:rFonts w:ascii="Calibri" w:hAnsi="Calibri" w:cs="Calibri"/>
        </w:rPr>
        <w:t xml:space="preserve">identified through this search, with 105 full text </w:t>
      </w:r>
      <w:r w:rsidR="00564CB2">
        <w:rPr>
          <w:rFonts w:ascii="Calibri" w:hAnsi="Calibri" w:cs="Calibri"/>
        </w:rPr>
        <w:t xml:space="preserve">academic </w:t>
      </w:r>
      <w:r w:rsidR="00B810FA" w:rsidRPr="00477C20">
        <w:rPr>
          <w:rFonts w:ascii="Calibri" w:hAnsi="Calibri" w:cs="Calibri"/>
        </w:rPr>
        <w:t>papers included in data extraction and analysis.</w:t>
      </w:r>
      <w:r w:rsidR="005C1CB1">
        <w:rPr>
          <w:rFonts w:ascii="Calibri" w:hAnsi="Calibri" w:cs="Calibri"/>
        </w:rPr>
        <w:t xml:space="preserve"> </w:t>
      </w:r>
      <w:r w:rsidR="0081140F" w:rsidRPr="00477C20">
        <w:rPr>
          <w:rFonts w:ascii="Calibri" w:eastAsia="Times New Roman" w:hAnsi="Calibri" w:cs="Calibri"/>
          <w:lang w:val="en-GB"/>
        </w:rPr>
        <w:t xml:space="preserve">The summary of each stage of the screening process and final number of included studies is presented in the </w:t>
      </w:r>
      <w:r w:rsidR="006804CD">
        <w:rPr>
          <w:rFonts w:ascii="Calibri" w:eastAsia="Times New Roman" w:hAnsi="Calibri" w:cs="Calibri"/>
          <w:lang w:val="en-GB"/>
        </w:rPr>
        <w:t xml:space="preserve">standard </w:t>
      </w:r>
      <w:r w:rsidR="008C4432">
        <w:rPr>
          <w:rFonts w:ascii="Calibri" w:eastAsia="Times New Roman" w:hAnsi="Calibri" w:cs="Calibri"/>
          <w:lang w:val="en-GB"/>
        </w:rPr>
        <w:t>Preferred Reporting Items for Systematic Reviews and Meta-analyses</w:t>
      </w:r>
      <w:r w:rsidR="00B17725">
        <w:rPr>
          <w:rFonts w:ascii="Calibri" w:eastAsia="Times New Roman" w:hAnsi="Calibri" w:cs="Calibri"/>
          <w:lang w:val="en-GB"/>
        </w:rPr>
        <w:t>-</w:t>
      </w:r>
      <w:r w:rsidR="0081140F" w:rsidRPr="00477C20">
        <w:rPr>
          <w:rFonts w:ascii="Calibri" w:eastAsia="Times New Roman" w:hAnsi="Calibri" w:cs="Calibri"/>
          <w:lang w:val="en-GB"/>
        </w:rPr>
        <w:t>PRISMA</w:t>
      </w:r>
      <w:r w:rsidR="00B17725">
        <w:rPr>
          <w:rFonts w:ascii="Calibri" w:eastAsia="Times New Roman" w:hAnsi="Calibri" w:cs="Calibri"/>
          <w:lang w:val="en-GB"/>
        </w:rPr>
        <w:t xml:space="preserve"> (Moher et al, 2009)</w:t>
      </w:r>
      <w:r w:rsidR="0081140F" w:rsidRPr="00477C20">
        <w:rPr>
          <w:rFonts w:ascii="Calibri" w:eastAsia="Times New Roman" w:hAnsi="Calibri" w:cs="Calibri"/>
          <w:lang w:val="en-GB"/>
        </w:rPr>
        <w:t xml:space="preserve"> flow chart</w:t>
      </w:r>
      <w:r w:rsidR="006804CD">
        <w:rPr>
          <w:rFonts w:ascii="Calibri" w:eastAsia="Times New Roman" w:hAnsi="Calibri" w:cs="Calibri"/>
          <w:lang w:val="en-GB"/>
        </w:rPr>
        <w:t xml:space="preserve"> format </w:t>
      </w:r>
      <w:r w:rsidR="0081140F" w:rsidRPr="00477C20">
        <w:rPr>
          <w:rFonts w:ascii="Calibri" w:eastAsia="Times New Roman" w:hAnsi="Calibri" w:cs="Calibri"/>
          <w:lang w:val="en-GB"/>
        </w:rPr>
        <w:t>(</w:t>
      </w:r>
      <w:r w:rsidR="00B810FA" w:rsidRPr="00477C20">
        <w:rPr>
          <w:rFonts w:ascii="Calibri" w:eastAsia="Times New Roman" w:hAnsi="Calibri" w:cs="Calibri"/>
          <w:lang w:val="en-GB"/>
        </w:rPr>
        <w:t>Figure 1</w:t>
      </w:r>
      <w:r w:rsidR="0081140F" w:rsidRPr="00477C20">
        <w:rPr>
          <w:rFonts w:ascii="Calibri" w:eastAsia="Times New Roman" w:hAnsi="Calibri" w:cs="Calibri"/>
          <w:lang w:val="en-GB"/>
        </w:rPr>
        <w:t>).</w:t>
      </w:r>
      <w:r w:rsidR="00564CB2">
        <w:rPr>
          <w:rFonts w:ascii="Calibri" w:eastAsia="Times New Roman" w:hAnsi="Calibri" w:cs="Calibri"/>
          <w:lang w:val="en-GB"/>
        </w:rPr>
        <w:t xml:space="preserve"> Of the grey literature returned (n=129), </w:t>
      </w:r>
      <w:r w:rsidR="00E7233A">
        <w:rPr>
          <w:rFonts w:ascii="Calibri" w:eastAsia="Times New Roman" w:hAnsi="Calibri" w:cs="Calibri"/>
          <w:lang w:val="en-GB"/>
        </w:rPr>
        <w:t>49</w:t>
      </w:r>
      <w:r w:rsidR="00571E4E">
        <w:rPr>
          <w:rFonts w:ascii="Calibri" w:eastAsia="Times New Roman" w:hAnsi="Calibri" w:cs="Calibri"/>
          <w:lang w:val="en-GB"/>
        </w:rPr>
        <w:t xml:space="preserve"> </w:t>
      </w:r>
      <w:r w:rsidR="00564CB2">
        <w:rPr>
          <w:rFonts w:ascii="Calibri" w:eastAsia="Times New Roman" w:hAnsi="Calibri" w:cs="Calibri"/>
          <w:lang w:val="en-GB"/>
        </w:rPr>
        <w:t>documents were incl</w:t>
      </w:r>
      <w:r w:rsidR="00773353">
        <w:rPr>
          <w:rFonts w:ascii="Calibri" w:eastAsia="Times New Roman" w:hAnsi="Calibri" w:cs="Calibri"/>
          <w:lang w:val="en-GB"/>
        </w:rPr>
        <w:t>uded in extraction and analysis.</w:t>
      </w:r>
    </w:p>
    <w:p w14:paraId="1678A401" w14:textId="15ED0454" w:rsidR="004E2EEA" w:rsidRPr="00501E99" w:rsidRDefault="007B4251" w:rsidP="007B4251">
      <w:pPr>
        <w:pStyle w:val="Caption"/>
        <w:rPr>
          <w:rFonts w:ascii="Calibri" w:eastAsia="Times New Roman" w:hAnsi="Calibri" w:cs="Calibri"/>
          <w:b/>
          <w:bCs/>
          <w:sz w:val="20"/>
          <w:szCs w:val="20"/>
          <w:lang w:val="en-GB"/>
        </w:rPr>
      </w:pPr>
      <w:bookmarkStart w:id="21" w:name="_Toc66355196"/>
      <w:r>
        <w:t xml:space="preserve">Figure </w:t>
      </w:r>
      <w:r>
        <w:fldChar w:fldCharType="begin"/>
      </w:r>
      <w:r>
        <w:instrText>SEQ Figure \* ARABIC</w:instrText>
      </w:r>
      <w:r>
        <w:fldChar w:fldCharType="separate"/>
      </w:r>
      <w:r w:rsidR="000E7FFE">
        <w:rPr>
          <w:noProof/>
        </w:rPr>
        <w:t>1</w:t>
      </w:r>
      <w:r>
        <w:fldChar w:fldCharType="end"/>
      </w:r>
      <w:r>
        <w:t xml:space="preserve"> </w:t>
      </w:r>
      <w:r w:rsidR="00501E99" w:rsidRPr="00501E99">
        <w:rPr>
          <w:rFonts w:ascii="Calibri" w:eastAsia="Times New Roman" w:hAnsi="Calibri" w:cs="Calibri"/>
          <w:b/>
          <w:bCs/>
          <w:sz w:val="20"/>
          <w:szCs w:val="20"/>
          <w:lang w:val="en-GB"/>
        </w:rPr>
        <w:t>PRISMA flowchart</w:t>
      </w:r>
      <w:bookmarkEnd w:id="21"/>
      <w:r w:rsidR="00501E99" w:rsidRPr="00501E99">
        <w:rPr>
          <w:rFonts w:ascii="Calibri" w:eastAsia="Times New Roman" w:hAnsi="Calibri" w:cs="Calibri"/>
          <w:b/>
          <w:bCs/>
          <w:sz w:val="20"/>
          <w:szCs w:val="20"/>
          <w:lang w:val="en-GB"/>
        </w:rPr>
        <w:t xml:space="preserve"> </w:t>
      </w:r>
    </w:p>
    <w:p w14:paraId="6BB8BA39" w14:textId="46FF3209" w:rsidR="00501E99" w:rsidRPr="00427DCD" w:rsidRDefault="00501E99" w:rsidP="00501E99">
      <w:pPr>
        <w:spacing w:after="240" w:line="480" w:lineRule="auto"/>
        <w:contextualSpacing/>
        <w:rPr>
          <w:rFonts w:ascii="Times New Roman" w:eastAsia="Times New Roman" w:hAnsi="Times New Roman" w:cs="Times New Roman"/>
          <w:color w:val="000000"/>
          <w:kern w:val="28"/>
          <w:sz w:val="20"/>
          <w:szCs w:val="20"/>
          <w:lang w:val="en-CA" w:eastAsia="en-CA"/>
        </w:rPr>
      </w:pPr>
      <w:r w:rsidRPr="00427DCD">
        <w:rPr>
          <w:rFonts w:ascii="Times New Roman" w:eastAsia="Times New Roman" w:hAnsi="Times New Roman" w:cs="Times New Roman"/>
          <w:noProof/>
          <w:sz w:val="24"/>
          <w:szCs w:val="24"/>
          <w:lang w:val="en-AU" w:eastAsia="en-AU"/>
        </w:rPr>
        <mc:AlternateContent>
          <mc:Choice Requires="wps">
            <w:drawing>
              <wp:anchor distT="36576" distB="36576" distL="36576" distR="36576" simplePos="0" relativeHeight="251663360" behindDoc="0" locked="0" layoutInCell="1" allowOverlap="1" wp14:anchorId="3F927553" wp14:editId="70ABC751">
                <wp:simplePos x="0" y="0"/>
                <wp:positionH relativeFrom="column">
                  <wp:posOffset>1600200</wp:posOffset>
                </wp:positionH>
                <wp:positionV relativeFrom="paragraph">
                  <wp:posOffset>1497330</wp:posOffset>
                </wp:positionV>
                <wp:extent cx="0" cy="457200"/>
                <wp:effectExtent l="57150" t="11430" r="57150" b="1714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42A31DF">
              <v:shapetype id="_x0000_t32" coordsize="21600,21600" o:oned="t" filled="f" o:spt="32" path="m,l21600,21600e" w14:anchorId="711528B6">
                <v:path fillok="f" arrowok="t" o:connecttype="none"/>
                <o:lock v:ext="edit" shapetype="t"/>
              </v:shapetype>
              <v:shape id="Straight Arrow Connector 8" style="position:absolute;margin-left:126pt;margin-top:117.9pt;width:0;height:3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">
                <v:stroke endarrow="block"/>
                <v:shadow color="#ccc"/>
              </v:shape>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0" distB="0" distL="114300" distR="114300" simplePos="0" relativeHeight="251666432" behindDoc="0" locked="0" layoutInCell="1" allowOverlap="1" wp14:anchorId="090A6A49" wp14:editId="6F9C2FBC">
                <wp:simplePos x="0" y="0"/>
                <wp:positionH relativeFrom="column">
                  <wp:posOffset>2686050</wp:posOffset>
                </wp:positionH>
                <wp:positionV relativeFrom="paragraph">
                  <wp:posOffset>33655</wp:posOffset>
                </wp:positionV>
                <wp:extent cx="2000250" cy="906780"/>
                <wp:effectExtent l="0" t="0" r="1905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906780"/>
                        </a:xfrm>
                        <a:prstGeom prst="rect">
                          <a:avLst/>
                        </a:prstGeom>
                        <a:solidFill>
                          <a:srgbClr val="FFFFFF"/>
                        </a:solidFill>
                        <a:ln w="19050">
                          <a:solidFill>
                            <a:srgbClr val="000000"/>
                          </a:solidFill>
                          <a:miter lim="800000"/>
                          <a:headEnd/>
                          <a:tailEnd/>
                        </a:ln>
                      </wps:spPr>
                      <wps:txbx>
                        <w:txbxContent>
                          <w:p w14:paraId="494A0287" w14:textId="77777777" w:rsidR="00D3719D" w:rsidRDefault="00D3719D" w:rsidP="00501E99">
                            <w:pPr>
                              <w:jc w:val="center"/>
                              <w:rPr>
                                <w:rFonts w:ascii="Calibri" w:hAnsi="Calibri"/>
                                <w:lang w:val="en"/>
                              </w:rPr>
                            </w:pPr>
                            <w:r>
                              <w:rPr>
                                <w:rFonts w:ascii="Calibri" w:hAnsi="Calibri"/>
                              </w:rPr>
                              <w:t>Number of duplicates removed</w:t>
                            </w:r>
                            <w:r>
                              <w:rPr>
                                <w:rFonts w:ascii="Calibri" w:hAnsi="Calibri"/>
                              </w:rPr>
                              <w:br/>
                            </w:r>
                            <w:r w:rsidRPr="007838A6">
                              <w:rPr>
                                <w:rFonts w:ascii="Calibri" w:hAnsi="Calibri"/>
                                <w:b/>
                                <w:bCs/>
                              </w:rPr>
                              <w:t>109</w:t>
                            </w:r>
                            <w:r>
                              <w:rPr>
                                <w:rFonts w:ascii="Calibri" w:hAnsi="Calibri"/>
                                <w:b/>
                                <w:bCs/>
                              </w:rPr>
                              <w:t>34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30F9DC9">
              <v:rect id="Rectangle 6" style="position:absolute;margin-left:211.5pt;margin-top:2.65pt;width:157.5pt;height:7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090A6A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">
                <v:textbox inset=",7.2pt,,7.2pt">
                  <w:txbxContent>
                    <w:p w:rsidR="00D3719D" w:rsidP="00501E99" w:rsidRDefault="00D3719D" w14:paraId="075F0234" w14:textId="77777777">
                      <w:pPr>
                        <w:jc w:val="center"/>
                        <w:rPr>
                          <w:rFonts w:ascii="Calibri" w:hAnsi="Calibri"/>
                          <w:lang w:val="en"/>
                        </w:rPr>
                      </w:pPr>
                      <w:r>
                        <w:rPr>
                          <w:rFonts w:ascii="Calibri" w:hAnsi="Calibri"/>
                        </w:rPr>
                        <w:t>Number of duplicates removed</w:t>
                      </w:r>
                      <w:r>
                        <w:rPr>
                          <w:rFonts w:ascii="Calibri" w:hAnsi="Calibri"/>
                        </w:rPr>
                        <w:br/>
                      </w:r>
                      <w:r w:rsidRPr="007838A6">
                        <w:rPr>
                          <w:rFonts w:ascii="Calibri" w:hAnsi="Calibri"/>
                          <w:b/>
                          <w:bCs/>
                        </w:rPr>
                        <w:t>109</w:t>
                      </w:r>
                      <w:r>
                        <w:rPr>
                          <w:rFonts w:ascii="Calibri" w:hAnsi="Calibri"/>
                          <w:b/>
                          <w:bCs/>
                        </w:rPr>
                        <w:t>34</w:t>
                      </w:r>
                    </w:p>
                  </w:txbxContent>
                </v:textbox>
              </v:rect>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0" distB="0" distL="114300" distR="114300" simplePos="0" relativeHeight="251659264" behindDoc="0" locked="0" layoutInCell="1" allowOverlap="1" wp14:anchorId="55E0287F" wp14:editId="137E6AE1">
                <wp:simplePos x="0" y="0"/>
                <wp:positionH relativeFrom="column">
                  <wp:posOffset>571500</wp:posOffset>
                </wp:positionH>
                <wp:positionV relativeFrom="paragraph">
                  <wp:posOffset>14605</wp:posOffset>
                </wp:positionV>
                <wp:extent cx="2000250" cy="912495"/>
                <wp:effectExtent l="0" t="0" r="19050" b="209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912495"/>
                        </a:xfrm>
                        <a:prstGeom prst="rect">
                          <a:avLst/>
                        </a:prstGeom>
                        <a:ln w="19050">
                          <a:headEnd/>
                          <a:tailEnd/>
                        </a:ln>
                      </wps:spPr>
                      <wps:style>
                        <a:lnRef idx="2">
                          <a:schemeClr val="dk1"/>
                        </a:lnRef>
                        <a:fillRef idx="1">
                          <a:schemeClr val="lt1"/>
                        </a:fillRef>
                        <a:effectRef idx="0">
                          <a:schemeClr val="dk1"/>
                        </a:effectRef>
                        <a:fontRef idx="minor">
                          <a:schemeClr val="dk1"/>
                        </a:fontRef>
                      </wps:style>
                      <wps:txbx>
                        <w:txbxContent>
                          <w:p w14:paraId="374FD09B" w14:textId="77777777" w:rsidR="00D3719D" w:rsidRPr="007838A6" w:rsidRDefault="00D3719D" w:rsidP="00501E99">
                            <w:pPr>
                              <w:jc w:val="center"/>
                              <w:rPr>
                                <w:rFonts w:ascii="Calibri" w:hAnsi="Calibri"/>
                                <w:b/>
                                <w:bCs/>
                                <w:lang w:val="en"/>
                              </w:rPr>
                            </w:pPr>
                            <w:r w:rsidRPr="007838A6">
                              <w:rPr>
                                <w:rFonts w:ascii="Calibri" w:hAnsi="Calibri"/>
                              </w:rPr>
                              <w:t>Number of academic articles identified through database searching</w:t>
                            </w:r>
                            <w:r w:rsidRPr="007838A6">
                              <w:rPr>
                                <w:rFonts w:ascii="Calibri" w:hAnsi="Calibri"/>
                                <w:b/>
                                <w:bCs/>
                              </w:rPr>
                              <w:br/>
                              <w:t>25185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9A4E321">
              <v:rect id="Rectangle 1" style="position:absolute;margin-left:45pt;margin-top:1.15pt;width:157.5pt;height:7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hite [3201]" strokecolor="black [3200]" strokeweight="1.5pt" w14:anchorId="55E02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">
                <v:textbox inset=",7.2pt,,7.2pt">
                  <w:txbxContent>
                    <w:p w:rsidRPr="007838A6" w:rsidR="00D3719D" w:rsidP="00501E99" w:rsidRDefault="00D3719D" w14:paraId="3CEF6F4D" w14:textId="77777777">
                      <w:pPr>
                        <w:jc w:val="center"/>
                        <w:rPr>
                          <w:rFonts w:ascii="Calibri" w:hAnsi="Calibri"/>
                          <w:b/>
                          <w:bCs/>
                          <w:lang w:val="en"/>
                        </w:rPr>
                      </w:pPr>
                      <w:r w:rsidRPr="007838A6">
                        <w:rPr>
                          <w:rFonts w:ascii="Calibri" w:hAnsi="Calibri"/>
                        </w:rPr>
                        <w:t>Number of academic articles identified through database searching</w:t>
                      </w:r>
                      <w:r w:rsidRPr="007838A6">
                        <w:rPr>
                          <w:rFonts w:ascii="Calibri" w:hAnsi="Calibri"/>
                          <w:b/>
                          <w:bCs/>
                        </w:rPr>
                        <w:br/>
                      </w:r>
                      <w:r w:rsidRPr="007838A6">
                        <w:rPr>
                          <w:rFonts w:ascii="Calibri" w:hAnsi="Calibri"/>
                          <w:b/>
                          <w:bCs/>
                        </w:rPr>
                        <w:t>25185</w:t>
                      </w:r>
                    </w:p>
                  </w:txbxContent>
                </v:textbox>
              </v:rect>
            </w:pict>
          </mc:Fallback>
        </mc:AlternateContent>
      </w:r>
    </w:p>
    <w:p w14:paraId="28CD0B9A" w14:textId="77777777" w:rsidR="00501E99" w:rsidRPr="00427DCD" w:rsidRDefault="00501E99" w:rsidP="00501E99">
      <w:pPr>
        <w:spacing w:after="240" w:line="480" w:lineRule="auto"/>
        <w:contextualSpacing/>
        <w:rPr>
          <w:rFonts w:ascii="Times New Roman" w:eastAsia="Times New Roman" w:hAnsi="Times New Roman" w:cs="Times New Roman"/>
          <w:color w:val="000000"/>
          <w:kern w:val="28"/>
          <w:sz w:val="20"/>
          <w:szCs w:val="20"/>
          <w:lang w:val="en-CA" w:eastAsia="en-CA"/>
        </w:rPr>
      </w:pPr>
      <w:r w:rsidRPr="00427DCD">
        <w:rPr>
          <w:rFonts w:ascii="Times New Roman" w:eastAsia="Times New Roman" w:hAnsi="Times New Roman" w:cs="Times New Roman"/>
          <w:noProof/>
          <w:sz w:val="24"/>
          <w:szCs w:val="24"/>
          <w:lang w:val="en-AU" w:eastAsia="en-AU"/>
        </w:rPr>
        <mc:AlternateContent>
          <mc:Choice Requires="wps">
            <w:drawing>
              <wp:anchor distT="0" distB="0" distL="114300" distR="114300" simplePos="0" relativeHeight="251665408" behindDoc="0" locked="0" layoutInCell="1" allowOverlap="1" wp14:anchorId="73D6EBF0" wp14:editId="17264ADB">
                <wp:simplePos x="0" y="0"/>
                <wp:positionH relativeFrom="column">
                  <wp:posOffset>-928688</wp:posOffset>
                </wp:positionH>
                <wp:positionV relativeFrom="paragraph">
                  <wp:posOffset>176847</wp:posOffset>
                </wp:positionV>
                <wp:extent cx="1371600" cy="428625"/>
                <wp:effectExtent l="0" t="4763" r="14288" b="14287"/>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428625"/>
                        </a:xfrm>
                        <a:prstGeom prst="roundRect">
                          <a:avLst>
                            <a:gd name="adj" fmla="val 16667"/>
                          </a:avLst>
                        </a:prstGeom>
                        <a:solidFill>
                          <a:srgbClr val="CCECFF"/>
                        </a:solidFill>
                        <a:ln w="19050">
                          <a:solidFill>
                            <a:srgbClr val="000000"/>
                          </a:solidFill>
                          <a:round/>
                          <a:headEnd/>
                          <a:tailEnd/>
                        </a:ln>
                      </wps:spPr>
                      <wps:txbx>
                        <w:txbxContent>
                          <w:p w14:paraId="0C02AE44" w14:textId="77777777" w:rsidR="00D3719D" w:rsidRPr="003A124A" w:rsidRDefault="00D3719D" w:rsidP="00501E99">
                            <w:pPr>
                              <w:pStyle w:val="Heading2"/>
                              <w:jc w:val="center"/>
                              <w:rPr>
                                <w:rFonts w:ascii="Calibri" w:hAnsi="Calibri"/>
                                <w:b/>
                                <w:bCs/>
                                <w:lang w:val="en"/>
                              </w:rPr>
                            </w:pPr>
                            <w:bookmarkStart w:id="22" w:name="_Toc73535945"/>
                            <w:r w:rsidRPr="003A124A">
                              <w:rPr>
                                <w:rFonts w:ascii="Calibri" w:hAnsi="Calibri"/>
                                <w:b/>
                                <w:bCs/>
                                <w:lang w:val="en"/>
                              </w:rPr>
                              <w:t>Identification</w:t>
                            </w:r>
                            <w:bookmarkEnd w:id="22"/>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A701DB">
              <v:roundrect id="Rectangle: Rounded Corners 5" style="position:absolute;margin-left:-73.15pt;margin-top:13.9pt;width:108pt;height:33.7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ccecff" strokeweight="1.5pt" arcsize="10923f" w14:anchorId="73D6E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">
                <v:textbox style="layout-flow:vertical;mso-layout-flow-alt:bottom-to-top" inset="3.6pt,,3.6pt">
                  <w:txbxContent>
                    <w:p w:rsidRPr="003A124A" w:rsidR="00D3719D" w:rsidP="00501E99" w:rsidRDefault="00D3719D" w14:paraId="2C6ACD02" w14:textId="77777777">
                      <w:pPr>
                        <w:pStyle w:val="Heading2"/>
                        <w:jc w:val="center"/>
                        <w:rPr>
                          <w:rFonts w:ascii="Calibri" w:hAnsi="Calibri"/>
                          <w:b/>
                          <w:bCs/>
                          <w:lang w:val="en"/>
                        </w:rPr>
                      </w:pPr>
                      <w:r w:rsidRPr="003A124A">
                        <w:rPr>
                          <w:rFonts w:ascii="Calibri" w:hAnsi="Calibri"/>
                          <w:b/>
                          <w:bCs/>
                          <w:lang w:val="en"/>
                        </w:rPr>
                        <w:t>Identification</w:t>
                      </w:r>
                    </w:p>
                  </w:txbxContent>
                </v:textbox>
              </v:roundrect>
            </w:pict>
          </mc:Fallback>
        </mc:AlternateContent>
      </w:r>
    </w:p>
    <w:p w14:paraId="5D42E630" w14:textId="77777777" w:rsidR="00501E99" w:rsidRPr="00427DCD" w:rsidRDefault="00501E99" w:rsidP="00501E99">
      <w:pPr>
        <w:spacing w:after="240" w:line="480" w:lineRule="auto"/>
        <w:contextualSpacing/>
        <w:rPr>
          <w:rFonts w:ascii="Times New Roman" w:eastAsia="Times New Roman" w:hAnsi="Times New Roman" w:cs="Times New Roman"/>
          <w:color w:val="000000"/>
          <w:kern w:val="28"/>
          <w:sz w:val="20"/>
          <w:szCs w:val="20"/>
          <w:lang w:val="en-CA" w:eastAsia="en-CA"/>
        </w:rPr>
      </w:pPr>
    </w:p>
    <w:p w14:paraId="6A85B812" w14:textId="77777777" w:rsidR="00501E99" w:rsidRPr="00427DCD" w:rsidRDefault="00501E99" w:rsidP="00501E99">
      <w:pPr>
        <w:spacing w:after="240" w:line="480" w:lineRule="auto"/>
        <w:contextualSpacing/>
        <w:rPr>
          <w:rFonts w:ascii="Times New Roman" w:eastAsia="Times New Roman" w:hAnsi="Times New Roman" w:cs="Times New Roman"/>
          <w:color w:val="000000"/>
          <w:kern w:val="28"/>
          <w:sz w:val="20"/>
          <w:szCs w:val="20"/>
          <w:lang w:val="en-CA" w:eastAsia="en-CA"/>
        </w:rPr>
      </w:pPr>
      <w:r w:rsidRPr="00427DCD">
        <w:rPr>
          <w:rFonts w:ascii="Times New Roman" w:eastAsia="Times New Roman" w:hAnsi="Times New Roman" w:cs="Times New Roman"/>
          <w:noProof/>
          <w:sz w:val="24"/>
          <w:szCs w:val="24"/>
          <w:lang w:val="en-AU" w:eastAsia="en-AU"/>
        </w:rPr>
        <mc:AlternateContent>
          <mc:Choice Requires="wps">
            <w:drawing>
              <wp:anchor distT="36576" distB="36576" distL="36576" distR="36576" simplePos="0" relativeHeight="251664384" behindDoc="0" locked="0" layoutInCell="1" allowOverlap="1" wp14:anchorId="33125FFE" wp14:editId="62F96219">
                <wp:simplePos x="0" y="0"/>
                <wp:positionH relativeFrom="column">
                  <wp:posOffset>3609975</wp:posOffset>
                </wp:positionH>
                <wp:positionV relativeFrom="paragraph">
                  <wp:posOffset>55880</wp:posOffset>
                </wp:positionV>
                <wp:extent cx="0" cy="457200"/>
                <wp:effectExtent l="57150" t="11430" r="57150" b="1714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20B6F98">
              <v:shape id="Straight Arrow Connector 9" style="position:absolute;margin-left:284.25pt;margin-top:4.4pt;width:0;height:3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" w14:anchorId="4DC204C1">
                <v:stroke endarrow="block"/>
                <v:shadow color="#ccc"/>
              </v:shape>
            </w:pict>
          </mc:Fallback>
        </mc:AlternateContent>
      </w:r>
    </w:p>
    <w:p w14:paraId="26F37550" w14:textId="77777777" w:rsidR="00501E99" w:rsidRPr="00427DCD" w:rsidRDefault="00501E99" w:rsidP="00501E99">
      <w:pPr>
        <w:spacing w:after="240" w:line="480" w:lineRule="auto"/>
        <w:contextualSpacing/>
        <w:rPr>
          <w:rFonts w:ascii="Times New Roman" w:eastAsia="Times New Roman" w:hAnsi="Times New Roman" w:cs="Times New Roman"/>
          <w:color w:val="000000"/>
          <w:kern w:val="28"/>
          <w:sz w:val="20"/>
          <w:szCs w:val="20"/>
          <w:lang w:val="en-CA" w:eastAsia="en-CA"/>
        </w:rPr>
      </w:pPr>
      <w:r w:rsidRPr="00427DCD">
        <w:rPr>
          <w:rFonts w:ascii="Times New Roman" w:eastAsia="Times New Roman" w:hAnsi="Times New Roman" w:cs="Times New Roman"/>
          <w:noProof/>
          <w:sz w:val="24"/>
          <w:szCs w:val="24"/>
          <w:lang w:val="en-AU" w:eastAsia="en-AU"/>
        </w:rPr>
        <mc:AlternateContent>
          <mc:Choice Requires="wps">
            <w:drawing>
              <wp:anchor distT="0" distB="0" distL="114300" distR="114300" simplePos="0" relativeHeight="251669504" behindDoc="0" locked="0" layoutInCell="1" allowOverlap="1" wp14:anchorId="14353639" wp14:editId="586DD3B7">
                <wp:simplePos x="0" y="0"/>
                <wp:positionH relativeFrom="column">
                  <wp:posOffset>4352925</wp:posOffset>
                </wp:positionH>
                <wp:positionV relativeFrom="paragraph">
                  <wp:posOffset>170180</wp:posOffset>
                </wp:positionV>
                <wp:extent cx="1819275" cy="90487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904875"/>
                        </a:xfrm>
                        <a:prstGeom prst="rect">
                          <a:avLst/>
                        </a:prstGeom>
                        <a:solidFill>
                          <a:srgbClr val="FFFFFF"/>
                        </a:solidFill>
                        <a:ln w="19050">
                          <a:solidFill>
                            <a:srgbClr val="000000"/>
                          </a:solidFill>
                          <a:miter lim="800000"/>
                          <a:headEnd/>
                          <a:tailEnd/>
                        </a:ln>
                      </wps:spPr>
                      <wps:txbx>
                        <w:txbxContent>
                          <w:p w14:paraId="5DE42604" w14:textId="77777777" w:rsidR="00D3719D" w:rsidRDefault="00D3719D" w:rsidP="00501E99">
                            <w:pPr>
                              <w:jc w:val="center"/>
                              <w:rPr>
                                <w:rFonts w:ascii="Calibri" w:hAnsi="Calibri"/>
                                <w:lang w:val="en"/>
                              </w:rPr>
                            </w:pPr>
                            <w:r>
                              <w:rPr>
                                <w:rFonts w:ascii="Calibri" w:hAnsi="Calibri"/>
                              </w:rPr>
                              <w:t>Number of academic articles excluded</w:t>
                            </w:r>
                            <w:r>
                              <w:rPr>
                                <w:rFonts w:ascii="Calibri" w:hAnsi="Calibri"/>
                              </w:rPr>
                              <w:br/>
                            </w:r>
                            <w:r w:rsidRPr="007838A6">
                              <w:rPr>
                                <w:rFonts w:ascii="Calibri" w:hAnsi="Calibri"/>
                                <w:b/>
                                <w:bCs/>
                              </w:rPr>
                              <w:t>13995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23F9A7B">
              <v:rect id="Rectangle 13" style="position:absolute;margin-left:342.75pt;margin-top:13.4pt;width:143.25pt;height:7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weight="1.5pt" w14:anchorId="1435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">
                <v:textbox inset=",7.2pt,,7.2pt">
                  <w:txbxContent>
                    <w:p w:rsidR="00D3719D" w:rsidP="00501E99" w:rsidRDefault="00D3719D" w14:paraId="11077DD2" w14:textId="77777777">
                      <w:pPr>
                        <w:jc w:val="center"/>
                        <w:rPr>
                          <w:rFonts w:ascii="Calibri" w:hAnsi="Calibri"/>
                          <w:lang w:val="en"/>
                        </w:rPr>
                      </w:pPr>
                      <w:r>
                        <w:rPr>
                          <w:rFonts w:ascii="Calibri" w:hAnsi="Calibri"/>
                        </w:rPr>
                        <w:t>Number of academic articles excluded</w:t>
                      </w:r>
                      <w:r>
                        <w:rPr>
                          <w:rFonts w:ascii="Calibri" w:hAnsi="Calibri"/>
                        </w:rPr>
                        <w:br/>
                      </w:r>
                      <w:r w:rsidRPr="007838A6">
                        <w:rPr>
                          <w:rFonts w:ascii="Calibri" w:hAnsi="Calibri"/>
                          <w:b/>
                          <w:bCs/>
                        </w:rPr>
                        <w:t>13995</w:t>
                      </w:r>
                    </w:p>
                  </w:txbxContent>
                </v:textbox>
              </v:rect>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0" distB="0" distL="114300" distR="114300" simplePos="0" relativeHeight="251667456" behindDoc="0" locked="0" layoutInCell="1" allowOverlap="1" wp14:anchorId="085FF75D" wp14:editId="64A16321">
                <wp:simplePos x="0" y="0"/>
                <wp:positionH relativeFrom="column">
                  <wp:posOffset>1295400</wp:posOffset>
                </wp:positionH>
                <wp:positionV relativeFrom="paragraph">
                  <wp:posOffset>217805</wp:posOffset>
                </wp:positionV>
                <wp:extent cx="2538095" cy="714375"/>
                <wp:effectExtent l="0" t="0" r="1460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8095" cy="714375"/>
                        </a:xfrm>
                        <a:prstGeom prst="rect">
                          <a:avLst/>
                        </a:prstGeom>
                        <a:solidFill>
                          <a:srgbClr val="FFFFFF"/>
                        </a:solidFill>
                        <a:ln w="19050">
                          <a:solidFill>
                            <a:srgbClr val="000000"/>
                          </a:solidFill>
                          <a:miter lim="800000"/>
                          <a:headEnd/>
                          <a:tailEnd/>
                        </a:ln>
                      </wps:spPr>
                      <wps:txbx>
                        <w:txbxContent>
                          <w:p w14:paraId="149353F4" w14:textId="77777777" w:rsidR="00D3719D" w:rsidRDefault="00D3719D" w:rsidP="00501E99">
                            <w:pPr>
                              <w:jc w:val="center"/>
                              <w:rPr>
                                <w:rFonts w:ascii="Calibri" w:hAnsi="Calibri"/>
                                <w:lang w:val="en"/>
                              </w:rPr>
                            </w:pPr>
                            <w:bookmarkStart w:id="23" w:name="_Hlk65227547"/>
                            <w:r>
                              <w:rPr>
                                <w:rFonts w:ascii="Calibri" w:hAnsi="Calibri"/>
                              </w:rPr>
                              <w:t xml:space="preserve">Number of academic articles </w:t>
                            </w:r>
                            <w:bookmarkEnd w:id="23"/>
                            <w:r>
                              <w:rPr>
                                <w:rFonts w:ascii="Calibri" w:hAnsi="Calibri"/>
                              </w:rPr>
                              <w:t>after duplicates removed</w:t>
                            </w:r>
                            <w:r>
                              <w:rPr>
                                <w:rFonts w:ascii="Calibri" w:hAnsi="Calibri"/>
                              </w:rPr>
                              <w:br/>
                            </w:r>
                            <w:r w:rsidRPr="007838A6">
                              <w:rPr>
                                <w:rFonts w:ascii="Calibri" w:hAnsi="Calibri"/>
                                <w:b/>
                                <w:bCs/>
                              </w:rPr>
                              <w:t>1425</w:t>
                            </w:r>
                            <w:r>
                              <w:rPr>
                                <w:rFonts w:ascii="Calibri" w:hAnsi="Calibri"/>
                                <w:b/>
                                <w:bCs/>
                              </w:rPr>
                              <w:t>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60ABF56">
              <v:rect id="Rectangle 7" style="position:absolute;margin-left:102pt;margin-top:17.15pt;width:199.85pt;height: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weight="1.5pt" w14:anchorId="085FF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">
                <v:textbox inset=",7.2pt,,7.2pt">
                  <w:txbxContent>
                    <w:p w:rsidR="00D3719D" w:rsidP="00501E99" w:rsidRDefault="00D3719D" w14:paraId="2F9A45CA" w14:textId="77777777">
                      <w:pPr>
                        <w:jc w:val="center"/>
                        <w:rPr>
                          <w:rFonts w:ascii="Calibri" w:hAnsi="Calibri"/>
                          <w:lang w:val="en"/>
                        </w:rPr>
                      </w:pPr>
                      <w:r>
                        <w:rPr>
                          <w:rFonts w:ascii="Calibri" w:hAnsi="Calibri"/>
                        </w:rPr>
                        <w:t xml:space="preserve">Number of academic articles </w:t>
                      </w:r>
                      <w:r>
                        <w:rPr>
                          <w:rFonts w:ascii="Calibri" w:hAnsi="Calibri"/>
                        </w:rPr>
                        <w:t>after duplicates removed</w:t>
                      </w:r>
                      <w:r>
                        <w:rPr>
                          <w:rFonts w:ascii="Calibri" w:hAnsi="Calibri"/>
                        </w:rPr>
                        <w:br/>
                      </w:r>
                      <w:r w:rsidRPr="007838A6">
                        <w:rPr>
                          <w:rFonts w:ascii="Calibri" w:hAnsi="Calibri"/>
                          <w:b/>
                          <w:bCs/>
                        </w:rPr>
                        <w:t>1425</w:t>
                      </w:r>
                      <w:r>
                        <w:rPr>
                          <w:rFonts w:ascii="Calibri" w:hAnsi="Calibri"/>
                          <w:b/>
                          <w:bCs/>
                        </w:rPr>
                        <w:t>1</w:t>
                      </w:r>
                    </w:p>
                  </w:txbxContent>
                </v:textbox>
              </v:rect>
            </w:pict>
          </mc:Fallback>
        </mc:AlternateContent>
      </w:r>
    </w:p>
    <w:p w14:paraId="64E851AE" w14:textId="38FAEFA3" w:rsidR="00501E99" w:rsidRDefault="00501E99" w:rsidP="00501E99">
      <w:r w:rsidRPr="00427DCD">
        <w:rPr>
          <w:rFonts w:ascii="Times New Roman" w:eastAsia="Times New Roman" w:hAnsi="Times New Roman" w:cs="Times New Roman"/>
          <w:noProof/>
          <w:sz w:val="24"/>
          <w:szCs w:val="24"/>
          <w:lang w:val="en-AU" w:eastAsia="en-AU"/>
        </w:rPr>
        <mc:AlternateContent>
          <mc:Choice Requires="wps">
            <w:drawing>
              <wp:anchor distT="0" distB="0" distL="114300" distR="114300" simplePos="0" relativeHeight="251671552" behindDoc="0" locked="0" layoutInCell="1" allowOverlap="1" wp14:anchorId="7E7A69F2" wp14:editId="587F6655">
                <wp:simplePos x="0" y="0"/>
                <wp:positionH relativeFrom="column">
                  <wp:posOffset>4352925</wp:posOffset>
                </wp:positionH>
                <wp:positionV relativeFrom="paragraph">
                  <wp:posOffset>944880</wp:posOffset>
                </wp:positionV>
                <wp:extent cx="1819275" cy="885825"/>
                <wp:effectExtent l="0" t="0" r="28575"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885825"/>
                        </a:xfrm>
                        <a:prstGeom prst="rect">
                          <a:avLst/>
                        </a:prstGeom>
                        <a:solidFill>
                          <a:srgbClr val="FFFFFF"/>
                        </a:solidFill>
                        <a:ln w="19050">
                          <a:solidFill>
                            <a:srgbClr val="000000"/>
                          </a:solidFill>
                          <a:miter lim="800000"/>
                          <a:headEnd/>
                          <a:tailEnd/>
                        </a:ln>
                      </wps:spPr>
                      <wps:txbx>
                        <w:txbxContent>
                          <w:p w14:paraId="7529048C" w14:textId="77777777" w:rsidR="00D3719D" w:rsidRDefault="00D3719D" w:rsidP="00501E99">
                            <w:pPr>
                              <w:contextualSpacing/>
                              <w:jc w:val="center"/>
                              <w:rPr>
                                <w:rFonts w:ascii="Calibri" w:hAnsi="Calibri"/>
                              </w:rPr>
                            </w:pPr>
                            <w:r>
                              <w:rPr>
                                <w:rFonts w:ascii="Calibri" w:hAnsi="Calibri"/>
                              </w:rPr>
                              <w:t>Number of academic articles excluded</w:t>
                            </w:r>
                            <w:r w:rsidDel="00C86B60">
                              <w:rPr>
                                <w:rFonts w:ascii="Calibri" w:hAnsi="Calibri"/>
                              </w:rPr>
                              <w:t xml:space="preserve"> </w:t>
                            </w:r>
                            <w:r>
                              <w:rPr>
                                <w:rFonts w:ascii="Calibri" w:hAnsi="Calibri"/>
                              </w:rPr>
                              <w:t>at full-text review</w:t>
                            </w:r>
                          </w:p>
                          <w:p w14:paraId="41A062EC" w14:textId="77777777" w:rsidR="00D3719D" w:rsidRPr="007838A6" w:rsidRDefault="00D3719D" w:rsidP="00501E99">
                            <w:pPr>
                              <w:contextualSpacing/>
                              <w:jc w:val="center"/>
                              <w:rPr>
                                <w:rFonts w:ascii="Calibri" w:hAnsi="Calibri"/>
                                <w:b/>
                                <w:bCs/>
                              </w:rPr>
                            </w:pPr>
                            <w:r w:rsidRPr="007838A6">
                              <w:rPr>
                                <w:rFonts w:ascii="Calibri" w:hAnsi="Calibri"/>
                                <w:b/>
                                <w:bCs/>
                              </w:rPr>
                              <w:t>1</w:t>
                            </w:r>
                            <w:r>
                              <w:rPr>
                                <w:rFonts w:ascii="Calibri" w:hAnsi="Calibri"/>
                                <w:b/>
                                <w:bCs/>
                              </w:rPr>
                              <w:t>47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80F084A">
              <v:rect id="Rectangle 17" style="position:absolute;margin-left:342.75pt;margin-top:74.4pt;width:143.25pt;height:6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weight="1.5pt" w14:anchorId="7E7A6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">
                <v:textbox inset=",7.2pt,,7.2pt">
                  <w:txbxContent>
                    <w:p w:rsidR="00D3719D" w:rsidP="00501E99" w:rsidRDefault="00D3719D" w14:paraId="405AC648" w14:textId="77777777">
                      <w:pPr>
                        <w:contextualSpacing/>
                        <w:jc w:val="center"/>
                        <w:rPr>
                          <w:rFonts w:ascii="Calibri" w:hAnsi="Calibri"/>
                        </w:rPr>
                      </w:pPr>
                      <w:r>
                        <w:rPr>
                          <w:rFonts w:ascii="Calibri" w:hAnsi="Calibri"/>
                        </w:rPr>
                        <w:t>Number of academic articles excluded</w:t>
                      </w:r>
                      <w:r w:rsidDel="00C86B60">
                        <w:rPr>
                          <w:rFonts w:ascii="Calibri" w:hAnsi="Calibri"/>
                        </w:rPr>
                        <w:t xml:space="preserve"> </w:t>
                      </w:r>
                      <w:r>
                        <w:rPr>
                          <w:rFonts w:ascii="Calibri" w:hAnsi="Calibri"/>
                        </w:rPr>
                        <w:t>at full-text review</w:t>
                      </w:r>
                    </w:p>
                    <w:p w:rsidRPr="007838A6" w:rsidR="00D3719D" w:rsidP="00501E99" w:rsidRDefault="00D3719D" w14:paraId="5F019787" w14:textId="77777777">
                      <w:pPr>
                        <w:contextualSpacing/>
                        <w:jc w:val="center"/>
                        <w:rPr>
                          <w:rFonts w:ascii="Calibri" w:hAnsi="Calibri"/>
                          <w:b/>
                          <w:bCs/>
                        </w:rPr>
                      </w:pPr>
                      <w:r w:rsidRPr="007838A6">
                        <w:rPr>
                          <w:rFonts w:ascii="Calibri" w:hAnsi="Calibri"/>
                          <w:b/>
                          <w:bCs/>
                        </w:rPr>
                        <w:t>1</w:t>
                      </w:r>
                      <w:r>
                        <w:rPr>
                          <w:rFonts w:ascii="Calibri" w:hAnsi="Calibri"/>
                          <w:b/>
                          <w:bCs/>
                        </w:rPr>
                        <w:t>47</w:t>
                      </w:r>
                    </w:p>
                  </w:txbxContent>
                </v:textbox>
              </v:rect>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36576" distB="36576" distL="36576" distR="36576" simplePos="0" relativeHeight="251672576" behindDoc="0" locked="0" layoutInCell="1" allowOverlap="1" wp14:anchorId="52BE7E0D" wp14:editId="5B1C8FC5">
                <wp:simplePos x="0" y="0"/>
                <wp:positionH relativeFrom="column">
                  <wp:posOffset>2513965</wp:posOffset>
                </wp:positionH>
                <wp:positionV relativeFrom="paragraph">
                  <wp:posOffset>649605</wp:posOffset>
                </wp:positionV>
                <wp:extent cx="0" cy="410210"/>
                <wp:effectExtent l="76200" t="0" r="57150" b="6604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102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9DD3484">
              <v:shapetype id="_x0000_t32" coordsize="21600,21600" o:oned="t" filled="f" o:spt="32" path="m,l21600,21600e" w14:anchorId="4BD217FC">
                <v:path fillok="f" arrowok="t" o:connecttype="none"/>
                <o:lock v:ext="edit" shapetype="t"/>
              </v:shapetype>
              <v:shape id="Straight Arrow Connector 10" style="position:absolute;margin-left:197.95pt;margin-top:51.15pt;width:0;height:32.3pt;flip:x;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">
                <v:stroke endarrow="block"/>
                <v:shadow color="#ccc"/>
              </v:shape>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36576" distB="36576" distL="36576" distR="36576" simplePos="0" relativeHeight="251681792" behindDoc="0" locked="0" layoutInCell="1" allowOverlap="1" wp14:anchorId="0A959EC3" wp14:editId="5EF1E083">
                <wp:simplePos x="0" y="0"/>
                <wp:positionH relativeFrom="column">
                  <wp:posOffset>3429000</wp:posOffset>
                </wp:positionH>
                <wp:positionV relativeFrom="paragraph">
                  <wp:posOffset>2623185</wp:posOffset>
                </wp:positionV>
                <wp:extent cx="876300" cy="0"/>
                <wp:effectExtent l="38100" t="76200" r="0" b="952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63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0040C78">
              <v:shape id="Straight Arrow Connector 25" style="position:absolute;margin-left:270pt;margin-top:206.55pt;width:69pt;height:0;flip:x;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" w14:anchorId="7C5048B2">
                <v:stroke endarrow="block"/>
                <v:shadow color="#ccc"/>
              </v:shape>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36576" distB="36576" distL="36576" distR="36576" simplePos="0" relativeHeight="251675648" behindDoc="0" locked="0" layoutInCell="1" allowOverlap="1" wp14:anchorId="58586C29" wp14:editId="3EAF6505">
                <wp:simplePos x="0" y="0"/>
                <wp:positionH relativeFrom="column">
                  <wp:posOffset>3848100</wp:posOffset>
                </wp:positionH>
                <wp:positionV relativeFrom="paragraph">
                  <wp:posOffset>284480</wp:posOffset>
                </wp:positionV>
                <wp:extent cx="496739" cy="0"/>
                <wp:effectExtent l="0" t="76200" r="17780" b="952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739"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2815FA1">
              <v:shape id="Straight Arrow Connector 19" style="position:absolute;margin-left:303pt;margin-top:22.4pt;width:39.1pt;height:0;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" w14:anchorId="2D078E63">
                <v:stroke endarrow="block"/>
                <v:shadow color="#ccc"/>
              </v:shape>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36576" distB="36576" distL="36576" distR="36576" simplePos="0" relativeHeight="251673600" behindDoc="0" locked="0" layoutInCell="1" allowOverlap="1" wp14:anchorId="7AFD7AB3" wp14:editId="69C3457C">
                <wp:simplePos x="0" y="0"/>
                <wp:positionH relativeFrom="column">
                  <wp:posOffset>2517168</wp:posOffset>
                </wp:positionH>
                <wp:positionV relativeFrom="paragraph">
                  <wp:posOffset>1636116</wp:posOffset>
                </wp:positionV>
                <wp:extent cx="0" cy="559166"/>
                <wp:effectExtent l="76200" t="0" r="57150" b="508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5916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5FE9274">
              <v:shape id="Straight Arrow Connector 11" style="position:absolute;margin-left:198.2pt;margin-top:128.85pt;width:0;height:44.05pt;flip:x;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" w14:anchorId="57054FA9">
                <v:stroke endarrow="block"/>
                <v:shadow color="#ccc"/>
              </v:shape>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36576" distB="36576" distL="36576" distR="36576" simplePos="0" relativeHeight="251674624" behindDoc="0" locked="0" layoutInCell="1" allowOverlap="1" wp14:anchorId="1B694098" wp14:editId="034D89A1">
                <wp:simplePos x="0" y="0"/>
                <wp:positionH relativeFrom="column">
                  <wp:posOffset>3827780</wp:posOffset>
                </wp:positionH>
                <wp:positionV relativeFrom="paragraph">
                  <wp:posOffset>1334427</wp:posOffset>
                </wp:positionV>
                <wp:extent cx="524216" cy="0"/>
                <wp:effectExtent l="0" t="76200" r="9525" b="952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216"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2B56A8D">
              <v:shape id="Straight Arrow Connector 16" style="position:absolute;margin-left:301.4pt;margin-top:105.05pt;width:41.3pt;height:0;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" w14:anchorId="53806BA9">
                <v:stroke endarrow="block"/>
                <v:shadow color="#ccc"/>
              </v:shape>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0" distB="0" distL="114300" distR="114300" simplePos="0" relativeHeight="251676672" behindDoc="0" locked="0" layoutInCell="1" allowOverlap="1" wp14:anchorId="38938799" wp14:editId="50A5A853">
                <wp:simplePos x="0" y="0"/>
                <wp:positionH relativeFrom="column">
                  <wp:posOffset>4314825</wp:posOffset>
                </wp:positionH>
                <wp:positionV relativeFrom="paragraph">
                  <wp:posOffset>2268855</wp:posOffset>
                </wp:positionV>
                <wp:extent cx="1809750" cy="70485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04850"/>
                        </a:xfrm>
                        <a:prstGeom prst="rect">
                          <a:avLst/>
                        </a:prstGeom>
                        <a:solidFill>
                          <a:srgbClr val="FFFFFF"/>
                        </a:solidFill>
                        <a:ln w="19050">
                          <a:solidFill>
                            <a:srgbClr val="000000"/>
                          </a:solidFill>
                          <a:miter lim="800000"/>
                          <a:headEnd/>
                          <a:tailEnd/>
                        </a:ln>
                      </wps:spPr>
                      <wps:txbx>
                        <w:txbxContent>
                          <w:p w14:paraId="333D0758" w14:textId="77777777" w:rsidR="00D3719D" w:rsidRDefault="00D3719D" w:rsidP="00501E99">
                            <w:pPr>
                              <w:jc w:val="center"/>
                              <w:rPr>
                                <w:rFonts w:ascii="Calibri" w:hAnsi="Calibri"/>
                              </w:rPr>
                            </w:pPr>
                            <w:r w:rsidRPr="007838A6">
                              <w:rPr>
                                <w:rFonts w:ascii="Calibri" w:hAnsi="Calibri"/>
                                <w:b/>
                                <w:bCs/>
                              </w:rPr>
                              <w:t>36</w:t>
                            </w:r>
                            <w:r>
                              <w:rPr>
                                <w:rFonts w:ascii="Calibri" w:hAnsi="Calibri"/>
                              </w:rPr>
                              <w:t xml:space="preserve"> qualitative</w:t>
                            </w:r>
                          </w:p>
                          <w:p w14:paraId="474F8AC4" w14:textId="77777777" w:rsidR="00D3719D" w:rsidRDefault="00D3719D" w:rsidP="00501E99">
                            <w:pPr>
                              <w:jc w:val="center"/>
                              <w:rPr>
                                <w:rFonts w:ascii="Calibri" w:hAnsi="Calibri"/>
                                <w:lang w:val="en"/>
                              </w:rPr>
                            </w:pPr>
                            <w:r w:rsidRPr="007838A6">
                              <w:rPr>
                                <w:rFonts w:ascii="Calibri" w:hAnsi="Calibri"/>
                                <w:b/>
                                <w:bCs/>
                              </w:rPr>
                              <w:t xml:space="preserve">   73</w:t>
                            </w:r>
                            <w:r>
                              <w:rPr>
                                <w:rFonts w:ascii="Calibri" w:hAnsi="Calibri"/>
                              </w:rPr>
                              <w:t xml:space="preserve"> quantitative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7A5A527">
              <v:rect id="Rectangle 20" style="position:absolute;margin-left:339.75pt;margin-top:178.65pt;width:142.5pt;height: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strokeweight="1.5pt" w14:anchorId="38938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">
                <v:textbox inset=",7.2pt,,7.2pt">
                  <w:txbxContent>
                    <w:p w:rsidR="00D3719D" w:rsidP="00501E99" w:rsidRDefault="00D3719D" w14:paraId="27ABF6FC" w14:textId="77777777">
                      <w:pPr>
                        <w:jc w:val="center"/>
                        <w:rPr>
                          <w:rFonts w:ascii="Calibri" w:hAnsi="Calibri"/>
                        </w:rPr>
                      </w:pPr>
                      <w:r w:rsidRPr="007838A6">
                        <w:rPr>
                          <w:rFonts w:ascii="Calibri" w:hAnsi="Calibri"/>
                          <w:b/>
                          <w:bCs/>
                        </w:rPr>
                        <w:t>36</w:t>
                      </w:r>
                      <w:r>
                        <w:rPr>
                          <w:rFonts w:ascii="Calibri" w:hAnsi="Calibri"/>
                        </w:rPr>
                        <w:t xml:space="preserve"> qualitative</w:t>
                      </w:r>
                    </w:p>
                    <w:p w:rsidR="00D3719D" w:rsidP="00501E99" w:rsidRDefault="00D3719D" w14:paraId="5BA6486A" w14:textId="77777777">
                      <w:pPr>
                        <w:jc w:val="center"/>
                        <w:rPr>
                          <w:rFonts w:ascii="Calibri" w:hAnsi="Calibri"/>
                          <w:lang w:val="en"/>
                        </w:rPr>
                      </w:pPr>
                      <w:r w:rsidRPr="007838A6">
                        <w:rPr>
                          <w:rFonts w:ascii="Calibri" w:hAnsi="Calibri"/>
                          <w:b/>
                          <w:bCs/>
                        </w:rPr>
                        <w:t xml:space="preserve">   73</w:t>
                      </w:r>
                      <w:r>
                        <w:rPr>
                          <w:rFonts w:ascii="Calibri" w:hAnsi="Calibri"/>
                        </w:rPr>
                        <w:t xml:space="preserve"> quantitative </w:t>
                      </w:r>
                    </w:p>
                  </w:txbxContent>
                </v:textbox>
              </v:rect>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0" distB="0" distL="114300" distR="114300" simplePos="0" relativeHeight="251670528" behindDoc="0" locked="0" layoutInCell="1" allowOverlap="1" wp14:anchorId="5703A0F2" wp14:editId="7E3752E4">
                <wp:simplePos x="0" y="0"/>
                <wp:positionH relativeFrom="column">
                  <wp:posOffset>1704975</wp:posOffset>
                </wp:positionH>
                <wp:positionV relativeFrom="paragraph">
                  <wp:posOffset>2202180</wp:posOffset>
                </wp:positionV>
                <wp:extent cx="1714500" cy="94297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42975"/>
                        </a:xfrm>
                        <a:prstGeom prst="rect">
                          <a:avLst/>
                        </a:prstGeom>
                        <a:solidFill>
                          <a:srgbClr val="FFFFFF"/>
                        </a:solidFill>
                        <a:ln w="19050">
                          <a:solidFill>
                            <a:srgbClr val="000000"/>
                          </a:solidFill>
                          <a:miter lim="800000"/>
                          <a:headEnd/>
                          <a:tailEnd/>
                        </a:ln>
                      </wps:spPr>
                      <wps:txbx>
                        <w:txbxContent>
                          <w:p w14:paraId="518B6C33" w14:textId="77777777" w:rsidR="00D3719D" w:rsidRDefault="00D3719D" w:rsidP="00501E99">
                            <w:pPr>
                              <w:jc w:val="center"/>
                              <w:rPr>
                                <w:rFonts w:ascii="Calibri" w:hAnsi="Calibri"/>
                                <w:lang w:val="en"/>
                              </w:rPr>
                            </w:pPr>
                            <w:r>
                              <w:rPr>
                                <w:rFonts w:ascii="Calibri" w:hAnsi="Calibri"/>
                              </w:rPr>
                              <w:t>Number of academic articles in systematic review</w:t>
                            </w:r>
                            <w:r>
                              <w:rPr>
                                <w:rFonts w:ascii="Calibri" w:hAnsi="Calibri"/>
                              </w:rPr>
                              <w:br/>
                            </w:r>
                            <w:r w:rsidRPr="007838A6">
                              <w:rPr>
                                <w:rFonts w:ascii="Calibri" w:hAnsi="Calibri"/>
                                <w:b/>
                                <w:bCs/>
                              </w:rPr>
                              <w:t>109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546436E">
              <v:rect id="Rectangle 15" style="position:absolute;margin-left:134.25pt;margin-top:173.4pt;width:135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strokeweight="1.5pt" w14:anchorId="5703A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">
                <v:textbox inset=",7.2pt,,7.2pt">
                  <w:txbxContent>
                    <w:p w:rsidR="00D3719D" w:rsidP="00501E99" w:rsidRDefault="00D3719D" w14:paraId="0B9D6BEA" w14:textId="77777777">
                      <w:pPr>
                        <w:jc w:val="center"/>
                        <w:rPr>
                          <w:rFonts w:ascii="Calibri" w:hAnsi="Calibri"/>
                          <w:lang w:val="en"/>
                        </w:rPr>
                      </w:pPr>
                      <w:r>
                        <w:rPr>
                          <w:rFonts w:ascii="Calibri" w:hAnsi="Calibri"/>
                        </w:rPr>
                        <w:t>Number of academic articles in systematic review</w:t>
                      </w:r>
                      <w:r>
                        <w:rPr>
                          <w:rFonts w:ascii="Calibri" w:hAnsi="Calibri"/>
                        </w:rPr>
                        <w:br/>
                      </w:r>
                      <w:r w:rsidRPr="007838A6">
                        <w:rPr>
                          <w:rFonts w:ascii="Calibri" w:hAnsi="Calibri"/>
                          <w:b/>
                          <w:bCs/>
                        </w:rPr>
                        <w:t>109</w:t>
                      </w:r>
                    </w:p>
                  </w:txbxContent>
                </v:textbox>
              </v:rect>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0" distB="0" distL="114300" distR="114300" simplePos="0" relativeHeight="251662336" behindDoc="0" locked="0" layoutInCell="1" allowOverlap="1" wp14:anchorId="093132CA" wp14:editId="2B73E466">
                <wp:simplePos x="0" y="0"/>
                <wp:positionH relativeFrom="column">
                  <wp:posOffset>-942974</wp:posOffset>
                </wp:positionH>
                <wp:positionV relativeFrom="paragraph">
                  <wp:posOffset>2592704</wp:posOffset>
                </wp:positionV>
                <wp:extent cx="1371600" cy="400051"/>
                <wp:effectExtent l="0" t="9525" r="28575" b="2857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400051"/>
                        </a:xfrm>
                        <a:prstGeom prst="roundRect">
                          <a:avLst>
                            <a:gd name="adj" fmla="val 16667"/>
                          </a:avLst>
                        </a:prstGeom>
                        <a:solidFill>
                          <a:srgbClr val="CCECFF"/>
                        </a:solidFill>
                        <a:ln w="19050">
                          <a:solidFill>
                            <a:srgbClr val="000000"/>
                          </a:solidFill>
                          <a:round/>
                          <a:headEnd/>
                          <a:tailEnd/>
                        </a:ln>
                      </wps:spPr>
                      <wps:txbx>
                        <w:txbxContent>
                          <w:p w14:paraId="07A7E07A" w14:textId="77777777" w:rsidR="00D3719D" w:rsidRPr="003A124A" w:rsidRDefault="00D3719D" w:rsidP="00501E99">
                            <w:pPr>
                              <w:pStyle w:val="Heading2"/>
                              <w:jc w:val="center"/>
                              <w:rPr>
                                <w:rFonts w:ascii="Calibri" w:hAnsi="Calibri"/>
                                <w:b/>
                                <w:bCs/>
                                <w:lang w:val="en"/>
                              </w:rPr>
                            </w:pPr>
                            <w:bookmarkStart w:id="24" w:name="_Toc73535946"/>
                            <w:r w:rsidRPr="003A124A">
                              <w:rPr>
                                <w:rFonts w:ascii="Calibri" w:hAnsi="Calibri"/>
                                <w:b/>
                                <w:bCs/>
                                <w:lang w:val="en"/>
                              </w:rPr>
                              <w:t>Eligibility</w:t>
                            </w:r>
                            <w:bookmarkEnd w:id="24"/>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59A16BF">
              <v:roundrect id="Rectangle: Rounded Corners 4" style="position:absolute;margin-left:-74.25pt;margin-top:204.15pt;width:108pt;height:31.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color="#ccecff" strokeweight="1.5pt" arcsize="10923f" w14:anchorId="09313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">
                <v:textbox style="layout-flow:vertical;mso-layout-flow-alt:bottom-to-top" inset="3.6pt,,3.6pt">
                  <w:txbxContent>
                    <w:p w:rsidRPr="003A124A" w:rsidR="00D3719D" w:rsidP="00501E99" w:rsidRDefault="00D3719D" w14:paraId="47C5F9D3" w14:textId="77777777">
                      <w:pPr>
                        <w:pStyle w:val="Heading2"/>
                        <w:jc w:val="center"/>
                        <w:rPr>
                          <w:rFonts w:ascii="Calibri" w:hAnsi="Calibri"/>
                          <w:b/>
                          <w:bCs/>
                          <w:lang w:val="en"/>
                        </w:rPr>
                      </w:pPr>
                      <w:r w:rsidRPr="003A124A">
                        <w:rPr>
                          <w:rFonts w:ascii="Calibri" w:hAnsi="Calibri"/>
                          <w:b/>
                          <w:bCs/>
                          <w:lang w:val="en"/>
                        </w:rPr>
                        <w:t>Eligibility</w:t>
                      </w:r>
                    </w:p>
                  </w:txbxContent>
                </v:textbox>
              </v:roundrect>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0" distB="0" distL="114300" distR="114300" simplePos="0" relativeHeight="251660288" behindDoc="0" locked="0" layoutInCell="1" allowOverlap="1" wp14:anchorId="31D0C758" wp14:editId="180DE25E">
                <wp:simplePos x="0" y="0"/>
                <wp:positionH relativeFrom="column">
                  <wp:posOffset>-952500</wp:posOffset>
                </wp:positionH>
                <wp:positionV relativeFrom="paragraph">
                  <wp:posOffset>689610</wp:posOffset>
                </wp:positionV>
                <wp:extent cx="1371600" cy="419100"/>
                <wp:effectExtent l="0" t="0" r="19050" b="1905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419100"/>
                        </a:xfrm>
                        <a:prstGeom prst="roundRect">
                          <a:avLst>
                            <a:gd name="adj" fmla="val 16667"/>
                          </a:avLst>
                        </a:prstGeom>
                        <a:solidFill>
                          <a:srgbClr val="CCECFF"/>
                        </a:solidFill>
                        <a:ln w="19050">
                          <a:solidFill>
                            <a:srgbClr val="000000"/>
                          </a:solidFill>
                          <a:round/>
                          <a:headEnd/>
                          <a:tailEnd/>
                        </a:ln>
                      </wps:spPr>
                      <wps:txbx>
                        <w:txbxContent>
                          <w:p w14:paraId="4E5B5966" w14:textId="77777777" w:rsidR="00D3719D" w:rsidRPr="003A124A" w:rsidRDefault="00D3719D" w:rsidP="00501E99">
                            <w:pPr>
                              <w:pStyle w:val="Heading2"/>
                              <w:jc w:val="center"/>
                              <w:rPr>
                                <w:rFonts w:ascii="Calibri" w:hAnsi="Calibri"/>
                                <w:b/>
                                <w:bCs/>
                                <w:lang w:val="en"/>
                              </w:rPr>
                            </w:pPr>
                            <w:bookmarkStart w:id="25" w:name="_Toc73535947"/>
                            <w:r w:rsidRPr="003A124A">
                              <w:rPr>
                                <w:rFonts w:ascii="Calibri" w:hAnsi="Calibri"/>
                                <w:b/>
                                <w:bCs/>
                                <w:lang w:val="en"/>
                              </w:rPr>
                              <w:t>Screening</w:t>
                            </w:r>
                            <w:bookmarkEnd w:id="25"/>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7310DCB">
              <v:roundrect id="Rectangle: Rounded Corners 18" style="position:absolute;margin-left:-75pt;margin-top:54.3pt;width:108pt;height:33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color="#ccecff" strokeweight="1.5pt" arcsize="10923f" w14:anchorId="31D0C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">
                <v:textbox style="layout-flow:vertical;mso-layout-flow-alt:bottom-to-top" inset="3.6pt,,3.6pt">
                  <w:txbxContent>
                    <w:p w:rsidRPr="003A124A" w:rsidR="00D3719D" w:rsidP="00501E99" w:rsidRDefault="00D3719D" w14:paraId="04EDC334" w14:textId="77777777">
                      <w:pPr>
                        <w:pStyle w:val="Heading2"/>
                        <w:jc w:val="center"/>
                        <w:rPr>
                          <w:rFonts w:ascii="Calibri" w:hAnsi="Calibri"/>
                          <w:b/>
                          <w:bCs/>
                          <w:lang w:val="en"/>
                        </w:rPr>
                      </w:pPr>
                      <w:r w:rsidRPr="003A124A">
                        <w:rPr>
                          <w:rFonts w:ascii="Calibri" w:hAnsi="Calibri"/>
                          <w:b/>
                          <w:bCs/>
                          <w:lang w:val="en"/>
                        </w:rPr>
                        <w:t>Screening</w:t>
                      </w:r>
                    </w:p>
                  </w:txbxContent>
                </v:textbox>
              </v:roundrect>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0" distB="0" distL="114300" distR="114300" simplePos="0" relativeHeight="251668480" behindDoc="0" locked="0" layoutInCell="1" allowOverlap="1" wp14:anchorId="0A66B405" wp14:editId="67B1E44C">
                <wp:simplePos x="0" y="0"/>
                <wp:positionH relativeFrom="column">
                  <wp:posOffset>1247775</wp:posOffset>
                </wp:positionH>
                <wp:positionV relativeFrom="paragraph">
                  <wp:posOffset>1049655</wp:posOffset>
                </wp:positionV>
                <wp:extent cx="2585720" cy="571500"/>
                <wp:effectExtent l="0" t="0" r="2413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5720" cy="571500"/>
                        </a:xfrm>
                        <a:prstGeom prst="rect">
                          <a:avLst/>
                        </a:prstGeom>
                        <a:solidFill>
                          <a:srgbClr val="FFFFFF"/>
                        </a:solidFill>
                        <a:ln w="19050">
                          <a:solidFill>
                            <a:srgbClr val="000000"/>
                          </a:solidFill>
                          <a:miter lim="800000"/>
                          <a:headEnd/>
                          <a:tailEnd/>
                        </a:ln>
                      </wps:spPr>
                      <wps:txbx>
                        <w:txbxContent>
                          <w:p w14:paraId="218176EC" w14:textId="77777777" w:rsidR="00D3719D" w:rsidRDefault="00D3719D" w:rsidP="00501E99">
                            <w:pPr>
                              <w:jc w:val="center"/>
                              <w:rPr>
                                <w:rFonts w:ascii="Calibri" w:hAnsi="Calibri"/>
                                <w:lang w:val="en"/>
                              </w:rPr>
                            </w:pPr>
                            <w:r>
                              <w:rPr>
                                <w:rFonts w:ascii="Calibri" w:hAnsi="Calibri"/>
                              </w:rPr>
                              <w:t>Number of academic articles screened</w:t>
                            </w:r>
                            <w:r>
                              <w:rPr>
                                <w:rFonts w:ascii="Calibri" w:hAnsi="Calibri"/>
                              </w:rPr>
                              <w:br/>
                            </w:r>
                            <w:r w:rsidRPr="007838A6">
                              <w:rPr>
                                <w:rFonts w:ascii="Calibri" w:hAnsi="Calibri"/>
                                <w:b/>
                                <w:bCs/>
                              </w:rPr>
                              <w:t>2</w:t>
                            </w:r>
                            <w:r>
                              <w:rPr>
                                <w:rFonts w:ascii="Calibri" w:hAnsi="Calibri"/>
                                <w:b/>
                                <w:bCs/>
                              </w:rPr>
                              <w:t>56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61B288B">
              <v:rect id="Rectangle 12" style="position:absolute;margin-left:98.25pt;margin-top:82.65pt;width:203.6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strokeweight="1.5pt" w14:anchorId="0A66B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">
                <v:textbox inset=",7.2pt,,7.2pt">
                  <w:txbxContent>
                    <w:p w:rsidR="00D3719D" w:rsidP="00501E99" w:rsidRDefault="00D3719D" w14:paraId="63A67570" w14:textId="77777777">
                      <w:pPr>
                        <w:jc w:val="center"/>
                        <w:rPr>
                          <w:rFonts w:ascii="Calibri" w:hAnsi="Calibri"/>
                          <w:lang w:val="en"/>
                        </w:rPr>
                      </w:pPr>
                      <w:r>
                        <w:rPr>
                          <w:rFonts w:ascii="Calibri" w:hAnsi="Calibri"/>
                        </w:rPr>
                        <w:t>Number of academic articles screened</w:t>
                      </w:r>
                      <w:r>
                        <w:rPr>
                          <w:rFonts w:ascii="Calibri" w:hAnsi="Calibri"/>
                        </w:rPr>
                        <w:br/>
                      </w:r>
                      <w:r w:rsidRPr="007838A6">
                        <w:rPr>
                          <w:rFonts w:ascii="Calibri" w:hAnsi="Calibri"/>
                          <w:b/>
                          <w:bCs/>
                        </w:rPr>
                        <w:t>2</w:t>
                      </w:r>
                      <w:r>
                        <w:rPr>
                          <w:rFonts w:ascii="Calibri" w:hAnsi="Calibri"/>
                          <w:b/>
                          <w:bCs/>
                        </w:rPr>
                        <w:t>56</w:t>
                      </w:r>
                    </w:p>
                  </w:txbxContent>
                </v:textbox>
              </v:rect>
            </w:pict>
          </mc:Fallback>
        </mc:AlternateContent>
      </w:r>
    </w:p>
    <w:p w14:paraId="00F81BAA" w14:textId="77777777" w:rsidR="00501E99" w:rsidRPr="00F874E4" w:rsidRDefault="00501E99" w:rsidP="00DF09CF">
      <w:pPr>
        <w:spacing w:line="360" w:lineRule="auto"/>
        <w:jc w:val="both"/>
        <w:rPr>
          <w:rFonts w:eastAsia="Times New Roman" w:cstheme="minorHAnsi"/>
          <w:lang w:val="en-GB"/>
        </w:rPr>
      </w:pPr>
    </w:p>
    <w:p w14:paraId="5421BEC6" w14:textId="6EA8A542" w:rsidR="0081140F" w:rsidRDefault="0081140F" w:rsidP="00DF09CF">
      <w:pPr>
        <w:spacing w:line="360" w:lineRule="auto"/>
        <w:jc w:val="both"/>
        <w:rPr>
          <w:rFonts w:eastAsia="Times New Roman" w:cstheme="minorHAnsi"/>
          <w:lang w:val="en-GB"/>
        </w:rPr>
      </w:pPr>
    </w:p>
    <w:p w14:paraId="6A0EFBC0" w14:textId="77777777" w:rsidR="00501E99" w:rsidRDefault="00501E99" w:rsidP="008D3E5C">
      <w:pPr>
        <w:spacing w:line="360" w:lineRule="auto"/>
        <w:jc w:val="both"/>
      </w:pPr>
    </w:p>
    <w:p w14:paraId="43DF66A5" w14:textId="77777777" w:rsidR="00501E99" w:rsidRDefault="00501E99" w:rsidP="008D3E5C">
      <w:pPr>
        <w:spacing w:line="360" w:lineRule="auto"/>
        <w:jc w:val="both"/>
      </w:pPr>
    </w:p>
    <w:p w14:paraId="5D7251AC" w14:textId="77777777" w:rsidR="00501E99" w:rsidRDefault="00501E99" w:rsidP="008D3E5C">
      <w:pPr>
        <w:spacing w:line="360" w:lineRule="auto"/>
        <w:jc w:val="both"/>
      </w:pPr>
    </w:p>
    <w:p w14:paraId="6ACE5406" w14:textId="77777777" w:rsidR="00501E99" w:rsidRDefault="00501E99" w:rsidP="008D3E5C">
      <w:pPr>
        <w:spacing w:line="360" w:lineRule="auto"/>
        <w:jc w:val="both"/>
      </w:pPr>
    </w:p>
    <w:p w14:paraId="59F15320" w14:textId="77777777" w:rsidR="00501E99" w:rsidRDefault="00501E99" w:rsidP="008D3E5C">
      <w:pPr>
        <w:spacing w:line="360" w:lineRule="auto"/>
        <w:jc w:val="both"/>
      </w:pPr>
    </w:p>
    <w:p w14:paraId="465C10AB" w14:textId="77777777" w:rsidR="00501E99" w:rsidRDefault="00501E99" w:rsidP="008D3E5C">
      <w:pPr>
        <w:spacing w:line="360" w:lineRule="auto"/>
        <w:jc w:val="both"/>
      </w:pPr>
    </w:p>
    <w:p w14:paraId="53515E83" w14:textId="77777777" w:rsidR="00501E99" w:rsidRDefault="00501E99" w:rsidP="008D3E5C">
      <w:pPr>
        <w:spacing w:line="360" w:lineRule="auto"/>
        <w:jc w:val="both"/>
      </w:pPr>
    </w:p>
    <w:p w14:paraId="6B6B7CFA" w14:textId="77777777" w:rsidR="00501E99" w:rsidRDefault="00501E99" w:rsidP="008D3E5C">
      <w:pPr>
        <w:spacing w:line="360" w:lineRule="auto"/>
        <w:jc w:val="both"/>
      </w:pPr>
    </w:p>
    <w:p w14:paraId="3064CA46" w14:textId="77777777" w:rsidR="00501E99" w:rsidRDefault="00501E99" w:rsidP="008D3E5C">
      <w:pPr>
        <w:spacing w:line="360" w:lineRule="auto"/>
        <w:jc w:val="both"/>
      </w:pPr>
    </w:p>
    <w:p w14:paraId="03BE2BE9" w14:textId="6C789782" w:rsidR="00501E99" w:rsidRDefault="00641D90" w:rsidP="008D3E5C">
      <w:pPr>
        <w:spacing w:line="360" w:lineRule="auto"/>
        <w:jc w:val="both"/>
      </w:pPr>
      <w:r w:rsidRPr="00427DCD">
        <w:rPr>
          <w:rFonts w:ascii="Times New Roman" w:eastAsia="Times New Roman" w:hAnsi="Times New Roman" w:cs="Times New Roman"/>
          <w:noProof/>
          <w:sz w:val="24"/>
          <w:szCs w:val="24"/>
          <w:lang w:val="en-AU" w:eastAsia="en-AU"/>
        </w:rPr>
        <mc:AlternateContent>
          <mc:Choice Requires="wps">
            <w:drawing>
              <wp:anchor distT="36576" distB="36576" distL="36576" distR="36576" simplePos="0" relativeHeight="251680768" behindDoc="0" locked="0" layoutInCell="1" allowOverlap="1" wp14:anchorId="1E64D99C" wp14:editId="47EF54A0">
                <wp:simplePos x="0" y="0"/>
                <wp:positionH relativeFrom="column">
                  <wp:posOffset>2533650</wp:posOffset>
                </wp:positionH>
                <wp:positionV relativeFrom="paragraph">
                  <wp:posOffset>172085</wp:posOffset>
                </wp:positionV>
                <wp:extent cx="9525" cy="609600"/>
                <wp:effectExtent l="76200" t="0" r="66675" b="571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609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E2AC96C">
              <v:shape id="Straight Arrow Connector 24" style="position:absolute;margin-left:199.5pt;margin-top:13.55pt;width:.75pt;height:48pt;flip:x;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" w14:anchorId="6DDD016E">
                <v:stroke endarrow="block"/>
                <v:shadow color="#ccc"/>
              </v:shape>
            </w:pict>
          </mc:Fallback>
        </mc:AlternateContent>
      </w:r>
    </w:p>
    <w:p w14:paraId="79D1E98F" w14:textId="77777777" w:rsidR="00501E99" w:rsidRDefault="00501E99" w:rsidP="008D3E5C">
      <w:pPr>
        <w:spacing w:line="360" w:lineRule="auto"/>
        <w:jc w:val="both"/>
      </w:pPr>
    </w:p>
    <w:p w14:paraId="0550D870" w14:textId="29064500" w:rsidR="00501E99" w:rsidRDefault="00516AB9" w:rsidP="008D3E5C">
      <w:pPr>
        <w:spacing w:line="360" w:lineRule="auto"/>
        <w:jc w:val="both"/>
      </w:pPr>
      <w:r w:rsidRPr="00427DCD">
        <w:rPr>
          <w:rFonts w:ascii="Times New Roman" w:eastAsia="Times New Roman" w:hAnsi="Times New Roman" w:cs="Times New Roman"/>
          <w:noProof/>
          <w:sz w:val="24"/>
          <w:szCs w:val="24"/>
          <w:lang w:val="en-AU" w:eastAsia="en-AU"/>
        </w:rPr>
        <mc:AlternateContent>
          <mc:Choice Requires="wps">
            <w:drawing>
              <wp:anchor distT="0" distB="0" distL="114300" distR="114300" simplePos="0" relativeHeight="251661312" behindDoc="0" locked="0" layoutInCell="1" allowOverlap="1" wp14:anchorId="2966D753" wp14:editId="2BD5D62E">
                <wp:simplePos x="0" y="0"/>
                <wp:positionH relativeFrom="column">
                  <wp:posOffset>-1000125</wp:posOffset>
                </wp:positionH>
                <wp:positionV relativeFrom="paragraph">
                  <wp:posOffset>765810</wp:posOffset>
                </wp:positionV>
                <wp:extent cx="1371600" cy="361950"/>
                <wp:effectExtent l="0" t="9525" r="28575" b="2857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61950"/>
                        </a:xfrm>
                        <a:prstGeom prst="roundRect">
                          <a:avLst>
                            <a:gd name="adj" fmla="val 16667"/>
                          </a:avLst>
                        </a:prstGeom>
                        <a:solidFill>
                          <a:srgbClr val="CCECFF"/>
                        </a:solidFill>
                        <a:ln w="19050">
                          <a:solidFill>
                            <a:srgbClr val="000000"/>
                          </a:solidFill>
                          <a:round/>
                          <a:headEnd/>
                          <a:tailEnd/>
                        </a:ln>
                      </wps:spPr>
                      <wps:txbx>
                        <w:txbxContent>
                          <w:p w14:paraId="6CC2C90D" w14:textId="77777777" w:rsidR="00D3719D" w:rsidRPr="003A124A" w:rsidRDefault="00D3719D" w:rsidP="00501E99">
                            <w:pPr>
                              <w:pStyle w:val="Heading2"/>
                              <w:jc w:val="center"/>
                              <w:rPr>
                                <w:rFonts w:ascii="Calibri" w:hAnsi="Calibri"/>
                                <w:b/>
                                <w:bCs/>
                                <w:lang w:val="en"/>
                              </w:rPr>
                            </w:pPr>
                            <w:bookmarkStart w:id="26" w:name="_Toc73535948"/>
                            <w:r w:rsidRPr="003A124A">
                              <w:rPr>
                                <w:rFonts w:ascii="Calibri" w:hAnsi="Calibri"/>
                                <w:b/>
                                <w:bCs/>
                                <w:lang w:val="en"/>
                              </w:rPr>
                              <w:t>Included</w:t>
                            </w:r>
                            <w:bookmarkEnd w:id="26"/>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AE03110">
              <v:roundrect id="Rectangle: Rounded Corners 3" style="position:absolute;left:0;text-align:left;margin-left:-78.75pt;margin-top:60.3pt;width:108pt;height:2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color="#ccecff" strokeweight="1.5pt" arcsize="10923f" w14:anchorId="2966D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">
                <v:textbox style="layout-flow:vertical;mso-layout-flow-alt:bottom-to-top" inset="3.6pt,,3.6pt">
                  <w:txbxContent>
                    <w:p w:rsidRPr="003A124A" w:rsidR="00D3719D" w:rsidP="00501E99" w:rsidRDefault="00D3719D" w14:paraId="35E0F18A" w14:textId="77777777">
                      <w:pPr>
                        <w:pStyle w:val="Heading2"/>
                        <w:jc w:val="center"/>
                        <w:rPr>
                          <w:rFonts w:ascii="Calibri" w:hAnsi="Calibri"/>
                          <w:b/>
                          <w:bCs/>
                          <w:lang w:val="en"/>
                        </w:rPr>
                      </w:pPr>
                      <w:r w:rsidRPr="003A124A">
                        <w:rPr>
                          <w:rFonts w:ascii="Calibri" w:hAnsi="Calibri"/>
                          <w:b/>
                          <w:bCs/>
                          <w:lang w:val="en"/>
                        </w:rPr>
                        <w:t>Included</w:t>
                      </w:r>
                    </w:p>
                  </w:txbxContent>
                </v:textbox>
              </v:roundrect>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0" distB="0" distL="114300" distR="114300" simplePos="0" relativeHeight="251677696" behindDoc="0" locked="0" layoutInCell="1" allowOverlap="1" wp14:anchorId="6C87B1D3" wp14:editId="769E23F1">
                <wp:simplePos x="0" y="0"/>
                <wp:positionH relativeFrom="column">
                  <wp:posOffset>4362450</wp:posOffset>
                </wp:positionH>
                <wp:positionV relativeFrom="paragraph">
                  <wp:posOffset>68580</wp:posOffset>
                </wp:positionV>
                <wp:extent cx="1819275" cy="685800"/>
                <wp:effectExtent l="0" t="0" r="28575"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85800"/>
                        </a:xfrm>
                        <a:prstGeom prst="rect">
                          <a:avLst/>
                        </a:prstGeom>
                        <a:solidFill>
                          <a:srgbClr val="FFFFFF"/>
                        </a:solidFill>
                        <a:ln w="19050">
                          <a:solidFill>
                            <a:srgbClr val="000000"/>
                          </a:solidFill>
                          <a:miter lim="800000"/>
                          <a:headEnd/>
                          <a:tailEnd/>
                        </a:ln>
                      </wps:spPr>
                      <wps:txbx>
                        <w:txbxContent>
                          <w:p w14:paraId="173F8FF5" w14:textId="77777777" w:rsidR="00D3719D" w:rsidRDefault="00D3719D" w:rsidP="00501E99">
                            <w:pPr>
                              <w:contextualSpacing/>
                              <w:jc w:val="center"/>
                              <w:rPr>
                                <w:rFonts w:ascii="Calibri" w:hAnsi="Calibri"/>
                              </w:rPr>
                            </w:pPr>
                            <w:r>
                              <w:rPr>
                                <w:rFonts w:ascii="Calibri" w:hAnsi="Calibri"/>
                              </w:rPr>
                              <w:t>Number of articles from grey literature</w:t>
                            </w:r>
                          </w:p>
                          <w:p w14:paraId="7C82712F" w14:textId="187621F5" w:rsidR="00D3719D" w:rsidRPr="007838A6" w:rsidRDefault="00D3719D" w:rsidP="00501E99">
                            <w:pPr>
                              <w:contextualSpacing/>
                              <w:jc w:val="center"/>
                              <w:rPr>
                                <w:rFonts w:ascii="Calibri" w:hAnsi="Calibri"/>
                                <w:b/>
                                <w:bCs/>
                              </w:rPr>
                            </w:pPr>
                            <w:r w:rsidRPr="007838A6">
                              <w:rPr>
                                <w:rFonts w:ascii="Calibri" w:hAnsi="Calibri"/>
                                <w:b/>
                                <w:bCs/>
                              </w:rPr>
                              <w:t>4</w:t>
                            </w:r>
                            <w:r>
                              <w:rPr>
                                <w:rFonts w:ascii="Calibri" w:hAnsi="Calibri"/>
                                <w:b/>
                                <w:bCs/>
                              </w:rPr>
                              <w:t>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57EAC5B">
              <v:rect id="Rectangle 21" style="position:absolute;left:0;text-align:left;margin-left:343.5pt;margin-top:5.4pt;width:143.2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strokeweight="1.5pt" w14:anchorId="6C87B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">
                <v:textbox inset=",7.2pt,,7.2pt">
                  <w:txbxContent>
                    <w:p w:rsidR="00D3719D" w:rsidP="00501E99" w:rsidRDefault="00D3719D" w14:paraId="3EB19452" w14:textId="77777777">
                      <w:pPr>
                        <w:contextualSpacing/>
                        <w:jc w:val="center"/>
                        <w:rPr>
                          <w:rFonts w:ascii="Calibri" w:hAnsi="Calibri"/>
                        </w:rPr>
                      </w:pPr>
                      <w:r>
                        <w:rPr>
                          <w:rFonts w:ascii="Calibri" w:hAnsi="Calibri"/>
                        </w:rPr>
                        <w:t>Number of articles from grey literature</w:t>
                      </w:r>
                    </w:p>
                    <w:p w:rsidRPr="007838A6" w:rsidR="00D3719D" w:rsidP="00501E99" w:rsidRDefault="00D3719D" w14:paraId="54368C02" w14:textId="187621F5">
                      <w:pPr>
                        <w:contextualSpacing/>
                        <w:jc w:val="center"/>
                        <w:rPr>
                          <w:rFonts w:ascii="Calibri" w:hAnsi="Calibri"/>
                          <w:b/>
                          <w:bCs/>
                        </w:rPr>
                      </w:pPr>
                      <w:r w:rsidRPr="007838A6">
                        <w:rPr>
                          <w:rFonts w:ascii="Calibri" w:hAnsi="Calibri"/>
                          <w:b/>
                          <w:bCs/>
                        </w:rPr>
                        <w:t>4</w:t>
                      </w:r>
                      <w:r>
                        <w:rPr>
                          <w:rFonts w:ascii="Calibri" w:hAnsi="Calibri"/>
                          <w:b/>
                          <w:bCs/>
                        </w:rPr>
                        <w:t>9</w:t>
                      </w:r>
                    </w:p>
                  </w:txbxContent>
                </v:textbox>
              </v:rect>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0" distB="0" distL="114300" distR="114300" simplePos="0" relativeHeight="251678720" behindDoc="0" locked="0" layoutInCell="1" allowOverlap="1" wp14:anchorId="1C3E7C4F" wp14:editId="06B8B255">
                <wp:simplePos x="0" y="0"/>
                <wp:positionH relativeFrom="column">
                  <wp:posOffset>4371975</wp:posOffset>
                </wp:positionH>
                <wp:positionV relativeFrom="paragraph">
                  <wp:posOffset>991870</wp:posOffset>
                </wp:positionV>
                <wp:extent cx="1819275" cy="695325"/>
                <wp:effectExtent l="0" t="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95325"/>
                        </a:xfrm>
                        <a:prstGeom prst="rect">
                          <a:avLst/>
                        </a:prstGeom>
                        <a:solidFill>
                          <a:srgbClr val="FFFFFF"/>
                        </a:solidFill>
                        <a:ln w="19050">
                          <a:solidFill>
                            <a:srgbClr val="000000"/>
                          </a:solidFill>
                          <a:miter lim="800000"/>
                          <a:headEnd/>
                          <a:tailEnd/>
                        </a:ln>
                      </wps:spPr>
                      <wps:txbx>
                        <w:txbxContent>
                          <w:p w14:paraId="40FFDF83" w14:textId="77777777" w:rsidR="00D3719D" w:rsidRDefault="00D3719D" w:rsidP="00501E99">
                            <w:pPr>
                              <w:contextualSpacing/>
                              <w:jc w:val="center"/>
                              <w:rPr>
                                <w:rFonts w:ascii="Calibri" w:hAnsi="Calibri"/>
                              </w:rPr>
                            </w:pPr>
                            <w:r>
                              <w:rPr>
                                <w:rFonts w:ascii="Calibri" w:hAnsi="Calibri"/>
                              </w:rPr>
                              <w:t>Number of websites from environmental scan</w:t>
                            </w:r>
                          </w:p>
                          <w:p w14:paraId="332E6E05" w14:textId="77777777" w:rsidR="00D3719D" w:rsidRPr="007838A6" w:rsidRDefault="00D3719D" w:rsidP="00501E99">
                            <w:pPr>
                              <w:contextualSpacing/>
                              <w:jc w:val="center"/>
                              <w:rPr>
                                <w:rFonts w:ascii="Calibri" w:hAnsi="Calibri"/>
                                <w:b/>
                                <w:bCs/>
                              </w:rPr>
                            </w:pPr>
                            <w:r w:rsidRPr="007838A6">
                              <w:rPr>
                                <w:rFonts w:ascii="Calibri" w:hAnsi="Calibri"/>
                                <w:b/>
                                <w:bCs/>
                              </w:rPr>
                              <w:t>59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61FE98B">
              <v:rect id="Rectangle 22" style="position:absolute;left:0;text-align:left;margin-left:344.25pt;margin-top:78.1pt;width:143.25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strokeweight="1.5pt" w14:anchorId="1C3E7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">
                <v:textbox inset=",7.2pt,,7.2pt">
                  <w:txbxContent>
                    <w:p w:rsidR="00D3719D" w:rsidP="00501E99" w:rsidRDefault="00D3719D" w14:paraId="0E75EB0A" w14:textId="77777777">
                      <w:pPr>
                        <w:contextualSpacing/>
                        <w:jc w:val="center"/>
                        <w:rPr>
                          <w:rFonts w:ascii="Calibri" w:hAnsi="Calibri"/>
                        </w:rPr>
                      </w:pPr>
                      <w:r>
                        <w:rPr>
                          <w:rFonts w:ascii="Calibri" w:hAnsi="Calibri"/>
                        </w:rPr>
                        <w:t>Number of websites from environmental scan</w:t>
                      </w:r>
                    </w:p>
                    <w:p w:rsidRPr="007838A6" w:rsidR="00D3719D" w:rsidP="00501E99" w:rsidRDefault="00D3719D" w14:paraId="6E55690C" w14:textId="77777777">
                      <w:pPr>
                        <w:contextualSpacing/>
                        <w:jc w:val="center"/>
                        <w:rPr>
                          <w:rFonts w:ascii="Calibri" w:hAnsi="Calibri"/>
                          <w:b/>
                          <w:bCs/>
                        </w:rPr>
                      </w:pPr>
                      <w:r w:rsidRPr="007838A6">
                        <w:rPr>
                          <w:rFonts w:ascii="Calibri" w:hAnsi="Calibri"/>
                          <w:b/>
                          <w:bCs/>
                        </w:rPr>
                        <w:t>59</w:t>
                      </w:r>
                    </w:p>
                  </w:txbxContent>
                </v:textbox>
              </v:rect>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36576" distB="36576" distL="36576" distR="36576" simplePos="0" relativeHeight="251683840" behindDoc="0" locked="0" layoutInCell="1" allowOverlap="1" wp14:anchorId="425DE213" wp14:editId="400B25DF">
                <wp:simplePos x="0" y="0"/>
                <wp:positionH relativeFrom="column">
                  <wp:posOffset>3371850</wp:posOffset>
                </wp:positionH>
                <wp:positionV relativeFrom="paragraph">
                  <wp:posOffset>868045</wp:posOffset>
                </wp:positionV>
                <wp:extent cx="1905000" cy="0"/>
                <wp:effectExtent l="38100" t="76200" r="0" b="952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A1FB1AA">
              <v:shape id="Straight Arrow Connector 27" style="position:absolute;margin-left:265.5pt;margin-top:68.35pt;width:150pt;height:0;flip:x;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" w14:anchorId="43474375">
                <v:stroke endarrow="block"/>
                <v:shadow color="#ccc"/>
              </v:shape>
            </w:pict>
          </mc:Fallback>
        </mc:AlternateContent>
      </w:r>
      <w:r w:rsidRPr="00427DCD">
        <w:rPr>
          <w:rFonts w:ascii="Times New Roman" w:eastAsia="Times New Roman" w:hAnsi="Times New Roman" w:cs="Times New Roman"/>
          <w:noProof/>
          <w:sz w:val="24"/>
          <w:szCs w:val="24"/>
          <w:lang w:val="en-AU" w:eastAsia="en-AU"/>
        </w:rPr>
        <mc:AlternateContent>
          <mc:Choice Requires="wps">
            <w:drawing>
              <wp:anchor distT="0" distB="0" distL="114300" distR="114300" simplePos="0" relativeHeight="251679744" behindDoc="0" locked="0" layoutInCell="1" allowOverlap="1" wp14:anchorId="0A91C818" wp14:editId="5E320588">
                <wp:simplePos x="0" y="0"/>
                <wp:positionH relativeFrom="margin">
                  <wp:posOffset>1657350</wp:posOffset>
                </wp:positionH>
                <wp:positionV relativeFrom="paragraph">
                  <wp:posOffset>287655</wp:posOffset>
                </wp:positionV>
                <wp:extent cx="1714500" cy="119062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90625"/>
                        </a:xfrm>
                        <a:prstGeom prst="rect">
                          <a:avLst/>
                        </a:prstGeom>
                        <a:solidFill>
                          <a:srgbClr val="FFFFFF"/>
                        </a:solidFill>
                        <a:ln w="19050">
                          <a:solidFill>
                            <a:srgbClr val="000000"/>
                          </a:solidFill>
                          <a:miter lim="800000"/>
                          <a:headEnd/>
                          <a:tailEnd/>
                        </a:ln>
                      </wps:spPr>
                      <wps:txbx>
                        <w:txbxContent>
                          <w:p w14:paraId="73086BB7" w14:textId="77777777" w:rsidR="00D3719D" w:rsidRDefault="00D3719D" w:rsidP="00501E99">
                            <w:pPr>
                              <w:contextualSpacing/>
                              <w:jc w:val="center"/>
                              <w:rPr>
                                <w:rFonts w:ascii="Calibri" w:hAnsi="Calibri"/>
                                <w:b/>
                                <w:bCs/>
                              </w:rPr>
                            </w:pPr>
                            <w:r w:rsidRPr="006D5DD7">
                              <w:rPr>
                                <w:rFonts w:ascii="Calibri" w:hAnsi="Calibri"/>
                                <w:b/>
                                <w:bCs/>
                              </w:rPr>
                              <w:t>Total number of information sources in report</w:t>
                            </w:r>
                          </w:p>
                          <w:p w14:paraId="25192E8A" w14:textId="77777777" w:rsidR="00D3719D" w:rsidRPr="006D5DD7" w:rsidRDefault="00D3719D" w:rsidP="00501E99">
                            <w:pPr>
                              <w:contextualSpacing/>
                              <w:jc w:val="center"/>
                              <w:rPr>
                                <w:rFonts w:ascii="Calibri" w:hAnsi="Calibri"/>
                                <w:b/>
                                <w:bCs/>
                              </w:rPr>
                            </w:pPr>
                          </w:p>
                          <w:p w14:paraId="521B1CB4" w14:textId="77777777" w:rsidR="00D3719D" w:rsidRPr="007838A6" w:rsidRDefault="00D3719D" w:rsidP="00501E99">
                            <w:pPr>
                              <w:contextualSpacing/>
                              <w:jc w:val="center"/>
                              <w:rPr>
                                <w:rFonts w:ascii="Calibri" w:hAnsi="Calibri"/>
                                <w:b/>
                                <w:bCs/>
                                <w:lang w:val="en"/>
                              </w:rPr>
                            </w:pPr>
                            <w:r w:rsidRPr="007838A6">
                              <w:rPr>
                                <w:rFonts w:ascii="Calibri" w:hAnsi="Calibri"/>
                                <w:b/>
                                <w:bCs/>
                                <w:lang w:val="en"/>
                              </w:rPr>
                              <w:t>215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B15230C">
              <v:rect id="Rectangle 23" style="position:absolute;left:0;text-align:left;margin-left:130.5pt;margin-top:22.65pt;width:135pt;height:93.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0" strokeweight="1.5pt" w14:anchorId="0A91C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">
                <v:textbox inset=",7.2pt,,7.2pt">
                  <w:txbxContent>
                    <w:p w:rsidR="00D3719D" w:rsidP="00501E99" w:rsidRDefault="00D3719D" w14:paraId="70610DFC" w14:textId="77777777">
                      <w:pPr>
                        <w:contextualSpacing/>
                        <w:jc w:val="center"/>
                        <w:rPr>
                          <w:rFonts w:ascii="Calibri" w:hAnsi="Calibri"/>
                          <w:b/>
                          <w:bCs/>
                        </w:rPr>
                      </w:pPr>
                      <w:r w:rsidRPr="006D5DD7">
                        <w:rPr>
                          <w:rFonts w:ascii="Calibri" w:hAnsi="Calibri"/>
                          <w:b/>
                          <w:bCs/>
                        </w:rPr>
                        <w:t>Total number of information sources in report</w:t>
                      </w:r>
                    </w:p>
                    <w:p w:rsidRPr="006D5DD7" w:rsidR="00D3719D" w:rsidP="00501E99" w:rsidRDefault="00D3719D" w14:paraId="672A6659" w14:textId="77777777">
                      <w:pPr>
                        <w:contextualSpacing/>
                        <w:jc w:val="center"/>
                        <w:rPr>
                          <w:rFonts w:ascii="Calibri" w:hAnsi="Calibri"/>
                          <w:b/>
                          <w:bCs/>
                        </w:rPr>
                      </w:pPr>
                    </w:p>
                    <w:p w:rsidRPr="007838A6" w:rsidR="00D3719D" w:rsidP="00501E99" w:rsidRDefault="00D3719D" w14:paraId="47BAF74E" w14:textId="77777777">
                      <w:pPr>
                        <w:contextualSpacing/>
                        <w:jc w:val="center"/>
                        <w:rPr>
                          <w:rFonts w:ascii="Calibri" w:hAnsi="Calibri"/>
                          <w:b/>
                          <w:bCs/>
                          <w:lang w:val="en"/>
                        </w:rPr>
                      </w:pPr>
                      <w:r w:rsidRPr="007838A6">
                        <w:rPr>
                          <w:rFonts w:ascii="Calibri" w:hAnsi="Calibri"/>
                          <w:b/>
                          <w:bCs/>
                          <w:lang w:val="en"/>
                        </w:rPr>
                        <w:t>215</w:t>
                      </w:r>
                    </w:p>
                  </w:txbxContent>
                </v:textbox>
                <w10:wrap anchorx="margin"/>
              </v:rect>
            </w:pict>
          </mc:Fallback>
        </mc:AlternateContent>
      </w:r>
    </w:p>
    <w:p w14:paraId="59CC594C" w14:textId="77777777" w:rsidR="00501E99" w:rsidRDefault="00501E99" w:rsidP="008D3E5C">
      <w:pPr>
        <w:spacing w:line="360" w:lineRule="auto"/>
        <w:jc w:val="both"/>
      </w:pPr>
    </w:p>
    <w:p w14:paraId="55DE4C62" w14:textId="0DC8072D" w:rsidR="00501E99" w:rsidRDefault="00641D90" w:rsidP="008D3E5C">
      <w:pPr>
        <w:spacing w:line="360" w:lineRule="auto"/>
        <w:jc w:val="both"/>
      </w:pPr>
      <w:r>
        <w:rPr>
          <w:rFonts w:ascii="Times New Roman" w:eastAsia="Times New Roman" w:hAnsi="Times New Roman" w:cs="Times New Roman"/>
          <w:noProof/>
          <w:sz w:val="24"/>
          <w:szCs w:val="24"/>
          <w:lang w:val="en-AU" w:eastAsia="en-AU"/>
        </w:rPr>
        <mc:AlternateContent>
          <mc:Choice Requires="wps">
            <w:drawing>
              <wp:anchor distT="0" distB="0" distL="114300" distR="114300" simplePos="0" relativeHeight="251682816" behindDoc="0" locked="0" layoutInCell="1" allowOverlap="1" wp14:anchorId="4D04B044" wp14:editId="7D3AD8FF">
                <wp:simplePos x="0" y="0"/>
                <wp:positionH relativeFrom="column">
                  <wp:posOffset>5279665</wp:posOffset>
                </wp:positionH>
                <wp:positionV relativeFrom="paragraph">
                  <wp:posOffset>245966</wp:posOffset>
                </wp:positionV>
                <wp:extent cx="7951" cy="230588"/>
                <wp:effectExtent l="0" t="0" r="30480" b="36195"/>
                <wp:wrapNone/>
                <wp:docPr id="26" name="Straight Connector 26"/>
                <wp:cNvGraphicFramePr/>
                <a:graphic xmlns:a="http://schemas.openxmlformats.org/drawingml/2006/main">
                  <a:graphicData uri="http://schemas.microsoft.com/office/word/2010/wordprocessingShape">
                    <wps:wsp>
                      <wps:cNvCnPr/>
                      <wps:spPr>
                        <a:xfrm>
                          <a:off x="0" y="0"/>
                          <a:ext cx="7951" cy="2305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BC7E72C">
              <v:line id="Straight Connector 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15.7pt,19.35pt" to="416.35pt,37.5pt" w14:anchorId="2470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">
                <v:stroke joinstyle="miter"/>
              </v:line>
            </w:pict>
          </mc:Fallback>
        </mc:AlternateContent>
      </w:r>
    </w:p>
    <w:p w14:paraId="66B54229" w14:textId="2DEDDBC1" w:rsidR="00DF09CF" w:rsidRPr="00476A5F" w:rsidRDefault="008D3E5C" w:rsidP="00DF09CF">
      <w:pPr>
        <w:spacing w:line="360" w:lineRule="auto"/>
        <w:jc w:val="both"/>
        <w:rPr>
          <w:rFonts w:eastAsia="Times New Roman" w:cstheme="minorHAnsi"/>
          <w:lang w:val="en-GB"/>
        </w:rPr>
      </w:pPr>
      <w:r>
        <w:lastRenderedPageBreak/>
        <w:t>A descriptive overview of the quantitative and qualitative studies and grey literature documents is provided.</w:t>
      </w:r>
    </w:p>
    <w:p w14:paraId="52B8107C" w14:textId="77777777" w:rsidR="00DF09CF" w:rsidRDefault="00DF09CF" w:rsidP="00DF09CF">
      <w:pPr>
        <w:pStyle w:val="Heading2"/>
        <w:spacing w:line="360" w:lineRule="auto"/>
      </w:pPr>
      <w:bookmarkStart w:id="27" w:name="_Toc73535949"/>
      <w:r>
        <w:t>Description of included studies and papers</w:t>
      </w:r>
      <w:bookmarkEnd w:id="27"/>
      <w:r>
        <w:t xml:space="preserve"> </w:t>
      </w:r>
    </w:p>
    <w:p w14:paraId="5E51C973" w14:textId="082DEDF8" w:rsidR="00D3745E" w:rsidRDefault="00D3745E" w:rsidP="00194F71">
      <w:pPr>
        <w:spacing w:line="360" w:lineRule="auto"/>
      </w:pPr>
      <w:r>
        <w:t xml:space="preserve">In total, </w:t>
      </w:r>
      <w:r w:rsidR="00D76E52">
        <w:t>73</w:t>
      </w:r>
      <w:r>
        <w:t xml:space="preserve"> quantitative studies, </w:t>
      </w:r>
      <w:r w:rsidR="00D76E52">
        <w:t>36</w:t>
      </w:r>
      <w:r>
        <w:t xml:space="preserve"> qualitative studies, </w:t>
      </w:r>
      <w:r w:rsidR="00D76E52">
        <w:t>4</w:t>
      </w:r>
      <w:r w:rsidR="00E7233A">
        <w:t>9</w:t>
      </w:r>
      <w:r>
        <w:t xml:space="preserve"> documents from the grey literature and </w:t>
      </w:r>
      <w:r w:rsidR="001A5F80">
        <w:t>59</w:t>
      </w:r>
      <w:r>
        <w:t xml:space="preserve"> websites from the environmental scan were included and reviewed. </w:t>
      </w:r>
    </w:p>
    <w:p w14:paraId="02AA3BD0" w14:textId="124FA740" w:rsidR="00D3745E" w:rsidRDefault="00D3745E" w:rsidP="00194F71">
      <w:pPr>
        <w:spacing w:line="360" w:lineRule="auto"/>
      </w:pPr>
      <w:r>
        <w:t>The study designs identified were RCT (n=</w:t>
      </w:r>
      <w:r w:rsidR="00B60625">
        <w:t>2</w:t>
      </w:r>
      <w:r>
        <w:t xml:space="preserve">), </w:t>
      </w:r>
      <w:r w:rsidR="00D76E52">
        <w:t>c</w:t>
      </w:r>
      <w:r>
        <w:t>ross sectional (n=</w:t>
      </w:r>
      <w:r w:rsidR="00B60625">
        <w:t>15</w:t>
      </w:r>
      <w:r>
        <w:t>), pre-pos</w:t>
      </w:r>
      <w:r w:rsidR="00D76E52">
        <w:t>t</w:t>
      </w:r>
      <w:r w:rsidR="00B60625">
        <w:t xml:space="preserve"> (n=17)</w:t>
      </w:r>
      <w:r>
        <w:t>, follow-up (n=</w:t>
      </w:r>
      <w:r w:rsidR="00B60625">
        <w:t>3</w:t>
      </w:r>
      <w:r>
        <w:t>), repeated measures design (n=</w:t>
      </w:r>
      <w:r w:rsidR="00B60625">
        <w:t>11</w:t>
      </w:r>
      <w:r>
        <w:t>), survey design (n=</w:t>
      </w:r>
      <w:r w:rsidR="00B60625">
        <w:t>2</w:t>
      </w:r>
      <w:r>
        <w:t>), qualitative (n=</w:t>
      </w:r>
      <w:r w:rsidR="00B60625">
        <w:t>36</w:t>
      </w:r>
      <w:r>
        <w:t xml:space="preserve">), </w:t>
      </w:r>
      <w:r w:rsidR="00B60625">
        <w:t>predictive modelling (n=5) and other (n=18).</w:t>
      </w:r>
    </w:p>
    <w:p w14:paraId="57C557C7" w14:textId="3466C889" w:rsidR="00D3745E" w:rsidRDefault="00D3745E" w:rsidP="00194F71">
      <w:pPr>
        <w:spacing w:line="360" w:lineRule="auto"/>
      </w:pPr>
      <w:r>
        <w:t xml:space="preserve">The characteristics of these studies are presented in </w:t>
      </w:r>
      <w:r w:rsidR="00C70062">
        <w:t>T</w:t>
      </w:r>
      <w:r>
        <w:t>able</w:t>
      </w:r>
      <w:r w:rsidR="0055284C">
        <w:t xml:space="preserve"> 1</w:t>
      </w:r>
      <w:r w:rsidR="003A20C8">
        <w:t xml:space="preserve"> </w:t>
      </w:r>
      <w:r w:rsidR="00C97993">
        <w:t>Appendix E</w:t>
      </w:r>
      <w:r>
        <w:t>.</w:t>
      </w:r>
    </w:p>
    <w:p w14:paraId="2DF85C23" w14:textId="77777777" w:rsidR="00806AE9" w:rsidRDefault="00D00E7C" w:rsidP="00806AE9">
      <w:pPr>
        <w:spacing w:line="360" w:lineRule="auto"/>
      </w:pPr>
      <w:r>
        <w:t>T</w:t>
      </w:r>
      <w:r w:rsidR="00D3745E">
        <w:t>he number of papers by type of disability were intellectual disability (n=</w:t>
      </w:r>
      <w:r w:rsidR="00324B29">
        <w:t>82</w:t>
      </w:r>
      <w:r w:rsidR="00D3745E">
        <w:t>), mental health (n=</w:t>
      </w:r>
      <w:r w:rsidR="00324B29">
        <w:t>35</w:t>
      </w:r>
      <w:r w:rsidR="00D3745E">
        <w:t>), physical and/or neurological (n=</w:t>
      </w:r>
      <w:r w:rsidR="00324B29">
        <w:t>14</w:t>
      </w:r>
      <w:r w:rsidR="00D3745E">
        <w:t>), general disability (n=</w:t>
      </w:r>
      <w:r w:rsidR="00324B29">
        <w:t>27</w:t>
      </w:r>
      <w:r w:rsidR="00D3745E">
        <w:t>)</w:t>
      </w:r>
      <w:r w:rsidR="00E529AE">
        <w:t xml:space="preserve">.  </w:t>
      </w:r>
      <w:r w:rsidR="00D3745E">
        <w:t>The countries from which data or policy is reported are Australia (n=</w:t>
      </w:r>
      <w:r w:rsidR="00324B29">
        <w:t>35</w:t>
      </w:r>
      <w:r w:rsidR="00D3745E">
        <w:t>), USA/Canada (n=</w:t>
      </w:r>
      <w:r w:rsidR="00324B29">
        <w:t>49</w:t>
      </w:r>
      <w:r w:rsidR="00D3745E">
        <w:t>), Ireland (n=</w:t>
      </w:r>
      <w:r w:rsidR="00324B29">
        <w:t>16</w:t>
      </w:r>
      <w:r w:rsidR="00D3745E">
        <w:t>), UK (n=</w:t>
      </w:r>
      <w:r w:rsidR="00324B29">
        <w:t>32</w:t>
      </w:r>
      <w:r w:rsidR="00D3745E">
        <w:t>), central Europe (n=</w:t>
      </w:r>
      <w:r w:rsidR="00324B29">
        <w:t>14</w:t>
      </w:r>
      <w:r w:rsidR="00D3745E">
        <w:t>)</w:t>
      </w:r>
      <w:r w:rsidR="00324B29">
        <w:t>, Asia (n=6), not specified (n=8).</w:t>
      </w:r>
    </w:p>
    <w:p w14:paraId="595988E1" w14:textId="06289EFE" w:rsidR="004F754B" w:rsidRDefault="004F754B" w:rsidP="004F754B">
      <w:pPr>
        <w:pStyle w:val="Heading2"/>
      </w:pPr>
      <w:bookmarkStart w:id="28" w:name="_Toc73535950"/>
      <w:r>
        <w:t>Outcomes and effectiveness of interventions</w:t>
      </w:r>
      <w:bookmarkEnd w:id="28"/>
      <w:r>
        <w:t xml:space="preserve"> </w:t>
      </w:r>
    </w:p>
    <w:p w14:paraId="3A447A5A" w14:textId="07910E53" w:rsidR="0099696D" w:rsidRDefault="0099696D" w:rsidP="0099696D">
      <w:pPr>
        <w:spacing w:line="360" w:lineRule="auto"/>
        <w:jc w:val="both"/>
      </w:pPr>
      <w:r>
        <w:t>Much has been written about outcomes following de-institutionalisation and this work often highlights evidence of overall improved well-being following</w:t>
      </w:r>
      <w:r w:rsidRPr="00D52E42">
        <w:t xml:space="preserve"> de-institutionali</w:t>
      </w:r>
      <w:r>
        <w:t>s</w:t>
      </w:r>
      <w:r w:rsidRPr="00D52E42">
        <w:t>ati</w:t>
      </w:r>
      <w:r>
        <w:t xml:space="preserve">on, but also the </w:t>
      </w:r>
      <w:r w:rsidRPr="00D52E42">
        <w:t>anomalies</w:t>
      </w:r>
      <w:r>
        <w:t xml:space="preserve"> and disparate literature across</w:t>
      </w:r>
      <w:r w:rsidRPr="00D52E42">
        <w:t xml:space="preserve"> measures</w:t>
      </w:r>
      <w:r>
        <w:t>,</w:t>
      </w:r>
      <w:r w:rsidRPr="00D52E42">
        <w:t xml:space="preserve"> data</w:t>
      </w:r>
      <w:r>
        <w:t xml:space="preserve">, and outcomes. The aim of this review was to bring this literature together and to provide synthesis to identify the enablers that promote successful transition from congregate or group homes into more independent </w:t>
      </w:r>
      <w:r w:rsidR="00E7233A">
        <w:t xml:space="preserve">or individualized </w:t>
      </w:r>
      <w:r>
        <w:t xml:space="preserve">living arrangements and also how these enablers might prevent movement back into congregated living environments. In conducting this review, it was apparent </w:t>
      </w:r>
      <w:r w:rsidRPr="00C052E8">
        <w:rPr>
          <w:rFonts w:eastAsia="Times New Roman"/>
          <w:lang w:val="en-AU"/>
        </w:rPr>
        <w:t xml:space="preserve">successful transition was not consistently or objectively defined across the literature. </w:t>
      </w:r>
      <w:r>
        <w:rPr>
          <w:rFonts w:eastAsia="Times New Roman"/>
          <w:lang w:val="en-AU"/>
        </w:rPr>
        <w:t>M</w:t>
      </w:r>
      <w:r w:rsidRPr="00C052E8">
        <w:rPr>
          <w:rFonts w:eastAsia="Times New Roman"/>
          <w:lang w:val="en-AU"/>
        </w:rPr>
        <w:t xml:space="preserve">uch of the qualitative literature emphasised that successful transition </w:t>
      </w:r>
      <w:r>
        <w:rPr>
          <w:rFonts w:eastAsia="Times New Roman"/>
          <w:lang w:val="en-AU"/>
        </w:rPr>
        <w:t xml:space="preserve">might not be </w:t>
      </w:r>
      <w:r w:rsidRPr="00C052E8">
        <w:rPr>
          <w:rFonts w:eastAsia="Times New Roman"/>
          <w:lang w:val="en-AU"/>
        </w:rPr>
        <w:t>a physical move</w:t>
      </w:r>
      <w:r>
        <w:rPr>
          <w:rFonts w:eastAsia="Times New Roman"/>
          <w:lang w:val="en-AU"/>
        </w:rPr>
        <w:t>, and other literature emphasised personal agency (or individual control and authority) in successful transition</w:t>
      </w:r>
      <w:r>
        <w:rPr>
          <w:rFonts w:eastAsia="Times New Roman"/>
        </w:rPr>
        <w:t xml:space="preserve">. For example, </w:t>
      </w:r>
      <w:r>
        <w:t xml:space="preserve">Pollard (2015) defined </w:t>
      </w:r>
      <w:r w:rsidRPr="005E1C91">
        <w:t xml:space="preserve">transition </w:t>
      </w:r>
      <w:r>
        <w:t xml:space="preserve">as a broad term that is </w:t>
      </w:r>
      <w:r w:rsidRPr="005E1C91">
        <w:t>success</w:t>
      </w:r>
      <w:r>
        <w:t xml:space="preserve">ful when the individual achieves their own goal and/or improves their quality of life. </w:t>
      </w:r>
      <w:r w:rsidRPr="00C052E8">
        <w:rPr>
          <w:rFonts w:eastAsia="Times New Roman"/>
          <w:lang w:val="en-AU"/>
        </w:rPr>
        <w:t>In some of the reviewed papers</w:t>
      </w:r>
      <w:r>
        <w:rPr>
          <w:rFonts w:eastAsia="Times New Roman"/>
          <w:lang w:val="en-AU"/>
        </w:rPr>
        <w:t xml:space="preserve">, in contrast, the </w:t>
      </w:r>
      <w:r w:rsidR="00E7233A">
        <w:rPr>
          <w:rFonts w:eastAsia="Times New Roman"/>
          <w:lang w:val="en-AU"/>
        </w:rPr>
        <w:t xml:space="preserve">success </w:t>
      </w:r>
      <w:r>
        <w:rPr>
          <w:rFonts w:eastAsia="Times New Roman"/>
          <w:lang w:val="en-AU"/>
        </w:rPr>
        <w:t>of transition was determined by the service provider or institution</w:t>
      </w:r>
      <w:r w:rsidRPr="00C052E8">
        <w:rPr>
          <w:rFonts w:eastAsia="Times New Roman"/>
          <w:lang w:val="en-AU"/>
        </w:rPr>
        <w:t xml:space="preserve">. For example, Fish </w:t>
      </w:r>
      <w:r>
        <w:rPr>
          <w:rFonts w:eastAsia="Times New Roman"/>
          <w:lang w:val="en-AU"/>
        </w:rPr>
        <w:t>and</w:t>
      </w:r>
      <w:r w:rsidRPr="00C052E8">
        <w:rPr>
          <w:rFonts w:eastAsia="Times New Roman"/>
          <w:lang w:val="en-AU"/>
        </w:rPr>
        <w:t xml:space="preserve"> Morgan </w:t>
      </w:r>
      <w:r w:rsidRPr="00C052E8">
        <w:rPr>
          <w:rFonts w:eastAsia="Times New Roman"/>
          <w:lang w:val="en-AU"/>
        </w:rPr>
        <w:fldChar w:fldCharType="begin"/>
      </w:r>
      <w:r>
        <w:rPr>
          <w:rFonts w:eastAsia="Times New Roman"/>
          <w:lang w:val="en-AU"/>
        </w:rPr>
        <w:instrText xml:space="preserve"> ADDIN EN.CITE &lt;EndNote&gt;&lt;Cite ExcludeAuth="1"&gt;&lt;Author&gt;Fish&lt;/Author&gt;&lt;Year&gt;2019&lt;/Year&gt;&lt;RecNum&gt;9&lt;/RecNum&gt;&lt;DisplayText&gt;(2019)&lt;/DisplayText&gt;&lt;record&gt;&lt;rec-number&gt;9&lt;/rec-number&gt;&lt;foreign-keys&gt;&lt;key app="EN" db-id="pzftf5vs8ps2wfe09ssv9t919wxpa2rzstf5" timestamp="1612501049"&gt;9&lt;/key&gt;&lt;/foreign-keys&gt;&lt;ref-type name="Journal Article"&gt;17&lt;/ref-type&gt;&lt;contributors&gt;&lt;authors&gt;&lt;author&gt;Fish, Rebecca&lt;/author&gt;&lt;author&gt;Morgan, Hannah&lt;/author&gt;&lt;/authors&gt;&lt;/contributors&gt;&lt;titles&gt;&lt;title&gt;&amp;quot;Moving on&amp;quot; through the locked ward system for women with intellectual disabilities&lt;/title&gt;&lt;secondary-title&gt;Journal of Applied Research in Intellectual Disabilities&lt;/secondary-title&gt;&lt;/titles&gt;&lt;periodical&gt;&lt;full-title&gt;Journal of Applied Research in Intellectual Disabilities&lt;/full-title&gt;&lt;/periodical&gt;&lt;pages&gt;932-941&lt;/pages&gt;&lt;volume&gt;32&lt;/volume&gt;&lt;number&gt;4&lt;/number&gt;&lt;keywords&gt;&lt;keyword&gt;INSTITUTIONAL care&lt;/keyword&gt;&lt;keyword&gt;FORENSIC psychiatry&lt;/keyword&gt;&lt;keyword&gt;INTERPERSONAL relations&lt;/keyword&gt;&lt;keyword&gt;INTERVIEWING&lt;/keyword&gt;&lt;keyword&gt;RESEARCH methodology&lt;/keyword&gt;&lt;keyword&gt;PEOPLE with mental disabilities&lt;/keyword&gt;&lt;keyword&gt;WOMEN&amp;apos;S health&lt;/keyword&gt;&lt;keyword&gt;ETHNOLOGY research&lt;/keyword&gt;&lt;keyword&gt;LAW&lt;/keyword&gt;&lt;keyword&gt;ENGLAND&lt;/keyword&gt;&lt;keyword&gt;forensic services&lt;/keyword&gt;&lt;keyword&gt;institutionalization&lt;/keyword&gt;&lt;keyword&gt;intellectual disabilities&lt;/keyword&gt;&lt;keyword&gt;recovery&lt;/keyword&gt;&lt;keyword&gt;secure settings&lt;/keyword&gt;&lt;/keywords&gt;&lt;dates&gt;&lt;year&gt;2019&lt;/year&gt;&lt;/dates&gt;&lt;publisher&gt;Wiley-Blackwell&lt;/publisher&gt;&lt;isbn&gt;13602322&lt;/isbn&gt;&lt;accession-num&gt;136785627&lt;/accession-num&gt;&lt;work-type&gt;Article&lt;/work-type&gt;&lt;urls&gt;&lt;related-urls&gt;&lt;url&gt;http://ezproxy.library.usyd.edu.au/login?url=http://search.ebscohost.com/login.aspx?direct=true&amp;amp;db=asn&amp;amp;AN=136785627&amp;amp;site=ehost-live&lt;/url&gt;&lt;/related-urls&gt;&lt;/urls&gt;&lt;custom1&gt;Academic Search Ultimate&lt;/custom1&gt;&lt;electronic-resource-num&gt;10.1111/jar.12586&lt;/electronic-resource-num&gt;&lt;remote-database-name&gt;asn&lt;/remote-database-name&gt;&lt;remote-database-provider&gt;EBSCOhost&lt;/remote-database-provider&gt;&lt;/record&gt;&lt;/Cite&gt;&lt;/EndNote&gt;</w:instrText>
      </w:r>
      <w:r w:rsidRPr="00C052E8">
        <w:rPr>
          <w:rFonts w:eastAsia="Times New Roman"/>
          <w:lang w:val="en-AU"/>
        </w:rPr>
        <w:fldChar w:fldCharType="separate"/>
      </w:r>
      <w:r w:rsidRPr="00C052E8">
        <w:rPr>
          <w:rFonts w:eastAsia="Times New Roman"/>
          <w:noProof/>
          <w:lang w:val="en-AU"/>
        </w:rPr>
        <w:t>(2019)</w:t>
      </w:r>
      <w:r w:rsidRPr="00C052E8">
        <w:rPr>
          <w:rFonts w:eastAsia="Times New Roman"/>
          <w:lang w:val="en-AU"/>
        </w:rPr>
        <w:fldChar w:fldCharType="end"/>
      </w:r>
      <w:r>
        <w:rPr>
          <w:rFonts w:eastAsia="Times New Roman"/>
          <w:lang w:val="en-AU"/>
        </w:rPr>
        <w:t xml:space="preserve"> and Chen (2010) both describe institutions or case managers as determining the </w:t>
      </w:r>
      <w:r w:rsidR="00E7233A">
        <w:rPr>
          <w:rFonts w:eastAsia="Times New Roman"/>
          <w:lang w:val="en-AU"/>
        </w:rPr>
        <w:t>success</w:t>
      </w:r>
      <w:r>
        <w:rPr>
          <w:rFonts w:eastAsia="Times New Roman"/>
          <w:lang w:val="en-AU"/>
        </w:rPr>
        <w:t xml:space="preserve"> of transition into independent living. </w:t>
      </w:r>
      <w:r>
        <w:t xml:space="preserve">Secondary outcomes of interest were any measures that assessed impact and, in particular, any person-centered measure. </w:t>
      </w:r>
      <w:r w:rsidRPr="00CC6BBA">
        <w:rPr>
          <w:rFonts w:eastAsia="Times New Roman" w:cstheme="minorHAnsi"/>
          <w:lang w:val="en-GB"/>
        </w:rPr>
        <w:t>Most</w:t>
      </w:r>
      <w:r>
        <w:rPr>
          <w:rFonts w:eastAsia="Times New Roman" w:cstheme="minorHAnsi"/>
          <w:lang w:val="en-GB"/>
        </w:rPr>
        <w:t xml:space="preserve"> quantitative</w:t>
      </w:r>
      <w:r w:rsidRPr="00CC6BBA">
        <w:rPr>
          <w:rFonts w:eastAsia="Times New Roman" w:cstheme="minorHAnsi"/>
          <w:lang w:val="en-GB"/>
        </w:rPr>
        <w:t xml:space="preserve"> studies rel</w:t>
      </w:r>
      <w:r>
        <w:rPr>
          <w:rFonts w:eastAsia="Times New Roman" w:cstheme="minorHAnsi"/>
          <w:lang w:val="en-GB"/>
        </w:rPr>
        <w:t>ied</w:t>
      </w:r>
      <w:r w:rsidRPr="00CC6BBA">
        <w:rPr>
          <w:rFonts w:eastAsia="Times New Roman" w:cstheme="minorHAnsi"/>
          <w:lang w:val="en-GB"/>
        </w:rPr>
        <w:t xml:space="preserve"> on verbal self/informant reports with only two studies (McConkey, 2016, McConkey et al 2018) reporting use of a pictogram to assist self-report by people with severe intellectual disability.</w:t>
      </w:r>
      <w:r>
        <w:t xml:space="preserve"> Overall, evaluation of </w:t>
      </w:r>
      <w:r>
        <w:lastRenderedPageBreak/>
        <w:t>effectiveness and measurement of outcomes varied greatly. The main outcomes by thematic area are discussed below.</w:t>
      </w:r>
    </w:p>
    <w:p w14:paraId="5F682AF2" w14:textId="77777777" w:rsidR="0099696D" w:rsidRPr="0099696D" w:rsidRDefault="0099696D" w:rsidP="001C47D2"/>
    <w:p w14:paraId="68A2F5CF" w14:textId="1F2E21B7" w:rsidR="0047204F" w:rsidRDefault="000B5627" w:rsidP="0047204F">
      <w:pPr>
        <w:pStyle w:val="Heading2"/>
      </w:pPr>
      <w:bookmarkStart w:id="29" w:name="_Toc73535951"/>
      <w:r>
        <w:t>H</w:t>
      </w:r>
      <w:r w:rsidR="0047204F">
        <w:t>ousing transitions and models</w:t>
      </w:r>
      <w:bookmarkEnd w:id="29"/>
      <w:r w:rsidR="0047204F">
        <w:t xml:space="preserve"> </w:t>
      </w:r>
    </w:p>
    <w:p w14:paraId="3CBE4476" w14:textId="2073EEC4" w:rsidR="003D25C7" w:rsidRDefault="005375A9" w:rsidP="00194F71">
      <w:pPr>
        <w:spacing w:line="360" w:lineRule="auto"/>
        <w:rPr>
          <w:rFonts w:cstheme="minorHAnsi"/>
          <w:bCs/>
        </w:rPr>
      </w:pPr>
      <w:r>
        <w:rPr>
          <w:rFonts w:cstheme="minorHAnsi"/>
          <w:bCs/>
        </w:rPr>
        <w:t xml:space="preserve">This section describes the types of housing transitions and models identified in the systematic review. It reports the impact of the transition where this is reported. </w:t>
      </w:r>
      <w:r w:rsidR="0047204F">
        <w:rPr>
          <w:rFonts w:cstheme="minorHAnsi"/>
          <w:bCs/>
        </w:rPr>
        <w:t xml:space="preserve">Table </w:t>
      </w:r>
      <w:r w:rsidR="00BE673B">
        <w:rPr>
          <w:rFonts w:cstheme="minorHAnsi"/>
          <w:bCs/>
        </w:rPr>
        <w:t>1</w:t>
      </w:r>
      <w:r w:rsidR="0047204F" w:rsidRPr="00D75C89">
        <w:rPr>
          <w:rFonts w:cstheme="minorHAnsi"/>
          <w:bCs/>
        </w:rPr>
        <w:t xml:space="preserve"> </w:t>
      </w:r>
      <w:r w:rsidR="0047204F">
        <w:rPr>
          <w:rFonts w:cstheme="minorHAnsi"/>
          <w:bCs/>
        </w:rPr>
        <w:t xml:space="preserve">presents </w:t>
      </w:r>
      <w:r w:rsidR="0047204F" w:rsidRPr="00D75C89">
        <w:rPr>
          <w:rFonts w:cstheme="minorHAnsi"/>
          <w:bCs/>
        </w:rPr>
        <w:t xml:space="preserve">29 </w:t>
      </w:r>
      <w:r w:rsidR="00270A39">
        <w:rPr>
          <w:rFonts w:cstheme="minorHAnsi"/>
          <w:bCs/>
        </w:rPr>
        <w:t>studies</w:t>
      </w:r>
      <w:r w:rsidR="0047204F" w:rsidRPr="00D75C89">
        <w:rPr>
          <w:rFonts w:cstheme="minorHAnsi"/>
          <w:bCs/>
        </w:rPr>
        <w:t xml:space="preserve"> </w:t>
      </w:r>
      <w:r w:rsidR="0047204F">
        <w:rPr>
          <w:rFonts w:cstheme="minorHAnsi"/>
          <w:bCs/>
        </w:rPr>
        <w:t xml:space="preserve">reviewed </w:t>
      </w:r>
      <w:r w:rsidR="0047204F" w:rsidRPr="00D75C89">
        <w:rPr>
          <w:rFonts w:cstheme="minorHAnsi"/>
          <w:bCs/>
        </w:rPr>
        <w:t>relating to transition to different types of housing models.</w:t>
      </w:r>
      <w:r w:rsidR="001473ED">
        <w:rPr>
          <w:rFonts w:cstheme="minorHAnsi"/>
          <w:bCs/>
        </w:rPr>
        <w:t xml:space="preserve"> While the </w:t>
      </w:r>
      <w:r w:rsidR="0047204F" w:rsidRPr="00D75C89">
        <w:rPr>
          <w:rFonts w:cstheme="minorHAnsi"/>
          <w:bCs/>
        </w:rPr>
        <w:t xml:space="preserve">literature </w:t>
      </w:r>
      <w:r w:rsidR="001473ED">
        <w:rPr>
          <w:rFonts w:cstheme="minorHAnsi"/>
          <w:bCs/>
        </w:rPr>
        <w:t xml:space="preserve">has not clearly </w:t>
      </w:r>
      <w:r w:rsidR="0047204F" w:rsidRPr="00D75C89">
        <w:rPr>
          <w:rFonts w:cstheme="minorHAnsi"/>
          <w:bCs/>
        </w:rPr>
        <w:t>define</w:t>
      </w:r>
      <w:r w:rsidR="0074063D">
        <w:rPr>
          <w:rFonts w:cstheme="minorHAnsi"/>
          <w:bCs/>
        </w:rPr>
        <w:t>d</w:t>
      </w:r>
      <w:r w:rsidR="0047204F" w:rsidRPr="00D75C89">
        <w:rPr>
          <w:rFonts w:cstheme="minorHAnsi"/>
          <w:bCs/>
        </w:rPr>
        <w:t xml:space="preserve"> the types of de</w:t>
      </w:r>
      <w:r w:rsidR="0074063D">
        <w:rPr>
          <w:rFonts w:cstheme="minorHAnsi"/>
          <w:bCs/>
        </w:rPr>
        <w:t>-</w:t>
      </w:r>
      <w:r w:rsidR="0047204F" w:rsidRPr="00D75C89">
        <w:rPr>
          <w:rFonts w:cstheme="minorHAnsi"/>
          <w:bCs/>
        </w:rPr>
        <w:t>congregated housing models</w:t>
      </w:r>
      <w:r w:rsidR="00E7233A">
        <w:rPr>
          <w:rFonts w:cstheme="minorHAnsi"/>
          <w:bCs/>
        </w:rPr>
        <w:t>, of</w:t>
      </w:r>
      <w:r w:rsidR="0047204F" w:rsidRPr="003D25C7">
        <w:rPr>
          <w:rFonts w:cstheme="minorHAnsi"/>
          <w:bCs/>
        </w:rPr>
        <w:t xml:space="preserve"> </w:t>
      </w:r>
      <w:r w:rsidR="003D25C7">
        <w:rPr>
          <w:rFonts w:cstheme="minorHAnsi"/>
          <w:bCs/>
        </w:rPr>
        <w:t xml:space="preserve">the above, </w:t>
      </w:r>
      <w:r w:rsidR="0047204F" w:rsidRPr="003D25C7">
        <w:rPr>
          <w:rFonts w:cstheme="minorHAnsi"/>
          <w:bCs/>
        </w:rPr>
        <w:t xml:space="preserve">we identified </w:t>
      </w:r>
      <w:r w:rsidR="007831B9">
        <w:rPr>
          <w:rFonts w:cstheme="minorHAnsi"/>
          <w:bCs/>
        </w:rPr>
        <w:t xml:space="preserve">seven </w:t>
      </w:r>
      <w:r w:rsidR="0047204F" w:rsidRPr="003D25C7">
        <w:rPr>
          <w:rFonts w:cstheme="minorHAnsi"/>
          <w:bCs/>
        </w:rPr>
        <w:t xml:space="preserve">studies evaluating transition to group homes, </w:t>
      </w:r>
      <w:r w:rsidR="007831B9">
        <w:rPr>
          <w:rFonts w:cstheme="minorHAnsi"/>
          <w:bCs/>
        </w:rPr>
        <w:t>seven</w:t>
      </w:r>
      <w:r w:rsidR="0047204F" w:rsidRPr="003D25C7">
        <w:rPr>
          <w:rFonts w:cstheme="minorHAnsi"/>
          <w:bCs/>
        </w:rPr>
        <w:t xml:space="preserve"> broadly describing community housing, </w:t>
      </w:r>
      <w:r w:rsidR="007831B9">
        <w:rPr>
          <w:rFonts w:cstheme="minorHAnsi"/>
          <w:bCs/>
        </w:rPr>
        <w:t>five</w:t>
      </w:r>
      <w:r w:rsidR="0047204F" w:rsidRPr="003D25C7">
        <w:rPr>
          <w:rFonts w:cstheme="minorHAnsi"/>
          <w:bCs/>
        </w:rPr>
        <w:t xml:space="preserve"> studies examining personali</w:t>
      </w:r>
      <w:r w:rsidR="000B5627">
        <w:rPr>
          <w:rFonts w:cstheme="minorHAnsi"/>
          <w:bCs/>
        </w:rPr>
        <w:t>s</w:t>
      </w:r>
      <w:r w:rsidR="0047204F" w:rsidRPr="003D25C7">
        <w:rPr>
          <w:rFonts w:cstheme="minorHAnsi"/>
          <w:bCs/>
        </w:rPr>
        <w:t xml:space="preserve">ed living, </w:t>
      </w:r>
      <w:r w:rsidR="007831B9">
        <w:rPr>
          <w:rFonts w:cstheme="minorHAnsi"/>
          <w:bCs/>
        </w:rPr>
        <w:t>four</w:t>
      </w:r>
      <w:r w:rsidR="0047204F" w:rsidRPr="003D25C7">
        <w:rPr>
          <w:rFonts w:cstheme="minorHAnsi"/>
          <w:bCs/>
        </w:rPr>
        <w:t xml:space="preserve"> evaluating dispersed housing, </w:t>
      </w:r>
      <w:r w:rsidR="007831B9">
        <w:rPr>
          <w:rFonts w:cstheme="minorHAnsi"/>
          <w:bCs/>
        </w:rPr>
        <w:t>two</w:t>
      </w:r>
      <w:r w:rsidR="0047204F" w:rsidRPr="003D25C7">
        <w:rPr>
          <w:rFonts w:cstheme="minorHAnsi"/>
          <w:bCs/>
        </w:rPr>
        <w:t xml:space="preserve"> that described transition within an institution, and one each that focused on cluster, home pooling, home ownership, and a stepping</w:t>
      </w:r>
      <w:r w:rsidR="00B3202B">
        <w:rPr>
          <w:rFonts w:cstheme="minorHAnsi"/>
          <w:bCs/>
        </w:rPr>
        <w:t>-</w:t>
      </w:r>
      <w:r w:rsidR="0047204F" w:rsidRPr="003D25C7">
        <w:rPr>
          <w:rFonts w:cstheme="minorHAnsi"/>
          <w:bCs/>
        </w:rPr>
        <w:t>stone transition housing model. One</w:t>
      </w:r>
      <w:r w:rsidR="006227A3">
        <w:rPr>
          <w:rFonts w:cstheme="minorHAnsi"/>
          <w:bCs/>
        </w:rPr>
        <w:t xml:space="preserve"> study </w:t>
      </w:r>
      <w:r w:rsidR="009E6D13">
        <w:rPr>
          <w:rFonts w:cstheme="minorHAnsi"/>
          <w:bCs/>
        </w:rPr>
        <w:t>did not clearly align with the categories but</w:t>
      </w:r>
      <w:r w:rsidR="000A5D18">
        <w:rPr>
          <w:rFonts w:cstheme="minorHAnsi"/>
          <w:bCs/>
        </w:rPr>
        <w:t xml:space="preserve"> was placed under community.</w:t>
      </w:r>
      <w:r w:rsidR="0047204F" w:rsidRPr="003D25C7">
        <w:rPr>
          <w:rFonts w:cstheme="minorHAnsi"/>
          <w:bCs/>
        </w:rPr>
        <w:t xml:space="preserve"> </w:t>
      </w:r>
    </w:p>
    <w:p w14:paraId="0702FCD6" w14:textId="718D9450" w:rsidR="00575C99" w:rsidRDefault="0047204F" w:rsidP="00194F71">
      <w:pPr>
        <w:spacing w:line="360" w:lineRule="auto"/>
        <w:rPr>
          <w:rFonts w:cstheme="minorHAnsi"/>
          <w:bCs/>
        </w:rPr>
      </w:pPr>
      <w:r w:rsidRPr="003D25C7">
        <w:rPr>
          <w:rFonts w:cstheme="minorHAnsi"/>
          <w:bCs/>
        </w:rPr>
        <w:t xml:space="preserve">Of the </w:t>
      </w:r>
      <w:r w:rsidR="007831B9">
        <w:rPr>
          <w:rFonts w:cstheme="minorHAnsi"/>
          <w:bCs/>
        </w:rPr>
        <w:t>seven</w:t>
      </w:r>
      <w:r w:rsidRPr="003D25C7">
        <w:rPr>
          <w:rFonts w:cstheme="minorHAnsi"/>
          <w:bCs/>
        </w:rPr>
        <w:t xml:space="preserve"> studies examining broad community housing transition, four were longitudinal </w:t>
      </w:r>
      <w:r w:rsidR="003D25C7" w:rsidRPr="003D25C7">
        <w:rPr>
          <w:rFonts w:cstheme="minorHAnsi"/>
          <w:bCs/>
        </w:rPr>
        <w:t>(Bigby, 2008; Chou et al, 2011; Meehan et al, 2011; Sines, 2012)</w:t>
      </w:r>
      <w:r w:rsidRPr="003D25C7">
        <w:rPr>
          <w:rFonts w:cstheme="minorHAnsi"/>
          <w:bCs/>
        </w:rPr>
        <w:t xml:space="preserve">, three were cross-sectional </w:t>
      </w:r>
      <w:r w:rsidR="003D25C7" w:rsidRPr="003D25C7">
        <w:rPr>
          <w:rFonts w:cstheme="minorHAnsi"/>
          <w:bCs/>
        </w:rPr>
        <w:t xml:space="preserve">(Bigby et al, 2018; Fahey et al, 2010; Winkler et al, 2015) </w:t>
      </w:r>
      <w:r w:rsidRPr="003D25C7">
        <w:rPr>
          <w:rFonts w:cstheme="minorHAnsi"/>
          <w:bCs/>
        </w:rPr>
        <w:t>and none were randomi</w:t>
      </w:r>
      <w:r w:rsidR="007831B9">
        <w:rPr>
          <w:rFonts w:cstheme="minorHAnsi"/>
          <w:bCs/>
        </w:rPr>
        <w:t>se</w:t>
      </w:r>
      <w:r w:rsidRPr="003D25C7">
        <w:rPr>
          <w:rFonts w:cstheme="minorHAnsi"/>
          <w:bCs/>
        </w:rPr>
        <w:t xml:space="preserve">d controlled trials. Studies </w:t>
      </w:r>
      <w:r w:rsidR="007831B9">
        <w:rPr>
          <w:rFonts w:cstheme="minorHAnsi"/>
          <w:bCs/>
        </w:rPr>
        <w:t>reported</w:t>
      </w:r>
      <w:r w:rsidRPr="003D25C7">
        <w:rPr>
          <w:rFonts w:cstheme="minorHAnsi"/>
          <w:bCs/>
        </w:rPr>
        <w:t xml:space="preserve"> improved choice and quality of life </w:t>
      </w:r>
      <w:r w:rsidR="007831B9">
        <w:rPr>
          <w:rFonts w:cstheme="minorHAnsi"/>
          <w:bCs/>
        </w:rPr>
        <w:t>with</w:t>
      </w:r>
      <w:r w:rsidR="007831B9" w:rsidRPr="003D25C7">
        <w:rPr>
          <w:rFonts w:cstheme="minorHAnsi"/>
          <w:bCs/>
        </w:rPr>
        <w:t xml:space="preserve"> community</w:t>
      </w:r>
      <w:r w:rsidRPr="003D25C7">
        <w:rPr>
          <w:rFonts w:cstheme="minorHAnsi"/>
          <w:bCs/>
        </w:rPr>
        <w:t xml:space="preserve"> housing transition. Studies also </w:t>
      </w:r>
      <w:r w:rsidR="007831B9">
        <w:rPr>
          <w:rFonts w:cstheme="minorHAnsi"/>
          <w:bCs/>
        </w:rPr>
        <w:t>reported</w:t>
      </w:r>
      <w:r w:rsidR="007831B9" w:rsidRPr="003D25C7">
        <w:rPr>
          <w:rFonts w:cstheme="minorHAnsi"/>
          <w:bCs/>
        </w:rPr>
        <w:t xml:space="preserve"> </w:t>
      </w:r>
      <w:r w:rsidRPr="003D25C7">
        <w:rPr>
          <w:rFonts w:cstheme="minorHAnsi"/>
          <w:bCs/>
        </w:rPr>
        <w:t xml:space="preserve">reduced support costs for </w:t>
      </w:r>
      <w:r w:rsidR="003D25C7">
        <w:rPr>
          <w:rFonts w:cstheme="minorHAnsi"/>
          <w:bCs/>
        </w:rPr>
        <w:t>individuals</w:t>
      </w:r>
      <w:r w:rsidRPr="003D25C7">
        <w:rPr>
          <w:rFonts w:cstheme="minorHAnsi"/>
          <w:bCs/>
        </w:rPr>
        <w:t xml:space="preserve"> over time when in community housing and reduced costs overall when compared to a group housing model. There was little evidence </w:t>
      </w:r>
      <w:r w:rsidR="006714A1">
        <w:rPr>
          <w:rFonts w:cstheme="minorHAnsi"/>
          <w:bCs/>
        </w:rPr>
        <w:t>for</w:t>
      </w:r>
      <w:r w:rsidR="006714A1" w:rsidRPr="003D25C7">
        <w:rPr>
          <w:rFonts w:cstheme="minorHAnsi"/>
          <w:bCs/>
        </w:rPr>
        <w:t xml:space="preserve"> </w:t>
      </w:r>
      <w:r w:rsidRPr="003D25C7">
        <w:rPr>
          <w:rFonts w:cstheme="minorHAnsi"/>
          <w:bCs/>
        </w:rPr>
        <w:t>improved social networks from community housing, with three studies suggesting there were no improvements in social networks either over time or in comparison to group home networks</w:t>
      </w:r>
      <w:r w:rsidR="003D25C7">
        <w:rPr>
          <w:rFonts w:cstheme="minorHAnsi"/>
          <w:bCs/>
        </w:rPr>
        <w:t xml:space="preserve"> (</w:t>
      </w:r>
      <w:r w:rsidR="00575C99">
        <w:rPr>
          <w:rFonts w:cstheme="minorHAnsi"/>
          <w:bCs/>
        </w:rPr>
        <w:t>Bigby, 2008</w:t>
      </w:r>
      <w:r w:rsidR="00C97993">
        <w:rPr>
          <w:rFonts w:cstheme="minorHAnsi"/>
          <w:bCs/>
        </w:rPr>
        <w:t>,</w:t>
      </w:r>
      <w:r w:rsidR="00575C99">
        <w:rPr>
          <w:rFonts w:cstheme="minorHAnsi"/>
          <w:bCs/>
        </w:rPr>
        <w:t xml:space="preserve"> Bigby, 2018</w:t>
      </w:r>
      <w:r w:rsidR="00C97993">
        <w:rPr>
          <w:rFonts w:cstheme="minorHAnsi"/>
          <w:bCs/>
        </w:rPr>
        <w:t>,</w:t>
      </w:r>
      <w:r w:rsidR="00575C99">
        <w:rPr>
          <w:rFonts w:cstheme="minorHAnsi"/>
          <w:bCs/>
        </w:rPr>
        <w:t xml:space="preserve"> </w:t>
      </w:r>
      <w:r w:rsidR="003D25C7">
        <w:rPr>
          <w:rFonts w:cstheme="minorHAnsi"/>
          <w:bCs/>
        </w:rPr>
        <w:t>Fahey et al, 2010</w:t>
      </w:r>
      <w:r w:rsidR="00E139BF">
        <w:rPr>
          <w:rFonts w:cstheme="minorHAnsi"/>
          <w:bCs/>
        </w:rPr>
        <w:t>)</w:t>
      </w:r>
      <w:r w:rsidRPr="003D25C7">
        <w:rPr>
          <w:rFonts w:cstheme="minorHAnsi"/>
          <w:bCs/>
        </w:rPr>
        <w:t>. Interestingly, one study showed nearly half of the participants in the community program returned to either their institution or family home due to inadequate supports and resources</w:t>
      </w:r>
      <w:r w:rsidR="003D25C7">
        <w:rPr>
          <w:rFonts w:cstheme="minorHAnsi"/>
          <w:bCs/>
        </w:rPr>
        <w:t xml:space="preserve"> (Chou, 2011)</w:t>
      </w:r>
      <w:r w:rsidRPr="003D25C7">
        <w:rPr>
          <w:rFonts w:cstheme="minorHAnsi"/>
          <w:bCs/>
        </w:rPr>
        <w:t xml:space="preserve">. </w:t>
      </w:r>
    </w:p>
    <w:p w14:paraId="392EC04D" w14:textId="67C3B7B5" w:rsidR="004F7A29" w:rsidRDefault="0047204F" w:rsidP="00194F71">
      <w:pPr>
        <w:spacing w:line="360" w:lineRule="auto"/>
        <w:rPr>
          <w:rFonts w:cstheme="minorHAnsi"/>
          <w:bCs/>
        </w:rPr>
      </w:pPr>
      <w:r w:rsidRPr="003D25C7">
        <w:rPr>
          <w:rFonts w:cstheme="minorHAnsi"/>
          <w:bCs/>
        </w:rPr>
        <w:t>In relation to personali</w:t>
      </w:r>
      <w:r w:rsidR="006714A1">
        <w:rPr>
          <w:rFonts w:cstheme="minorHAnsi"/>
          <w:bCs/>
        </w:rPr>
        <w:t>s</w:t>
      </w:r>
      <w:r w:rsidRPr="003D25C7">
        <w:rPr>
          <w:rFonts w:cstheme="minorHAnsi"/>
          <w:bCs/>
        </w:rPr>
        <w:t xml:space="preserve">ed housing, of the </w:t>
      </w:r>
      <w:r w:rsidR="006714A1">
        <w:rPr>
          <w:rFonts w:cstheme="minorHAnsi"/>
          <w:bCs/>
        </w:rPr>
        <w:t>five</w:t>
      </w:r>
      <w:r w:rsidRPr="003D25C7">
        <w:rPr>
          <w:rFonts w:cstheme="minorHAnsi"/>
          <w:bCs/>
        </w:rPr>
        <w:t xml:space="preserve"> </w:t>
      </w:r>
      <w:r w:rsidR="00575C99">
        <w:rPr>
          <w:rFonts w:cstheme="minorHAnsi"/>
          <w:bCs/>
        </w:rPr>
        <w:t>quantitative</w:t>
      </w:r>
      <w:r w:rsidRPr="003D25C7">
        <w:rPr>
          <w:rFonts w:cstheme="minorHAnsi"/>
          <w:bCs/>
        </w:rPr>
        <w:t xml:space="preserve"> studies, </w:t>
      </w:r>
      <w:r w:rsidR="006714A1">
        <w:rPr>
          <w:rFonts w:cstheme="minorHAnsi"/>
          <w:bCs/>
        </w:rPr>
        <w:t>two</w:t>
      </w:r>
      <w:r w:rsidRPr="003D25C7">
        <w:rPr>
          <w:rFonts w:cstheme="minorHAnsi"/>
          <w:bCs/>
        </w:rPr>
        <w:t xml:space="preserve"> were </w:t>
      </w:r>
      <w:r w:rsidR="00575C99">
        <w:rPr>
          <w:rFonts w:cstheme="minorHAnsi"/>
          <w:bCs/>
        </w:rPr>
        <w:t>longitudinal studies</w:t>
      </w:r>
      <w:r w:rsidR="004F7A29">
        <w:rPr>
          <w:rFonts w:cstheme="minorHAnsi"/>
          <w:bCs/>
        </w:rPr>
        <w:t xml:space="preserve"> </w:t>
      </w:r>
      <w:r w:rsidR="00575C99">
        <w:rPr>
          <w:rFonts w:cstheme="minorHAnsi"/>
          <w:bCs/>
        </w:rPr>
        <w:t>(McConkey, 2016; McConkey et al, 2018)</w:t>
      </w:r>
      <w:r w:rsidRPr="003D25C7">
        <w:rPr>
          <w:rFonts w:cstheme="minorHAnsi"/>
          <w:bCs/>
        </w:rPr>
        <w:t xml:space="preserve"> comparing personali</w:t>
      </w:r>
      <w:r w:rsidR="006714A1">
        <w:rPr>
          <w:rFonts w:cstheme="minorHAnsi"/>
          <w:bCs/>
        </w:rPr>
        <w:t>s</w:t>
      </w:r>
      <w:r w:rsidRPr="003D25C7">
        <w:rPr>
          <w:rFonts w:cstheme="minorHAnsi"/>
          <w:bCs/>
        </w:rPr>
        <w:t>ed living with group</w:t>
      </w:r>
      <w:r w:rsidR="00E139BF">
        <w:rPr>
          <w:rFonts w:cstheme="minorHAnsi"/>
          <w:bCs/>
        </w:rPr>
        <w:t>-</w:t>
      </w:r>
      <w:r w:rsidRPr="003D25C7">
        <w:rPr>
          <w:rFonts w:cstheme="minorHAnsi"/>
          <w:bCs/>
        </w:rPr>
        <w:t xml:space="preserve">based housing options. These studies </w:t>
      </w:r>
      <w:r w:rsidR="006714A1">
        <w:rPr>
          <w:rFonts w:cstheme="minorHAnsi"/>
          <w:bCs/>
        </w:rPr>
        <w:t>reported</w:t>
      </w:r>
      <w:r w:rsidR="006714A1" w:rsidRPr="003D25C7">
        <w:rPr>
          <w:rFonts w:cstheme="minorHAnsi"/>
          <w:bCs/>
        </w:rPr>
        <w:t xml:space="preserve"> </w:t>
      </w:r>
      <w:r w:rsidRPr="003D25C7">
        <w:rPr>
          <w:rFonts w:cstheme="minorHAnsi"/>
          <w:bCs/>
        </w:rPr>
        <w:t>that personali</w:t>
      </w:r>
      <w:r w:rsidR="006714A1">
        <w:rPr>
          <w:rFonts w:cstheme="minorHAnsi"/>
          <w:bCs/>
        </w:rPr>
        <w:t>s</w:t>
      </w:r>
      <w:r w:rsidRPr="003D25C7">
        <w:rPr>
          <w:rFonts w:cstheme="minorHAnsi"/>
          <w:bCs/>
        </w:rPr>
        <w:t xml:space="preserve">ed housing approaches </w:t>
      </w:r>
      <w:r w:rsidR="006227A3">
        <w:rPr>
          <w:rFonts w:cstheme="minorHAnsi"/>
          <w:bCs/>
        </w:rPr>
        <w:t xml:space="preserve">improved </w:t>
      </w:r>
      <w:r w:rsidRPr="003D25C7">
        <w:rPr>
          <w:rFonts w:cstheme="minorHAnsi"/>
          <w:bCs/>
        </w:rPr>
        <w:t xml:space="preserve">well-being, community engagement, daily activity, choice and control, and higher visitation rates. Some of these comparisons were only significant against institutional care as opposed to group home care. One of these studies </w:t>
      </w:r>
      <w:r w:rsidR="004F7A29">
        <w:rPr>
          <w:rFonts w:cstheme="minorHAnsi"/>
          <w:bCs/>
        </w:rPr>
        <w:t xml:space="preserve">(McConkey, 2016) </w:t>
      </w:r>
      <w:r w:rsidR="006714A1">
        <w:rPr>
          <w:rFonts w:cstheme="minorHAnsi"/>
          <w:bCs/>
        </w:rPr>
        <w:t>reported</w:t>
      </w:r>
      <w:r w:rsidR="006714A1" w:rsidRPr="003D25C7">
        <w:rPr>
          <w:rFonts w:cstheme="minorHAnsi"/>
          <w:bCs/>
        </w:rPr>
        <w:t xml:space="preserve"> </w:t>
      </w:r>
      <w:r w:rsidRPr="003D25C7">
        <w:rPr>
          <w:rFonts w:cstheme="minorHAnsi"/>
          <w:bCs/>
        </w:rPr>
        <w:t>lower costs for personali</w:t>
      </w:r>
      <w:r w:rsidR="006714A1">
        <w:rPr>
          <w:rFonts w:cstheme="minorHAnsi"/>
          <w:bCs/>
        </w:rPr>
        <w:t>s</w:t>
      </w:r>
      <w:r w:rsidRPr="003D25C7">
        <w:rPr>
          <w:rFonts w:cstheme="minorHAnsi"/>
          <w:bCs/>
        </w:rPr>
        <w:t xml:space="preserve">ed living </w:t>
      </w:r>
      <w:r w:rsidR="00E139BF">
        <w:rPr>
          <w:rFonts w:cstheme="minorHAnsi"/>
          <w:bCs/>
        </w:rPr>
        <w:t>versus</w:t>
      </w:r>
      <w:r w:rsidR="00E139BF" w:rsidRPr="003D25C7">
        <w:rPr>
          <w:rFonts w:cstheme="minorHAnsi"/>
          <w:bCs/>
        </w:rPr>
        <w:t xml:space="preserve"> </w:t>
      </w:r>
      <w:r w:rsidRPr="003D25C7">
        <w:rPr>
          <w:rFonts w:cstheme="minorHAnsi"/>
          <w:bCs/>
        </w:rPr>
        <w:t xml:space="preserve">group and institutional care.  </w:t>
      </w:r>
    </w:p>
    <w:p w14:paraId="3D1665C2" w14:textId="51E0434B" w:rsidR="0047204F" w:rsidRDefault="0047204F" w:rsidP="00194F71">
      <w:pPr>
        <w:spacing w:line="360" w:lineRule="auto"/>
        <w:rPr>
          <w:rFonts w:cstheme="minorHAnsi"/>
          <w:bCs/>
        </w:rPr>
      </w:pPr>
      <w:r w:rsidRPr="003D25C7">
        <w:rPr>
          <w:rFonts w:cstheme="minorHAnsi"/>
          <w:bCs/>
        </w:rPr>
        <w:t xml:space="preserve">For dispersed housing, two studies examined cost. One study </w:t>
      </w:r>
      <w:r w:rsidR="004F7A29">
        <w:rPr>
          <w:rFonts w:cstheme="minorHAnsi"/>
          <w:bCs/>
        </w:rPr>
        <w:t xml:space="preserve">(Emerson, 2001) </w:t>
      </w:r>
      <w:r w:rsidRPr="003D25C7">
        <w:rPr>
          <w:rFonts w:cstheme="minorHAnsi"/>
          <w:bCs/>
        </w:rPr>
        <w:t xml:space="preserve">showed greater costs in comparison to residential </w:t>
      </w:r>
      <w:r w:rsidR="004F7A29">
        <w:rPr>
          <w:rFonts w:cstheme="minorHAnsi"/>
          <w:bCs/>
        </w:rPr>
        <w:t>campuses</w:t>
      </w:r>
      <w:r w:rsidRPr="003D25C7">
        <w:rPr>
          <w:rFonts w:cstheme="minorHAnsi"/>
          <w:bCs/>
        </w:rPr>
        <w:t xml:space="preserve">, while the other study showed reduced cost in comparison to </w:t>
      </w:r>
      <w:r w:rsidR="004F7A29">
        <w:rPr>
          <w:rFonts w:cstheme="minorHAnsi"/>
          <w:bCs/>
        </w:rPr>
        <w:t>community living (Hallam et al, 2002)</w:t>
      </w:r>
      <w:r w:rsidRPr="003D25C7">
        <w:rPr>
          <w:rFonts w:cstheme="minorHAnsi"/>
          <w:bCs/>
        </w:rPr>
        <w:t xml:space="preserve">. One longitudinal study showed improved quality of life after six months of living in dispersed housing </w:t>
      </w:r>
      <w:r w:rsidR="004F7A29">
        <w:rPr>
          <w:rFonts w:cstheme="minorHAnsi"/>
          <w:bCs/>
        </w:rPr>
        <w:t xml:space="preserve">(Bhaumik et al, 2011) </w:t>
      </w:r>
      <w:r w:rsidRPr="003D25C7">
        <w:rPr>
          <w:rFonts w:cstheme="minorHAnsi"/>
          <w:bCs/>
        </w:rPr>
        <w:t xml:space="preserve">while a second suggested reduced </w:t>
      </w:r>
      <w:r w:rsidRPr="003D25C7">
        <w:rPr>
          <w:rFonts w:cstheme="minorHAnsi"/>
          <w:bCs/>
        </w:rPr>
        <w:lastRenderedPageBreak/>
        <w:t>aggression after six months</w:t>
      </w:r>
      <w:r w:rsidR="004F7A29">
        <w:rPr>
          <w:rFonts w:cstheme="minorHAnsi"/>
          <w:bCs/>
        </w:rPr>
        <w:t xml:space="preserve"> (Bhaumik et al, 2009)</w:t>
      </w:r>
      <w:r w:rsidRPr="003D25C7">
        <w:rPr>
          <w:rFonts w:cstheme="minorHAnsi"/>
          <w:bCs/>
        </w:rPr>
        <w:t xml:space="preserve">. There was, however, very limited evaluation of the psychosocial impact of transition to dispersed and cluster housing. </w:t>
      </w:r>
    </w:p>
    <w:p w14:paraId="59D39295" w14:textId="1E67DB55" w:rsidR="006227A3" w:rsidRPr="00D75C89" w:rsidRDefault="0047204F" w:rsidP="00194F71">
      <w:pPr>
        <w:spacing w:line="360" w:lineRule="auto"/>
        <w:rPr>
          <w:rFonts w:cstheme="minorHAnsi"/>
          <w:bCs/>
        </w:rPr>
      </w:pPr>
      <w:r>
        <w:rPr>
          <w:rFonts w:cstheme="minorHAnsi"/>
          <w:bCs/>
        </w:rPr>
        <w:t xml:space="preserve">In addition to the specific models </w:t>
      </w:r>
      <w:r w:rsidRPr="00E802E8">
        <w:rPr>
          <w:rFonts w:cstheme="minorHAnsi"/>
          <w:bCs/>
        </w:rPr>
        <w:t xml:space="preserve">presented in table </w:t>
      </w:r>
      <w:r w:rsidR="00170A0F">
        <w:rPr>
          <w:rFonts w:cstheme="minorHAnsi"/>
          <w:bCs/>
        </w:rPr>
        <w:t>1</w:t>
      </w:r>
      <w:r w:rsidRPr="00E802E8">
        <w:rPr>
          <w:rFonts w:cstheme="minorHAnsi"/>
          <w:bCs/>
        </w:rPr>
        <w:t>,</w:t>
      </w:r>
      <w:r w:rsidRPr="00D75C89">
        <w:rPr>
          <w:rFonts w:cstheme="minorHAnsi"/>
        </w:rPr>
        <w:t xml:space="preserve"> housing models which were mentioned </w:t>
      </w:r>
      <w:r w:rsidR="005375A9">
        <w:rPr>
          <w:rFonts w:cstheme="minorHAnsi"/>
        </w:rPr>
        <w:t xml:space="preserve">in the included literature but not well described or evaluated </w:t>
      </w:r>
      <w:r w:rsidRPr="00D75C89">
        <w:rPr>
          <w:rFonts w:cstheme="minorHAnsi"/>
        </w:rPr>
        <w:t xml:space="preserve">are: co-residency (Fisher, et al, 2008; Cocks et al, 2016; Parmenter and Arnold, 2008) where a person shares a home with someone without a disability who provides support in lieu of or at discounted rent (an example is Lower Great Southern Community Residence in WA),  and host family/in-home/sharing with carer is where a person with disability lives with a family (not their own family) and the family receives some payment or other tax benefit. An example is MyPlace (WA).  Fisher et al (2008) mentions programs that operate under a tenant managed cooperative. </w:t>
      </w:r>
      <w:r w:rsidR="006227A3">
        <w:rPr>
          <w:rFonts w:cstheme="minorHAnsi"/>
        </w:rPr>
        <w:t>Further evaluation of these</w:t>
      </w:r>
      <w:r w:rsidRPr="00D75C89">
        <w:rPr>
          <w:rFonts w:cstheme="minorHAnsi"/>
        </w:rPr>
        <w:t xml:space="preserve"> different models </w:t>
      </w:r>
      <w:r w:rsidR="006227A3">
        <w:rPr>
          <w:rFonts w:cstheme="minorHAnsi"/>
        </w:rPr>
        <w:t xml:space="preserve">is required. </w:t>
      </w:r>
      <w:r w:rsidRPr="00D75C89">
        <w:rPr>
          <w:rFonts w:cstheme="minorHAnsi"/>
        </w:rPr>
        <w:t xml:space="preserve"> </w:t>
      </w:r>
    </w:p>
    <w:p w14:paraId="09D5DCE1" w14:textId="71CAA326" w:rsidR="0047204F" w:rsidRDefault="0047204F" w:rsidP="00194F71">
      <w:pPr>
        <w:spacing w:after="160" w:line="360" w:lineRule="auto"/>
        <w:rPr>
          <w:rFonts w:cstheme="minorHAnsi"/>
          <w:lang w:val="en-GB"/>
        </w:rPr>
      </w:pPr>
      <w:r w:rsidRPr="00D75C89">
        <w:rPr>
          <w:rFonts w:cstheme="minorHAnsi"/>
        </w:rPr>
        <w:t>The qualitative literature describes the housing model</w:t>
      </w:r>
      <w:r w:rsidR="005375A9">
        <w:rPr>
          <w:rFonts w:cstheme="minorHAnsi"/>
        </w:rPr>
        <w:t>s</w:t>
      </w:r>
      <w:r w:rsidRPr="00D75C89">
        <w:rPr>
          <w:rFonts w:cstheme="minorHAnsi"/>
        </w:rPr>
        <w:t xml:space="preserve"> in vague terms, usually describing transition as a move from an institutional or congregated setting to the community. However, the new setting was infrequently defined and usually described in terms of community supported living or independent living. </w:t>
      </w:r>
      <w:r w:rsidRPr="00D75C89">
        <w:rPr>
          <w:rFonts w:eastAsia="Times New Roman" w:cstheme="minorHAnsi"/>
          <w:lang w:val="en-AU"/>
        </w:rPr>
        <w:t xml:space="preserve">The housing models/transitions were categorised as community supported living (n= 21), deinstitutionalisation (n=2), forensic to community (n=2), independent living (n=8), and locked ward to community (n=2). </w:t>
      </w:r>
      <w:r w:rsidRPr="00D75C89">
        <w:rPr>
          <w:rFonts w:cstheme="minorHAnsi"/>
        </w:rPr>
        <w:t xml:space="preserve">There was little description of the new housing setting. As such, qualitative papers have been included where the description of the housing model is specific. </w:t>
      </w:r>
      <w:r w:rsidRPr="00D75C89">
        <w:rPr>
          <w:rFonts w:cstheme="minorHAnsi"/>
          <w:lang w:val="en-GB"/>
        </w:rPr>
        <w:t>There was no specific focus in any of the studies on preventing movement to congregated living, but there were data available on barriers and enablers to successful transition</w:t>
      </w:r>
      <w:r w:rsidR="0052594B">
        <w:rPr>
          <w:rFonts w:cstheme="minorHAnsi"/>
          <w:lang w:val="en-GB"/>
        </w:rPr>
        <w:t xml:space="preserve"> to independent settings</w:t>
      </w:r>
      <w:r w:rsidR="000C0037">
        <w:rPr>
          <w:rFonts w:cstheme="minorHAnsi"/>
          <w:lang w:val="en-GB"/>
        </w:rPr>
        <w:t xml:space="preserve"> which </w:t>
      </w:r>
      <w:r w:rsidR="0052594B">
        <w:rPr>
          <w:rFonts w:cstheme="minorHAnsi"/>
          <w:lang w:val="en-GB"/>
        </w:rPr>
        <w:t>is presented below</w:t>
      </w:r>
      <w:r w:rsidRPr="00D75C89">
        <w:rPr>
          <w:rFonts w:cstheme="minorHAnsi"/>
          <w:lang w:val="en-GB"/>
        </w:rPr>
        <w:t xml:space="preserve">. </w:t>
      </w:r>
    </w:p>
    <w:p w14:paraId="05E1E198" w14:textId="45983034" w:rsidR="00641D90" w:rsidRDefault="00641D90" w:rsidP="00194F71">
      <w:pPr>
        <w:spacing w:after="160" w:line="360" w:lineRule="auto"/>
        <w:rPr>
          <w:rFonts w:cstheme="minorHAnsi"/>
          <w:lang w:val="en-GB"/>
        </w:rPr>
      </w:pPr>
    </w:p>
    <w:p w14:paraId="7A7E0644" w14:textId="77777777" w:rsidR="00641D90" w:rsidRPr="00D75C89" w:rsidRDefault="00641D90" w:rsidP="00194F71">
      <w:pPr>
        <w:spacing w:after="160" w:line="360" w:lineRule="auto"/>
        <w:rPr>
          <w:rFonts w:cstheme="minorHAnsi"/>
        </w:rPr>
      </w:pPr>
    </w:p>
    <w:p w14:paraId="33DBA2DA" w14:textId="726AE1E7" w:rsidR="00B069D1" w:rsidRDefault="00B069D1" w:rsidP="00194A01">
      <w:pPr>
        <w:rPr>
          <w:rFonts w:cstheme="minorHAnsi"/>
        </w:rPr>
        <w:sectPr w:rsidR="00B069D1" w:rsidSect="001C67E7">
          <w:footerReference w:type="default" r:id="rId17"/>
          <w:pgSz w:w="12240" w:h="15840"/>
          <w:pgMar w:top="1440" w:right="1440" w:bottom="1440" w:left="1440" w:header="720" w:footer="720" w:gutter="0"/>
          <w:cols w:space="720"/>
          <w:docGrid w:linePitch="360"/>
        </w:sectPr>
      </w:pPr>
    </w:p>
    <w:p w14:paraId="225A05ED" w14:textId="6D3F8396" w:rsidR="0047204F" w:rsidRPr="0018763D" w:rsidRDefault="00194A01" w:rsidP="00194A01">
      <w:pPr>
        <w:pStyle w:val="Caption"/>
        <w:rPr>
          <w:rFonts w:cstheme="minorHAnsi"/>
          <w:b/>
          <w:bCs/>
        </w:rPr>
      </w:pPr>
      <w:bookmarkStart w:id="30" w:name="_Toc66355180"/>
      <w:r>
        <w:lastRenderedPageBreak/>
        <w:t xml:space="preserve">Table </w:t>
      </w:r>
      <w:r>
        <w:fldChar w:fldCharType="begin"/>
      </w:r>
      <w:r>
        <w:instrText>SEQ Table \* ARABIC</w:instrText>
      </w:r>
      <w:r>
        <w:fldChar w:fldCharType="separate"/>
      </w:r>
      <w:r w:rsidR="000E7FFE">
        <w:rPr>
          <w:noProof/>
        </w:rPr>
        <w:t>1</w:t>
      </w:r>
      <w:r>
        <w:fldChar w:fldCharType="end"/>
      </w:r>
      <w:r w:rsidR="00E802E8" w:rsidRPr="0018763D">
        <w:rPr>
          <w:rFonts w:cstheme="minorHAnsi"/>
          <w:b/>
          <w:bCs/>
        </w:rPr>
        <w:t xml:space="preserve"> Type of housing models</w:t>
      </w:r>
      <w:bookmarkEnd w:id="30"/>
      <w:r w:rsidR="00E802E8" w:rsidRPr="0018763D">
        <w:rPr>
          <w:rFonts w:cstheme="minorHAnsi"/>
          <w:b/>
          <w:bCs/>
        </w:rPr>
        <w:t xml:space="preserve"> </w:t>
      </w:r>
    </w:p>
    <w:tbl>
      <w:tblPr>
        <w:tblStyle w:val="TableGrid"/>
        <w:tblW w:w="5000" w:type="pct"/>
        <w:tblLook w:val="04A0" w:firstRow="1" w:lastRow="0" w:firstColumn="1" w:lastColumn="0" w:noHBand="0" w:noVBand="1"/>
      </w:tblPr>
      <w:tblGrid>
        <w:gridCol w:w="1962"/>
        <w:gridCol w:w="1430"/>
        <w:gridCol w:w="1137"/>
        <w:gridCol w:w="1925"/>
        <w:gridCol w:w="1570"/>
        <w:gridCol w:w="2077"/>
        <w:gridCol w:w="2849"/>
      </w:tblGrid>
      <w:tr w:rsidR="0047204F" w:rsidRPr="00B069D1" w14:paraId="5E5C4935" w14:textId="77777777" w:rsidTr="00EF01DE">
        <w:trPr>
          <w:tblHeader/>
        </w:trPr>
        <w:tc>
          <w:tcPr>
            <w:tcW w:w="758" w:type="pct"/>
            <w:shd w:val="clear" w:color="auto" w:fill="FFFF00"/>
          </w:tcPr>
          <w:p w14:paraId="72A21B27" w14:textId="77777777" w:rsidR="0047204F" w:rsidRPr="009E6D13" w:rsidRDefault="0047204F" w:rsidP="00170876">
            <w:pPr>
              <w:rPr>
                <w:b/>
                <w:bCs/>
                <w:sz w:val="20"/>
                <w:szCs w:val="20"/>
              </w:rPr>
            </w:pPr>
            <w:r w:rsidRPr="009E6D13">
              <w:rPr>
                <w:b/>
                <w:bCs/>
                <w:sz w:val="20"/>
                <w:szCs w:val="20"/>
              </w:rPr>
              <w:t>Characteristics of housing model</w:t>
            </w:r>
          </w:p>
        </w:tc>
        <w:tc>
          <w:tcPr>
            <w:tcW w:w="552" w:type="pct"/>
            <w:shd w:val="clear" w:color="auto" w:fill="FFFF00"/>
          </w:tcPr>
          <w:p w14:paraId="4FF8A100" w14:textId="77777777" w:rsidR="0047204F" w:rsidRPr="009E6D13" w:rsidRDefault="0047204F" w:rsidP="00170876">
            <w:pPr>
              <w:rPr>
                <w:b/>
                <w:bCs/>
                <w:sz w:val="20"/>
                <w:szCs w:val="20"/>
              </w:rPr>
            </w:pPr>
            <w:r w:rsidRPr="009E6D13">
              <w:rPr>
                <w:b/>
                <w:bCs/>
                <w:sz w:val="20"/>
                <w:szCs w:val="20"/>
              </w:rPr>
              <w:t>Countries this approach has been implemented</w:t>
            </w:r>
          </w:p>
        </w:tc>
        <w:tc>
          <w:tcPr>
            <w:tcW w:w="439" w:type="pct"/>
            <w:shd w:val="clear" w:color="auto" w:fill="FFFF00"/>
          </w:tcPr>
          <w:p w14:paraId="10456454" w14:textId="77777777" w:rsidR="0047204F" w:rsidRPr="009E6D13" w:rsidRDefault="0047204F" w:rsidP="00170876">
            <w:pPr>
              <w:rPr>
                <w:b/>
                <w:bCs/>
                <w:sz w:val="20"/>
                <w:szCs w:val="20"/>
              </w:rPr>
            </w:pPr>
            <w:r w:rsidRPr="009E6D13">
              <w:rPr>
                <w:b/>
                <w:bCs/>
                <w:sz w:val="20"/>
                <w:szCs w:val="20"/>
              </w:rPr>
              <w:t>Author (Year)</w:t>
            </w:r>
          </w:p>
        </w:tc>
        <w:tc>
          <w:tcPr>
            <w:tcW w:w="743" w:type="pct"/>
            <w:shd w:val="clear" w:color="auto" w:fill="FFFF00"/>
          </w:tcPr>
          <w:p w14:paraId="5126B07F" w14:textId="77777777" w:rsidR="0047204F" w:rsidRPr="009E6D13" w:rsidRDefault="0047204F" w:rsidP="00170876">
            <w:pPr>
              <w:rPr>
                <w:b/>
                <w:bCs/>
                <w:sz w:val="20"/>
                <w:szCs w:val="20"/>
              </w:rPr>
            </w:pPr>
            <w:r w:rsidRPr="009E6D13">
              <w:rPr>
                <w:b/>
                <w:bCs/>
                <w:sz w:val="20"/>
                <w:szCs w:val="20"/>
              </w:rPr>
              <w:t>Participants</w:t>
            </w:r>
          </w:p>
        </w:tc>
        <w:tc>
          <w:tcPr>
            <w:tcW w:w="606" w:type="pct"/>
            <w:shd w:val="clear" w:color="auto" w:fill="FFFF00"/>
          </w:tcPr>
          <w:p w14:paraId="544DEB00" w14:textId="77777777" w:rsidR="0047204F" w:rsidRPr="009E6D13" w:rsidRDefault="0047204F" w:rsidP="00170876">
            <w:pPr>
              <w:rPr>
                <w:b/>
                <w:bCs/>
                <w:sz w:val="20"/>
                <w:szCs w:val="20"/>
              </w:rPr>
            </w:pPr>
            <w:r w:rsidRPr="009E6D13">
              <w:rPr>
                <w:b/>
                <w:bCs/>
                <w:sz w:val="20"/>
                <w:szCs w:val="20"/>
              </w:rPr>
              <w:t>Type of study</w:t>
            </w:r>
          </w:p>
        </w:tc>
        <w:tc>
          <w:tcPr>
            <w:tcW w:w="802" w:type="pct"/>
            <w:shd w:val="clear" w:color="auto" w:fill="FFFF00"/>
          </w:tcPr>
          <w:p w14:paraId="4C3D4A4C" w14:textId="0D84DAB2" w:rsidR="0047204F" w:rsidRPr="009E6D13" w:rsidRDefault="0047204F" w:rsidP="00170876">
            <w:pPr>
              <w:rPr>
                <w:b/>
                <w:bCs/>
                <w:sz w:val="20"/>
                <w:szCs w:val="20"/>
              </w:rPr>
            </w:pPr>
            <w:r w:rsidRPr="009E6D13">
              <w:rPr>
                <w:b/>
                <w:bCs/>
                <w:sz w:val="20"/>
                <w:szCs w:val="20"/>
              </w:rPr>
              <w:t>Quality</w:t>
            </w:r>
            <w:r w:rsidR="00960A92">
              <w:rPr>
                <w:b/>
                <w:bCs/>
                <w:sz w:val="20"/>
                <w:szCs w:val="20"/>
              </w:rPr>
              <w:t>*</w:t>
            </w:r>
          </w:p>
        </w:tc>
        <w:tc>
          <w:tcPr>
            <w:tcW w:w="1100" w:type="pct"/>
            <w:shd w:val="clear" w:color="auto" w:fill="FFFF00"/>
          </w:tcPr>
          <w:p w14:paraId="665823A4" w14:textId="77777777" w:rsidR="0047204F" w:rsidRPr="009E6D13" w:rsidRDefault="0047204F" w:rsidP="00170876">
            <w:pPr>
              <w:rPr>
                <w:b/>
                <w:bCs/>
                <w:sz w:val="20"/>
                <w:szCs w:val="20"/>
              </w:rPr>
            </w:pPr>
            <w:r w:rsidRPr="009E6D13">
              <w:rPr>
                <w:b/>
                <w:bCs/>
                <w:sz w:val="20"/>
                <w:szCs w:val="20"/>
              </w:rPr>
              <w:t>Findings</w:t>
            </w:r>
          </w:p>
        </w:tc>
      </w:tr>
      <w:tr w:rsidR="0047204F" w:rsidRPr="00B069D1" w14:paraId="5D17B273" w14:textId="77777777" w:rsidTr="00EF01DE">
        <w:tc>
          <w:tcPr>
            <w:tcW w:w="758" w:type="pct"/>
            <w:shd w:val="clear" w:color="auto" w:fill="FFFF00"/>
          </w:tcPr>
          <w:p w14:paraId="15714F0C" w14:textId="77777777" w:rsidR="0047204F" w:rsidRPr="009E6D13" w:rsidRDefault="0047204F" w:rsidP="00170876">
            <w:pPr>
              <w:rPr>
                <w:b/>
                <w:bCs/>
                <w:sz w:val="20"/>
                <w:szCs w:val="20"/>
              </w:rPr>
            </w:pPr>
            <w:r w:rsidRPr="009E6D13">
              <w:rPr>
                <w:b/>
                <w:bCs/>
                <w:sz w:val="20"/>
                <w:szCs w:val="20"/>
              </w:rPr>
              <w:t>Personalised Living</w:t>
            </w:r>
          </w:p>
        </w:tc>
        <w:tc>
          <w:tcPr>
            <w:tcW w:w="552" w:type="pct"/>
            <w:shd w:val="clear" w:color="auto" w:fill="FFFF00"/>
          </w:tcPr>
          <w:p w14:paraId="36F23C34" w14:textId="77777777" w:rsidR="0047204F" w:rsidRPr="009E6D13" w:rsidRDefault="0047204F" w:rsidP="00170876">
            <w:pPr>
              <w:rPr>
                <w:bCs/>
                <w:sz w:val="20"/>
                <w:szCs w:val="20"/>
              </w:rPr>
            </w:pPr>
          </w:p>
        </w:tc>
        <w:tc>
          <w:tcPr>
            <w:tcW w:w="439" w:type="pct"/>
            <w:shd w:val="clear" w:color="auto" w:fill="FFFF00"/>
          </w:tcPr>
          <w:p w14:paraId="05FC5D41" w14:textId="77777777" w:rsidR="0047204F" w:rsidRPr="009E6D13" w:rsidRDefault="0047204F" w:rsidP="00170876">
            <w:pPr>
              <w:rPr>
                <w:bCs/>
                <w:sz w:val="20"/>
                <w:szCs w:val="20"/>
              </w:rPr>
            </w:pPr>
          </w:p>
        </w:tc>
        <w:tc>
          <w:tcPr>
            <w:tcW w:w="743" w:type="pct"/>
            <w:shd w:val="clear" w:color="auto" w:fill="FFFF00"/>
          </w:tcPr>
          <w:p w14:paraId="3D92293B" w14:textId="77777777" w:rsidR="0047204F" w:rsidRPr="009E6D13" w:rsidRDefault="0047204F" w:rsidP="00170876">
            <w:pPr>
              <w:rPr>
                <w:sz w:val="20"/>
                <w:szCs w:val="20"/>
              </w:rPr>
            </w:pPr>
          </w:p>
        </w:tc>
        <w:tc>
          <w:tcPr>
            <w:tcW w:w="606" w:type="pct"/>
            <w:shd w:val="clear" w:color="auto" w:fill="FFFF00"/>
          </w:tcPr>
          <w:p w14:paraId="2B449321" w14:textId="77777777" w:rsidR="0047204F" w:rsidRPr="009E6D13" w:rsidRDefault="0047204F" w:rsidP="00170876">
            <w:pPr>
              <w:rPr>
                <w:sz w:val="20"/>
                <w:szCs w:val="20"/>
              </w:rPr>
            </w:pPr>
          </w:p>
        </w:tc>
        <w:tc>
          <w:tcPr>
            <w:tcW w:w="802" w:type="pct"/>
            <w:shd w:val="clear" w:color="auto" w:fill="FFFF00"/>
          </w:tcPr>
          <w:p w14:paraId="00CD128A" w14:textId="77777777" w:rsidR="0047204F" w:rsidRPr="009E6D13" w:rsidRDefault="0047204F" w:rsidP="00170876">
            <w:pPr>
              <w:rPr>
                <w:sz w:val="20"/>
                <w:szCs w:val="20"/>
              </w:rPr>
            </w:pPr>
          </w:p>
        </w:tc>
        <w:tc>
          <w:tcPr>
            <w:tcW w:w="1100" w:type="pct"/>
            <w:shd w:val="clear" w:color="auto" w:fill="FFFF00"/>
          </w:tcPr>
          <w:p w14:paraId="564CD86D" w14:textId="77777777" w:rsidR="0047204F" w:rsidRPr="009E6D13" w:rsidRDefault="0047204F" w:rsidP="00170876">
            <w:pPr>
              <w:rPr>
                <w:sz w:val="20"/>
                <w:szCs w:val="20"/>
              </w:rPr>
            </w:pPr>
          </w:p>
        </w:tc>
      </w:tr>
      <w:tr w:rsidR="0047204F" w:rsidRPr="00B069D1" w14:paraId="78184E56" w14:textId="77777777" w:rsidTr="00EF01DE">
        <w:tc>
          <w:tcPr>
            <w:tcW w:w="758" w:type="pct"/>
          </w:tcPr>
          <w:p w14:paraId="7125DDCF" w14:textId="77777777" w:rsidR="0047204F" w:rsidRPr="009E6D13" w:rsidRDefault="0047204F" w:rsidP="00170876">
            <w:pPr>
              <w:rPr>
                <w:b/>
                <w:bCs/>
                <w:sz w:val="20"/>
                <w:szCs w:val="20"/>
              </w:rPr>
            </w:pPr>
            <w:r w:rsidRPr="009E6D13">
              <w:rPr>
                <w:b/>
                <w:bCs/>
                <w:sz w:val="20"/>
                <w:szCs w:val="20"/>
              </w:rPr>
              <w:t>Personalised accommodation</w:t>
            </w:r>
          </w:p>
          <w:p w14:paraId="54BB4DF3" w14:textId="77777777" w:rsidR="0047204F" w:rsidRPr="009E6D13" w:rsidRDefault="0047204F" w:rsidP="00170876">
            <w:pPr>
              <w:rPr>
                <w:b/>
                <w:bCs/>
                <w:sz w:val="20"/>
                <w:szCs w:val="20"/>
              </w:rPr>
            </w:pPr>
          </w:p>
          <w:p w14:paraId="30AA57F1" w14:textId="77777777" w:rsidR="0047204F" w:rsidRPr="009E6D13" w:rsidRDefault="0047204F" w:rsidP="00170876">
            <w:pPr>
              <w:rPr>
                <w:sz w:val="20"/>
                <w:szCs w:val="20"/>
              </w:rPr>
            </w:pPr>
          </w:p>
        </w:tc>
        <w:tc>
          <w:tcPr>
            <w:tcW w:w="552" w:type="pct"/>
          </w:tcPr>
          <w:p w14:paraId="11FC8B46" w14:textId="77777777" w:rsidR="0047204F" w:rsidRPr="009E6D13" w:rsidRDefault="0047204F" w:rsidP="00170876">
            <w:pPr>
              <w:rPr>
                <w:bCs/>
                <w:sz w:val="20"/>
                <w:szCs w:val="20"/>
              </w:rPr>
            </w:pPr>
            <w:r w:rsidRPr="009E6D13">
              <w:rPr>
                <w:bCs/>
                <w:sz w:val="20"/>
                <w:szCs w:val="20"/>
              </w:rPr>
              <w:t>Ireland</w:t>
            </w:r>
          </w:p>
        </w:tc>
        <w:tc>
          <w:tcPr>
            <w:tcW w:w="439" w:type="pct"/>
          </w:tcPr>
          <w:p w14:paraId="2077C44A" w14:textId="77777777" w:rsidR="0047204F" w:rsidRPr="009E6D13" w:rsidRDefault="0047204F" w:rsidP="00170876">
            <w:pPr>
              <w:rPr>
                <w:sz w:val="20"/>
                <w:szCs w:val="20"/>
              </w:rPr>
            </w:pPr>
            <w:r w:rsidRPr="009E6D13">
              <w:rPr>
                <w:sz w:val="20"/>
                <w:szCs w:val="20"/>
              </w:rPr>
              <w:t>McConkey et al (2019)</w:t>
            </w:r>
          </w:p>
          <w:p w14:paraId="2DB205C7" w14:textId="77777777" w:rsidR="0047204F" w:rsidRPr="009E6D13" w:rsidRDefault="0047204F" w:rsidP="00170876">
            <w:pPr>
              <w:rPr>
                <w:sz w:val="20"/>
                <w:szCs w:val="20"/>
              </w:rPr>
            </w:pPr>
          </w:p>
          <w:p w14:paraId="2194744B" w14:textId="77777777" w:rsidR="0047204F" w:rsidRPr="009E6D13" w:rsidRDefault="0047204F" w:rsidP="00170876">
            <w:pPr>
              <w:rPr>
                <w:sz w:val="20"/>
                <w:szCs w:val="20"/>
              </w:rPr>
            </w:pPr>
          </w:p>
        </w:tc>
        <w:tc>
          <w:tcPr>
            <w:tcW w:w="743" w:type="pct"/>
          </w:tcPr>
          <w:p w14:paraId="573E2248" w14:textId="77777777" w:rsidR="0047204F" w:rsidRPr="009E6D13" w:rsidRDefault="0047204F" w:rsidP="00170876">
            <w:pPr>
              <w:rPr>
                <w:sz w:val="20"/>
                <w:szCs w:val="20"/>
              </w:rPr>
            </w:pPr>
            <w:r w:rsidRPr="009E6D13">
              <w:rPr>
                <w:sz w:val="20"/>
                <w:szCs w:val="20"/>
              </w:rPr>
              <w:t>Intellectual Disability</w:t>
            </w:r>
          </w:p>
          <w:p w14:paraId="05B6177A" w14:textId="77777777" w:rsidR="0047204F" w:rsidRPr="009E6D13" w:rsidRDefault="0047204F" w:rsidP="00170876">
            <w:pPr>
              <w:rPr>
                <w:sz w:val="20"/>
                <w:szCs w:val="20"/>
              </w:rPr>
            </w:pPr>
            <w:r w:rsidRPr="009E6D13">
              <w:rPr>
                <w:sz w:val="20"/>
                <w:szCs w:val="20"/>
              </w:rPr>
              <w:t xml:space="preserve">N=156 </w:t>
            </w:r>
          </w:p>
        </w:tc>
        <w:tc>
          <w:tcPr>
            <w:tcW w:w="606" w:type="pct"/>
          </w:tcPr>
          <w:p w14:paraId="35AF4557" w14:textId="77777777" w:rsidR="0047204F" w:rsidRPr="009E6D13" w:rsidRDefault="0047204F" w:rsidP="00170876">
            <w:pPr>
              <w:rPr>
                <w:sz w:val="20"/>
                <w:szCs w:val="20"/>
              </w:rPr>
            </w:pPr>
            <w:r w:rsidRPr="009E6D13">
              <w:rPr>
                <w:sz w:val="20"/>
                <w:szCs w:val="20"/>
              </w:rPr>
              <w:t>Predictive modelling</w:t>
            </w:r>
          </w:p>
        </w:tc>
        <w:tc>
          <w:tcPr>
            <w:tcW w:w="802" w:type="pct"/>
          </w:tcPr>
          <w:p w14:paraId="2003DFEB" w14:textId="77777777" w:rsidR="0047204F" w:rsidRPr="009E6D13" w:rsidRDefault="0047204F" w:rsidP="00170876">
            <w:pPr>
              <w:rPr>
                <w:sz w:val="20"/>
                <w:szCs w:val="20"/>
              </w:rPr>
            </w:pPr>
            <w:r w:rsidRPr="009E6D13">
              <w:rPr>
                <w:sz w:val="20"/>
                <w:szCs w:val="20"/>
              </w:rPr>
              <w:t>Fair</w:t>
            </w:r>
          </w:p>
        </w:tc>
        <w:tc>
          <w:tcPr>
            <w:tcW w:w="1100" w:type="pct"/>
          </w:tcPr>
          <w:p w14:paraId="4FB1EE85" w14:textId="77777777" w:rsidR="0047204F" w:rsidRPr="009E6D13" w:rsidRDefault="0047204F" w:rsidP="00170876">
            <w:pPr>
              <w:rPr>
                <w:sz w:val="20"/>
                <w:szCs w:val="20"/>
              </w:rPr>
            </w:pPr>
            <w:r w:rsidRPr="009E6D13">
              <w:rPr>
                <w:sz w:val="20"/>
                <w:szCs w:val="20"/>
              </w:rPr>
              <w:t>Two-thirds of the participants reported little change in their relationships following transition to a de-congregated setting.  One third reported improvements in social relationships.</w:t>
            </w:r>
          </w:p>
        </w:tc>
      </w:tr>
      <w:tr w:rsidR="0047204F" w:rsidRPr="00B069D1" w14:paraId="3C3428EA" w14:textId="77777777" w:rsidTr="00EF01DE">
        <w:tc>
          <w:tcPr>
            <w:tcW w:w="758" w:type="pct"/>
          </w:tcPr>
          <w:p w14:paraId="57823A45" w14:textId="77777777" w:rsidR="0047204F" w:rsidRPr="009E6D13" w:rsidRDefault="0047204F" w:rsidP="00170876">
            <w:pPr>
              <w:rPr>
                <w:b/>
                <w:bCs/>
                <w:sz w:val="20"/>
                <w:szCs w:val="20"/>
              </w:rPr>
            </w:pPr>
            <w:r w:rsidRPr="009E6D13">
              <w:rPr>
                <w:b/>
                <w:bCs/>
                <w:sz w:val="20"/>
                <w:szCs w:val="20"/>
              </w:rPr>
              <w:t>Personalised arrangements</w:t>
            </w:r>
          </w:p>
          <w:p w14:paraId="3A023AD0" w14:textId="77777777" w:rsidR="0047204F" w:rsidRPr="009E6D13" w:rsidRDefault="0047204F" w:rsidP="00170876">
            <w:pPr>
              <w:rPr>
                <w:b/>
                <w:bCs/>
                <w:sz w:val="20"/>
                <w:szCs w:val="20"/>
              </w:rPr>
            </w:pPr>
          </w:p>
          <w:p w14:paraId="02971DED" w14:textId="77777777" w:rsidR="0047204F" w:rsidRPr="009E6D13" w:rsidRDefault="0047204F" w:rsidP="00170876">
            <w:pPr>
              <w:rPr>
                <w:b/>
                <w:bCs/>
                <w:sz w:val="20"/>
                <w:szCs w:val="20"/>
              </w:rPr>
            </w:pPr>
          </w:p>
          <w:p w14:paraId="7A63B0D6" w14:textId="77777777" w:rsidR="0047204F" w:rsidRPr="009E6D13" w:rsidRDefault="0047204F" w:rsidP="00170876">
            <w:pPr>
              <w:rPr>
                <w:sz w:val="20"/>
                <w:szCs w:val="20"/>
              </w:rPr>
            </w:pPr>
          </w:p>
        </w:tc>
        <w:tc>
          <w:tcPr>
            <w:tcW w:w="552" w:type="pct"/>
          </w:tcPr>
          <w:p w14:paraId="5D83F43C" w14:textId="77777777" w:rsidR="0047204F" w:rsidRPr="009E6D13" w:rsidRDefault="0047204F" w:rsidP="00170876">
            <w:pPr>
              <w:rPr>
                <w:bCs/>
                <w:sz w:val="20"/>
                <w:szCs w:val="20"/>
              </w:rPr>
            </w:pPr>
            <w:r w:rsidRPr="009E6D13">
              <w:rPr>
                <w:bCs/>
                <w:sz w:val="20"/>
                <w:szCs w:val="20"/>
              </w:rPr>
              <w:t>Ireland</w:t>
            </w:r>
          </w:p>
        </w:tc>
        <w:tc>
          <w:tcPr>
            <w:tcW w:w="439" w:type="pct"/>
          </w:tcPr>
          <w:p w14:paraId="2A3D8155" w14:textId="77777777" w:rsidR="0047204F" w:rsidRPr="009E6D13" w:rsidRDefault="0047204F" w:rsidP="00170876">
            <w:pPr>
              <w:rPr>
                <w:sz w:val="20"/>
                <w:szCs w:val="20"/>
              </w:rPr>
            </w:pPr>
            <w:r w:rsidRPr="009E6D13">
              <w:rPr>
                <w:sz w:val="20"/>
                <w:szCs w:val="20"/>
              </w:rPr>
              <w:t>McConkey et al (2018)</w:t>
            </w:r>
          </w:p>
          <w:p w14:paraId="14976410" w14:textId="77777777" w:rsidR="0047204F" w:rsidRPr="009E6D13" w:rsidRDefault="0047204F" w:rsidP="00170876">
            <w:pPr>
              <w:rPr>
                <w:sz w:val="20"/>
                <w:szCs w:val="20"/>
              </w:rPr>
            </w:pPr>
          </w:p>
          <w:p w14:paraId="0EE6668C" w14:textId="77777777" w:rsidR="0047204F" w:rsidRPr="009E6D13" w:rsidRDefault="0047204F" w:rsidP="00170876">
            <w:pPr>
              <w:rPr>
                <w:sz w:val="20"/>
                <w:szCs w:val="20"/>
              </w:rPr>
            </w:pPr>
          </w:p>
        </w:tc>
        <w:tc>
          <w:tcPr>
            <w:tcW w:w="743" w:type="pct"/>
          </w:tcPr>
          <w:p w14:paraId="37F8CD32" w14:textId="77777777" w:rsidR="0047204F" w:rsidRPr="009E6D13" w:rsidRDefault="0047204F" w:rsidP="00170876">
            <w:pPr>
              <w:rPr>
                <w:sz w:val="20"/>
                <w:szCs w:val="20"/>
              </w:rPr>
            </w:pPr>
            <w:r w:rsidRPr="009E6D13">
              <w:rPr>
                <w:sz w:val="20"/>
                <w:szCs w:val="20"/>
              </w:rPr>
              <w:t>Intellectual disability compared with Psychiatric illness</w:t>
            </w:r>
          </w:p>
          <w:p w14:paraId="5EE4C3D0" w14:textId="77777777" w:rsidR="0047204F" w:rsidRPr="009E6D13" w:rsidRDefault="0047204F" w:rsidP="00170876">
            <w:pPr>
              <w:rPr>
                <w:sz w:val="20"/>
                <w:szCs w:val="20"/>
              </w:rPr>
            </w:pPr>
            <w:r w:rsidRPr="009E6D13">
              <w:rPr>
                <w:sz w:val="20"/>
                <w:szCs w:val="20"/>
              </w:rPr>
              <w:t>N=119</w:t>
            </w:r>
          </w:p>
        </w:tc>
        <w:tc>
          <w:tcPr>
            <w:tcW w:w="606" w:type="pct"/>
          </w:tcPr>
          <w:p w14:paraId="0938FBCD" w14:textId="77777777" w:rsidR="0047204F" w:rsidRPr="009E6D13" w:rsidRDefault="0047204F" w:rsidP="00170876">
            <w:pPr>
              <w:rPr>
                <w:sz w:val="20"/>
                <w:szCs w:val="20"/>
              </w:rPr>
            </w:pPr>
            <w:r w:rsidRPr="009E6D13">
              <w:rPr>
                <w:sz w:val="20"/>
                <w:szCs w:val="20"/>
              </w:rPr>
              <w:t>Two group pre/post design</w:t>
            </w:r>
          </w:p>
          <w:p w14:paraId="6A2096E6" w14:textId="77777777" w:rsidR="0047204F" w:rsidRPr="009E6D13" w:rsidRDefault="0047204F" w:rsidP="00170876">
            <w:pPr>
              <w:rPr>
                <w:sz w:val="20"/>
                <w:szCs w:val="20"/>
              </w:rPr>
            </w:pPr>
          </w:p>
          <w:p w14:paraId="7F49F4EE" w14:textId="77777777" w:rsidR="0047204F" w:rsidRPr="009E6D13" w:rsidRDefault="0047204F" w:rsidP="00170876">
            <w:pPr>
              <w:pStyle w:val="ListParagraph"/>
              <w:ind w:left="0"/>
              <w:rPr>
                <w:sz w:val="20"/>
                <w:szCs w:val="20"/>
              </w:rPr>
            </w:pPr>
            <w:r w:rsidRPr="009E6D13">
              <w:rPr>
                <w:sz w:val="20"/>
                <w:szCs w:val="20"/>
              </w:rPr>
              <w:t>1. Personalised setting</w:t>
            </w:r>
          </w:p>
          <w:p w14:paraId="53464692" w14:textId="77777777" w:rsidR="0047204F" w:rsidRPr="009E6D13" w:rsidRDefault="0047204F" w:rsidP="00170876">
            <w:pPr>
              <w:pStyle w:val="ListParagraph"/>
              <w:ind w:left="0"/>
              <w:rPr>
                <w:sz w:val="20"/>
                <w:szCs w:val="20"/>
              </w:rPr>
            </w:pPr>
            <w:r w:rsidRPr="009E6D13">
              <w:rPr>
                <w:sz w:val="20"/>
                <w:szCs w:val="20"/>
              </w:rPr>
              <w:t>2. Congregated setting</w:t>
            </w:r>
          </w:p>
        </w:tc>
        <w:tc>
          <w:tcPr>
            <w:tcW w:w="802" w:type="pct"/>
          </w:tcPr>
          <w:p w14:paraId="4A0E2F79" w14:textId="77777777" w:rsidR="0047204F" w:rsidRPr="009E6D13" w:rsidRDefault="0047204F" w:rsidP="00170876">
            <w:pPr>
              <w:rPr>
                <w:sz w:val="20"/>
                <w:szCs w:val="20"/>
              </w:rPr>
            </w:pPr>
            <w:r w:rsidRPr="009E6D13">
              <w:rPr>
                <w:sz w:val="20"/>
                <w:szCs w:val="20"/>
              </w:rPr>
              <w:t>Good</w:t>
            </w:r>
          </w:p>
        </w:tc>
        <w:tc>
          <w:tcPr>
            <w:tcW w:w="1100" w:type="pct"/>
          </w:tcPr>
          <w:p w14:paraId="1D400608" w14:textId="77777777" w:rsidR="0047204F" w:rsidRPr="009E6D13" w:rsidRDefault="0047204F" w:rsidP="00170876">
            <w:pPr>
              <w:rPr>
                <w:sz w:val="20"/>
                <w:szCs w:val="20"/>
              </w:rPr>
            </w:pPr>
            <w:r w:rsidRPr="009E6D13">
              <w:rPr>
                <w:sz w:val="20"/>
                <w:szCs w:val="20"/>
              </w:rPr>
              <w:t>At time 2 (post transition) residents in personalized settings reported greater well-being compared to those living in congregated settings. This applied to people with ID more so than people with mental health issues.</w:t>
            </w:r>
          </w:p>
        </w:tc>
      </w:tr>
      <w:tr w:rsidR="0047204F" w:rsidRPr="00B069D1" w14:paraId="129F7FC1" w14:textId="77777777" w:rsidTr="00EF01DE">
        <w:tc>
          <w:tcPr>
            <w:tcW w:w="758" w:type="pct"/>
          </w:tcPr>
          <w:p w14:paraId="381261D7" w14:textId="77777777" w:rsidR="0047204F" w:rsidRPr="009E6D13" w:rsidRDefault="0047204F" w:rsidP="00170876">
            <w:pPr>
              <w:rPr>
                <w:b/>
                <w:bCs/>
                <w:sz w:val="20"/>
                <w:szCs w:val="20"/>
              </w:rPr>
            </w:pPr>
            <w:r w:rsidRPr="009E6D13">
              <w:rPr>
                <w:b/>
                <w:bCs/>
                <w:sz w:val="20"/>
                <w:szCs w:val="20"/>
              </w:rPr>
              <w:t>Personalised accommodation</w:t>
            </w:r>
          </w:p>
          <w:p w14:paraId="34403DDD" w14:textId="77777777" w:rsidR="0047204F" w:rsidRPr="009E6D13" w:rsidRDefault="0047204F" w:rsidP="00170876">
            <w:pPr>
              <w:rPr>
                <w:b/>
                <w:bCs/>
                <w:sz w:val="20"/>
                <w:szCs w:val="20"/>
              </w:rPr>
            </w:pPr>
          </w:p>
          <w:p w14:paraId="1F920913" w14:textId="77777777" w:rsidR="0047204F" w:rsidRPr="009E6D13" w:rsidRDefault="0047204F" w:rsidP="00170876">
            <w:pPr>
              <w:rPr>
                <w:bCs/>
                <w:sz w:val="20"/>
                <w:szCs w:val="20"/>
              </w:rPr>
            </w:pPr>
            <w:r w:rsidRPr="009E6D13">
              <w:rPr>
                <w:bCs/>
                <w:sz w:val="20"/>
                <w:szCs w:val="20"/>
              </w:rPr>
              <w:t>Rented accommodation in ordinary houses or apartments, living alone or with one friend of their own choice</w:t>
            </w:r>
          </w:p>
          <w:p w14:paraId="4072E3D0" w14:textId="77777777" w:rsidR="0047204F" w:rsidRPr="009E6D13" w:rsidRDefault="0047204F" w:rsidP="00170876">
            <w:pPr>
              <w:rPr>
                <w:bCs/>
                <w:sz w:val="20"/>
                <w:szCs w:val="20"/>
              </w:rPr>
            </w:pPr>
          </w:p>
          <w:p w14:paraId="129A6819" w14:textId="77777777" w:rsidR="0047204F" w:rsidRPr="009E6D13" w:rsidRDefault="0047204F" w:rsidP="00170876">
            <w:pPr>
              <w:rPr>
                <w:bCs/>
                <w:sz w:val="20"/>
                <w:szCs w:val="20"/>
              </w:rPr>
            </w:pPr>
            <w:r w:rsidRPr="009E6D13">
              <w:rPr>
                <w:bCs/>
                <w:sz w:val="20"/>
                <w:szCs w:val="20"/>
              </w:rPr>
              <w:t xml:space="preserve">comparison with </w:t>
            </w:r>
          </w:p>
          <w:p w14:paraId="48985023" w14:textId="77777777" w:rsidR="0047204F" w:rsidRPr="009E6D13" w:rsidRDefault="0047204F" w:rsidP="00170876">
            <w:pPr>
              <w:rPr>
                <w:bCs/>
                <w:sz w:val="20"/>
                <w:szCs w:val="20"/>
              </w:rPr>
            </w:pPr>
          </w:p>
          <w:p w14:paraId="16472C61" w14:textId="77777777" w:rsidR="0047204F" w:rsidRPr="009E6D13" w:rsidRDefault="0047204F" w:rsidP="00170876">
            <w:pPr>
              <w:rPr>
                <w:bCs/>
                <w:sz w:val="20"/>
                <w:szCs w:val="20"/>
              </w:rPr>
            </w:pPr>
            <w:r w:rsidRPr="009E6D13">
              <w:rPr>
                <w:bCs/>
                <w:sz w:val="20"/>
                <w:szCs w:val="20"/>
              </w:rPr>
              <w:t>Group homes</w:t>
            </w:r>
          </w:p>
          <w:p w14:paraId="437E3AAA" w14:textId="77777777" w:rsidR="0047204F" w:rsidRPr="009E6D13" w:rsidRDefault="0047204F" w:rsidP="00170876">
            <w:pPr>
              <w:rPr>
                <w:bCs/>
                <w:sz w:val="20"/>
                <w:szCs w:val="20"/>
              </w:rPr>
            </w:pPr>
          </w:p>
          <w:p w14:paraId="5C9D52CA" w14:textId="77777777" w:rsidR="0047204F" w:rsidRPr="009E6D13" w:rsidRDefault="0047204F" w:rsidP="00170876">
            <w:pPr>
              <w:rPr>
                <w:bCs/>
                <w:sz w:val="20"/>
                <w:szCs w:val="20"/>
              </w:rPr>
            </w:pPr>
            <w:r w:rsidRPr="009E6D13">
              <w:rPr>
                <w:bCs/>
                <w:sz w:val="20"/>
                <w:szCs w:val="20"/>
              </w:rPr>
              <w:lastRenderedPageBreak/>
              <w:t>(ordinary housing in the community shared by up to six persons, these residents typically had limited choice of co-residents. 3) Included campus accommodation of separate bungalows</w:t>
            </w:r>
          </w:p>
        </w:tc>
        <w:tc>
          <w:tcPr>
            <w:tcW w:w="552" w:type="pct"/>
          </w:tcPr>
          <w:p w14:paraId="1A7DF0B8" w14:textId="77777777" w:rsidR="0047204F" w:rsidRPr="009E6D13" w:rsidRDefault="0047204F" w:rsidP="00170876">
            <w:pPr>
              <w:rPr>
                <w:sz w:val="20"/>
                <w:szCs w:val="20"/>
              </w:rPr>
            </w:pPr>
            <w:r w:rsidRPr="009E6D13">
              <w:rPr>
                <w:bCs/>
                <w:sz w:val="20"/>
                <w:szCs w:val="20"/>
              </w:rPr>
              <w:lastRenderedPageBreak/>
              <w:t>Ireland</w:t>
            </w:r>
          </w:p>
        </w:tc>
        <w:tc>
          <w:tcPr>
            <w:tcW w:w="439" w:type="pct"/>
          </w:tcPr>
          <w:p w14:paraId="6C887472" w14:textId="77777777" w:rsidR="0047204F" w:rsidRPr="009E6D13" w:rsidRDefault="0047204F" w:rsidP="00170876">
            <w:pPr>
              <w:rPr>
                <w:sz w:val="20"/>
                <w:szCs w:val="20"/>
              </w:rPr>
            </w:pPr>
            <w:r w:rsidRPr="009E6D13">
              <w:rPr>
                <w:sz w:val="20"/>
                <w:szCs w:val="20"/>
              </w:rPr>
              <w:t>McConkey (2016)</w:t>
            </w:r>
          </w:p>
          <w:p w14:paraId="49E81CB2" w14:textId="77777777" w:rsidR="0047204F" w:rsidRPr="009E6D13" w:rsidRDefault="0047204F" w:rsidP="00170876">
            <w:pPr>
              <w:rPr>
                <w:sz w:val="20"/>
                <w:szCs w:val="20"/>
              </w:rPr>
            </w:pPr>
          </w:p>
          <w:p w14:paraId="68A1A610" w14:textId="77777777" w:rsidR="0047204F" w:rsidRPr="009E6D13" w:rsidRDefault="0047204F" w:rsidP="00170876">
            <w:pPr>
              <w:rPr>
                <w:sz w:val="20"/>
                <w:szCs w:val="20"/>
              </w:rPr>
            </w:pPr>
          </w:p>
        </w:tc>
        <w:tc>
          <w:tcPr>
            <w:tcW w:w="743" w:type="pct"/>
          </w:tcPr>
          <w:p w14:paraId="1C6CA601" w14:textId="77777777" w:rsidR="0047204F" w:rsidRPr="009E6D13" w:rsidRDefault="0047204F" w:rsidP="00170876">
            <w:pPr>
              <w:rPr>
                <w:sz w:val="20"/>
                <w:szCs w:val="20"/>
              </w:rPr>
            </w:pPr>
            <w:r w:rsidRPr="009E6D13">
              <w:rPr>
                <w:sz w:val="20"/>
                <w:szCs w:val="20"/>
              </w:rPr>
              <w:t xml:space="preserve">Intellectual disability </w:t>
            </w:r>
          </w:p>
          <w:p w14:paraId="0F294750" w14:textId="77777777" w:rsidR="0047204F" w:rsidRPr="009E6D13" w:rsidRDefault="0047204F" w:rsidP="00170876">
            <w:pPr>
              <w:rPr>
                <w:sz w:val="20"/>
                <w:szCs w:val="20"/>
              </w:rPr>
            </w:pPr>
            <w:r w:rsidRPr="009E6D13">
              <w:rPr>
                <w:sz w:val="20"/>
                <w:szCs w:val="20"/>
              </w:rPr>
              <w:t>N= 89</w:t>
            </w:r>
          </w:p>
          <w:p w14:paraId="3DA17E76" w14:textId="77777777" w:rsidR="0047204F" w:rsidRPr="009E6D13" w:rsidRDefault="0047204F" w:rsidP="00170876">
            <w:pPr>
              <w:rPr>
                <w:sz w:val="20"/>
                <w:szCs w:val="20"/>
              </w:rPr>
            </w:pPr>
            <w:r w:rsidRPr="009E6D13">
              <w:rPr>
                <w:sz w:val="20"/>
                <w:szCs w:val="20"/>
              </w:rPr>
              <w:t>(a) Personalised arrangements n=29 (b) Group homes n= 31 (c) Congregated/ institution settings n=29</w:t>
            </w:r>
          </w:p>
        </w:tc>
        <w:tc>
          <w:tcPr>
            <w:tcW w:w="606" w:type="pct"/>
          </w:tcPr>
          <w:p w14:paraId="777D49C2" w14:textId="77777777" w:rsidR="0047204F" w:rsidRPr="009E6D13" w:rsidRDefault="0047204F" w:rsidP="00170876">
            <w:pPr>
              <w:rPr>
                <w:sz w:val="20"/>
                <w:szCs w:val="20"/>
              </w:rPr>
            </w:pPr>
            <w:r w:rsidRPr="009E6D13">
              <w:rPr>
                <w:sz w:val="20"/>
                <w:szCs w:val="20"/>
              </w:rPr>
              <w:t>Three group repeated measures design</w:t>
            </w:r>
          </w:p>
        </w:tc>
        <w:tc>
          <w:tcPr>
            <w:tcW w:w="802" w:type="pct"/>
          </w:tcPr>
          <w:p w14:paraId="1C838FF7" w14:textId="77777777" w:rsidR="0047204F" w:rsidRPr="009E6D13" w:rsidRDefault="0047204F" w:rsidP="00170876">
            <w:pPr>
              <w:rPr>
                <w:sz w:val="20"/>
                <w:szCs w:val="20"/>
              </w:rPr>
            </w:pPr>
            <w:r w:rsidRPr="009E6D13">
              <w:rPr>
                <w:sz w:val="20"/>
                <w:szCs w:val="20"/>
              </w:rPr>
              <w:t>Good</w:t>
            </w:r>
          </w:p>
        </w:tc>
        <w:tc>
          <w:tcPr>
            <w:tcW w:w="1100" w:type="pct"/>
          </w:tcPr>
          <w:p w14:paraId="7E36AD33" w14:textId="77777777" w:rsidR="0047204F" w:rsidRPr="009E6D13" w:rsidRDefault="0047204F" w:rsidP="00170876">
            <w:pPr>
              <w:rPr>
                <w:sz w:val="20"/>
                <w:szCs w:val="20"/>
              </w:rPr>
            </w:pPr>
            <w:r w:rsidRPr="009E6D13">
              <w:rPr>
                <w:sz w:val="20"/>
                <w:szCs w:val="20"/>
              </w:rPr>
              <w:t>Majority of transitioned residents (personalised arrangements, 90%) and group homes, 81%) rated transition as improvement compared to institution. Choice and control, daily activity, relationships and community engagement were all rated highest in personalised settings. Mean monthly cost was lowest in personalised settings (3692).</w:t>
            </w:r>
          </w:p>
        </w:tc>
      </w:tr>
      <w:tr w:rsidR="0047204F" w:rsidRPr="00B069D1" w14:paraId="7E74A761" w14:textId="77777777" w:rsidTr="00EF01DE">
        <w:tc>
          <w:tcPr>
            <w:tcW w:w="758" w:type="pct"/>
          </w:tcPr>
          <w:p w14:paraId="0BF4DD44" w14:textId="77777777" w:rsidR="0047204F" w:rsidRPr="009A10A6" w:rsidRDefault="0047204F" w:rsidP="00170876">
            <w:pPr>
              <w:rPr>
                <w:sz w:val="20"/>
                <w:szCs w:val="20"/>
              </w:rPr>
            </w:pPr>
            <w:r w:rsidRPr="009A10A6">
              <w:rPr>
                <w:b/>
                <w:bCs/>
                <w:sz w:val="20"/>
                <w:szCs w:val="20"/>
              </w:rPr>
              <w:t>Individual supported living (ISL) models</w:t>
            </w:r>
            <w:r w:rsidRPr="009A10A6">
              <w:rPr>
                <w:sz w:val="20"/>
                <w:szCs w:val="20"/>
              </w:rPr>
              <w:t xml:space="preserve"> are built around the individual; are flexible, and adaptable as needs change, and do not require the person to be independent to live in their own home – may live alone or with other person</w:t>
            </w:r>
          </w:p>
          <w:p w14:paraId="1A188629" w14:textId="77777777" w:rsidR="0047204F" w:rsidRPr="009A10A6" w:rsidRDefault="0047204F" w:rsidP="00170876">
            <w:pPr>
              <w:rPr>
                <w:sz w:val="20"/>
                <w:szCs w:val="20"/>
              </w:rPr>
            </w:pPr>
          </w:p>
        </w:tc>
        <w:tc>
          <w:tcPr>
            <w:tcW w:w="552" w:type="pct"/>
          </w:tcPr>
          <w:p w14:paraId="39DFA47E" w14:textId="77777777" w:rsidR="0047204F" w:rsidRPr="009A10A6" w:rsidRDefault="0047204F" w:rsidP="00170876">
            <w:pPr>
              <w:rPr>
                <w:sz w:val="20"/>
                <w:szCs w:val="20"/>
              </w:rPr>
            </w:pPr>
            <w:r w:rsidRPr="009A10A6">
              <w:rPr>
                <w:sz w:val="20"/>
                <w:szCs w:val="20"/>
              </w:rPr>
              <w:t>Australia</w:t>
            </w:r>
          </w:p>
          <w:p w14:paraId="1F917ADD" w14:textId="64B829E5" w:rsidR="0047204F" w:rsidRPr="009A10A6" w:rsidRDefault="0047204F" w:rsidP="00641D90">
            <w:pPr>
              <w:rPr>
                <w:sz w:val="20"/>
                <w:szCs w:val="20"/>
              </w:rPr>
            </w:pPr>
          </w:p>
        </w:tc>
        <w:tc>
          <w:tcPr>
            <w:tcW w:w="439" w:type="pct"/>
          </w:tcPr>
          <w:p w14:paraId="2B234302" w14:textId="77777777" w:rsidR="0047204F" w:rsidRPr="009A10A6" w:rsidRDefault="0047204F" w:rsidP="00170876">
            <w:pPr>
              <w:rPr>
                <w:sz w:val="20"/>
                <w:szCs w:val="20"/>
              </w:rPr>
            </w:pPr>
            <w:r w:rsidRPr="009A10A6">
              <w:rPr>
                <w:sz w:val="20"/>
                <w:szCs w:val="20"/>
              </w:rPr>
              <w:t>Cocks et al (2016)</w:t>
            </w:r>
          </w:p>
          <w:p w14:paraId="7ABD1F0C" w14:textId="2FA10128" w:rsidR="0047204F" w:rsidRPr="009A10A6" w:rsidRDefault="0047204F" w:rsidP="00170876">
            <w:pPr>
              <w:rPr>
                <w:b/>
                <w:bCs/>
                <w:sz w:val="20"/>
                <w:szCs w:val="20"/>
              </w:rPr>
            </w:pPr>
          </w:p>
        </w:tc>
        <w:tc>
          <w:tcPr>
            <w:tcW w:w="743" w:type="pct"/>
          </w:tcPr>
          <w:p w14:paraId="445CFEED" w14:textId="77777777" w:rsidR="0047204F" w:rsidRPr="009A10A6" w:rsidRDefault="0047204F" w:rsidP="00170876">
            <w:pPr>
              <w:rPr>
                <w:sz w:val="20"/>
                <w:szCs w:val="20"/>
              </w:rPr>
            </w:pPr>
            <w:r w:rsidRPr="009A10A6">
              <w:rPr>
                <w:sz w:val="20"/>
                <w:szCs w:val="20"/>
              </w:rPr>
              <w:t>People with disability with high and complex needs</w:t>
            </w:r>
          </w:p>
          <w:p w14:paraId="3EACB5C5" w14:textId="77777777" w:rsidR="0047204F" w:rsidRPr="009A10A6" w:rsidRDefault="0047204F" w:rsidP="00170876">
            <w:pPr>
              <w:rPr>
                <w:sz w:val="20"/>
                <w:szCs w:val="20"/>
              </w:rPr>
            </w:pPr>
          </w:p>
          <w:p w14:paraId="6E92E4E6" w14:textId="77777777" w:rsidR="0047204F" w:rsidRPr="009A10A6" w:rsidRDefault="0047204F" w:rsidP="00641D90">
            <w:pPr>
              <w:rPr>
                <w:sz w:val="20"/>
                <w:szCs w:val="20"/>
              </w:rPr>
            </w:pPr>
          </w:p>
        </w:tc>
        <w:tc>
          <w:tcPr>
            <w:tcW w:w="606" w:type="pct"/>
          </w:tcPr>
          <w:p w14:paraId="146449BD" w14:textId="77777777" w:rsidR="0047204F" w:rsidRPr="009A10A6" w:rsidRDefault="0047204F" w:rsidP="00170876">
            <w:pPr>
              <w:rPr>
                <w:sz w:val="20"/>
                <w:szCs w:val="20"/>
              </w:rPr>
            </w:pPr>
            <w:r w:rsidRPr="009A10A6">
              <w:rPr>
                <w:sz w:val="20"/>
                <w:szCs w:val="20"/>
              </w:rPr>
              <w:t>Mixed methods. Commissioned research report. Grey Literature.</w:t>
            </w:r>
          </w:p>
          <w:p w14:paraId="666D86A3" w14:textId="77777777" w:rsidR="0047204F" w:rsidRPr="009A10A6" w:rsidRDefault="0047204F" w:rsidP="00170876">
            <w:pPr>
              <w:rPr>
                <w:sz w:val="20"/>
                <w:szCs w:val="20"/>
              </w:rPr>
            </w:pPr>
          </w:p>
          <w:p w14:paraId="774CD120" w14:textId="77777777" w:rsidR="0047204F" w:rsidRPr="009A10A6" w:rsidRDefault="0047204F" w:rsidP="00641D90">
            <w:pPr>
              <w:rPr>
                <w:sz w:val="20"/>
                <w:szCs w:val="20"/>
              </w:rPr>
            </w:pPr>
          </w:p>
        </w:tc>
        <w:tc>
          <w:tcPr>
            <w:tcW w:w="802" w:type="pct"/>
          </w:tcPr>
          <w:p w14:paraId="62AACE0F" w14:textId="77777777" w:rsidR="0047204F" w:rsidRPr="009A10A6" w:rsidRDefault="0047204F" w:rsidP="00170876">
            <w:pPr>
              <w:rPr>
                <w:sz w:val="20"/>
                <w:szCs w:val="20"/>
              </w:rPr>
            </w:pPr>
          </w:p>
          <w:p w14:paraId="7270108F" w14:textId="753B85F5" w:rsidR="0047204F" w:rsidRPr="009A10A6" w:rsidRDefault="000D0701" w:rsidP="00170876">
            <w:pPr>
              <w:rPr>
                <w:sz w:val="20"/>
                <w:szCs w:val="20"/>
              </w:rPr>
            </w:pPr>
            <w:r>
              <w:rPr>
                <w:sz w:val="20"/>
                <w:szCs w:val="20"/>
              </w:rPr>
              <w:t>N/A</w:t>
            </w:r>
          </w:p>
          <w:p w14:paraId="503838AE" w14:textId="77777777" w:rsidR="0047204F" w:rsidRPr="009A10A6" w:rsidRDefault="0047204F" w:rsidP="00170876">
            <w:pPr>
              <w:rPr>
                <w:sz w:val="20"/>
                <w:szCs w:val="20"/>
              </w:rPr>
            </w:pPr>
          </w:p>
          <w:p w14:paraId="0A022665" w14:textId="77777777" w:rsidR="0047204F" w:rsidRPr="009A10A6" w:rsidRDefault="0047204F" w:rsidP="00641D90">
            <w:pPr>
              <w:rPr>
                <w:sz w:val="20"/>
                <w:szCs w:val="20"/>
              </w:rPr>
            </w:pPr>
          </w:p>
        </w:tc>
        <w:tc>
          <w:tcPr>
            <w:tcW w:w="1100" w:type="pct"/>
          </w:tcPr>
          <w:p w14:paraId="0EFEC597" w14:textId="77777777" w:rsidR="00EF01DE" w:rsidRPr="009A10A6" w:rsidRDefault="00EF01DE" w:rsidP="00EF01DE">
            <w:pPr>
              <w:rPr>
                <w:sz w:val="20"/>
                <w:szCs w:val="20"/>
              </w:rPr>
            </w:pPr>
            <w:r w:rsidRPr="009A10A6">
              <w:rPr>
                <w:sz w:val="20"/>
                <w:szCs w:val="20"/>
              </w:rPr>
              <w:t xml:space="preserve">Evaluation of 130 ISL arrangements across WA, Victoria and NSW. The ISL framework was used to assess and evaluate the arrangements. </w:t>
            </w:r>
          </w:p>
          <w:p w14:paraId="0F87A5BE" w14:textId="77777777" w:rsidR="0047204F" w:rsidRPr="009A10A6" w:rsidRDefault="0047204F" w:rsidP="00170876">
            <w:pPr>
              <w:rPr>
                <w:sz w:val="20"/>
                <w:szCs w:val="20"/>
              </w:rPr>
            </w:pPr>
            <w:r w:rsidRPr="009A10A6">
              <w:rPr>
                <w:sz w:val="20"/>
                <w:szCs w:val="20"/>
              </w:rPr>
              <w:t xml:space="preserve">Identifies good practice in ISL and resources by which to evaluate ISL arrangements </w:t>
            </w:r>
          </w:p>
          <w:p w14:paraId="1D19B655" w14:textId="4EB61826" w:rsidR="0047204F" w:rsidRPr="009A10A6" w:rsidRDefault="0047204F" w:rsidP="00170876">
            <w:pPr>
              <w:rPr>
                <w:sz w:val="20"/>
                <w:szCs w:val="20"/>
              </w:rPr>
            </w:pPr>
          </w:p>
        </w:tc>
      </w:tr>
      <w:tr w:rsidR="00BA267D" w:rsidRPr="00B069D1" w14:paraId="44F527F9" w14:textId="77777777" w:rsidTr="00EF01DE">
        <w:tc>
          <w:tcPr>
            <w:tcW w:w="758" w:type="pct"/>
          </w:tcPr>
          <w:p w14:paraId="433E72B0" w14:textId="77777777" w:rsidR="00344588" w:rsidRPr="009A10A6" w:rsidRDefault="00344588" w:rsidP="00EC3AD9">
            <w:pPr>
              <w:rPr>
                <w:sz w:val="20"/>
                <w:szCs w:val="20"/>
              </w:rPr>
            </w:pPr>
            <w:r w:rsidRPr="000211E7">
              <w:rPr>
                <w:b/>
                <w:bCs/>
                <w:sz w:val="20"/>
                <w:szCs w:val="20"/>
              </w:rPr>
              <w:t>Accommodation models where supports are built around the individual</w:t>
            </w:r>
            <w:r w:rsidRPr="009A10A6">
              <w:rPr>
                <w:sz w:val="20"/>
                <w:szCs w:val="20"/>
              </w:rPr>
              <w:t xml:space="preserve"> rather than for a group of people within Australia are:</w:t>
            </w:r>
          </w:p>
          <w:p w14:paraId="4DC2A307" w14:textId="77777777" w:rsidR="00344588" w:rsidRPr="009A10A6" w:rsidRDefault="00344588" w:rsidP="00EC3AD9">
            <w:pPr>
              <w:pStyle w:val="ListParagraph"/>
              <w:numPr>
                <w:ilvl w:val="0"/>
                <w:numId w:val="14"/>
              </w:numPr>
              <w:rPr>
                <w:sz w:val="20"/>
                <w:szCs w:val="20"/>
              </w:rPr>
            </w:pPr>
            <w:r w:rsidRPr="009A10A6">
              <w:rPr>
                <w:sz w:val="20"/>
                <w:szCs w:val="20"/>
              </w:rPr>
              <w:lastRenderedPageBreak/>
              <w:t xml:space="preserve">South Australia ‘Community Living Project’; </w:t>
            </w:r>
          </w:p>
          <w:p w14:paraId="3EF51C42" w14:textId="77777777" w:rsidR="00344588" w:rsidRPr="009A10A6" w:rsidRDefault="00344588" w:rsidP="00EC3AD9">
            <w:pPr>
              <w:pStyle w:val="ListParagraph"/>
              <w:numPr>
                <w:ilvl w:val="0"/>
                <w:numId w:val="14"/>
              </w:numPr>
              <w:rPr>
                <w:sz w:val="20"/>
                <w:szCs w:val="20"/>
              </w:rPr>
            </w:pPr>
            <w:r w:rsidRPr="009A10A6">
              <w:rPr>
                <w:sz w:val="20"/>
                <w:szCs w:val="20"/>
              </w:rPr>
              <w:t>‘My Place’ Western Australia;</w:t>
            </w:r>
          </w:p>
          <w:p w14:paraId="5C49EC36" w14:textId="77777777" w:rsidR="00344588" w:rsidRPr="009A10A6" w:rsidRDefault="00344588" w:rsidP="00EC3AD9">
            <w:pPr>
              <w:pStyle w:val="ListParagraph"/>
              <w:numPr>
                <w:ilvl w:val="0"/>
                <w:numId w:val="14"/>
              </w:numPr>
              <w:rPr>
                <w:sz w:val="20"/>
                <w:szCs w:val="20"/>
              </w:rPr>
            </w:pPr>
            <w:r w:rsidRPr="009A10A6">
              <w:rPr>
                <w:sz w:val="20"/>
                <w:szCs w:val="20"/>
              </w:rPr>
              <w:t>‘Homes West’ in Queensland;</w:t>
            </w:r>
          </w:p>
          <w:p w14:paraId="1AF7C476" w14:textId="77777777" w:rsidR="00344588" w:rsidRPr="009A10A6" w:rsidRDefault="00344588" w:rsidP="00EC3AD9">
            <w:pPr>
              <w:pStyle w:val="ListParagraph"/>
              <w:numPr>
                <w:ilvl w:val="0"/>
                <w:numId w:val="14"/>
              </w:numPr>
              <w:rPr>
                <w:sz w:val="20"/>
                <w:szCs w:val="20"/>
              </w:rPr>
            </w:pPr>
            <w:r w:rsidRPr="009A10A6">
              <w:rPr>
                <w:sz w:val="20"/>
                <w:szCs w:val="20"/>
              </w:rPr>
              <w:t>‘One by One’ in Melbourne</w:t>
            </w:r>
          </w:p>
          <w:p w14:paraId="49B51553" w14:textId="77777777" w:rsidR="00BA267D" w:rsidRPr="009A10A6" w:rsidRDefault="00BA267D" w:rsidP="00EC3AD9">
            <w:pPr>
              <w:rPr>
                <w:b/>
                <w:bCs/>
                <w:sz w:val="20"/>
                <w:szCs w:val="20"/>
              </w:rPr>
            </w:pPr>
          </w:p>
        </w:tc>
        <w:tc>
          <w:tcPr>
            <w:tcW w:w="552" w:type="pct"/>
          </w:tcPr>
          <w:p w14:paraId="2ACEF896" w14:textId="77777777" w:rsidR="00344588" w:rsidRPr="009A10A6" w:rsidRDefault="00344588" w:rsidP="00EC3AD9">
            <w:pPr>
              <w:rPr>
                <w:sz w:val="20"/>
                <w:szCs w:val="20"/>
              </w:rPr>
            </w:pPr>
            <w:r w:rsidRPr="009A10A6">
              <w:rPr>
                <w:sz w:val="20"/>
                <w:szCs w:val="20"/>
              </w:rPr>
              <w:lastRenderedPageBreak/>
              <w:t>Australia</w:t>
            </w:r>
          </w:p>
          <w:p w14:paraId="61234AC3" w14:textId="77777777" w:rsidR="00344588" w:rsidRPr="009A10A6" w:rsidRDefault="00344588" w:rsidP="00EC3AD9">
            <w:pPr>
              <w:rPr>
                <w:sz w:val="20"/>
                <w:szCs w:val="20"/>
              </w:rPr>
            </w:pPr>
          </w:p>
          <w:p w14:paraId="21F8047E" w14:textId="77777777" w:rsidR="00344588" w:rsidRPr="009A10A6" w:rsidRDefault="00344588" w:rsidP="00EC3AD9">
            <w:pPr>
              <w:rPr>
                <w:sz w:val="20"/>
                <w:szCs w:val="20"/>
              </w:rPr>
            </w:pPr>
          </w:p>
          <w:p w14:paraId="42D10D98" w14:textId="77777777" w:rsidR="00344588" w:rsidRPr="009A10A6" w:rsidRDefault="00344588" w:rsidP="00EC3AD9">
            <w:pPr>
              <w:rPr>
                <w:sz w:val="20"/>
                <w:szCs w:val="20"/>
              </w:rPr>
            </w:pPr>
          </w:p>
          <w:p w14:paraId="6903666B" w14:textId="77777777" w:rsidR="00344588" w:rsidRPr="009A10A6" w:rsidRDefault="00344588" w:rsidP="00EC3AD9">
            <w:pPr>
              <w:rPr>
                <w:sz w:val="20"/>
                <w:szCs w:val="20"/>
              </w:rPr>
            </w:pPr>
          </w:p>
          <w:p w14:paraId="427D0DC8" w14:textId="77777777" w:rsidR="00344588" w:rsidRPr="009A10A6" w:rsidRDefault="00344588" w:rsidP="00EC3AD9">
            <w:pPr>
              <w:rPr>
                <w:sz w:val="20"/>
                <w:szCs w:val="20"/>
              </w:rPr>
            </w:pPr>
          </w:p>
          <w:p w14:paraId="5286959C" w14:textId="77777777" w:rsidR="00344588" w:rsidRPr="009A10A6" w:rsidRDefault="00344588" w:rsidP="00EC3AD9">
            <w:pPr>
              <w:rPr>
                <w:sz w:val="20"/>
                <w:szCs w:val="20"/>
              </w:rPr>
            </w:pPr>
          </w:p>
          <w:p w14:paraId="1026675A" w14:textId="77777777" w:rsidR="00344588" w:rsidRPr="009A10A6" w:rsidRDefault="00344588" w:rsidP="00EC3AD9">
            <w:pPr>
              <w:rPr>
                <w:sz w:val="20"/>
                <w:szCs w:val="20"/>
              </w:rPr>
            </w:pPr>
            <w:r w:rsidRPr="009A10A6">
              <w:rPr>
                <w:sz w:val="20"/>
                <w:szCs w:val="20"/>
              </w:rPr>
              <w:t>UK</w:t>
            </w:r>
          </w:p>
          <w:p w14:paraId="42FFEC44" w14:textId="77777777" w:rsidR="00BA267D" w:rsidRPr="009A10A6" w:rsidRDefault="00BA267D" w:rsidP="00EC3AD9">
            <w:pPr>
              <w:rPr>
                <w:sz w:val="20"/>
                <w:szCs w:val="20"/>
              </w:rPr>
            </w:pPr>
          </w:p>
        </w:tc>
        <w:tc>
          <w:tcPr>
            <w:tcW w:w="439" w:type="pct"/>
          </w:tcPr>
          <w:p w14:paraId="2A23E368" w14:textId="77777777" w:rsidR="00344588" w:rsidRPr="009A10A6" w:rsidRDefault="00344588" w:rsidP="00EC3AD9">
            <w:pPr>
              <w:rPr>
                <w:sz w:val="20"/>
                <w:szCs w:val="20"/>
              </w:rPr>
            </w:pPr>
            <w:r w:rsidRPr="009A10A6">
              <w:rPr>
                <w:sz w:val="20"/>
                <w:szCs w:val="20"/>
              </w:rPr>
              <w:t>Parmenter and Arnold (2008)</w:t>
            </w:r>
          </w:p>
          <w:p w14:paraId="3DD7CBCC" w14:textId="77777777" w:rsidR="00344588" w:rsidRPr="009A10A6" w:rsidRDefault="00344588" w:rsidP="00EC3AD9">
            <w:pPr>
              <w:rPr>
                <w:sz w:val="20"/>
                <w:szCs w:val="20"/>
              </w:rPr>
            </w:pPr>
          </w:p>
          <w:p w14:paraId="1AB221BC" w14:textId="77777777" w:rsidR="00344588" w:rsidRPr="009A10A6" w:rsidRDefault="00344588" w:rsidP="00EC3AD9">
            <w:pPr>
              <w:rPr>
                <w:sz w:val="20"/>
                <w:szCs w:val="20"/>
              </w:rPr>
            </w:pPr>
          </w:p>
          <w:p w14:paraId="3EC4EDDB" w14:textId="77777777" w:rsidR="00344588" w:rsidRPr="009A10A6" w:rsidRDefault="00344588" w:rsidP="00EC3AD9">
            <w:pPr>
              <w:rPr>
                <w:sz w:val="20"/>
                <w:szCs w:val="20"/>
              </w:rPr>
            </w:pPr>
          </w:p>
          <w:p w14:paraId="23E5CC1E" w14:textId="77777777" w:rsidR="00344588" w:rsidRPr="009A10A6" w:rsidRDefault="00344588" w:rsidP="00EC3AD9">
            <w:pPr>
              <w:rPr>
                <w:sz w:val="20"/>
                <w:szCs w:val="20"/>
              </w:rPr>
            </w:pPr>
          </w:p>
          <w:p w14:paraId="41D46168" w14:textId="77777777" w:rsidR="00344588" w:rsidRPr="009A10A6" w:rsidRDefault="00344588" w:rsidP="00EC3AD9">
            <w:pPr>
              <w:rPr>
                <w:sz w:val="20"/>
                <w:szCs w:val="20"/>
              </w:rPr>
            </w:pPr>
            <w:r w:rsidRPr="009A10A6">
              <w:rPr>
                <w:sz w:val="20"/>
                <w:szCs w:val="20"/>
              </w:rPr>
              <w:t>Wiesel et al (2015)</w:t>
            </w:r>
          </w:p>
          <w:p w14:paraId="6F17C1BF" w14:textId="77777777" w:rsidR="00BA267D" w:rsidRPr="009A10A6" w:rsidRDefault="00BA267D" w:rsidP="00EC3AD9">
            <w:pPr>
              <w:rPr>
                <w:sz w:val="20"/>
                <w:szCs w:val="20"/>
              </w:rPr>
            </w:pPr>
          </w:p>
        </w:tc>
        <w:tc>
          <w:tcPr>
            <w:tcW w:w="743" w:type="pct"/>
          </w:tcPr>
          <w:p w14:paraId="59C69ACC" w14:textId="77777777" w:rsidR="00344588" w:rsidRPr="009A10A6" w:rsidRDefault="00344588" w:rsidP="00EC3AD9">
            <w:pPr>
              <w:rPr>
                <w:sz w:val="20"/>
                <w:szCs w:val="20"/>
              </w:rPr>
            </w:pPr>
            <w:r w:rsidRPr="009A10A6">
              <w:rPr>
                <w:sz w:val="20"/>
                <w:szCs w:val="20"/>
              </w:rPr>
              <w:t>People with disability</w:t>
            </w:r>
          </w:p>
          <w:p w14:paraId="7D709C71" w14:textId="77777777" w:rsidR="00BA267D" w:rsidRPr="009A10A6" w:rsidRDefault="00BA267D" w:rsidP="00EC3AD9">
            <w:pPr>
              <w:rPr>
                <w:sz w:val="20"/>
                <w:szCs w:val="20"/>
              </w:rPr>
            </w:pPr>
          </w:p>
        </w:tc>
        <w:tc>
          <w:tcPr>
            <w:tcW w:w="606" w:type="pct"/>
          </w:tcPr>
          <w:p w14:paraId="7B8C3A0B" w14:textId="77777777" w:rsidR="00344588" w:rsidRPr="009A10A6" w:rsidRDefault="00344588" w:rsidP="00EC3AD9">
            <w:pPr>
              <w:rPr>
                <w:sz w:val="20"/>
                <w:szCs w:val="20"/>
              </w:rPr>
            </w:pPr>
            <w:r w:rsidRPr="009A10A6">
              <w:rPr>
                <w:sz w:val="20"/>
                <w:szCs w:val="20"/>
              </w:rPr>
              <w:t>Commissioned research. Grey Literature</w:t>
            </w:r>
          </w:p>
          <w:p w14:paraId="642E9628" w14:textId="77777777" w:rsidR="00BA267D" w:rsidRPr="009A10A6" w:rsidRDefault="00BA267D" w:rsidP="00EC3AD9">
            <w:pPr>
              <w:rPr>
                <w:sz w:val="20"/>
                <w:szCs w:val="20"/>
              </w:rPr>
            </w:pPr>
          </w:p>
        </w:tc>
        <w:tc>
          <w:tcPr>
            <w:tcW w:w="802" w:type="pct"/>
          </w:tcPr>
          <w:p w14:paraId="023D0F9A" w14:textId="2A1E3C76" w:rsidR="00344588" w:rsidRPr="009A10A6" w:rsidRDefault="00344588" w:rsidP="00EC3AD9">
            <w:pPr>
              <w:rPr>
                <w:sz w:val="20"/>
                <w:szCs w:val="20"/>
              </w:rPr>
            </w:pPr>
            <w:r>
              <w:rPr>
                <w:sz w:val="20"/>
                <w:szCs w:val="20"/>
              </w:rPr>
              <w:t>N/A</w:t>
            </w:r>
          </w:p>
          <w:p w14:paraId="6A436727" w14:textId="77777777" w:rsidR="00BA267D" w:rsidRPr="009A10A6" w:rsidRDefault="00BA267D" w:rsidP="00EC3AD9">
            <w:pPr>
              <w:rPr>
                <w:sz w:val="20"/>
                <w:szCs w:val="20"/>
              </w:rPr>
            </w:pPr>
          </w:p>
        </w:tc>
        <w:tc>
          <w:tcPr>
            <w:tcW w:w="1100" w:type="pct"/>
          </w:tcPr>
          <w:p w14:paraId="7A14E265" w14:textId="77777777" w:rsidR="00344588" w:rsidRPr="009A10A6" w:rsidRDefault="00344588" w:rsidP="00EC3AD9">
            <w:pPr>
              <w:rPr>
                <w:sz w:val="20"/>
                <w:szCs w:val="20"/>
              </w:rPr>
            </w:pPr>
            <w:r w:rsidRPr="009A10A6">
              <w:rPr>
                <w:sz w:val="20"/>
                <w:szCs w:val="20"/>
              </w:rPr>
              <w:t>Recommends person should be at centre of decisions in emerging model of independent living with proviso that suitable housing must be available. Proposes a systems model framework with personalized supports. Focus on quality of life outcomes.</w:t>
            </w:r>
          </w:p>
          <w:p w14:paraId="36D92F37" w14:textId="0E3E2705" w:rsidR="00BA267D" w:rsidRPr="009A10A6" w:rsidRDefault="00344588" w:rsidP="00EC3AD9">
            <w:pPr>
              <w:rPr>
                <w:sz w:val="20"/>
                <w:szCs w:val="20"/>
              </w:rPr>
            </w:pPr>
            <w:r w:rsidRPr="009A10A6">
              <w:rPr>
                <w:sz w:val="20"/>
                <w:szCs w:val="20"/>
              </w:rPr>
              <w:lastRenderedPageBreak/>
              <w:t xml:space="preserve">Authors note group homes may be needed by some people with disabilities.  </w:t>
            </w:r>
          </w:p>
        </w:tc>
      </w:tr>
      <w:tr w:rsidR="0047204F" w:rsidRPr="00B069D1" w14:paraId="194BE422" w14:textId="77777777" w:rsidTr="00EF01DE">
        <w:tc>
          <w:tcPr>
            <w:tcW w:w="758" w:type="pct"/>
            <w:shd w:val="clear" w:color="auto" w:fill="FFFF00"/>
          </w:tcPr>
          <w:p w14:paraId="5C461F89" w14:textId="77777777" w:rsidR="0047204F" w:rsidRPr="009A10A6" w:rsidRDefault="0047204F" w:rsidP="00170876">
            <w:pPr>
              <w:rPr>
                <w:b/>
                <w:bCs/>
                <w:sz w:val="20"/>
                <w:szCs w:val="20"/>
              </w:rPr>
            </w:pPr>
            <w:r w:rsidRPr="009A10A6">
              <w:rPr>
                <w:b/>
                <w:bCs/>
                <w:sz w:val="20"/>
                <w:szCs w:val="20"/>
              </w:rPr>
              <w:lastRenderedPageBreak/>
              <w:t>Home Pooling</w:t>
            </w:r>
          </w:p>
        </w:tc>
        <w:tc>
          <w:tcPr>
            <w:tcW w:w="552" w:type="pct"/>
            <w:shd w:val="clear" w:color="auto" w:fill="FFFF00"/>
          </w:tcPr>
          <w:p w14:paraId="0934A8CF" w14:textId="77777777" w:rsidR="0047204F" w:rsidRPr="009A10A6" w:rsidRDefault="0047204F" w:rsidP="00170876">
            <w:pPr>
              <w:rPr>
                <w:sz w:val="20"/>
                <w:szCs w:val="20"/>
              </w:rPr>
            </w:pPr>
          </w:p>
        </w:tc>
        <w:tc>
          <w:tcPr>
            <w:tcW w:w="439" w:type="pct"/>
            <w:shd w:val="clear" w:color="auto" w:fill="FFFF00"/>
          </w:tcPr>
          <w:p w14:paraId="443CBF1A" w14:textId="77777777" w:rsidR="0047204F" w:rsidRPr="009A10A6" w:rsidRDefault="0047204F" w:rsidP="00170876">
            <w:pPr>
              <w:rPr>
                <w:sz w:val="20"/>
                <w:szCs w:val="20"/>
              </w:rPr>
            </w:pPr>
          </w:p>
        </w:tc>
        <w:tc>
          <w:tcPr>
            <w:tcW w:w="743" w:type="pct"/>
            <w:shd w:val="clear" w:color="auto" w:fill="FFFF00"/>
          </w:tcPr>
          <w:p w14:paraId="697C213C" w14:textId="77777777" w:rsidR="0047204F" w:rsidRPr="009A10A6" w:rsidRDefault="0047204F" w:rsidP="00170876">
            <w:pPr>
              <w:rPr>
                <w:sz w:val="20"/>
                <w:szCs w:val="20"/>
              </w:rPr>
            </w:pPr>
          </w:p>
        </w:tc>
        <w:tc>
          <w:tcPr>
            <w:tcW w:w="606" w:type="pct"/>
            <w:shd w:val="clear" w:color="auto" w:fill="FFFF00"/>
          </w:tcPr>
          <w:p w14:paraId="5A13DE00" w14:textId="77777777" w:rsidR="0047204F" w:rsidRPr="009A10A6" w:rsidRDefault="0047204F" w:rsidP="00170876">
            <w:pPr>
              <w:rPr>
                <w:sz w:val="20"/>
                <w:szCs w:val="20"/>
              </w:rPr>
            </w:pPr>
          </w:p>
        </w:tc>
        <w:tc>
          <w:tcPr>
            <w:tcW w:w="802" w:type="pct"/>
            <w:shd w:val="clear" w:color="auto" w:fill="FFFF00"/>
          </w:tcPr>
          <w:p w14:paraId="473892B9" w14:textId="77777777" w:rsidR="0047204F" w:rsidRPr="009A10A6" w:rsidRDefault="0047204F" w:rsidP="00170876">
            <w:pPr>
              <w:rPr>
                <w:sz w:val="20"/>
                <w:szCs w:val="20"/>
              </w:rPr>
            </w:pPr>
          </w:p>
        </w:tc>
        <w:tc>
          <w:tcPr>
            <w:tcW w:w="1100" w:type="pct"/>
            <w:shd w:val="clear" w:color="auto" w:fill="FFFF00"/>
          </w:tcPr>
          <w:p w14:paraId="60618C2F" w14:textId="77777777" w:rsidR="0047204F" w:rsidRPr="009A10A6" w:rsidRDefault="0047204F" w:rsidP="00170876">
            <w:pPr>
              <w:rPr>
                <w:sz w:val="20"/>
                <w:szCs w:val="20"/>
              </w:rPr>
            </w:pPr>
          </w:p>
        </w:tc>
      </w:tr>
      <w:tr w:rsidR="0047204F" w:rsidRPr="00B069D1" w14:paraId="37361549" w14:textId="77777777" w:rsidTr="00EF01DE">
        <w:tc>
          <w:tcPr>
            <w:tcW w:w="758" w:type="pct"/>
          </w:tcPr>
          <w:p w14:paraId="15982F37" w14:textId="53B9B249" w:rsidR="0047204F" w:rsidRPr="009A10A6" w:rsidRDefault="0047204F" w:rsidP="00170876">
            <w:pPr>
              <w:rPr>
                <w:b/>
                <w:bCs/>
                <w:sz w:val="20"/>
                <w:szCs w:val="20"/>
              </w:rPr>
            </w:pPr>
            <w:r w:rsidRPr="009A10A6">
              <w:rPr>
                <w:b/>
                <w:bCs/>
                <w:sz w:val="20"/>
                <w:szCs w:val="20"/>
              </w:rPr>
              <w:t xml:space="preserve">Home pooling / Keyring organisations - </w:t>
            </w:r>
            <w:r w:rsidRPr="009A10A6">
              <w:rPr>
                <w:sz w:val="20"/>
                <w:szCs w:val="20"/>
              </w:rPr>
              <w:t>Number of homes in a community form a network, provide peer support to one another and access staff support on a shared model. Paid support, ‘good neighbour’ supports and peer support are parts of this model</w:t>
            </w:r>
          </w:p>
          <w:p w14:paraId="0A580F79" w14:textId="77777777" w:rsidR="0047204F" w:rsidRPr="009A10A6" w:rsidRDefault="0047204F" w:rsidP="00170876">
            <w:pPr>
              <w:rPr>
                <w:b/>
                <w:bCs/>
                <w:sz w:val="20"/>
                <w:szCs w:val="20"/>
              </w:rPr>
            </w:pPr>
          </w:p>
        </w:tc>
        <w:tc>
          <w:tcPr>
            <w:tcW w:w="552" w:type="pct"/>
          </w:tcPr>
          <w:p w14:paraId="6F565B2A" w14:textId="77777777" w:rsidR="0047204F" w:rsidRPr="009A10A6" w:rsidRDefault="0047204F" w:rsidP="00170876">
            <w:pPr>
              <w:rPr>
                <w:sz w:val="20"/>
                <w:szCs w:val="20"/>
              </w:rPr>
            </w:pPr>
            <w:r w:rsidRPr="009A10A6">
              <w:rPr>
                <w:sz w:val="20"/>
                <w:szCs w:val="20"/>
              </w:rPr>
              <w:t>Australia</w:t>
            </w:r>
          </w:p>
          <w:p w14:paraId="5EF43BAA" w14:textId="77777777" w:rsidR="0047204F" w:rsidRPr="009A10A6" w:rsidRDefault="0047204F" w:rsidP="00170876">
            <w:pPr>
              <w:rPr>
                <w:sz w:val="20"/>
                <w:szCs w:val="20"/>
              </w:rPr>
            </w:pPr>
          </w:p>
          <w:p w14:paraId="5AA1C7B1" w14:textId="77777777" w:rsidR="0047204F" w:rsidRPr="009A10A6" w:rsidRDefault="0047204F" w:rsidP="00170876">
            <w:pPr>
              <w:rPr>
                <w:sz w:val="20"/>
                <w:szCs w:val="20"/>
              </w:rPr>
            </w:pPr>
          </w:p>
          <w:p w14:paraId="0B76B077" w14:textId="77777777" w:rsidR="0047204F" w:rsidRPr="009A10A6" w:rsidRDefault="0047204F" w:rsidP="00170876">
            <w:pPr>
              <w:rPr>
                <w:sz w:val="20"/>
                <w:szCs w:val="20"/>
              </w:rPr>
            </w:pPr>
            <w:r w:rsidRPr="009A10A6">
              <w:rPr>
                <w:sz w:val="20"/>
                <w:szCs w:val="20"/>
              </w:rPr>
              <w:t xml:space="preserve">UK </w:t>
            </w:r>
          </w:p>
        </w:tc>
        <w:tc>
          <w:tcPr>
            <w:tcW w:w="439" w:type="pct"/>
          </w:tcPr>
          <w:p w14:paraId="635C6C91" w14:textId="77777777" w:rsidR="0047204F" w:rsidRPr="009A10A6" w:rsidRDefault="0047204F" w:rsidP="00170876">
            <w:pPr>
              <w:rPr>
                <w:sz w:val="20"/>
                <w:szCs w:val="20"/>
              </w:rPr>
            </w:pPr>
            <w:r w:rsidRPr="009A10A6">
              <w:rPr>
                <w:sz w:val="20"/>
                <w:szCs w:val="20"/>
              </w:rPr>
              <w:t>Wiesel et al (2015)</w:t>
            </w:r>
          </w:p>
          <w:p w14:paraId="6BBDDE60" w14:textId="77777777" w:rsidR="0047204F" w:rsidRPr="009A10A6" w:rsidRDefault="0047204F" w:rsidP="00170876">
            <w:pPr>
              <w:rPr>
                <w:sz w:val="20"/>
                <w:szCs w:val="20"/>
              </w:rPr>
            </w:pPr>
          </w:p>
          <w:p w14:paraId="6E08F1B2" w14:textId="77777777" w:rsidR="0047204F" w:rsidRPr="009A10A6" w:rsidRDefault="0047204F" w:rsidP="00170876">
            <w:pPr>
              <w:rPr>
                <w:sz w:val="20"/>
                <w:szCs w:val="20"/>
              </w:rPr>
            </w:pPr>
            <w:r w:rsidRPr="009A10A6">
              <w:rPr>
                <w:sz w:val="20"/>
                <w:szCs w:val="20"/>
              </w:rPr>
              <w:t>Parmenter &amp; Arnold (2008)</w:t>
            </w:r>
          </w:p>
          <w:p w14:paraId="682D3E5C" w14:textId="77777777" w:rsidR="0047204F" w:rsidRPr="009A10A6" w:rsidRDefault="0047204F" w:rsidP="00170876">
            <w:pPr>
              <w:rPr>
                <w:sz w:val="20"/>
                <w:szCs w:val="20"/>
              </w:rPr>
            </w:pPr>
          </w:p>
        </w:tc>
        <w:tc>
          <w:tcPr>
            <w:tcW w:w="743" w:type="pct"/>
          </w:tcPr>
          <w:p w14:paraId="2ABE43A3" w14:textId="77777777" w:rsidR="0047204F" w:rsidRPr="009A10A6" w:rsidRDefault="0047204F" w:rsidP="00170876">
            <w:pPr>
              <w:rPr>
                <w:sz w:val="20"/>
                <w:szCs w:val="20"/>
              </w:rPr>
            </w:pPr>
            <w:r w:rsidRPr="009A10A6">
              <w:rPr>
                <w:sz w:val="20"/>
                <w:szCs w:val="20"/>
              </w:rPr>
              <w:t xml:space="preserve">People with disabilities </w:t>
            </w:r>
          </w:p>
        </w:tc>
        <w:tc>
          <w:tcPr>
            <w:tcW w:w="606" w:type="pct"/>
          </w:tcPr>
          <w:p w14:paraId="6035937D" w14:textId="77777777" w:rsidR="0047204F" w:rsidRPr="009A10A6" w:rsidRDefault="0047204F" w:rsidP="00170876">
            <w:pPr>
              <w:rPr>
                <w:sz w:val="20"/>
                <w:szCs w:val="20"/>
              </w:rPr>
            </w:pPr>
            <w:r w:rsidRPr="009A10A6">
              <w:rPr>
                <w:sz w:val="20"/>
                <w:szCs w:val="20"/>
              </w:rPr>
              <w:t>Commissioned research. Grey Literature</w:t>
            </w:r>
          </w:p>
        </w:tc>
        <w:tc>
          <w:tcPr>
            <w:tcW w:w="802" w:type="pct"/>
          </w:tcPr>
          <w:p w14:paraId="026802FF" w14:textId="0DA9916E" w:rsidR="0047204F" w:rsidRPr="009A10A6" w:rsidRDefault="00062B5C" w:rsidP="00170876">
            <w:pPr>
              <w:rPr>
                <w:sz w:val="20"/>
                <w:szCs w:val="20"/>
              </w:rPr>
            </w:pPr>
            <w:r>
              <w:rPr>
                <w:sz w:val="20"/>
                <w:szCs w:val="20"/>
              </w:rPr>
              <w:t xml:space="preserve"> N/A</w:t>
            </w:r>
          </w:p>
        </w:tc>
        <w:tc>
          <w:tcPr>
            <w:tcW w:w="1100" w:type="pct"/>
          </w:tcPr>
          <w:p w14:paraId="6B47A948" w14:textId="558AE495" w:rsidR="0047204F" w:rsidRPr="009A10A6" w:rsidRDefault="0047204F" w:rsidP="00170876">
            <w:pPr>
              <w:rPr>
                <w:sz w:val="20"/>
                <w:szCs w:val="20"/>
              </w:rPr>
            </w:pPr>
            <w:r w:rsidRPr="009A10A6">
              <w:rPr>
                <w:sz w:val="20"/>
                <w:szCs w:val="20"/>
              </w:rPr>
              <w:t xml:space="preserve">Report on how people used informal supports and individualised funding to pay for these supports in Keyring model. </w:t>
            </w:r>
            <w:r w:rsidR="00062B5C" w:rsidRPr="009A10A6">
              <w:rPr>
                <w:sz w:val="20"/>
                <w:szCs w:val="20"/>
              </w:rPr>
              <w:t xml:space="preserve">Secondary data sources and reports referenced in relation to this model of housing </w:t>
            </w:r>
            <w:r w:rsidRPr="009A10A6">
              <w:rPr>
                <w:sz w:val="20"/>
                <w:szCs w:val="20"/>
              </w:rPr>
              <w:t>Risk of model collapsing if one person decides to move elsewhere.</w:t>
            </w:r>
          </w:p>
        </w:tc>
      </w:tr>
      <w:tr w:rsidR="0047204F" w:rsidRPr="00B069D1" w14:paraId="66350266" w14:textId="77777777" w:rsidTr="00EF01DE">
        <w:tc>
          <w:tcPr>
            <w:tcW w:w="758" w:type="pct"/>
            <w:shd w:val="clear" w:color="auto" w:fill="FFFF00"/>
          </w:tcPr>
          <w:p w14:paraId="30DB721A" w14:textId="77777777" w:rsidR="0047204F" w:rsidRPr="009A10A6" w:rsidRDefault="0047204F" w:rsidP="00EC3AD9">
            <w:pPr>
              <w:keepNext/>
              <w:rPr>
                <w:b/>
                <w:bCs/>
                <w:sz w:val="20"/>
                <w:szCs w:val="20"/>
              </w:rPr>
            </w:pPr>
            <w:r w:rsidRPr="009A10A6">
              <w:rPr>
                <w:b/>
                <w:bCs/>
                <w:sz w:val="20"/>
                <w:szCs w:val="20"/>
              </w:rPr>
              <w:lastRenderedPageBreak/>
              <w:t xml:space="preserve">Home ownership </w:t>
            </w:r>
          </w:p>
        </w:tc>
        <w:tc>
          <w:tcPr>
            <w:tcW w:w="552" w:type="pct"/>
            <w:shd w:val="clear" w:color="auto" w:fill="FFFF00"/>
          </w:tcPr>
          <w:p w14:paraId="6DB52E74" w14:textId="77777777" w:rsidR="0047204F" w:rsidRPr="009A10A6" w:rsidRDefault="0047204F" w:rsidP="00EC3AD9">
            <w:pPr>
              <w:keepNext/>
              <w:rPr>
                <w:sz w:val="20"/>
                <w:szCs w:val="20"/>
              </w:rPr>
            </w:pPr>
          </w:p>
        </w:tc>
        <w:tc>
          <w:tcPr>
            <w:tcW w:w="439" w:type="pct"/>
            <w:shd w:val="clear" w:color="auto" w:fill="FFFF00"/>
          </w:tcPr>
          <w:p w14:paraId="5AC3FE44" w14:textId="77777777" w:rsidR="0047204F" w:rsidRPr="009A10A6" w:rsidRDefault="0047204F" w:rsidP="00EC3AD9">
            <w:pPr>
              <w:keepNext/>
              <w:rPr>
                <w:sz w:val="20"/>
                <w:szCs w:val="20"/>
              </w:rPr>
            </w:pPr>
          </w:p>
        </w:tc>
        <w:tc>
          <w:tcPr>
            <w:tcW w:w="743" w:type="pct"/>
            <w:shd w:val="clear" w:color="auto" w:fill="FFFF00"/>
          </w:tcPr>
          <w:p w14:paraId="2BFE66B9" w14:textId="77777777" w:rsidR="0047204F" w:rsidRPr="009A10A6" w:rsidRDefault="0047204F" w:rsidP="00EC3AD9">
            <w:pPr>
              <w:keepNext/>
              <w:rPr>
                <w:sz w:val="20"/>
                <w:szCs w:val="20"/>
              </w:rPr>
            </w:pPr>
          </w:p>
        </w:tc>
        <w:tc>
          <w:tcPr>
            <w:tcW w:w="606" w:type="pct"/>
            <w:shd w:val="clear" w:color="auto" w:fill="FFFF00"/>
          </w:tcPr>
          <w:p w14:paraId="59B78FE3" w14:textId="77777777" w:rsidR="0047204F" w:rsidRPr="009A10A6" w:rsidRDefault="0047204F" w:rsidP="00EC3AD9">
            <w:pPr>
              <w:keepNext/>
              <w:rPr>
                <w:sz w:val="20"/>
                <w:szCs w:val="20"/>
              </w:rPr>
            </w:pPr>
          </w:p>
        </w:tc>
        <w:tc>
          <w:tcPr>
            <w:tcW w:w="802" w:type="pct"/>
            <w:shd w:val="clear" w:color="auto" w:fill="FFFF00"/>
          </w:tcPr>
          <w:p w14:paraId="7217D8A5" w14:textId="77777777" w:rsidR="0047204F" w:rsidRPr="009A10A6" w:rsidRDefault="0047204F" w:rsidP="00EC3AD9">
            <w:pPr>
              <w:keepNext/>
              <w:rPr>
                <w:sz w:val="20"/>
                <w:szCs w:val="20"/>
              </w:rPr>
            </w:pPr>
          </w:p>
        </w:tc>
        <w:tc>
          <w:tcPr>
            <w:tcW w:w="1100" w:type="pct"/>
            <w:shd w:val="clear" w:color="auto" w:fill="FFFF00"/>
          </w:tcPr>
          <w:p w14:paraId="17DF2256" w14:textId="77777777" w:rsidR="0047204F" w:rsidRPr="009A10A6" w:rsidRDefault="0047204F" w:rsidP="00EC3AD9">
            <w:pPr>
              <w:keepNext/>
              <w:rPr>
                <w:sz w:val="20"/>
                <w:szCs w:val="20"/>
              </w:rPr>
            </w:pPr>
          </w:p>
        </w:tc>
      </w:tr>
      <w:tr w:rsidR="0047204F" w:rsidRPr="00B069D1" w14:paraId="3AC444B8" w14:textId="77777777" w:rsidTr="00EF01DE">
        <w:tc>
          <w:tcPr>
            <w:tcW w:w="758" w:type="pct"/>
          </w:tcPr>
          <w:p w14:paraId="1AA9F5FF" w14:textId="77777777" w:rsidR="0047204F" w:rsidRPr="009A10A6" w:rsidRDefault="0047204F" w:rsidP="00EC3AD9">
            <w:pPr>
              <w:keepNext/>
              <w:rPr>
                <w:sz w:val="20"/>
                <w:szCs w:val="20"/>
              </w:rPr>
            </w:pPr>
            <w:r w:rsidRPr="009A10A6">
              <w:rPr>
                <w:b/>
                <w:bCs/>
                <w:sz w:val="20"/>
                <w:szCs w:val="20"/>
              </w:rPr>
              <w:t xml:space="preserve">Home ownership / Shared equity - </w:t>
            </w:r>
            <w:r w:rsidRPr="009A10A6">
              <w:rPr>
                <w:sz w:val="20"/>
                <w:szCs w:val="20"/>
              </w:rPr>
              <w:t>Purchasing a home independently or in partnership with state Government or another agency</w:t>
            </w:r>
          </w:p>
          <w:p w14:paraId="054F038B" w14:textId="77777777" w:rsidR="0047204F" w:rsidRPr="009A10A6" w:rsidRDefault="0047204F" w:rsidP="00EC3AD9">
            <w:pPr>
              <w:keepNext/>
              <w:rPr>
                <w:sz w:val="20"/>
                <w:szCs w:val="20"/>
              </w:rPr>
            </w:pPr>
          </w:p>
          <w:p w14:paraId="43479F0C" w14:textId="77777777" w:rsidR="0047204F" w:rsidRPr="009A10A6" w:rsidRDefault="0047204F" w:rsidP="00EC3AD9">
            <w:pPr>
              <w:keepNext/>
              <w:rPr>
                <w:b/>
                <w:bCs/>
                <w:sz w:val="20"/>
                <w:szCs w:val="20"/>
              </w:rPr>
            </w:pPr>
          </w:p>
        </w:tc>
        <w:tc>
          <w:tcPr>
            <w:tcW w:w="552" w:type="pct"/>
          </w:tcPr>
          <w:p w14:paraId="2DAD6800" w14:textId="77777777" w:rsidR="0047204F" w:rsidRPr="009A10A6" w:rsidRDefault="0047204F" w:rsidP="00EC3AD9">
            <w:pPr>
              <w:keepNext/>
              <w:rPr>
                <w:sz w:val="20"/>
                <w:szCs w:val="20"/>
              </w:rPr>
            </w:pPr>
            <w:r w:rsidRPr="009A10A6">
              <w:rPr>
                <w:sz w:val="20"/>
                <w:szCs w:val="20"/>
              </w:rPr>
              <w:t xml:space="preserve">Australia </w:t>
            </w:r>
          </w:p>
        </w:tc>
        <w:tc>
          <w:tcPr>
            <w:tcW w:w="439" w:type="pct"/>
          </w:tcPr>
          <w:p w14:paraId="707B9D44" w14:textId="77777777" w:rsidR="0047204F" w:rsidRPr="009A10A6" w:rsidRDefault="0047204F" w:rsidP="00EC3AD9">
            <w:pPr>
              <w:keepNext/>
              <w:rPr>
                <w:sz w:val="20"/>
                <w:szCs w:val="20"/>
              </w:rPr>
            </w:pPr>
            <w:r w:rsidRPr="009A10A6">
              <w:rPr>
                <w:sz w:val="20"/>
                <w:szCs w:val="20"/>
              </w:rPr>
              <w:t>Wiesel et al (2015)</w:t>
            </w:r>
          </w:p>
          <w:p w14:paraId="514D2EAA" w14:textId="77777777" w:rsidR="0047204F" w:rsidRPr="009A10A6" w:rsidRDefault="0047204F" w:rsidP="00EC3AD9">
            <w:pPr>
              <w:keepNext/>
              <w:rPr>
                <w:sz w:val="20"/>
                <w:szCs w:val="20"/>
              </w:rPr>
            </w:pPr>
          </w:p>
          <w:p w14:paraId="19041E6E" w14:textId="77777777" w:rsidR="0047204F" w:rsidRPr="009A10A6" w:rsidRDefault="0047204F" w:rsidP="00EC3AD9">
            <w:pPr>
              <w:keepNext/>
              <w:rPr>
                <w:sz w:val="20"/>
                <w:szCs w:val="20"/>
              </w:rPr>
            </w:pPr>
            <w:r w:rsidRPr="009A10A6">
              <w:rPr>
                <w:sz w:val="20"/>
                <w:szCs w:val="20"/>
              </w:rPr>
              <w:t>Parmenter &amp; Arnold (2008)</w:t>
            </w:r>
          </w:p>
          <w:p w14:paraId="4E10204D" w14:textId="77777777" w:rsidR="0047204F" w:rsidRPr="009A10A6" w:rsidRDefault="0047204F" w:rsidP="00EC3AD9">
            <w:pPr>
              <w:keepNext/>
              <w:rPr>
                <w:sz w:val="20"/>
                <w:szCs w:val="20"/>
              </w:rPr>
            </w:pPr>
          </w:p>
          <w:p w14:paraId="5BB4089B" w14:textId="77777777" w:rsidR="0047204F" w:rsidRPr="009A10A6" w:rsidRDefault="0047204F" w:rsidP="00EC3AD9">
            <w:pPr>
              <w:keepNext/>
              <w:rPr>
                <w:sz w:val="20"/>
                <w:szCs w:val="20"/>
              </w:rPr>
            </w:pPr>
            <w:r w:rsidRPr="009A10A6">
              <w:rPr>
                <w:sz w:val="20"/>
                <w:szCs w:val="20"/>
              </w:rPr>
              <w:t>Wiesel et al (2017)</w:t>
            </w:r>
          </w:p>
          <w:p w14:paraId="24BB0BF6" w14:textId="77777777" w:rsidR="0047204F" w:rsidRPr="009A10A6" w:rsidRDefault="0047204F" w:rsidP="00EC3AD9">
            <w:pPr>
              <w:keepNext/>
              <w:rPr>
                <w:sz w:val="20"/>
                <w:szCs w:val="20"/>
              </w:rPr>
            </w:pPr>
          </w:p>
        </w:tc>
        <w:tc>
          <w:tcPr>
            <w:tcW w:w="743" w:type="pct"/>
          </w:tcPr>
          <w:p w14:paraId="36C69431" w14:textId="77777777" w:rsidR="0047204F" w:rsidRPr="009A10A6" w:rsidRDefault="0047204F" w:rsidP="00EC3AD9">
            <w:pPr>
              <w:keepNext/>
              <w:rPr>
                <w:sz w:val="20"/>
                <w:szCs w:val="20"/>
              </w:rPr>
            </w:pPr>
            <w:r w:rsidRPr="009A10A6">
              <w:rPr>
                <w:sz w:val="20"/>
                <w:szCs w:val="20"/>
              </w:rPr>
              <w:t>People with disabilities</w:t>
            </w:r>
          </w:p>
          <w:p w14:paraId="7B2FDBA3" w14:textId="77777777" w:rsidR="0047204F" w:rsidRPr="009A10A6" w:rsidRDefault="0047204F" w:rsidP="00EC3AD9">
            <w:pPr>
              <w:keepNext/>
              <w:rPr>
                <w:sz w:val="20"/>
                <w:szCs w:val="20"/>
              </w:rPr>
            </w:pPr>
          </w:p>
        </w:tc>
        <w:tc>
          <w:tcPr>
            <w:tcW w:w="606" w:type="pct"/>
          </w:tcPr>
          <w:p w14:paraId="7609F320" w14:textId="77777777" w:rsidR="0047204F" w:rsidRPr="009A10A6" w:rsidRDefault="0047204F" w:rsidP="00EC3AD9">
            <w:pPr>
              <w:keepNext/>
              <w:rPr>
                <w:sz w:val="20"/>
                <w:szCs w:val="20"/>
              </w:rPr>
            </w:pPr>
            <w:r w:rsidRPr="009A10A6">
              <w:rPr>
                <w:sz w:val="20"/>
                <w:szCs w:val="20"/>
              </w:rPr>
              <w:t>Mixed methods. Grey literature.</w:t>
            </w:r>
          </w:p>
        </w:tc>
        <w:tc>
          <w:tcPr>
            <w:tcW w:w="802" w:type="pct"/>
          </w:tcPr>
          <w:p w14:paraId="63C35163" w14:textId="5CB71AB3" w:rsidR="0047204F" w:rsidRPr="009A10A6" w:rsidRDefault="00E94D61" w:rsidP="00EC3AD9">
            <w:pPr>
              <w:keepNext/>
              <w:rPr>
                <w:sz w:val="20"/>
                <w:szCs w:val="20"/>
              </w:rPr>
            </w:pPr>
            <w:r>
              <w:rPr>
                <w:b/>
                <w:bCs/>
                <w:sz w:val="20"/>
                <w:szCs w:val="20"/>
              </w:rPr>
              <w:t>N/A</w:t>
            </w:r>
          </w:p>
        </w:tc>
        <w:tc>
          <w:tcPr>
            <w:tcW w:w="1100" w:type="pct"/>
          </w:tcPr>
          <w:p w14:paraId="57163262" w14:textId="77777777" w:rsidR="0047204F" w:rsidRPr="009A10A6" w:rsidRDefault="0047204F" w:rsidP="00EC3AD9">
            <w:pPr>
              <w:keepNext/>
              <w:rPr>
                <w:sz w:val="20"/>
                <w:szCs w:val="20"/>
              </w:rPr>
            </w:pPr>
            <w:r w:rsidRPr="009A10A6">
              <w:rPr>
                <w:sz w:val="20"/>
                <w:szCs w:val="20"/>
              </w:rPr>
              <w:t>Four types of models of shared equity models identified:</w:t>
            </w:r>
          </w:p>
          <w:p w14:paraId="0997B744" w14:textId="77777777" w:rsidR="0047204F" w:rsidRPr="009A10A6" w:rsidRDefault="0047204F" w:rsidP="00EC3AD9">
            <w:pPr>
              <w:pStyle w:val="ListParagraph"/>
              <w:keepNext/>
              <w:numPr>
                <w:ilvl w:val="0"/>
                <w:numId w:val="3"/>
              </w:numPr>
              <w:rPr>
                <w:sz w:val="20"/>
                <w:szCs w:val="20"/>
              </w:rPr>
            </w:pPr>
            <w:r w:rsidRPr="009A10A6">
              <w:rPr>
                <w:sz w:val="20"/>
                <w:szCs w:val="20"/>
              </w:rPr>
              <w:t>Shared equity,</w:t>
            </w:r>
          </w:p>
          <w:p w14:paraId="1C5E6121" w14:textId="77777777" w:rsidR="0047204F" w:rsidRPr="009A10A6" w:rsidRDefault="0047204F" w:rsidP="00EC3AD9">
            <w:pPr>
              <w:pStyle w:val="ListParagraph"/>
              <w:keepNext/>
              <w:numPr>
                <w:ilvl w:val="0"/>
                <w:numId w:val="3"/>
              </w:numPr>
              <w:rPr>
                <w:sz w:val="20"/>
                <w:szCs w:val="20"/>
              </w:rPr>
            </w:pPr>
            <w:r w:rsidRPr="009A10A6">
              <w:rPr>
                <w:sz w:val="20"/>
                <w:szCs w:val="20"/>
              </w:rPr>
              <w:t>Restricted, resale shared equity</w:t>
            </w:r>
          </w:p>
          <w:p w14:paraId="6BC0F605" w14:textId="77777777" w:rsidR="0047204F" w:rsidRPr="009A10A6" w:rsidRDefault="0047204F" w:rsidP="00EC3AD9">
            <w:pPr>
              <w:pStyle w:val="ListParagraph"/>
              <w:keepNext/>
              <w:numPr>
                <w:ilvl w:val="0"/>
                <w:numId w:val="3"/>
              </w:numPr>
              <w:rPr>
                <w:sz w:val="20"/>
                <w:szCs w:val="20"/>
              </w:rPr>
            </w:pPr>
            <w:r w:rsidRPr="009A10A6">
              <w:rPr>
                <w:sz w:val="20"/>
                <w:szCs w:val="20"/>
              </w:rPr>
              <w:t>Individual mixed equity model</w:t>
            </w:r>
          </w:p>
          <w:p w14:paraId="64AAFF25" w14:textId="77777777" w:rsidR="0047204F" w:rsidRPr="009A10A6" w:rsidRDefault="0047204F" w:rsidP="00EC3AD9">
            <w:pPr>
              <w:pStyle w:val="ListParagraph"/>
              <w:keepNext/>
              <w:numPr>
                <w:ilvl w:val="0"/>
                <w:numId w:val="3"/>
              </w:numPr>
              <w:rPr>
                <w:sz w:val="20"/>
                <w:szCs w:val="20"/>
              </w:rPr>
            </w:pPr>
            <w:r w:rsidRPr="009A10A6">
              <w:rPr>
                <w:sz w:val="20"/>
                <w:szCs w:val="20"/>
              </w:rPr>
              <w:t>Group mixed equity model</w:t>
            </w:r>
          </w:p>
          <w:p w14:paraId="0F0B2CD9" w14:textId="56DEE888" w:rsidR="0047204F" w:rsidRPr="009A10A6" w:rsidRDefault="00E94D61" w:rsidP="00EC3AD9">
            <w:pPr>
              <w:keepNext/>
              <w:rPr>
                <w:sz w:val="20"/>
                <w:szCs w:val="20"/>
              </w:rPr>
            </w:pPr>
            <w:r w:rsidRPr="009A10A6">
              <w:rPr>
                <w:sz w:val="20"/>
                <w:szCs w:val="20"/>
              </w:rPr>
              <w:t>No evaluation data on these models provided.</w:t>
            </w:r>
          </w:p>
        </w:tc>
      </w:tr>
      <w:tr w:rsidR="0047204F" w:rsidRPr="00B069D1" w14:paraId="0781E7D6" w14:textId="77777777" w:rsidTr="00EF01DE">
        <w:tc>
          <w:tcPr>
            <w:tcW w:w="758" w:type="pct"/>
            <w:shd w:val="clear" w:color="auto" w:fill="FFFF00"/>
          </w:tcPr>
          <w:p w14:paraId="168D100D" w14:textId="77777777" w:rsidR="0047204F" w:rsidRPr="009A10A6" w:rsidRDefault="0047204F" w:rsidP="00170876">
            <w:pPr>
              <w:rPr>
                <w:b/>
                <w:bCs/>
                <w:sz w:val="20"/>
                <w:szCs w:val="20"/>
              </w:rPr>
            </w:pPr>
            <w:r w:rsidRPr="009A10A6">
              <w:rPr>
                <w:b/>
                <w:bCs/>
                <w:sz w:val="20"/>
                <w:szCs w:val="20"/>
              </w:rPr>
              <w:t>Temporary transition housing</w:t>
            </w:r>
          </w:p>
        </w:tc>
        <w:tc>
          <w:tcPr>
            <w:tcW w:w="552" w:type="pct"/>
            <w:shd w:val="clear" w:color="auto" w:fill="FFFF00"/>
          </w:tcPr>
          <w:p w14:paraId="3CAD87F5" w14:textId="77777777" w:rsidR="0047204F" w:rsidRPr="009A10A6" w:rsidRDefault="0047204F" w:rsidP="00170876">
            <w:pPr>
              <w:rPr>
                <w:sz w:val="20"/>
                <w:szCs w:val="20"/>
              </w:rPr>
            </w:pPr>
          </w:p>
        </w:tc>
        <w:tc>
          <w:tcPr>
            <w:tcW w:w="439" w:type="pct"/>
            <w:shd w:val="clear" w:color="auto" w:fill="FFFF00"/>
          </w:tcPr>
          <w:p w14:paraId="6845958C" w14:textId="77777777" w:rsidR="0047204F" w:rsidRPr="009A10A6" w:rsidRDefault="0047204F" w:rsidP="00170876">
            <w:pPr>
              <w:rPr>
                <w:sz w:val="20"/>
                <w:szCs w:val="20"/>
              </w:rPr>
            </w:pPr>
          </w:p>
        </w:tc>
        <w:tc>
          <w:tcPr>
            <w:tcW w:w="743" w:type="pct"/>
            <w:shd w:val="clear" w:color="auto" w:fill="FFFF00"/>
          </w:tcPr>
          <w:p w14:paraId="50870A01" w14:textId="77777777" w:rsidR="0047204F" w:rsidRPr="009A10A6" w:rsidRDefault="0047204F" w:rsidP="00170876">
            <w:pPr>
              <w:rPr>
                <w:sz w:val="20"/>
                <w:szCs w:val="20"/>
              </w:rPr>
            </w:pPr>
          </w:p>
        </w:tc>
        <w:tc>
          <w:tcPr>
            <w:tcW w:w="606" w:type="pct"/>
            <w:shd w:val="clear" w:color="auto" w:fill="FFFF00"/>
          </w:tcPr>
          <w:p w14:paraId="6797A2A6" w14:textId="77777777" w:rsidR="0047204F" w:rsidRPr="009A10A6" w:rsidRDefault="0047204F" w:rsidP="00170876">
            <w:pPr>
              <w:rPr>
                <w:sz w:val="20"/>
                <w:szCs w:val="20"/>
              </w:rPr>
            </w:pPr>
          </w:p>
        </w:tc>
        <w:tc>
          <w:tcPr>
            <w:tcW w:w="802" w:type="pct"/>
            <w:shd w:val="clear" w:color="auto" w:fill="FFFF00"/>
          </w:tcPr>
          <w:p w14:paraId="3F47B5C9" w14:textId="267CAA1F" w:rsidR="0047204F" w:rsidRPr="009A10A6" w:rsidRDefault="0047204F" w:rsidP="00170876">
            <w:pPr>
              <w:rPr>
                <w:sz w:val="20"/>
                <w:szCs w:val="20"/>
              </w:rPr>
            </w:pPr>
          </w:p>
        </w:tc>
        <w:tc>
          <w:tcPr>
            <w:tcW w:w="1100" w:type="pct"/>
            <w:shd w:val="clear" w:color="auto" w:fill="FFFF00"/>
          </w:tcPr>
          <w:p w14:paraId="3D15C70C" w14:textId="77777777" w:rsidR="0047204F" w:rsidRPr="009A10A6" w:rsidRDefault="0047204F" w:rsidP="00170876">
            <w:pPr>
              <w:rPr>
                <w:sz w:val="20"/>
                <w:szCs w:val="20"/>
              </w:rPr>
            </w:pPr>
          </w:p>
        </w:tc>
      </w:tr>
      <w:tr w:rsidR="0047204F" w:rsidRPr="00B069D1" w14:paraId="6EBD8C1A" w14:textId="77777777" w:rsidTr="00EF01DE">
        <w:tc>
          <w:tcPr>
            <w:tcW w:w="758" w:type="pct"/>
          </w:tcPr>
          <w:p w14:paraId="1DA7B35E" w14:textId="77777777" w:rsidR="0047204F" w:rsidRPr="009A10A6" w:rsidRDefault="0047204F" w:rsidP="00170876">
            <w:pPr>
              <w:rPr>
                <w:sz w:val="20"/>
                <w:szCs w:val="20"/>
              </w:rPr>
            </w:pPr>
            <w:r w:rsidRPr="009A10A6">
              <w:rPr>
                <w:b/>
                <w:bCs/>
                <w:sz w:val="20"/>
                <w:szCs w:val="20"/>
              </w:rPr>
              <w:t>Supported and transitional housing</w:t>
            </w:r>
            <w:r w:rsidRPr="009A10A6">
              <w:rPr>
                <w:sz w:val="20"/>
                <w:szCs w:val="20"/>
              </w:rPr>
              <w:t xml:space="preserve"> that provides a stepping-stone to more stable housing options in community</w:t>
            </w:r>
          </w:p>
          <w:p w14:paraId="4598E095" w14:textId="77777777" w:rsidR="0047204F" w:rsidRPr="009A10A6" w:rsidRDefault="0047204F" w:rsidP="00170876">
            <w:pPr>
              <w:rPr>
                <w:b/>
                <w:bCs/>
                <w:sz w:val="20"/>
                <w:szCs w:val="20"/>
              </w:rPr>
            </w:pPr>
          </w:p>
          <w:p w14:paraId="14ECA041" w14:textId="77777777" w:rsidR="0047204F" w:rsidRPr="009A10A6" w:rsidRDefault="0047204F" w:rsidP="00170876">
            <w:pPr>
              <w:rPr>
                <w:b/>
                <w:bCs/>
                <w:sz w:val="20"/>
                <w:szCs w:val="20"/>
              </w:rPr>
            </w:pPr>
          </w:p>
        </w:tc>
        <w:tc>
          <w:tcPr>
            <w:tcW w:w="552" w:type="pct"/>
          </w:tcPr>
          <w:p w14:paraId="54CC9536" w14:textId="77777777" w:rsidR="0047204F" w:rsidRPr="009A10A6" w:rsidRDefault="0047204F" w:rsidP="00170876">
            <w:pPr>
              <w:rPr>
                <w:sz w:val="20"/>
                <w:szCs w:val="20"/>
              </w:rPr>
            </w:pPr>
            <w:r w:rsidRPr="009A10A6">
              <w:rPr>
                <w:sz w:val="20"/>
                <w:szCs w:val="20"/>
              </w:rPr>
              <w:t xml:space="preserve">Australia </w:t>
            </w:r>
          </w:p>
          <w:p w14:paraId="478509EA" w14:textId="77777777" w:rsidR="0047204F" w:rsidRPr="009A10A6" w:rsidRDefault="0047204F" w:rsidP="00170876">
            <w:pPr>
              <w:rPr>
                <w:sz w:val="20"/>
                <w:szCs w:val="20"/>
              </w:rPr>
            </w:pPr>
          </w:p>
          <w:p w14:paraId="55DA32EB" w14:textId="77777777" w:rsidR="0047204F" w:rsidRPr="009A10A6" w:rsidRDefault="0047204F" w:rsidP="00170876">
            <w:pPr>
              <w:rPr>
                <w:sz w:val="20"/>
                <w:szCs w:val="20"/>
              </w:rPr>
            </w:pPr>
          </w:p>
          <w:p w14:paraId="2EE04434" w14:textId="77777777" w:rsidR="0047204F" w:rsidRPr="009A10A6" w:rsidRDefault="0047204F" w:rsidP="00170876">
            <w:pPr>
              <w:rPr>
                <w:sz w:val="20"/>
                <w:szCs w:val="20"/>
              </w:rPr>
            </w:pPr>
          </w:p>
          <w:p w14:paraId="6CA548C4" w14:textId="77777777" w:rsidR="0047204F" w:rsidRPr="009A10A6" w:rsidRDefault="0047204F" w:rsidP="00170876">
            <w:pPr>
              <w:rPr>
                <w:sz w:val="20"/>
                <w:szCs w:val="20"/>
              </w:rPr>
            </w:pPr>
          </w:p>
        </w:tc>
        <w:tc>
          <w:tcPr>
            <w:tcW w:w="439" w:type="pct"/>
          </w:tcPr>
          <w:p w14:paraId="1BE58B28" w14:textId="77777777" w:rsidR="0047204F" w:rsidRPr="009A10A6" w:rsidRDefault="0047204F" w:rsidP="00170876">
            <w:pPr>
              <w:rPr>
                <w:sz w:val="20"/>
                <w:szCs w:val="20"/>
              </w:rPr>
            </w:pPr>
            <w:r w:rsidRPr="009A10A6">
              <w:rPr>
                <w:sz w:val="20"/>
                <w:szCs w:val="20"/>
              </w:rPr>
              <w:t>Fisher et al (2008)</w:t>
            </w:r>
          </w:p>
          <w:p w14:paraId="50182C10" w14:textId="77777777" w:rsidR="0047204F" w:rsidRPr="009A10A6" w:rsidRDefault="0047204F" w:rsidP="00170876">
            <w:pPr>
              <w:rPr>
                <w:sz w:val="20"/>
                <w:szCs w:val="20"/>
              </w:rPr>
            </w:pPr>
          </w:p>
        </w:tc>
        <w:tc>
          <w:tcPr>
            <w:tcW w:w="743" w:type="pct"/>
          </w:tcPr>
          <w:p w14:paraId="4A5F33EF" w14:textId="77777777" w:rsidR="0047204F" w:rsidRPr="009A10A6" w:rsidRDefault="0047204F" w:rsidP="00170876">
            <w:pPr>
              <w:rPr>
                <w:sz w:val="20"/>
                <w:szCs w:val="20"/>
              </w:rPr>
            </w:pPr>
            <w:r w:rsidRPr="009A10A6">
              <w:rPr>
                <w:sz w:val="20"/>
                <w:szCs w:val="20"/>
              </w:rPr>
              <w:t>Aboriginal men and people with psychiatric disabilities</w:t>
            </w:r>
          </w:p>
        </w:tc>
        <w:tc>
          <w:tcPr>
            <w:tcW w:w="606" w:type="pct"/>
          </w:tcPr>
          <w:p w14:paraId="415834A9" w14:textId="77777777" w:rsidR="0047204F" w:rsidRPr="009A10A6" w:rsidRDefault="0047204F" w:rsidP="00170876">
            <w:pPr>
              <w:rPr>
                <w:sz w:val="20"/>
                <w:szCs w:val="20"/>
              </w:rPr>
            </w:pPr>
            <w:r w:rsidRPr="009A10A6">
              <w:rPr>
                <w:sz w:val="20"/>
                <w:szCs w:val="20"/>
              </w:rPr>
              <w:t>Mixed methods. Grey literature.</w:t>
            </w:r>
          </w:p>
        </w:tc>
        <w:tc>
          <w:tcPr>
            <w:tcW w:w="802" w:type="pct"/>
          </w:tcPr>
          <w:p w14:paraId="7A6480FC" w14:textId="5E30A3C5" w:rsidR="0047204F" w:rsidRDefault="0047204F" w:rsidP="00170876">
            <w:pPr>
              <w:rPr>
                <w:sz w:val="20"/>
                <w:szCs w:val="20"/>
              </w:rPr>
            </w:pPr>
          </w:p>
          <w:p w14:paraId="6FE91341" w14:textId="45FA1B19" w:rsidR="00E94D61" w:rsidRPr="009A10A6" w:rsidRDefault="00E94D61" w:rsidP="00170876">
            <w:pPr>
              <w:rPr>
                <w:sz w:val="20"/>
                <w:szCs w:val="20"/>
              </w:rPr>
            </w:pPr>
            <w:r>
              <w:rPr>
                <w:sz w:val="20"/>
                <w:szCs w:val="20"/>
              </w:rPr>
              <w:t>N/A</w:t>
            </w:r>
          </w:p>
        </w:tc>
        <w:tc>
          <w:tcPr>
            <w:tcW w:w="1100" w:type="pct"/>
          </w:tcPr>
          <w:p w14:paraId="5B9498FA" w14:textId="25F84451" w:rsidR="0047204F" w:rsidRPr="009A10A6" w:rsidRDefault="00E94D61" w:rsidP="00170876">
            <w:pPr>
              <w:rPr>
                <w:sz w:val="20"/>
                <w:szCs w:val="20"/>
              </w:rPr>
            </w:pPr>
            <w:r w:rsidRPr="009A10A6">
              <w:rPr>
                <w:sz w:val="20"/>
                <w:szCs w:val="20"/>
              </w:rPr>
              <w:t xml:space="preserve">Six programme case studies evaluated using framework devised for the work. All descriptive. </w:t>
            </w:r>
            <w:r w:rsidR="0047204F" w:rsidRPr="009A10A6">
              <w:rPr>
                <w:sz w:val="20"/>
                <w:szCs w:val="20"/>
              </w:rPr>
              <w:t xml:space="preserve">All models evaluated as being person centred with individuals encouraged to make choices about where and who to live with as well as reported to take holistic view of needs. </w:t>
            </w:r>
          </w:p>
        </w:tc>
      </w:tr>
      <w:tr w:rsidR="0047204F" w:rsidRPr="00B069D1" w14:paraId="2164DC51" w14:textId="77777777" w:rsidTr="00EF01DE">
        <w:tc>
          <w:tcPr>
            <w:tcW w:w="758" w:type="pct"/>
            <w:shd w:val="clear" w:color="auto" w:fill="FFFF00"/>
          </w:tcPr>
          <w:p w14:paraId="78B4C71D" w14:textId="77777777" w:rsidR="0047204F" w:rsidRPr="009A10A6" w:rsidRDefault="0047204F" w:rsidP="00EC3AD9">
            <w:pPr>
              <w:keepNext/>
              <w:rPr>
                <w:b/>
                <w:bCs/>
                <w:sz w:val="20"/>
                <w:szCs w:val="20"/>
              </w:rPr>
            </w:pPr>
            <w:r w:rsidRPr="009A10A6">
              <w:rPr>
                <w:b/>
                <w:bCs/>
                <w:sz w:val="20"/>
                <w:szCs w:val="20"/>
              </w:rPr>
              <w:lastRenderedPageBreak/>
              <w:t>Community &amp; supported housing</w:t>
            </w:r>
          </w:p>
        </w:tc>
        <w:tc>
          <w:tcPr>
            <w:tcW w:w="552" w:type="pct"/>
            <w:shd w:val="clear" w:color="auto" w:fill="FFFF00"/>
          </w:tcPr>
          <w:p w14:paraId="4A47A589" w14:textId="77777777" w:rsidR="0047204F" w:rsidRPr="009A10A6" w:rsidRDefault="0047204F" w:rsidP="00EC3AD9">
            <w:pPr>
              <w:keepNext/>
              <w:rPr>
                <w:sz w:val="20"/>
                <w:szCs w:val="20"/>
              </w:rPr>
            </w:pPr>
          </w:p>
        </w:tc>
        <w:tc>
          <w:tcPr>
            <w:tcW w:w="439" w:type="pct"/>
            <w:shd w:val="clear" w:color="auto" w:fill="FFFF00"/>
          </w:tcPr>
          <w:p w14:paraId="39A6584E" w14:textId="77777777" w:rsidR="0047204F" w:rsidRPr="009A10A6" w:rsidRDefault="0047204F" w:rsidP="00EC3AD9">
            <w:pPr>
              <w:keepNext/>
              <w:rPr>
                <w:sz w:val="20"/>
                <w:szCs w:val="20"/>
              </w:rPr>
            </w:pPr>
          </w:p>
        </w:tc>
        <w:tc>
          <w:tcPr>
            <w:tcW w:w="743" w:type="pct"/>
            <w:shd w:val="clear" w:color="auto" w:fill="FFFF00"/>
          </w:tcPr>
          <w:p w14:paraId="3D967284" w14:textId="77777777" w:rsidR="0047204F" w:rsidRPr="009A10A6" w:rsidRDefault="0047204F" w:rsidP="00EC3AD9">
            <w:pPr>
              <w:keepNext/>
              <w:rPr>
                <w:sz w:val="20"/>
                <w:szCs w:val="20"/>
              </w:rPr>
            </w:pPr>
          </w:p>
        </w:tc>
        <w:tc>
          <w:tcPr>
            <w:tcW w:w="606" w:type="pct"/>
            <w:shd w:val="clear" w:color="auto" w:fill="FFFF00"/>
          </w:tcPr>
          <w:p w14:paraId="4FB4050C" w14:textId="77777777" w:rsidR="0047204F" w:rsidRPr="009A10A6" w:rsidRDefault="0047204F" w:rsidP="00EC3AD9">
            <w:pPr>
              <w:keepNext/>
              <w:rPr>
                <w:sz w:val="20"/>
                <w:szCs w:val="20"/>
              </w:rPr>
            </w:pPr>
          </w:p>
        </w:tc>
        <w:tc>
          <w:tcPr>
            <w:tcW w:w="802" w:type="pct"/>
            <w:shd w:val="clear" w:color="auto" w:fill="FFFF00"/>
          </w:tcPr>
          <w:p w14:paraId="4832880F" w14:textId="77777777" w:rsidR="0047204F" w:rsidRPr="009A10A6" w:rsidRDefault="0047204F" w:rsidP="00EC3AD9">
            <w:pPr>
              <w:keepNext/>
              <w:rPr>
                <w:sz w:val="20"/>
                <w:szCs w:val="20"/>
              </w:rPr>
            </w:pPr>
          </w:p>
        </w:tc>
        <w:tc>
          <w:tcPr>
            <w:tcW w:w="1100" w:type="pct"/>
            <w:shd w:val="clear" w:color="auto" w:fill="FFFF00"/>
          </w:tcPr>
          <w:p w14:paraId="559A741A" w14:textId="77777777" w:rsidR="0047204F" w:rsidRPr="009A10A6" w:rsidRDefault="0047204F" w:rsidP="00EC3AD9">
            <w:pPr>
              <w:keepNext/>
              <w:rPr>
                <w:sz w:val="20"/>
                <w:szCs w:val="20"/>
              </w:rPr>
            </w:pPr>
          </w:p>
        </w:tc>
      </w:tr>
      <w:tr w:rsidR="0047204F" w:rsidRPr="00B069D1" w14:paraId="72EA1EA5" w14:textId="77777777" w:rsidTr="00EF01DE">
        <w:tc>
          <w:tcPr>
            <w:tcW w:w="758" w:type="pct"/>
            <w:shd w:val="clear" w:color="auto" w:fill="auto"/>
          </w:tcPr>
          <w:p w14:paraId="3564E538" w14:textId="77777777" w:rsidR="0047204F" w:rsidRPr="009A10A6" w:rsidRDefault="0047204F" w:rsidP="00EC3AD9">
            <w:pPr>
              <w:keepNext/>
              <w:rPr>
                <w:b/>
                <w:bCs/>
                <w:sz w:val="20"/>
                <w:szCs w:val="20"/>
              </w:rPr>
            </w:pPr>
            <w:r w:rsidRPr="009A10A6">
              <w:rPr>
                <w:b/>
                <w:bCs/>
                <w:sz w:val="20"/>
                <w:szCs w:val="20"/>
              </w:rPr>
              <w:t>Supported living arrangements</w:t>
            </w:r>
          </w:p>
          <w:p w14:paraId="7ABA6E5B" w14:textId="77777777" w:rsidR="0047204F" w:rsidRPr="009A10A6" w:rsidRDefault="0047204F" w:rsidP="00EC3AD9">
            <w:pPr>
              <w:keepNext/>
              <w:rPr>
                <w:b/>
                <w:bCs/>
                <w:sz w:val="20"/>
                <w:szCs w:val="20"/>
              </w:rPr>
            </w:pPr>
          </w:p>
          <w:p w14:paraId="5D28912B" w14:textId="77777777" w:rsidR="0047204F" w:rsidRPr="009A10A6" w:rsidRDefault="0047204F" w:rsidP="00EC3AD9">
            <w:pPr>
              <w:keepNext/>
              <w:rPr>
                <w:b/>
                <w:bCs/>
                <w:sz w:val="20"/>
                <w:szCs w:val="20"/>
              </w:rPr>
            </w:pPr>
          </w:p>
        </w:tc>
        <w:tc>
          <w:tcPr>
            <w:tcW w:w="552" w:type="pct"/>
            <w:shd w:val="clear" w:color="auto" w:fill="auto"/>
          </w:tcPr>
          <w:p w14:paraId="7855FF0D" w14:textId="77777777" w:rsidR="0047204F" w:rsidRPr="009A10A6" w:rsidRDefault="0047204F" w:rsidP="00EC3AD9">
            <w:pPr>
              <w:keepNext/>
              <w:rPr>
                <w:bCs/>
                <w:sz w:val="20"/>
                <w:szCs w:val="20"/>
              </w:rPr>
            </w:pPr>
            <w:r w:rsidRPr="009A10A6">
              <w:rPr>
                <w:bCs/>
                <w:sz w:val="20"/>
                <w:szCs w:val="20"/>
              </w:rPr>
              <w:t>USA</w:t>
            </w:r>
          </w:p>
          <w:p w14:paraId="16268D29" w14:textId="77777777" w:rsidR="0047204F" w:rsidRPr="009A10A6" w:rsidRDefault="0047204F" w:rsidP="00EC3AD9">
            <w:pPr>
              <w:keepNext/>
              <w:rPr>
                <w:b/>
                <w:bCs/>
                <w:sz w:val="20"/>
                <w:szCs w:val="20"/>
              </w:rPr>
            </w:pPr>
          </w:p>
          <w:p w14:paraId="6002260D" w14:textId="77777777" w:rsidR="0047204F" w:rsidRPr="009A10A6" w:rsidRDefault="0047204F" w:rsidP="00EC3AD9">
            <w:pPr>
              <w:keepNext/>
              <w:rPr>
                <w:sz w:val="20"/>
                <w:szCs w:val="20"/>
              </w:rPr>
            </w:pPr>
          </w:p>
        </w:tc>
        <w:tc>
          <w:tcPr>
            <w:tcW w:w="439" w:type="pct"/>
            <w:shd w:val="clear" w:color="auto" w:fill="auto"/>
          </w:tcPr>
          <w:p w14:paraId="4D7A977D" w14:textId="77777777" w:rsidR="0047204F" w:rsidRPr="009A10A6" w:rsidRDefault="0047204F" w:rsidP="00EC3AD9">
            <w:pPr>
              <w:keepNext/>
              <w:rPr>
                <w:bCs/>
                <w:sz w:val="20"/>
                <w:szCs w:val="20"/>
              </w:rPr>
            </w:pPr>
            <w:r w:rsidRPr="009A10A6">
              <w:rPr>
                <w:bCs/>
                <w:sz w:val="20"/>
                <w:szCs w:val="20"/>
              </w:rPr>
              <w:t>Spreat &amp; Conroy (2002)</w:t>
            </w:r>
          </w:p>
          <w:p w14:paraId="73127D49" w14:textId="77777777" w:rsidR="0047204F" w:rsidRPr="009A10A6" w:rsidRDefault="0047204F" w:rsidP="00EC3AD9">
            <w:pPr>
              <w:keepNext/>
              <w:rPr>
                <w:bCs/>
                <w:sz w:val="20"/>
                <w:szCs w:val="20"/>
              </w:rPr>
            </w:pPr>
          </w:p>
          <w:p w14:paraId="275D426C" w14:textId="77777777" w:rsidR="0047204F" w:rsidRPr="009A10A6" w:rsidRDefault="0047204F" w:rsidP="00EC3AD9">
            <w:pPr>
              <w:keepNext/>
              <w:rPr>
                <w:sz w:val="20"/>
                <w:szCs w:val="20"/>
              </w:rPr>
            </w:pPr>
          </w:p>
        </w:tc>
        <w:tc>
          <w:tcPr>
            <w:tcW w:w="743" w:type="pct"/>
            <w:shd w:val="clear" w:color="auto" w:fill="auto"/>
          </w:tcPr>
          <w:p w14:paraId="3FC9E819" w14:textId="77777777" w:rsidR="0047204F" w:rsidRPr="009A10A6" w:rsidRDefault="0047204F" w:rsidP="00EC3AD9">
            <w:pPr>
              <w:keepNext/>
              <w:rPr>
                <w:sz w:val="20"/>
                <w:szCs w:val="20"/>
              </w:rPr>
            </w:pPr>
            <w:r w:rsidRPr="009A10A6">
              <w:rPr>
                <w:sz w:val="20"/>
                <w:szCs w:val="20"/>
              </w:rPr>
              <w:t xml:space="preserve">Intellectual Disability </w:t>
            </w:r>
          </w:p>
          <w:p w14:paraId="3FD9F022" w14:textId="77777777" w:rsidR="0047204F" w:rsidRPr="009A10A6" w:rsidRDefault="0047204F" w:rsidP="00EC3AD9">
            <w:pPr>
              <w:keepNext/>
              <w:rPr>
                <w:sz w:val="20"/>
                <w:szCs w:val="20"/>
              </w:rPr>
            </w:pPr>
            <w:r w:rsidRPr="009A10A6">
              <w:rPr>
                <w:sz w:val="20"/>
                <w:szCs w:val="20"/>
              </w:rPr>
              <w:t>N=177</w:t>
            </w:r>
          </w:p>
        </w:tc>
        <w:tc>
          <w:tcPr>
            <w:tcW w:w="606" w:type="pct"/>
            <w:shd w:val="clear" w:color="auto" w:fill="auto"/>
          </w:tcPr>
          <w:p w14:paraId="26DE1528" w14:textId="77777777" w:rsidR="0047204F" w:rsidRPr="009A10A6" w:rsidRDefault="0047204F" w:rsidP="00EC3AD9">
            <w:pPr>
              <w:keepNext/>
              <w:rPr>
                <w:sz w:val="20"/>
                <w:szCs w:val="20"/>
              </w:rPr>
            </w:pPr>
            <w:r w:rsidRPr="009A10A6">
              <w:rPr>
                <w:sz w:val="20"/>
                <w:szCs w:val="20"/>
              </w:rPr>
              <w:t>Other - Institutional cycle design</w:t>
            </w:r>
          </w:p>
          <w:p w14:paraId="30DE59FA" w14:textId="77777777" w:rsidR="0047204F" w:rsidRPr="009A10A6" w:rsidRDefault="0047204F" w:rsidP="00EC3AD9">
            <w:pPr>
              <w:keepNext/>
              <w:rPr>
                <w:sz w:val="20"/>
                <w:szCs w:val="20"/>
              </w:rPr>
            </w:pPr>
          </w:p>
          <w:p w14:paraId="5D2E995F" w14:textId="77777777" w:rsidR="0047204F" w:rsidRPr="009A10A6" w:rsidRDefault="0047204F" w:rsidP="00EC3AD9">
            <w:pPr>
              <w:keepNext/>
              <w:rPr>
                <w:sz w:val="20"/>
                <w:szCs w:val="20"/>
              </w:rPr>
            </w:pPr>
            <w:r w:rsidRPr="009A10A6">
              <w:rPr>
                <w:sz w:val="20"/>
                <w:szCs w:val="20"/>
              </w:rPr>
              <w:t>Movement from institution to the community was sequentially introduced allowing an ongoing evaluation of the intervention (i.e. movement to the community).</w:t>
            </w:r>
          </w:p>
        </w:tc>
        <w:tc>
          <w:tcPr>
            <w:tcW w:w="802" w:type="pct"/>
            <w:shd w:val="clear" w:color="auto" w:fill="auto"/>
          </w:tcPr>
          <w:p w14:paraId="5FBEAB46" w14:textId="77777777" w:rsidR="0047204F" w:rsidRPr="009A10A6" w:rsidRDefault="0047204F" w:rsidP="00EC3AD9">
            <w:pPr>
              <w:keepNext/>
              <w:rPr>
                <w:sz w:val="20"/>
                <w:szCs w:val="20"/>
              </w:rPr>
            </w:pPr>
            <w:r w:rsidRPr="009A10A6">
              <w:rPr>
                <w:sz w:val="20"/>
                <w:szCs w:val="20"/>
              </w:rPr>
              <w:t>Fair</w:t>
            </w:r>
          </w:p>
        </w:tc>
        <w:tc>
          <w:tcPr>
            <w:tcW w:w="1100" w:type="pct"/>
            <w:shd w:val="clear" w:color="auto" w:fill="auto"/>
          </w:tcPr>
          <w:p w14:paraId="30BD8D7F" w14:textId="77777777" w:rsidR="0047204F" w:rsidRPr="009A10A6" w:rsidRDefault="0047204F" w:rsidP="00EC3AD9">
            <w:pPr>
              <w:keepNext/>
              <w:rPr>
                <w:sz w:val="20"/>
                <w:szCs w:val="20"/>
              </w:rPr>
            </w:pPr>
            <w:r w:rsidRPr="009A10A6">
              <w:rPr>
                <w:sz w:val="20"/>
                <w:szCs w:val="20"/>
              </w:rPr>
              <w:t xml:space="preserve">Higher visitation rate for supported living arrangements compared to institution. </w:t>
            </w:r>
          </w:p>
        </w:tc>
      </w:tr>
      <w:tr w:rsidR="0047204F" w:rsidRPr="00B069D1" w14:paraId="481770C9" w14:textId="77777777" w:rsidTr="00EF01DE">
        <w:tc>
          <w:tcPr>
            <w:tcW w:w="758" w:type="pct"/>
          </w:tcPr>
          <w:p w14:paraId="1AA69428" w14:textId="77777777" w:rsidR="0047204F" w:rsidRPr="009A10A6" w:rsidRDefault="0047204F" w:rsidP="00170876">
            <w:pPr>
              <w:rPr>
                <w:b/>
                <w:bCs/>
                <w:sz w:val="20"/>
                <w:szCs w:val="20"/>
              </w:rPr>
            </w:pPr>
            <w:r w:rsidRPr="009A10A6">
              <w:rPr>
                <w:b/>
                <w:bCs/>
                <w:sz w:val="20"/>
                <w:szCs w:val="20"/>
              </w:rPr>
              <w:t>Community-based shared supported accommodation (SSA)</w:t>
            </w:r>
          </w:p>
          <w:p w14:paraId="038E91E2" w14:textId="77777777" w:rsidR="0047204F" w:rsidRPr="009A10A6" w:rsidRDefault="0047204F" w:rsidP="00170876">
            <w:pPr>
              <w:rPr>
                <w:b/>
                <w:bCs/>
                <w:sz w:val="20"/>
                <w:szCs w:val="20"/>
              </w:rPr>
            </w:pPr>
          </w:p>
          <w:p w14:paraId="477E840A" w14:textId="4FE21734" w:rsidR="00641D90" w:rsidRPr="009A10A6" w:rsidRDefault="0047204F" w:rsidP="00170876">
            <w:pPr>
              <w:rPr>
                <w:b/>
                <w:bCs/>
                <w:sz w:val="20"/>
                <w:szCs w:val="20"/>
              </w:rPr>
            </w:pPr>
            <w:r w:rsidRPr="009A10A6">
              <w:rPr>
                <w:sz w:val="20"/>
                <w:szCs w:val="20"/>
              </w:rPr>
              <w:t>Compared people with acquired brain injury (ABI) who either lived in residential aged care facility (RAC) or transitioned to SSA from RAC.</w:t>
            </w:r>
          </w:p>
          <w:p w14:paraId="6C166998" w14:textId="77777777" w:rsidR="0047204F" w:rsidRPr="009A10A6" w:rsidRDefault="0047204F" w:rsidP="00170876">
            <w:pPr>
              <w:rPr>
                <w:sz w:val="20"/>
                <w:szCs w:val="20"/>
              </w:rPr>
            </w:pPr>
          </w:p>
        </w:tc>
        <w:tc>
          <w:tcPr>
            <w:tcW w:w="552" w:type="pct"/>
          </w:tcPr>
          <w:p w14:paraId="32DDE60E" w14:textId="77777777" w:rsidR="0047204F" w:rsidRPr="009A10A6" w:rsidRDefault="0047204F" w:rsidP="00170876">
            <w:pPr>
              <w:rPr>
                <w:sz w:val="20"/>
                <w:szCs w:val="20"/>
              </w:rPr>
            </w:pPr>
            <w:r w:rsidRPr="009A10A6">
              <w:rPr>
                <w:sz w:val="20"/>
                <w:szCs w:val="20"/>
              </w:rPr>
              <w:t>Australia</w:t>
            </w:r>
          </w:p>
        </w:tc>
        <w:tc>
          <w:tcPr>
            <w:tcW w:w="439" w:type="pct"/>
          </w:tcPr>
          <w:p w14:paraId="05CF680D" w14:textId="77777777" w:rsidR="0047204F" w:rsidRPr="009A10A6" w:rsidRDefault="0047204F" w:rsidP="00170876">
            <w:pPr>
              <w:rPr>
                <w:sz w:val="20"/>
                <w:szCs w:val="20"/>
              </w:rPr>
            </w:pPr>
            <w:r w:rsidRPr="009A10A6">
              <w:rPr>
                <w:sz w:val="20"/>
                <w:szCs w:val="20"/>
              </w:rPr>
              <w:t>Winkler et al (2015)</w:t>
            </w:r>
          </w:p>
          <w:p w14:paraId="00D780B6" w14:textId="77777777" w:rsidR="0047204F" w:rsidRPr="009A10A6" w:rsidRDefault="0047204F" w:rsidP="00170876">
            <w:pPr>
              <w:rPr>
                <w:sz w:val="20"/>
                <w:szCs w:val="20"/>
              </w:rPr>
            </w:pPr>
          </w:p>
          <w:p w14:paraId="66716C41" w14:textId="77777777" w:rsidR="0047204F" w:rsidRPr="009A10A6" w:rsidRDefault="0047204F" w:rsidP="00170876">
            <w:pPr>
              <w:rPr>
                <w:sz w:val="20"/>
                <w:szCs w:val="20"/>
              </w:rPr>
            </w:pPr>
          </w:p>
        </w:tc>
        <w:tc>
          <w:tcPr>
            <w:tcW w:w="743" w:type="pct"/>
          </w:tcPr>
          <w:p w14:paraId="2852E4EA" w14:textId="77777777" w:rsidR="0047204F" w:rsidRPr="009A10A6" w:rsidRDefault="0047204F" w:rsidP="00170876">
            <w:pPr>
              <w:rPr>
                <w:sz w:val="20"/>
                <w:szCs w:val="20"/>
              </w:rPr>
            </w:pPr>
            <w:r w:rsidRPr="009A10A6">
              <w:rPr>
                <w:sz w:val="20"/>
                <w:szCs w:val="20"/>
              </w:rPr>
              <w:t xml:space="preserve">Acquired brain injury (ABI) </w:t>
            </w:r>
          </w:p>
          <w:p w14:paraId="0F24A826" w14:textId="77777777" w:rsidR="0047204F" w:rsidRPr="009A10A6" w:rsidRDefault="0047204F" w:rsidP="00170876">
            <w:pPr>
              <w:rPr>
                <w:sz w:val="20"/>
                <w:szCs w:val="20"/>
              </w:rPr>
            </w:pPr>
          </w:p>
          <w:p w14:paraId="0C5363B1" w14:textId="77777777" w:rsidR="0047204F" w:rsidRPr="009A10A6" w:rsidRDefault="0047204F" w:rsidP="00170876">
            <w:pPr>
              <w:rPr>
                <w:sz w:val="20"/>
                <w:szCs w:val="20"/>
              </w:rPr>
            </w:pPr>
            <w:r w:rsidRPr="009A10A6">
              <w:rPr>
                <w:sz w:val="20"/>
                <w:szCs w:val="20"/>
              </w:rPr>
              <w:t>N=65</w:t>
            </w:r>
          </w:p>
          <w:p w14:paraId="76244561" w14:textId="77777777" w:rsidR="0047204F" w:rsidRPr="009A10A6" w:rsidRDefault="0047204F" w:rsidP="00170876">
            <w:pPr>
              <w:rPr>
                <w:sz w:val="20"/>
                <w:szCs w:val="20"/>
              </w:rPr>
            </w:pPr>
            <w:r w:rsidRPr="009A10A6">
              <w:rPr>
                <w:sz w:val="20"/>
                <w:szCs w:val="20"/>
              </w:rPr>
              <w:t xml:space="preserve">n=45 ABI living in RAC, </w:t>
            </w:r>
          </w:p>
          <w:p w14:paraId="68869066" w14:textId="77777777" w:rsidR="0047204F" w:rsidRPr="009A10A6" w:rsidRDefault="0047204F" w:rsidP="00170876">
            <w:pPr>
              <w:rPr>
                <w:sz w:val="20"/>
                <w:szCs w:val="20"/>
              </w:rPr>
            </w:pPr>
            <w:r w:rsidRPr="009A10A6">
              <w:rPr>
                <w:sz w:val="20"/>
                <w:szCs w:val="20"/>
              </w:rPr>
              <w:t xml:space="preserve">n=20, ABI transitioned from RAC to SSA </w:t>
            </w:r>
          </w:p>
        </w:tc>
        <w:tc>
          <w:tcPr>
            <w:tcW w:w="606" w:type="pct"/>
          </w:tcPr>
          <w:p w14:paraId="0D5E8421" w14:textId="77777777" w:rsidR="0047204F" w:rsidRPr="009A10A6" w:rsidRDefault="0047204F" w:rsidP="00170876">
            <w:pPr>
              <w:rPr>
                <w:sz w:val="20"/>
                <w:szCs w:val="20"/>
              </w:rPr>
            </w:pPr>
            <w:r w:rsidRPr="009A10A6">
              <w:rPr>
                <w:sz w:val="20"/>
                <w:szCs w:val="20"/>
              </w:rPr>
              <w:t>Cross sectional design</w:t>
            </w:r>
          </w:p>
        </w:tc>
        <w:tc>
          <w:tcPr>
            <w:tcW w:w="802" w:type="pct"/>
          </w:tcPr>
          <w:p w14:paraId="7DFFAF1D" w14:textId="77777777" w:rsidR="0047204F" w:rsidRPr="009A10A6" w:rsidRDefault="0047204F" w:rsidP="00170876">
            <w:pPr>
              <w:rPr>
                <w:sz w:val="20"/>
                <w:szCs w:val="20"/>
              </w:rPr>
            </w:pPr>
            <w:r w:rsidRPr="009A10A6">
              <w:rPr>
                <w:sz w:val="20"/>
                <w:szCs w:val="20"/>
              </w:rPr>
              <w:t>Fair</w:t>
            </w:r>
          </w:p>
        </w:tc>
        <w:tc>
          <w:tcPr>
            <w:tcW w:w="1100" w:type="pct"/>
          </w:tcPr>
          <w:p w14:paraId="54EDF687" w14:textId="77777777" w:rsidR="0047204F" w:rsidRPr="009A10A6" w:rsidRDefault="0047204F" w:rsidP="00170876">
            <w:pPr>
              <w:rPr>
                <w:sz w:val="20"/>
                <w:szCs w:val="20"/>
              </w:rPr>
            </w:pPr>
            <w:r w:rsidRPr="009A10A6">
              <w:rPr>
                <w:sz w:val="20"/>
                <w:szCs w:val="20"/>
              </w:rPr>
              <w:t>Community-based age-appropriate and small-scale supported accommodation provided people with ABI more opportunities for everyday choice compared to RAC.</w:t>
            </w:r>
          </w:p>
        </w:tc>
      </w:tr>
      <w:tr w:rsidR="0047204F" w:rsidRPr="00B069D1" w14:paraId="5F8BDA66" w14:textId="77777777" w:rsidTr="00EF01DE">
        <w:tc>
          <w:tcPr>
            <w:tcW w:w="758" w:type="pct"/>
          </w:tcPr>
          <w:p w14:paraId="464E9D65" w14:textId="77777777" w:rsidR="0047204F" w:rsidRPr="009A10A6" w:rsidRDefault="0047204F" w:rsidP="00EC3AD9">
            <w:pPr>
              <w:keepNext/>
              <w:rPr>
                <w:b/>
                <w:sz w:val="20"/>
                <w:szCs w:val="20"/>
              </w:rPr>
            </w:pPr>
            <w:r w:rsidRPr="009A10A6">
              <w:rPr>
                <w:b/>
                <w:sz w:val="20"/>
                <w:szCs w:val="20"/>
              </w:rPr>
              <w:lastRenderedPageBreak/>
              <w:t>200 Places Initiative</w:t>
            </w:r>
          </w:p>
          <w:p w14:paraId="50F90561" w14:textId="77777777" w:rsidR="0047204F" w:rsidRPr="009A10A6" w:rsidRDefault="0047204F" w:rsidP="00EC3AD9">
            <w:pPr>
              <w:keepNext/>
              <w:rPr>
                <w:b/>
                <w:sz w:val="20"/>
                <w:szCs w:val="20"/>
              </w:rPr>
            </w:pPr>
          </w:p>
          <w:p w14:paraId="7C504455" w14:textId="77777777" w:rsidR="0047204F" w:rsidRPr="009A10A6" w:rsidRDefault="0047204F" w:rsidP="00EC3AD9">
            <w:pPr>
              <w:keepNext/>
              <w:rPr>
                <w:bCs/>
                <w:sz w:val="20"/>
                <w:szCs w:val="20"/>
              </w:rPr>
            </w:pPr>
          </w:p>
        </w:tc>
        <w:tc>
          <w:tcPr>
            <w:tcW w:w="552" w:type="pct"/>
          </w:tcPr>
          <w:p w14:paraId="2E5A78E0" w14:textId="77777777" w:rsidR="0047204F" w:rsidRPr="009A10A6" w:rsidRDefault="0047204F" w:rsidP="00EC3AD9">
            <w:pPr>
              <w:keepNext/>
              <w:rPr>
                <w:sz w:val="20"/>
                <w:szCs w:val="20"/>
              </w:rPr>
            </w:pPr>
            <w:r w:rsidRPr="009A10A6">
              <w:rPr>
                <w:sz w:val="20"/>
                <w:szCs w:val="20"/>
              </w:rPr>
              <w:t>Australia</w:t>
            </w:r>
          </w:p>
        </w:tc>
        <w:tc>
          <w:tcPr>
            <w:tcW w:w="439" w:type="pct"/>
          </w:tcPr>
          <w:p w14:paraId="5FDBF6ED" w14:textId="77777777" w:rsidR="0047204F" w:rsidRPr="009A10A6" w:rsidRDefault="0047204F" w:rsidP="00EC3AD9">
            <w:pPr>
              <w:keepNext/>
              <w:rPr>
                <w:sz w:val="20"/>
                <w:szCs w:val="20"/>
              </w:rPr>
            </w:pPr>
            <w:r w:rsidRPr="009A10A6">
              <w:rPr>
                <w:sz w:val="20"/>
                <w:szCs w:val="20"/>
              </w:rPr>
              <w:t>Bigby (2008)</w:t>
            </w:r>
          </w:p>
          <w:p w14:paraId="149CBBDD" w14:textId="77777777" w:rsidR="0047204F" w:rsidRPr="009A10A6" w:rsidRDefault="0047204F" w:rsidP="00EC3AD9">
            <w:pPr>
              <w:keepNext/>
              <w:rPr>
                <w:sz w:val="20"/>
                <w:szCs w:val="20"/>
              </w:rPr>
            </w:pPr>
          </w:p>
          <w:p w14:paraId="5BDFD7FD" w14:textId="77777777" w:rsidR="0047204F" w:rsidRPr="009A10A6" w:rsidRDefault="0047204F" w:rsidP="00EC3AD9">
            <w:pPr>
              <w:keepNext/>
              <w:rPr>
                <w:sz w:val="20"/>
                <w:szCs w:val="20"/>
              </w:rPr>
            </w:pPr>
          </w:p>
        </w:tc>
        <w:tc>
          <w:tcPr>
            <w:tcW w:w="743" w:type="pct"/>
          </w:tcPr>
          <w:p w14:paraId="356DE26C" w14:textId="77777777" w:rsidR="0047204F" w:rsidRPr="009A10A6" w:rsidRDefault="0047204F" w:rsidP="00EC3AD9">
            <w:pPr>
              <w:keepNext/>
              <w:rPr>
                <w:sz w:val="20"/>
                <w:szCs w:val="20"/>
              </w:rPr>
            </w:pPr>
            <w:r w:rsidRPr="009A10A6">
              <w:rPr>
                <w:sz w:val="20"/>
                <w:szCs w:val="20"/>
              </w:rPr>
              <w:t>Intellectual disability</w:t>
            </w:r>
          </w:p>
          <w:p w14:paraId="53941716" w14:textId="77777777" w:rsidR="0047204F" w:rsidRPr="009A10A6" w:rsidRDefault="0047204F" w:rsidP="00EC3AD9">
            <w:pPr>
              <w:keepNext/>
              <w:rPr>
                <w:sz w:val="20"/>
                <w:szCs w:val="20"/>
              </w:rPr>
            </w:pPr>
            <w:r w:rsidRPr="009A10A6">
              <w:rPr>
                <w:sz w:val="20"/>
                <w:szCs w:val="20"/>
              </w:rPr>
              <w:t>N=24</w:t>
            </w:r>
          </w:p>
        </w:tc>
        <w:tc>
          <w:tcPr>
            <w:tcW w:w="606" w:type="pct"/>
          </w:tcPr>
          <w:p w14:paraId="73467643" w14:textId="77777777" w:rsidR="0047204F" w:rsidRPr="009A10A6" w:rsidRDefault="0047204F" w:rsidP="00EC3AD9">
            <w:pPr>
              <w:keepNext/>
              <w:rPr>
                <w:sz w:val="20"/>
                <w:szCs w:val="20"/>
              </w:rPr>
            </w:pPr>
            <w:r w:rsidRPr="009A10A6">
              <w:rPr>
                <w:sz w:val="20"/>
                <w:szCs w:val="20"/>
              </w:rPr>
              <w:t>Longitudinal study with four measures baseline, 1 year, 3 years, 5 years post transition</w:t>
            </w:r>
          </w:p>
        </w:tc>
        <w:tc>
          <w:tcPr>
            <w:tcW w:w="802" w:type="pct"/>
          </w:tcPr>
          <w:p w14:paraId="7133EF48" w14:textId="77777777" w:rsidR="0047204F" w:rsidRPr="009A10A6" w:rsidRDefault="0047204F" w:rsidP="00EC3AD9">
            <w:pPr>
              <w:keepNext/>
              <w:rPr>
                <w:sz w:val="20"/>
                <w:szCs w:val="20"/>
              </w:rPr>
            </w:pPr>
            <w:r w:rsidRPr="009A10A6">
              <w:rPr>
                <w:sz w:val="20"/>
                <w:szCs w:val="20"/>
              </w:rPr>
              <w:t>Fair</w:t>
            </w:r>
          </w:p>
        </w:tc>
        <w:tc>
          <w:tcPr>
            <w:tcW w:w="1100" w:type="pct"/>
          </w:tcPr>
          <w:p w14:paraId="706FA29A" w14:textId="77777777" w:rsidR="0047204F" w:rsidRPr="009A10A6" w:rsidRDefault="0047204F" w:rsidP="00EC3AD9">
            <w:pPr>
              <w:keepNext/>
              <w:rPr>
                <w:rFonts w:ascii="Calibri" w:hAnsi="Calibri" w:cs="Calibri"/>
                <w:sz w:val="20"/>
                <w:szCs w:val="20"/>
              </w:rPr>
            </w:pPr>
            <w:r w:rsidRPr="009A10A6">
              <w:rPr>
                <w:rFonts w:ascii="Calibri" w:hAnsi="Calibri" w:cs="Calibri"/>
                <w:sz w:val="20"/>
                <w:szCs w:val="20"/>
              </w:rPr>
              <w:t>In summary, transition to community accommodation did not facilitate better interpersonal relationships or engagement in the community</w:t>
            </w:r>
          </w:p>
          <w:p w14:paraId="05BDDB1F" w14:textId="77777777" w:rsidR="0047204F" w:rsidRPr="009A10A6" w:rsidRDefault="0047204F" w:rsidP="00EC3AD9">
            <w:pPr>
              <w:keepNext/>
              <w:rPr>
                <w:sz w:val="20"/>
                <w:szCs w:val="20"/>
              </w:rPr>
            </w:pPr>
          </w:p>
        </w:tc>
      </w:tr>
      <w:tr w:rsidR="0047204F" w:rsidRPr="00B069D1" w14:paraId="4CFA847F" w14:textId="77777777" w:rsidTr="00EF01DE">
        <w:tc>
          <w:tcPr>
            <w:tcW w:w="758" w:type="pct"/>
          </w:tcPr>
          <w:p w14:paraId="1346665B" w14:textId="77777777" w:rsidR="0047204F" w:rsidRPr="009A10A6" w:rsidRDefault="0047204F" w:rsidP="00170876">
            <w:pPr>
              <w:rPr>
                <w:b/>
                <w:bCs/>
                <w:sz w:val="20"/>
                <w:szCs w:val="20"/>
              </w:rPr>
            </w:pPr>
            <w:r w:rsidRPr="009A10A6">
              <w:rPr>
                <w:b/>
                <w:bCs/>
                <w:sz w:val="20"/>
                <w:szCs w:val="20"/>
              </w:rPr>
              <w:t>Community residential living (CRL)</w:t>
            </w:r>
          </w:p>
          <w:p w14:paraId="0ED168BC" w14:textId="77777777" w:rsidR="0047204F" w:rsidRPr="009A10A6" w:rsidRDefault="0047204F" w:rsidP="00170876">
            <w:pPr>
              <w:rPr>
                <w:b/>
                <w:bCs/>
                <w:sz w:val="20"/>
                <w:szCs w:val="20"/>
              </w:rPr>
            </w:pPr>
          </w:p>
          <w:p w14:paraId="12ABA634" w14:textId="77777777" w:rsidR="0047204F" w:rsidRPr="009A10A6" w:rsidRDefault="0047204F" w:rsidP="00170876">
            <w:pPr>
              <w:rPr>
                <w:sz w:val="20"/>
                <w:szCs w:val="20"/>
              </w:rPr>
            </w:pPr>
            <w:r w:rsidRPr="009A10A6">
              <w:rPr>
                <w:sz w:val="20"/>
                <w:szCs w:val="20"/>
              </w:rPr>
              <w:t>Staffed by support services 24 hours per day, including project supervisor, social worker and support worker.</w:t>
            </w:r>
          </w:p>
          <w:p w14:paraId="5E13CB51" w14:textId="77777777" w:rsidR="0047204F" w:rsidRPr="009A10A6" w:rsidRDefault="0047204F" w:rsidP="00170876">
            <w:pPr>
              <w:rPr>
                <w:sz w:val="20"/>
                <w:szCs w:val="20"/>
              </w:rPr>
            </w:pPr>
          </w:p>
          <w:p w14:paraId="386BC5A2" w14:textId="77777777" w:rsidR="0047204F" w:rsidRPr="009A10A6" w:rsidRDefault="0047204F" w:rsidP="00170876">
            <w:pPr>
              <w:rPr>
                <w:sz w:val="20"/>
                <w:szCs w:val="20"/>
              </w:rPr>
            </w:pPr>
          </w:p>
        </w:tc>
        <w:tc>
          <w:tcPr>
            <w:tcW w:w="552" w:type="pct"/>
          </w:tcPr>
          <w:p w14:paraId="19899E36" w14:textId="77777777" w:rsidR="0047204F" w:rsidRPr="009A10A6" w:rsidRDefault="0047204F" w:rsidP="00170876">
            <w:pPr>
              <w:rPr>
                <w:sz w:val="20"/>
                <w:szCs w:val="20"/>
              </w:rPr>
            </w:pPr>
            <w:r w:rsidRPr="009A10A6">
              <w:rPr>
                <w:sz w:val="20"/>
                <w:szCs w:val="20"/>
              </w:rPr>
              <w:t>Taiwan</w:t>
            </w:r>
          </w:p>
        </w:tc>
        <w:tc>
          <w:tcPr>
            <w:tcW w:w="439" w:type="pct"/>
          </w:tcPr>
          <w:p w14:paraId="4F874699" w14:textId="77777777" w:rsidR="0047204F" w:rsidRPr="009A10A6" w:rsidRDefault="0047204F" w:rsidP="00170876">
            <w:pPr>
              <w:jc w:val="center"/>
              <w:rPr>
                <w:sz w:val="20"/>
                <w:szCs w:val="20"/>
              </w:rPr>
            </w:pPr>
            <w:r w:rsidRPr="009A10A6">
              <w:rPr>
                <w:sz w:val="20"/>
                <w:szCs w:val="20"/>
              </w:rPr>
              <w:t>Chou et al (2011)</w:t>
            </w:r>
          </w:p>
          <w:p w14:paraId="13AC3247" w14:textId="77777777" w:rsidR="0047204F" w:rsidRPr="009A10A6" w:rsidRDefault="0047204F" w:rsidP="00170876">
            <w:pPr>
              <w:jc w:val="center"/>
              <w:rPr>
                <w:sz w:val="20"/>
                <w:szCs w:val="20"/>
              </w:rPr>
            </w:pPr>
          </w:p>
          <w:p w14:paraId="50118756" w14:textId="77777777" w:rsidR="0047204F" w:rsidRPr="009A10A6" w:rsidRDefault="0047204F" w:rsidP="00170876">
            <w:pPr>
              <w:rPr>
                <w:sz w:val="20"/>
                <w:szCs w:val="20"/>
              </w:rPr>
            </w:pPr>
          </w:p>
        </w:tc>
        <w:tc>
          <w:tcPr>
            <w:tcW w:w="743" w:type="pct"/>
          </w:tcPr>
          <w:p w14:paraId="4B81DB43" w14:textId="77777777" w:rsidR="0047204F" w:rsidRPr="009A10A6" w:rsidRDefault="0047204F" w:rsidP="00170876">
            <w:pPr>
              <w:rPr>
                <w:sz w:val="20"/>
                <w:szCs w:val="20"/>
              </w:rPr>
            </w:pPr>
            <w:r w:rsidRPr="009A10A6">
              <w:rPr>
                <w:sz w:val="20"/>
                <w:szCs w:val="20"/>
              </w:rPr>
              <w:t>Intellectual disability</w:t>
            </w:r>
          </w:p>
        </w:tc>
        <w:tc>
          <w:tcPr>
            <w:tcW w:w="606" w:type="pct"/>
          </w:tcPr>
          <w:p w14:paraId="4FC57E31" w14:textId="77777777" w:rsidR="0047204F" w:rsidRPr="009A10A6" w:rsidRDefault="0047204F" w:rsidP="00170876">
            <w:pPr>
              <w:rPr>
                <w:sz w:val="20"/>
                <w:szCs w:val="20"/>
              </w:rPr>
            </w:pPr>
            <w:r w:rsidRPr="009A10A6">
              <w:rPr>
                <w:sz w:val="20"/>
                <w:szCs w:val="20"/>
              </w:rPr>
              <w:t>Pre/post transition design with quality of life outcome measures</w:t>
            </w:r>
          </w:p>
          <w:p w14:paraId="66870A5F" w14:textId="77777777" w:rsidR="0047204F" w:rsidRPr="009A10A6" w:rsidRDefault="0047204F" w:rsidP="00170876">
            <w:pPr>
              <w:rPr>
                <w:sz w:val="20"/>
                <w:szCs w:val="20"/>
              </w:rPr>
            </w:pPr>
            <w:r w:rsidRPr="009A10A6">
              <w:rPr>
                <w:sz w:val="20"/>
                <w:szCs w:val="20"/>
              </w:rPr>
              <w:t>(1) Transition from institution to residential living, (2) transition from family to residential living</w:t>
            </w:r>
          </w:p>
        </w:tc>
        <w:tc>
          <w:tcPr>
            <w:tcW w:w="802" w:type="pct"/>
          </w:tcPr>
          <w:p w14:paraId="65A5BFEB" w14:textId="77777777" w:rsidR="0047204F" w:rsidRPr="009A10A6" w:rsidRDefault="0047204F" w:rsidP="00170876">
            <w:pPr>
              <w:rPr>
                <w:sz w:val="20"/>
                <w:szCs w:val="20"/>
              </w:rPr>
            </w:pPr>
          </w:p>
        </w:tc>
        <w:tc>
          <w:tcPr>
            <w:tcW w:w="1100" w:type="pct"/>
          </w:tcPr>
          <w:p w14:paraId="22C0794F" w14:textId="77777777" w:rsidR="0047204F" w:rsidRPr="009A10A6" w:rsidRDefault="0047204F" w:rsidP="00170876">
            <w:pPr>
              <w:rPr>
                <w:sz w:val="20"/>
                <w:szCs w:val="20"/>
              </w:rPr>
            </w:pPr>
            <w:r w:rsidRPr="009A10A6">
              <w:rPr>
                <w:sz w:val="20"/>
                <w:szCs w:val="20"/>
              </w:rPr>
              <w:t xml:space="preserve">Two-year longitudinal study, at 2 years, almost half of the residents (41%) left the new scheme and moved back to their families or the institutions where they lived earlier due to limited financial and other supports. Residents remaining in the small-scale residential facility reported significant improvement on QoL. </w:t>
            </w:r>
          </w:p>
        </w:tc>
      </w:tr>
      <w:tr w:rsidR="0047204F" w:rsidRPr="00B069D1" w14:paraId="10FE036A" w14:textId="77777777" w:rsidTr="00EF01DE">
        <w:tc>
          <w:tcPr>
            <w:tcW w:w="758" w:type="pct"/>
          </w:tcPr>
          <w:p w14:paraId="41B9C9D6" w14:textId="77777777" w:rsidR="0047204F" w:rsidRPr="009A10A6" w:rsidRDefault="0047204F" w:rsidP="00170876">
            <w:pPr>
              <w:rPr>
                <w:b/>
                <w:bCs/>
                <w:sz w:val="20"/>
                <w:szCs w:val="20"/>
              </w:rPr>
            </w:pPr>
            <w:r w:rsidRPr="009A10A6">
              <w:rPr>
                <w:b/>
                <w:bCs/>
                <w:sz w:val="20"/>
                <w:szCs w:val="20"/>
              </w:rPr>
              <w:t>Supported housing model [compared with group home]</w:t>
            </w:r>
          </w:p>
          <w:p w14:paraId="0F80FE72" w14:textId="77777777" w:rsidR="0047204F" w:rsidRPr="009A10A6" w:rsidRDefault="0047204F" w:rsidP="00170876">
            <w:pPr>
              <w:rPr>
                <w:b/>
                <w:bCs/>
                <w:sz w:val="20"/>
                <w:szCs w:val="20"/>
              </w:rPr>
            </w:pPr>
          </w:p>
          <w:p w14:paraId="62AE1DE0" w14:textId="77777777" w:rsidR="0047204F" w:rsidRPr="009A10A6" w:rsidRDefault="0047204F" w:rsidP="00170876">
            <w:pPr>
              <w:rPr>
                <w:sz w:val="20"/>
                <w:szCs w:val="20"/>
              </w:rPr>
            </w:pPr>
            <w:r w:rsidRPr="009A10A6">
              <w:rPr>
                <w:sz w:val="20"/>
                <w:szCs w:val="20"/>
              </w:rPr>
              <w:t xml:space="preserve">Comparisons of costs for supported living model with group home model </w:t>
            </w:r>
          </w:p>
          <w:p w14:paraId="4CBCF8A2" w14:textId="77777777" w:rsidR="0047204F" w:rsidRPr="009A10A6" w:rsidRDefault="0047204F" w:rsidP="00170876">
            <w:pPr>
              <w:rPr>
                <w:sz w:val="20"/>
                <w:szCs w:val="20"/>
              </w:rPr>
            </w:pPr>
            <w:r w:rsidRPr="009A10A6">
              <w:rPr>
                <w:sz w:val="20"/>
                <w:szCs w:val="20"/>
              </w:rPr>
              <w:t>Supported living: support tailored to the individual’s needs</w:t>
            </w:r>
          </w:p>
          <w:p w14:paraId="089B4C07" w14:textId="77777777" w:rsidR="0047204F" w:rsidRPr="009A10A6" w:rsidRDefault="0047204F" w:rsidP="00170876">
            <w:pPr>
              <w:rPr>
                <w:sz w:val="20"/>
                <w:szCs w:val="20"/>
              </w:rPr>
            </w:pPr>
          </w:p>
          <w:p w14:paraId="48C04E9B" w14:textId="77777777" w:rsidR="0047204F" w:rsidRPr="009A10A6" w:rsidRDefault="0047204F" w:rsidP="00170876">
            <w:pPr>
              <w:rPr>
                <w:sz w:val="20"/>
                <w:szCs w:val="20"/>
              </w:rPr>
            </w:pPr>
          </w:p>
        </w:tc>
        <w:tc>
          <w:tcPr>
            <w:tcW w:w="552" w:type="pct"/>
          </w:tcPr>
          <w:p w14:paraId="149474A4" w14:textId="77777777" w:rsidR="0047204F" w:rsidRPr="009A10A6" w:rsidRDefault="0047204F" w:rsidP="00170876">
            <w:pPr>
              <w:rPr>
                <w:sz w:val="20"/>
                <w:szCs w:val="20"/>
              </w:rPr>
            </w:pPr>
            <w:r w:rsidRPr="009A10A6">
              <w:rPr>
                <w:sz w:val="20"/>
                <w:szCs w:val="20"/>
              </w:rPr>
              <w:t>Australia</w:t>
            </w:r>
          </w:p>
        </w:tc>
        <w:tc>
          <w:tcPr>
            <w:tcW w:w="439" w:type="pct"/>
          </w:tcPr>
          <w:p w14:paraId="1E4B7360" w14:textId="77777777" w:rsidR="0047204F" w:rsidRPr="009A10A6" w:rsidRDefault="0047204F" w:rsidP="00170876">
            <w:pPr>
              <w:rPr>
                <w:sz w:val="20"/>
                <w:szCs w:val="20"/>
              </w:rPr>
            </w:pPr>
            <w:r w:rsidRPr="009A10A6">
              <w:rPr>
                <w:sz w:val="20"/>
                <w:szCs w:val="20"/>
              </w:rPr>
              <w:t>Bigby et al (2018)</w:t>
            </w:r>
          </w:p>
          <w:p w14:paraId="4F95DB67" w14:textId="77777777" w:rsidR="0047204F" w:rsidRPr="009A10A6" w:rsidRDefault="0047204F" w:rsidP="00170876">
            <w:pPr>
              <w:rPr>
                <w:sz w:val="20"/>
                <w:szCs w:val="20"/>
              </w:rPr>
            </w:pPr>
          </w:p>
          <w:p w14:paraId="430EDABB" w14:textId="77777777" w:rsidR="0047204F" w:rsidRPr="009A10A6" w:rsidRDefault="0047204F" w:rsidP="00170876">
            <w:pPr>
              <w:rPr>
                <w:sz w:val="20"/>
                <w:szCs w:val="20"/>
              </w:rPr>
            </w:pPr>
          </w:p>
        </w:tc>
        <w:tc>
          <w:tcPr>
            <w:tcW w:w="743" w:type="pct"/>
          </w:tcPr>
          <w:p w14:paraId="2BEA0962" w14:textId="77777777" w:rsidR="0047204F" w:rsidRPr="009A10A6" w:rsidRDefault="0047204F" w:rsidP="00170876">
            <w:pPr>
              <w:rPr>
                <w:sz w:val="20"/>
                <w:szCs w:val="20"/>
              </w:rPr>
            </w:pPr>
            <w:r w:rsidRPr="009A10A6">
              <w:rPr>
                <w:sz w:val="20"/>
                <w:szCs w:val="20"/>
              </w:rPr>
              <w:t>Intellectual disability</w:t>
            </w:r>
          </w:p>
          <w:p w14:paraId="4C76B916" w14:textId="77777777" w:rsidR="0047204F" w:rsidRPr="009A10A6" w:rsidRDefault="0047204F" w:rsidP="00170876">
            <w:pPr>
              <w:rPr>
                <w:sz w:val="20"/>
                <w:szCs w:val="20"/>
              </w:rPr>
            </w:pPr>
            <w:r w:rsidRPr="009A10A6">
              <w:rPr>
                <w:sz w:val="20"/>
                <w:szCs w:val="20"/>
              </w:rPr>
              <w:t xml:space="preserve">N=58 </w:t>
            </w:r>
          </w:p>
          <w:p w14:paraId="01A75B96" w14:textId="77777777" w:rsidR="0047204F" w:rsidRPr="009A10A6" w:rsidRDefault="0047204F" w:rsidP="00170876">
            <w:pPr>
              <w:rPr>
                <w:sz w:val="20"/>
                <w:szCs w:val="20"/>
              </w:rPr>
            </w:pPr>
            <w:r w:rsidRPr="009A10A6">
              <w:rPr>
                <w:sz w:val="20"/>
                <w:szCs w:val="20"/>
              </w:rPr>
              <w:t>Supported living: n=29 Group home: n=29</w:t>
            </w:r>
          </w:p>
        </w:tc>
        <w:tc>
          <w:tcPr>
            <w:tcW w:w="606" w:type="pct"/>
          </w:tcPr>
          <w:p w14:paraId="0C712DC3" w14:textId="77777777" w:rsidR="0047204F" w:rsidRPr="009A10A6" w:rsidRDefault="0047204F" w:rsidP="00170876">
            <w:pPr>
              <w:rPr>
                <w:sz w:val="20"/>
                <w:szCs w:val="20"/>
              </w:rPr>
            </w:pPr>
            <w:r w:rsidRPr="009A10A6">
              <w:rPr>
                <w:sz w:val="20"/>
                <w:szCs w:val="20"/>
              </w:rPr>
              <w:t>Cross sectional study but considered as it examined cost benefit analysis</w:t>
            </w:r>
          </w:p>
        </w:tc>
        <w:tc>
          <w:tcPr>
            <w:tcW w:w="802" w:type="pct"/>
          </w:tcPr>
          <w:p w14:paraId="6CF54204" w14:textId="77777777" w:rsidR="0047204F" w:rsidRPr="009A10A6" w:rsidRDefault="0047204F" w:rsidP="00170876">
            <w:pPr>
              <w:rPr>
                <w:sz w:val="20"/>
                <w:szCs w:val="20"/>
              </w:rPr>
            </w:pPr>
            <w:r w:rsidRPr="009A10A6">
              <w:rPr>
                <w:sz w:val="20"/>
                <w:szCs w:val="20"/>
              </w:rPr>
              <w:t>Fair</w:t>
            </w:r>
          </w:p>
        </w:tc>
        <w:tc>
          <w:tcPr>
            <w:tcW w:w="1100" w:type="pct"/>
          </w:tcPr>
          <w:p w14:paraId="17F2974B" w14:textId="77777777" w:rsidR="0047204F" w:rsidRPr="009A10A6" w:rsidRDefault="0047204F" w:rsidP="00170876">
            <w:pPr>
              <w:rPr>
                <w:sz w:val="20"/>
                <w:szCs w:val="20"/>
              </w:rPr>
            </w:pPr>
            <w:r w:rsidRPr="009A10A6">
              <w:rPr>
                <w:sz w:val="20"/>
                <w:szCs w:val="20"/>
              </w:rPr>
              <w:t xml:space="preserve">No differences in quality of life or choice and control between the two groups. </w:t>
            </w:r>
          </w:p>
          <w:p w14:paraId="50A2CF78" w14:textId="77777777" w:rsidR="0047204F" w:rsidRPr="009A10A6" w:rsidRDefault="0047204F" w:rsidP="00170876">
            <w:pPr>
              <w:rPr>
                <w:sz w:val="20"/>
                <w:szCs w:val="20"/>
              </w:rPr>
            </w:pPr>
            <w:r w:rsidRPr="009A10A6">
              <w:rPr>
                <w:sz w:val="20"/>
                <w:szCs w:val="20"/>
              </w:rPr>
              <w:t>Significant difference in annual costs: supported living $30,435 per person; group homes $80,000 per person plus $19,000 per person for day programme support.</w:t>
            </w:r>
          </w:p>
        </w:tc>
      </w:tr>
      <w:tr w:rsidR="0047204F" w:rsidRPr="00B069D1" w14:paraId="0D1E7302" w14:textId="77777777" w:rsidTr="00EF01DE">
        <w:tc>
          <w:tcPr>
            <w:tcW w:w="758" w:type="pct"/>
          </w:tcPr>
          <w:p w14:paraId="7BD5C4A8" w14:textId="7A675F57" w:rsidR="0047204F" w:rsidRPr="009A10A6" w:rsidRDefault="0047204F" w:rsidP="00170876">
            <w:pPr>
              <w:rPr>
                <w:b/>
                <w:bCs/>
                <w:sz w:val="20"/>
                <w:szCs w:val="20"/>
              </w:rPr>
            </w:pPr>
            <w:r w:rsidRPr="009A10A6">
              <w:rPr>
                <w:b/>
                <w:bCs/>
                <w:sz w:val="20"/>
                <w:szCs w:val="20"/>
              </w:rPr>
              <w:lastRenderedPageBreak/>
              <w:t>Project 300</w:t>
            </w:r>
          </w:p>
          <w:p w14:paraId="52E6685A" w14:textId="77777777" w:rsidR="0047204F" w:rsidRPr="009A10A6" w:rsidRDefault="0047204F" w:rsidP="00170876">
            <w:pPr>
              <w:rPr>
                <w:b/>
                <w:bCs/>
                <w:sz w:val="20"/>
                <w:szCs w:val="20"/>
              </w:rPr>
            </w:pPr>
            <w:r w:rsidRPr="009A10A6">
              <w:rPr>
                <w:b/>
                <w:bCs/>
                <w:sz w:val="20"/>
                <w:szCs w:val="20"/>
              </w:rPr>
              <w:t>Supported housing</w:t>
            </w:r>
          </w:p>
          <w:p w14:paraId="6C3E2055" w14:textId="77777777" w:rsidR="0047204F" w:rsidRPr="009A10A6" w:rsidRDefault="0047204F" w:rsidP="00170876">
            <w:pPr>
              <w:rPr>
                <w:b/>
                <w:bCs/>
                <w:sz w:val="20"/>
                <w:szCs w:val="20"/>
              </w:rPr>
            </w:pPr>
          </w:p>
          <w:p w14:paraId="266B3C57" w14:textId="77777777" w:rsidR="0047204F" w:rsidRPr="009A10A6" w:rsidRDefault="0047204F" w:rsidP="00170876">
            <w:pPr>
              <w:rPr>
                <w:bCs/>
                <w:sz w:val="20"/>
                <w:szCs w:val="20"/>
              </w:rPr>
            </w:pPr>
            <w:r w:rsidRPr="009A10A6">
              <w:rPr>
                <w:bCs/>
                <w:sz w:val="20"/>
                <w:szCs w:val="20"/>
              </w:rPr>
              <w:t>Direct support as needed in supported accommodation</w:t>
            </w:r>
          </w:p>
          <w:p w14:paraId="7AF698F6" w14:textId="77777777" w:rsidR="0047204F" w:rsidRPr="009A10A6" w:rsidRDefault="0047204F" w:rsidP="00170876">
            <w:pPr>
              <w:rPr>
                <w:bCs/>
                <w:sz w:val="20"/>
                <w:szCs w:val="20"/>
              </w:rPr>
            </w:pPr>
          </w:p>
          <w:p w14:paraId="615720E2" w14:textId="77777777" w:rsidR="0047204F" w:rsidRPr="009A10A6" w:rsidRDefault="0047204F" w:rsidP="00170876">
            <w:pPr>
              <w:rPr>
                <w:bCs/>
                <w:sz w:val="20"/>
                <w:szCs w:val="20"/>
              </w:rPr>
            </w:pPr>
          </w:p>
        </w:tc>
        <w:tc>
          <w:tcPr>
            <w:tcW w:w="552" w:type="pct"/>
          </w:tcPr>
          <w:p w14:paraId="66956055" w14:textId="77777777" w:rsidR="0047204F" w:rsidRPr="009A10A6" w:rsidRDefault="0047204F" w:rsidP="00170876">
            <w:pPr>
              <w:rPr>
                <w:b/>
                <w:bCs/>
                <w:sz w:val="20"/>
                <w:szCs w:val="20"/>
              </w:rPr>
            </w:pPr>
            <w:r w:rsidRPr="009A10A6">
              <w:rPr>
                <w:bCs/>
                <w:sz w:val="20"/>
                <w:szCs w:val="20"/>
              </w:rPr>
              <w:t>Australia</w:t>
            </w:r>
          </w:p>
        </w:tc>
        <w:tc>
          <w:tcPr>
            <w:tcW w:w="439" w:type="pct"/>
          </w:tcPr>
          <w:p w14:paraId="0B9D7BBE" w14:textId="77777777" w:rsidR="0047204F" w:rsidRPr="009A10A6" w:rsidRDefault="0047204F" w:rsidP="00170876">
            <w:pPr>
              <w:rPr>
                <w:bCs/>
                <w:sz w:val="20"/>
                <w:szCs w:val="20"/>
              </w:rPr>
            </w:pPr>
            <w:r w:rsidRPr="009A10A6">
              <w:rPr>
                <w:bCs/>
                <w:sz w:val="20"/>
                <w:szCs w:val="20"/>
              </w:rPr>
              <w:t>Meehan et al (2011)</w:t>
            </w:r>
          </w:p>
          <w:p w14:paraId="33A0D9DA" w14:textId="77777777" w:rsidR="0047204F" w:rsidRPr="009A10A6" w:rsidRDefault="0047204F" w:rsidP="00170876">
            <w:pPr>
              <w:rPr>
                <w:bCs/>
                <w:sz w:val="20"/>
                <w:szCs w:val="20"/>
              </w:rPr>
            </w:pPr>
          </w:p>
          <w:p w14:paraId="3CD25204" w14:textId="77777777" w:rsidR="0047204F" w:rsidRPr="009A10A6" w:rsidRDefault="0047204F" w:rsidP="00170876">
            <w:pPr>
              <w:rPr>
                <w:bCs/>
                <w:sz w:val="20"/>
                <w:szCs w:val="20"/>
              </w:rPr>
            </w:pPr>
          </w:p>
        </w:tc>
        <w:tc>
          <w:tcPr>
            <w:tcW w:w="743" w:type="pct"/>
          </w:tcPr>
          <w:p w14:paraId="6BA14AC7" w14:textId="77777777" w:rsidR="0047204F" w:rsidRPr="009A10A6" w:rsidRDefault="0047204F" w:rsidP="00170876">
            <w:pPr>
              <w:rPr>
                <w:bCs/>
                <w:sz w:val="20"/>
                <w:szCs w:val="20"/>
              </w:rPr>
            </w:pPr>
            <w:r w:rsidRPr="009A10A6">
              <w:rPr>
                <w:bCs/>
                <w:sz w:val="20"/>
                <w:szCs w:val="20"/>
              </w:rPr>
              <w:t>Psychiatric illness</w:t>
            </w:r>
          </w:p>
          <w:p w14:paraId="25BEA0A4" w14:textId="77777777" w:rsidR="0047204F" w:rsidRPr="009A10A6" w:rsidRDefault="0047204F" w:rsidP="00170876">
            <w:pPr>
              <w:rPr>
                <w:sz w:val="20"/>
                <w:szCs w:val="20"/>
              </w:rPr>
            </w:pPr>
            <w:r w:rsidRPr="009A10A6">
              <w:rPr>
                <w:bCs/>
                <w:sz w:val="20"/>
                <w:szCs w:val="20"/>
              </w:rPr>
              <w:t>N=181</w:t>
            </w:r>
          </w:p>
        </w:tc>
        <w:tc>
          <w:tcPr>
            <w:tcW w:w="606" w:type="pct"/>
          </w:tcPr>
          <w:p w14:paraId="1D25803B" w14:textId="77777777" w:rsidR="0047204F" w:rsidRPr="009A10A6" w:rsidRDefault="0047204F" w:rsidP="00170876">
            <w:pPr>
              <w:rPr>
                <w:sz w:val="20"/>
                <w:szCs w:val="20"/>
              </w:rPr>
            </w:pPr>
            <w:r w:rsidRPr="00B069D1">
              <w:rPr>
                <w:bCs/>
                <w:sz w:val="20"/>
                <w:szCs w:val="20"/>
              </w:rPr>
              <w:t>Pre/post (6 month) and follow-up (18, 36, 84 months)</w:t>
            </w:r>
          </w:p>
        </w:tc>
        <w:tc>
          <w:tcPr>
            <w:tcW w:w="802" w:type="pct"/>
          </w:tcPr>
          <w:p w14:paraId="42B52A4E" w14:textId="77777777" w:rsidR="0047204F" w:rsidRPr="009A10A6" w:rsidRDefault="0047204F" w:rsidP="00170876">
            <w:pPr>
              <w:rPr>
                <w:sz w:val="20"/>
                <w:szCs w:val="20"/>
              </w:rPr>
            </w:pPr>
            <w:r w:rsidRPr="009A10A6">
              <w:rPr>
                <w:sz w:val="20"/>
                <w:szCs w:val="20"/>
              </w:rPr>
              <w:t>Fair</w:t>
            </w:r>
          </w:p>
        </w:tc>
        <w:tc>
          <w:tcPr>
            <w:tcW w:w="1100" w:type="pct"/>
          </w:tcPr>
          <w:p w14:paraId="3B24C821" w14:textId="77777777" w:rsidR="0047204F" w:rsidRPr="009A10A6" w:rsidRDefault="0047204F" w:rsidP="00170876">
            <w:pPr>
              <w:rPr>
                <w:sz w:val="20"/>
                <w:szCs w:val="20"/>
              </w:rPr>
            </w:pPr>
            <w:r w:rsidRPr="009A10A6">
              <w:rPr>
                <w:sz w:val="20"/>
                <w:szCs w:val="20"/>
              </w:rPr>
              <w:t xml:space="preserve">Significant decrease on the hours of support required from 6 months to seven year follow-up. </w:t>
            </w:r>
          </w:p>
        </w:tc>
      </w:tr>
      <w:tr w:rsidR="0047204F" w:rsidRPr="00B069D1" w14:paraId="7ACE47D2" w14:textId="77777777" w:rsidTr="00EF01DE">
        <w:tc>
          <w:tcPr>
            <w:tcW w:w="758" w:type="pct"/>
          </w:tcPr>
          <w:p w14:paraId="642EBF1C" w14:textId="77777777" w:rsidR="0047204F" w:rsidRPr="009A10A6" w:rsidRDefault="0047204F" w:rsidP="00170876">
            <w:pPr>
              <w:rPr>
                <w:b/>
                <w:bCs/>
                <w:sz w:val="20"/>
                <w:szCs w:val="20"/>
              </w:rPr>
            </w:pPr>
            <w:r w:rsidRPr="009A10A6">
              <w:rPr>
                <w:b/>
                <w:bCs/>
                <w:sz w:val="20"/>
                <w:szCs w:val="20"/>
              </w:rPr>
              <w:t>Supported community living accommodation</w:t>
            </w:r>
          </w:p>
          <w:p w14:paraId="70667587" w14:textId="77777777" w:rsidR="0047204F" w:rsidRPr="009A10A6" w:rsidRDefault="0047204F" w:rsidP="00170876">
            <w:pPr>
              <w:rPr>
                <w:b/>
                <w:bCs/>
                <w:sz w:val="20"/>
                <w:szCs w:val="20"/>
              </w:rPr>
            </w:pPr>
          </w:p>
          <w:p w14:paraId="25B7AC83" w14:textId="77777777" w:rsidR="0047204F" w:rsidRPr="009A10A6" w:rsidRDefault="0047204F" w:rsidP="00170876">
            <w:pPr>
              <w:rPr>
                <w:b/>
                <w:bCs/>
                <w:sz w:val="20"/>
                <w:szCs w:val="20"/>
              </w:rPr>
            </w:pPr>
          </w:p>
        </w:tc>
        <w:tc>
          <w:tcPr>
            <w:tcW w:w="552" w:type="pct"/>
          </w:tcPr>
          <w:p w14:paraId="1261E9CC" w14:textId="77777777" w:rsidR="0047204F" w:rsidRPr="009A10A6" w:rsidRDefault="0047204F" w:rsidP="00170876">
            <w:pPr>
              <w:rPr>
                <w:bCs/>
                <w:sz w:val="20"/>
                <w:szCs w:val="20"/>
              </w:rPr>
            </w:pPr>
            <w:r w:rsidRPr="009A10A6">
              <w:rPr>
                <w:bCs/>
                <w:sz w:val="20"/>
                <w:szCs w:val="20"/>
              </w:rPr>
              <w:t>England</w:t>
            </w:r>
          </w:p>
        </w:tc>
        <w:tc>
          <w:tcPr>
            <w:tcW w:w="439" w:type="pct"/>
          </w:tcPr>
          <w:p w14:paraId="5152E02B" w14:textId="77777777" w:rsidR="0047204F" w:rsidRPr="009A10A6" w:rsidRDefault="0047204F" w:rsidP="00170876">
            <w:pPr>
              <w:rPr>
                <w:bCs/>
                <w:sz w:val="20"/>
                <w:szCs w:val="20"/>
              </w:rPr>
            </w:pPr>
            <w:r w:rsidRPr="009A10A6">
              <w:rPr>
                <w:bCs/>
                <w:sz w:val="20"/>
                <w:szCs w:val="20"/>
              </w:rPr>
              <w:t>Sines (2012)</w:t>
            </w:r>
          </w:p>
          <w:p w14:paraId="736EC023" w14:textId="77777777" w:rsidR="0047204F" w:rsidRPr="009A10A6" w:rsidRDefault="0047204F" w:rsidP="00170876">
            <w:pPr>
              <w:rPr>
                <w:bCs/>
                <w:sz w:val="20"/>
                <w:szCs w:val="20"/>
              </w:rPr>
            </w:pPr>
          </w:p>
          <w:p w14:paraId="7ACDFBD8" w14:textId="77777777" w:rsidR="0047204F" w:rsidRPr="009A10A6" w:rsidRDefault="0047204F" w:rsidP="00170876">
            <w:pPr>
              <w:rPr>
                <w:bCs/>
                <w:sz w:val="20"/>
                <w:szCs w:val="20"/>
              </w:rPr>
            </w:pPr>
          </w:p>
        </w:tc>
        <w:tc>
          <w:tcPr>
            <w:tcW w:w="743" w:type="pct"/>
          </w:tcPr>
          <w:p w14:paraId="4B43747F" w14:textId="77777777" w:rsidR="0047204F" w:rsidRPr="009A10A6" w:rsidRDefault="0047204F" w:rsidP="00170876">
            <w:pPr>
              <w:rPr>
                <w:sz w:val="20"/>
                <w:szCs w:val="20"/>
              </w:rPr>
            </w:pPr>
            <w:r w:rsidRPr="009A10A6">
              <w:rPr>
                <w:sz w:val="20"/>
                <w:szCs w:val="20"/>
              </w:rPr>
              <w:t>Profound learning disabilities</w:t>
            </w:r>
          </w:p>
          <w:p w14:paraId="75D8FCAF" w14:textId="77777777" w:rsidR="0047204F" w:rsidRPr="009A10A6" w:rsidRDefault="0047204F" w:rsidP="00170876">
            <w:pPr>
              <w:rPr>
                <w:b/>
                <w:bCs/>
                <w:sz w:val="20"/>
                <w:szCs w:val="20"/>
              </w:rPr>
            </w:pPr>
            <w:r w:rsidRPr="009A10A6">
              <w:rPr>
                <w:sz w:val="20"/>
                <w:szCs w:val="20"/>
              </w:rPr>
              <w:t>N=39</w:t>
            </w:r>
          </w:p>
        </w:tc>
        <w:tc>
          <w:tcPr>
            <w:tcW w:w="606" w:type="pct"/>
          </w:tcPr>
          <w:p w14:paraId="2062A988" w14:textId="77777777" w:rsidR="0047204F" w:rsidRPr="00B069D1" w:rsidRDefault="0047204F" w:rsidP="00170876">
            <w:pPr>
              <w:rPr>
                <w:bCs/>
                <w:sz w:val="20"/>
                <w:szCs w:val="20"/>
              </w:rPr>
            </w:pPr>
            <w:r w:rsidRPr="009A10A6">
              <w:rPr>
                <w:sz w:val="20"/>
                <w:szCs w:val="20"/>
              </w:rPr>
              <w:t>One group pre/post repeated measures design</w:t>
            </w:r>
          </w:p>
        </w:tc>
        <w:tc>
          <w:tcPr>
            <w:tcW w:w="802" w:type="pct"/>
          </w:tcPr>
          <w:p w14:paraId="040E85E0" w14:textId="77777777" w:rsidR="0047204F" w:rsidRPr="009A10A6" w:rsidRDefault="0047204F" w:rsidP="00170876">
            <w:pPr>
              <w:rPr>
                <w:sz w:val="20"/>
                <w:szCs w:val="20"/>
              </w:rPr>
            </w:pPr>
            <w:r w:rsidRPr="009A10A6">
              <w:rPr>
                <w:sz w:val="20"/>
                <w:szCs w:val="20"/>
              </w:rPr>
              <w:t xml:space="preserve">Good  </w:t>
            </w:r>
          </w:p>
        </w:tc>
        <w:tc>
          <w:tcPr>
            <w:tcW w:w="1100" w:type="pct"/>
          </w:tcPr>
          <w:p w14:paraId="3C329015" w14:textId="77777777" w:rsidR="0047204F" w:rsidRPr="009A10A6" w:rsidRDefault="0047204F" w:rsidP="00170876">
            <w:pPr>
              <w:rPr>
                <w:sz w:val="20"/>
                <w:szCs w:val="20"/>
              </w:rPr>
            </w:pPr>
            <w:r w:rsidRPr="009A10A6">
              <w:rPr>
                <w:sz w:val="20"/>
                <w:szCs w:val="20"/>
              </w:rPr>
              <w:t xml:space="preserve">Overall QoL significantly improved at six months and was maintained at 12 months. </w:t>
            </w:r>
          </w:p>
        </w:tc>
      </w:tr>
      <w:tr w:rsidR="0047204F" w:rsidRPr="00B069D1" w14:paraId="0A405745" w14:textId="77777777" w:rsidTr="00EF01DE">
        <w:tc>
          <w:tcPr>
            <w:tcW w:w="758" w:type="pct"/>
          </w:tcPr>
          <w:p w14:paraId="56A64D75" w14:textId="77777777" w:rsidR="0047204F" w:rsidRPr="009A10A6" w:rsidRDefault="0047204F" w:rsidP="00170876">
            <w:pPr>
              <w:rPr>
                <w:b/>
                <w:bCs/>
                <w:sz w:val="20"/>
                <w:szCs w:val="20"/>
              </w:rPr>
            </w:pPr>
            <w:r w:rsidRPr="009A10A6">
              <w:rPr>
                <w:b/>
                <w:bCs/>
                <w:sz w:val="20"/>
                <w:szCs w:val="20"/>
              </w:rPr>
              <w:t>Intentional communities</w:t>
            </w:r>
          </w:p>
          <w:p w14:paraId="44F6593F" w14:textId="77777777" w:rsidR="0047204F" w:rsidRPr="009A10A6" w:rsidRDefault="0047204F" w:rsidP="00170876">
            <w:pPr>
              <w:rPr>
                <w:b/>
                <w:bCs/>
                <w:sz w:val="20"/>
                <w:szCs w:val="20"/>
              </w:rPr>
            </w:pPr>
            <w:r w:rsidRPr="009A10A6">
              <w:rPr>
                <w:b/>
                <w:bCs/>
                <w:sz w:val="20"/>
                <w:szCs w:val="20"/>
              </w:rPr>
              <w:t>Camphill Communities</w:t>
            </w:r>
          </w:p>
          <w:p w14:paraId="39CA9443" w14:textId="77777777" w:rsidR="0047204F" w:rsidRPr="009A10A6" w:rsidRDefault="0047204F" w:rsidP="00170876">
            <w:pPr>
              <w:rPr>
                <w:b/>
                <w:bCs/>
                <w:sz w:val="20"/>
                <w:szCs w:val="20"/>
              </w:rPr>
            </w:pPr>
          </w:p>
          <w:p w14:paraId="2BA6A808" w14:textId="77777777" w:rsidR="0047204F" w:rsidRPr="009A10A6" w:rsidRDefault="0047204F" w:rsidP="00170876">
            <w:pPr>
              <w:rPr>
                <w:sz w:val="20"/>
                <w:szCs w:val="20"/>
              </w:rPr>
            </w:pPr>
            <w:r w:rsidRPr="009A10A6">
              <w:rPr>
                <w:sz w:val="20"/>
                <w:szCs w:val="20"/>
              </w:rPr>
              <w:t>Life-sharing residences purposefully devised with family guidance to the preferences of small group of individuals</w:t>
            </w:r>
          </w:p>
          <w:p w14:paraId="3388FEA4" w14:textId="77777777" w:rsidR="0047204F" w:rsidRPr="009A10A6" w:rsidRDefault="0047204F" w:rsidP="00170876">
            <w:pPr>
              <w:rPr>
                <w:sz w:val="20"/>
                <w:szCs w:val="20"/>
              </w:rPr>
            </w:pPr>
          </w:p>
          <w:p w14:paraId="299DBB36" w14:textId="77777777" w:rsidR="0047204F" w:rsidRPr="009A10A6" w:rsidRDefault="0047204F" w:rsidP="00170876">
            <w:pPr>
              <w:rPr>
                <w:sz w:val="20"/>
                <w:szCs w:val="20"/>
              </w:rPr>
            </w:pPr>
          </w:p>
          <w:p w14:paraId="2323D418" w14:textId="77777777" w:rsidR="0047204F" w:rsidRPr="009A10A6" w:rsidRDefault="0047204F" w:rsidP="00170876">
            <w:pPr>
              <w:rPr>
                <w:sz w:val="20"/>
                <w:szCs w:val="20"/>
              </w:rPr>
            </w:pPr>
          </w:p>
        </w:tc>
        <w:tc>
          <w:tcPr>
            <w:tcW w:w="552" w:type="pct"/>
          </w:tcPr>
          <w:p w14:paraId="308C6F84" w14:textId="77777777" w:rsidR="0047204F" w:rsidRPr="009A10A6" w:rsidRDefault="0047204F" w:rsidP="00170876">
            <w:pPr>
              <w:rPr>
                <w:sz w:val="20"/>
                <w:szCs w:val="20"/>
              </w:rPr>
            </w:pPr>
            <w:r w:rsidRPr="009A10A6">
              <w:rPr>
                <w:sz w:val="20"/>
                <w:szCs w:val="20"/>
              </w:rPr>
              <w:t>Ireland</w:t>
            </w:r>
          </w:p>
        </w:tc>
        <w:tc>
          <w:tcPr>
            <w:tcW w:w="439" w:type="pct"/>
          </w:tcPr>
          <w:p w14:paraId="169EE9C8" w14:textId="77777777" w:rsidR="0047204F" w:rsidRPr="009A10A6" w:rsidRDefault="0047204F" w:rsidP="00170876">
            <w:pPr>
              <w:rPr>
                <w:sz w:val="20"/>
                <w:szCs w:val="20"/>
              </w:rPr>
            </w:pPr>
            <w:r w:rsidRPr="009A10A6">
              <w:rPr>
                <w:sz w:val="20"/>
                <w:szCs w:val="20"/>
              </w:rPr>
              <w:t>Fahey et al (2010)</w:t>
            </w:r>
          </w:p>
          <w:p w14:paraId="697B546D" w14:textId="77777777" w:rsidR="0047204F" w:rsidRPr="009A10A6" w:rsidRDefault="0047204F" w:rsidP="00170876">
            <w:pPr>
              <w:rPr>
                <w:b/>
                <w:bCs/>
                <w:sz w:val="20"/>
                <w:szCs w:val="20"/>
              </w:rPr>
            </w:pPr>
          </w:p>
          <w:p w14:paraId="3B62D155" w14:textId="77777777" w:rsidR="0047204F" w:rsidRPr="009A10A6" w:rsidRDefault="0047204F" w:rsidP="00170876">
            <w:pPr>
              <w:rPr>
                <w:bCs/>
                <w:sz w:val="20"/>
                <w:szCs w:val="20"/>
              </w:rPr>
            </w:pPr>
          </w:p>
        </w:tc>
        <w:tc>
          <w:tcPr>
            <w:tcW w:w="743" w:type="pct"/>
          </w:tcPr>
          <w:p w14:paraId="59058DC2" w14:textId="77777777" w:rsidR="0047204F" w:rsidRPr="009A10A6" w:rsidRDefault="0047204F" w:rsidP="00170876">
            <w:pPr>
              <w:rPr>
                <w:sz w:val="20"/>
                <w:szCs w:val="20"/>
              </w:rPr>
            </w:pPr>
            <w:r w:rsidRPr="009A10A6">
              <w:rPr>
                <w:sz w:val="20"/>
                <w:szCs w:val="20"/>
              </w:rPr>
              <w:t>Intellectual disability</w:t>
            </w:r>
          </w:p>
          <w:p w14:paraId="451C2A30" w14:textId="77777777" w:rsidR="0047204F" w:rsidRPr="009A10A6" w:rsidRDefault="0047204F" w:rsidP="00170876">
            <w:pPr>
              <w:rPr>
                <w:sz w:val="20"/>
                <w:szCs w:val="20"/>
              </w:rPr>
            </w:pPr>
          </w:p>
          <w:p w14:paraId="648B3DB1" w14:textId="77777777" w:rsidR="0047204F" w:rsidRPr="009A10A6" w:rsidRDefault="0047204F" w:rsidP="00170876">
            <w:pPr>
              <w:rPr>
                <w:sz w:val="20"/>
                <w:szCs w:val="20"/>
              </w:rPr>
            </w:pPr>
            <w:r w:rsidRPr="009A10A6">
              <w:rPr>
                <w:sz w:val="20"/>
                <w:szCs w:val="20"/>
              </w:rPr>
              <w:t>N=154 n=29 Camphill community residents)</w:t>
            </w:r>
          </w:p>
          <w:p w14:paraId="4CCA895D" w14:textId="77777777" w:rsidR="0047204F" w:rsidRPr="009A10A6" w:rsidRDefault="0047204F" w:rsidP="00170876">
            <w:pPr>
              <w:rPr>
                <w:sz w:val="20"/>
                <w:szCs w:val="20"/>
              </w:rPr>
            </w:pPr>
            <w:r w:rsidRPr="009A10A6">
              <w:rPr>
                <w:sz w:val="20"/>
                <w:szCs w:val="20"/>
              </w:rPr>
              <w:t>N=125 group homes or campus residences</w:t>
            </w:r>
          </w:p>
          <w:p w14:paraId="11049B5D" w14:textId="77777777" w:rsidR="0047204F" w:rsidRPr="009A10A6" w:rsidRDefault="0047204F" w:rsidP="00170876">
            <w:pPr>
              <w:rPr>
                <w:sz w:val="20"/>
                <w:szCs w:val="20"/>
              </w:rPr>
            </w:pPr>
          </w:p>
        </w:tc>
        <w:tc>
          <w:tcPr>
            <w:tcW w:w="606" w:type="pct"/>
          </w:tcPr>
          <w:p w14:paraId="78C90BCF" w14:textId="77777777" w:rsidR="0047204F" w:rsidRPr="009A10A6" w:rsidRDefault="0047204F" w:rsidP="00170876">
            <w:pPr>
              <w:rPr>
                <w:sz w:val="20"/>
                <w:szCs w:val="20"/>
              </w:rPr>
            </w:pPr>
            <w:r w:rsidRPr="009A10A6">
              <w:rPr>
                <w:sz w:val="20"/>
                <w:szCs w:val="20"/>
              </w:rPr>
              <w:t>Cross-sectional study</w:t>
            </w:r>
          </w:p>
        </w:tc>
        <w:tc>
          <w:tcPr>
            <w:tcW w:w="802" w:type="pct"/>
          </w:tcPr>
          <w:p w14:paraId="53D6F9E9" w14:textId="77777777" w:rsidR="0047204F" w:rsidRPr="009A10A6" w:rsidRDefault="0047204F" w:rsidP="00170876">
            <w:pPr>
              <w:rPr>
                <w:sz w:val="20"/>
                <w:szCs w:val="20"/>
              </w:rPr>
            </w:pPr>
            <w:r w:rsidRPr="009A10A6">
              <w:rPr>
                <w:sz w:val="20"/>
                <w:szCs w:val="20"/>
              </w:rPr>
              <w:t>Good</w:t>
            </w:r>
          </w:p>
        </w:tc>
        <w:tc>
          <w:tcPr>
            <w:tcW w:w="1100" w:type="pct"/>
          </w:tcPr>
          <w:p w14:paraId="793E4744" w14:textId="77777777" w:rsidR="0047204F" w:rsidRPr="009A10A6" w:rsidRDefault="0047204F" w:rsidP="00170876">
            <w:pPr>
              <w:rPr>
                <w:sz w:val="20"/>
                <w:szCs w:val="20"/>
              </w:rPr>
            </w:pPr>
            <w:r w:rsidRPr="009A10A6">
              <w:rPr>
                <w:sz w:val="20"/>
                <w:szCs w:val="20"/>
              </w:rPr>
              <w:t>Camphill residents reported larger social networks and reported greater choice than campus residents, but less choice than group home residents. The study concluded that although modest in scale the findings suggest that the value of applying distinctive benefits of life-sharing communities in more typical residential settings for people with intellectual disability should be investigated further to inform</w:t>
            </w:r>
          </w:p>
          <w:p w14:paraId="654103EC" w14:textId="77777777" w:rsidR="0047204F" w:rsidRPr="009A10A6" w:rsidRDefault="0047204F" w:rsidP="00170876">
            <w:pPr>
              <w:rPr>
                <w:sz w:val="20"/>
                <w:szCs w:val="20"/>
              </w:rPr>
            </w:pPr>
            <w:r w:rsidRPr="009A10A6">
              <w:rPr>
                <w:sz w:val="20"/>
                <w:szCs w:val="20"/>
              </w:rPr>
              <w:t>current policy debates</w:t>
            </w:r>
          </w:p>
        </w:tc>
      </w:tr>
      <w:tr w:rsidR="0047204F" w:rsidRPr="00B069D1" w14:paraId="43C409D5" w14:textId="77777777" w:rsidTr="00EF01DE">
        <w:tc>
          <w:tcPr>
            <w:tcW w:w="758" w:type="pct"/>
          </w:tcPr>
          <w:p w14:paraId="6160A012" w14:textId="77777777" w:rsidR="0047204F" w:rsidRPr="009A10A6" w:rsidRDefault="0047204F" w:rsidP="00641D90">
            <w:pPr>
              <w:keepNext/>
              <w:rPr>
                <w:b/>
                <w:bCs/>
                <w:sz w:val="20"/>
                <w:szCs w:val="20"/>
              </w:rPr>
            </w:pPr>
            <w:r w:rsidRPr="009A10A6">
              <w:rPr>
                <w:b/>
                <w:bCs/>
                <w:sz w:val="20"/>
                <w:szCs w:val="20"/>
              </w:rPr>
              <w:lastRenderedPageBreak/>
              <w:t>H.O.M.E.S. Program (Housing with Outreach, Mobile and Engagement Services)</w:t>
            </w:r>
          </w:p>
          <w:p w14:paraId="52E9C09C" w14:textId="77777777" w:rsidR="0047204F" w:rsidRPr="009A10A6" w:rsidRDefault="0047204F" w:rsidP="00641D90">
            <w:pPr>
              <w:keepNext/>
              <w:rPr>
                <w:b/>
                <w:bCs/>
                <w:sz w:val="20"/>
                <w:szCs w:val="20"/>
              </w:rPr>
            </w:pPr>
          </w:p>
          <w:p w14:paraId="6C8EF3FD" w14:textId="77777777" w:rsidR="0047204F" w:rsidRPr="009A10A6" w:rsidRDefault="0047204F" w:rsidP="00641D90">
            <w:pPr>
              <w:keepNext/>
              <w:rPr>
                <w:b/>
                <w:bCs/>
                <w:sz w:val="20"/>
                <w:szCs w:val="20"/>
              </w:rPr>
            </w:pPr>
          </w:p>
        </w:tc>
        <w:tc>
          <w:tcPr>
            <w:tcW w:w="552" w:type="pct"/>
          </w:tcPr>
          <w:p w14:paraId="43333083" w14:textId="77777777" w:rsidR="0047204F" w:rsidRPr="009A10A6" w:rsidRDefault="0047204F" w:rsidP="00641D90">
            <w:pPr>
              <w:keepNext/>
              <w:rPr>
                <w:sz w:val="20"/>
                <w:szCs w:val="20"/>
              </w:rPr>
            </w:pPr>
            <w:r w:rsidRPr="009A10A6">
              <w:rPr>
                <w:sz w:val="20"/>
                <w:szCs w:val="20"/>
              </w:rPr>
              <w:t>Canada</w:t>
            </w:r>
          </w:p>
        </w:tc>
        <w:tc>
          <w:tcPr>
            <w:tcW w:w="439" w:type="pct"/>
          </w:tcPr>
          <w:p w14:paraId="1DD8F852" w14:textId="698356BE" w:rsidR="0047204F" w:rsidRPr="009A10A6" w:rsidRDefault="0047204F" w:rsidP="00641D90">
            <w:pPr>
              <w:keepNext/>
              <w:rPr>
                <w:rFonts w:ascii="Calibri" w:hAnsi="Calibri" w:cs="Calibri"/>
                <w:color w:val="000000"/>
                <w:sz w:val="20"/>
                <w:szCs w:val="20"/>
              </w:rPr>
            </w:pPr>
            <w:r w:rsidRPr="009A10A6">
              <w:rPr>
                <w:rFonts w:ascii="Calibri" w:hAnsi="Calibri" w:cs="Calibri"/>
                <w:color w:val="000000"/>
                <w:sz w:val="20"/>
                <w:szCs w:val="20"/>
              </w:rPr>
              <w:t xml:space="preserve">Kirkpatrick, </w:t>
            </w:r>
            <w:r w:rsidR="00E94D61">
              <w:rPr>
                <w:rFonts w:ascii="Calibri" w:hAnsi="Calibri" w:cs="Calibri"/>
                <w:color w:val="000000"/>
                <w:sz w:val="20"/>
                <w:szCs w:val="20"/>
              </w:rPr>
              <w:t>&amp;</w:t>
            </w:r>
            <w:r w:rsidRPr="009A10A6">
              <w:rPr>
                <w:rFonts w:ascii="Calibri" w:hAnsi="Calibri" w:cs="Calibri"/>
                <w:color w:val="000000"/>
                <w:sz w:val="20"/>
                <w:szCs w:val="20"/>
              </w:rPr>
              <w:t xml:space="preserve"> Byrne, (2011)</w:t>
            </w:r>
          </w:p>
          <w:p w14:paraId="27BB1664" w14:textId="77777777" w:rsidR="0047204F" w:rsidRPr="009A10A6" w:rsidRDefault="0047204F" w:rsidP="00641D90">
            <w:pPr>
              <w:keepNext/>
              <w:rPr>
                <w:sz w:val="20"/>
                <w:szCs w:val="20"/>
              </w:rPr>
            </w:pPr>
          </w:p>
        </w:tc>
        <w:tc>
          <w:tcPr>
            <w:tcW w:w="743" w:type="pct"/>
          </w:tcPr>
          <w:p w14:paraId="4F56C16F" w14:textId="77777777" w:rsidR="0047204F" w:rsidRPr="009A10A6" w:rsidRDefault="0047204F" w:rsidP="00641D90">
            <w:pPr>
              <w:keepNext/>
              <w:rPr>
                <w:rFonts w:ascii="Calibri" w:hAnsi="Calibri" w:cs="Calibri"/>
                <w:color w:val="000000"/>
                <w:sz w:val="20"/>
                <w:szCs w:val="20"/>
                <w:lang w:val="en-GB"/>
              </w:rPr>
            </w:pPr>
            <w:r w:rsidRPr="009A10A6">
              <w:rPr>
                <w:sz w:val="20"/>
                <w:szCs w:val="20"/>
              </w:rPr>
              <w:t>Psychiatric disabilities</w:t>
            </w:r>
          </w:p>
          <w:p w14:paraId="4E47A7A0" w14:textId="380FE448" w:rsidR="0047204F" w:rsidRPr="009A10A6" w:rsidRDefault="00270A39" w:rsidP="00641D90">
            <w:pPr>
              <w:keepNext/>
              <w:rPr>
                <w:sz w:val="20"/>
                <w:szCs w:val="20"/>
              </w:rPr>
            </w:pPr>
            <w:r w:rsidRPr="009A10A6">
              <w:rPr>
                <w:sz w:val="20"/>
                <w:szCs w:val="20"/>
              </w:rPr>
              <w:t>N=12)</w:t>
            </w:r>
          </w:p>
        </w:tc>
        <w:tc>
          <w:tcPr>
            <w:tcW w:w="606" w:type="pct"/>
          </w:tcPr>
          <w:p w14:paraId="2DF678F9" w14:textId="06AE2B40" w:rsidR="0047204F" w:rsidRPr="009A10A6" w:rsidRDefault="0047204F" w:rsidP="00641D90">
            <w:pPr>
              <w:keepNext/>
              <w:rPr>
                <w:sz w:val="20"/>
                <w:szCs w:val="20"/>
              </w:rPr>
            </w:pPr>
            <w:r w:rsidRPr="009A10A6">
              <w:rPr>
                <w:sz w:val="20"/>
                <w:szCs w:val="20"/>
              </w:rPr>
              <w:t xml:space="preserve">Qualitative </w:t>
            </w:r>
          </w:p>
        </w:tc>
        <w:tc>
          <w:tcPr>
            <w:tcW w:w="802" w:type="pct"/>
          </w:tcPr>
          <w:p w14:paraId="7F62808D" w14:textId="778831F8" w:rsidR="0047204F" w:rsidRPr="009A10A6" w:rsidRDefault="00703AC8" w:rsidP="00641D90">
            <w:pPr>
              <w:keepNext/>
              <w:rPr>
                <w:sz w:val="20"/>
                <w:szCs w:val="20"/>
              </w:rPr>
            </w:pPr>
            <w:r>
              <w:rPr>
                <w:rFonts w:ascii="Calibri" w:hAnsi="Calibri" w:cs="Calibri"/>
                <w:color w:val="000000"/>
                <w:sz w:val="20"/>
                <w:szCs w:val="20"/>
              </w:rPr>
              <w:t xml:space="preserve"> POOR</w:t>
            </w:r>
          </w:p>
        </w:tc>
        <w:tc>
          <w:tcPr>
            <w:tcW w:w="1100" w:type="pct"/>
          </w:tcPr>
          <w:p w14:paraId="165ABD6B" w14:textId="66ED96D7" w:rsidR="00703AC8" w:rsidRPr="009A10A6" w:rsidRDefault="0047204F" w:rsidP="00641D90">
            <w:pPr>
              <w:keepNext/>
              <w:rPr>
                <w:rFonts w:ascii="Calibri" w:hAnsi="Calibri" w:cs="Calibri"/>
                <w:color w:val="000000"/>
                <w:sz w:val="20"/>
                <w:szCs w:val="20"/>
                <w:lang w:val="en-GB"/>
              </w:rPr>
            </w:pPr>
            <w:r w:rsidRPr="009A10A6">
              <w:rPr>
                <w:sz w:val="20"/>
                <w:szCs w:val="20"/>
              </w:rPr>
              <w:t>No evaluation data provided</w:t>
            </w:r>
            <w:r w:rsidR="00703AC8">
              <w:rPr>
                <w:sz w:val="20"/>
                <w:szCs w:val="20"/>
              </w:rPr>
              <w:t xml:space="preserve">. </w:t>
            </w:r>
            <w:r w:rsidR="00703AC8" w:rsidRPr="009A10A6">
              <w:rPr>
                <w:rFonts w:ascii="Calibri" w:hAnsi="Calibri" w:cs="Calibri"/>
                <w:color w:val="000000"/>
                <w:sz w:val="20"/>
                <w:szCs w:val="20"/>
              </w:rPr>
              <w:t>Moving beyond basic needs of housing and supports, this program story demonstrates the importance and value of having a vision, and a commitment to work collaboratively to bring about change at many levels</w:t>
            </w:r>
          </w:p>
          <w:p w14:paraId="00EA9E35" w14:textId="32217562" w:rsidR="0047204F" w:rsidRPr="009A10A6" w:rsidRDefault="0047204F" w:rsidP="00641D90">
            <w:pPr>
              <w:keepNext/>
              <w:rPr>
                <w:sz w:val="20"/>
                <w:szCs w:val="20"/>
              </w:rPr>
            </w:pPr>
          </w:p>
        </w:tc>
      </w:tr>
      <w:tr w:rsidR="0047204F" w:rsidRPr="00B069D1" w14:paraId="40781DD4" w14:textId="77777777" w:rsidTr="00EF01DE">
        <w:tc>
          <w:tcPr>
            <w:tcW w:w="758" w:type="pct"/>
            <w:shd w:val="clear" w:color="auto" w:fill="FFFF00"/>
          </w:tcPr>
          <w:p w14:paraId="52B9FB28" w14:textId="77777777" w:rsidR="0047204F" w:rsidRPr="009A10A6" w:rsidRDefault="0047204F" w:rsidP="00170876">
            <w:pPr>
              <w:rPr>
                <w:b/>
                <w:bCs/>
                <w:sz w:val="20"/>
                <w:szCs w:val="20"/>
              </w:rPr>
            </w:pPr>
            <w:r w:rsidRPr="009A10A6">
              <w:rPr>
                <w:b/>
                <w:bCs/>
                <w:sz w:val="20"/>
                <w:szCs w:val="20"/>
              </w:rPr>
              <w:t xml:space="preserve">Group Home models including clustered and dispersed </w:t>
            </w:r>
          </w:p>
        </w:tc>
        <w:tc>
          <w:tcPr>
            <w:tcW w:w="552" w:type="pct"/>
            <w:shd w:val="clear" w:color="auto" w:fill="FFFF00"/>
          </w:tcPr>
          <w:p w14:paraId="43E51D79" w14:textId="77777777" w:rsidR="0047204F" w:rsidRPr="009A10A6" w:rsidRDefault="0047204F" w:rsidP="00170876">
            <w:pPr>
              <w:rPr>
                <w:sz w:val="20"/>
                <w:szCs w:val="20"/>
              </w:rPr>
            </w:pPr>
          </w:p>
        </w:tc>
        <w:tc>
          <w:tcPr>
            <w:tcW w:w="439" w:type="pct"/>
            <w:shd w:val="clear" w:color="auto" w:fill="FFFF00"/>
          </w:tcPr>
          <w:p w14:paraId="47A89308" w14:textId="77777777" w:rsidR="0047204F" w:rsidRPr="009A10A6" w:rsidRDefault="0047204F" w:rsidP="00170876">
            <w:pPr>
              <w:rPr>
                <w:sz w:val="20"/>
                <w:szCs w:val="20"/>
              </w:rPr>
            </w:pPr>
          </w:p>
        </w:tc>
        <w:tc>
          <w:tcPr>
            <w:tcW w:w="743" w:type="pct"/>
            <w:shd w:val="clear" w:color="auto" w:fill="FFFF00"/>
          </w:tcPr>
          <w:p w14:paraId="291D7F36" w14:textId="77777777" w:rsidR="0047204F" w:rsidRPr="009A10A6" w:rsidRDefault="0047204F" w:rsidP="00170876">
            <w:pPr>
              <w:rPr>
                <w:sz w:val="20"/>
                <w:szCs w:val="20"/>
              </w:rPr>
            </w:pPr>
          </w:p>
        </w:tc>
        <w:tc>
          <w:tcPr>
            <w:tcW w:w="606" w:type="pct"/>
            <w:shd w:val="clear" w:color="auto" w:fill="FFFF00"/>
          </w:tcPr>
          <w:p w14:paraId="6BA60445" w14:textId="77777777" w:rsidR="0047204F" w:rsidRPr="009A10A6" w:rsidRDefault="0047204F" w:rsidP="00170876">
            <w:pPr>
              <w:rPr>
                <w:sz w:val="20"/>
                <w:szCs w:val="20"/>
              </w:rPr>
            </w:pPr>
          </w:p>
        </w:tc>
        <w:tc>
          <w:tcPr>
            <w:tcW w:w="802" w:type="pct"/>
            <w:shd w:val="clear" w:color="auto" w:fill="FFFF00"/>
          </w:tcPr>
          <w:p w14:paraId="5AFEBA1C" w14:textId="77777777" w:rsidR="0047204F" w:rsidRPr="009A10A6" w:rsidRDefault="0047204F" w:rsidP="00170876">
            <w:pPr>
              <w:rPr>
                <w:sz w:val="20"/>
                <w:szCs w:val="20"/>
              </w:rPr>
            </w:pPr>
          </w:p>
        </w:tc>
        <w:tc>
          <w:tcPr>
            <w:tcW w:w="1100" w:type="pct"/>
            <w:shd w:val="clear" w:color="auto" w:fill="FFFF00"/>
          </w:tcPr>
          <w:p w14:paraId="7936A580" w14:textId="77777777" w:rsidR="0047204F" w:rsidRPr="009A10A6" w:rsidRDefault="0047204F" w:rsidP="00170876">
            <w:pPr>
              <w:rPr>
                <w:sz w:val="20"/>
                <w:szCs w:val="20"/>
              </w:rPr>
            </w:pPr>
          </w:p>
        </w:tc>
      </w:tr>
      <w:tr w:rsidR="0047204F" w:rsidRPr="00B069D1" w14:paraId="358BA26B" w14:textId="77777777" w:rsidTr="00EF01DE">
        <w:tc>
          <w:tcPr>
            <w:tcW w:w="758" w:type="pct"/>
          </w:tcPr>
          <w:p w14:paraId="5B1D3172" w14:textId="77777777" w:rsidR="0047204F" w:rsidRPr="009A10A6" w:rsidRDefault="0047204F" w:rsidP="00170876">
            <w:pPr>
              <w:rPr>
                <w:b/>
                <w:bCs/>
                <w:sz w:val="20"/>
                <w:szCs w:val="20"/>
              </w:rPr>
            </w:pPr>
            <w:r w:rsidRPr="009A10A6">
              <w:rPr>
                <w:b/>
                <w:bCs/>
                <w:sz w:val="20"/>
                <w:szCs w:val="20"/>
              </w:rPr>
              <w:t>Group homes to a maximum of six housing residents</w:t>
            </w:r>
          </w:p>
          <w:p w14:paraId="09FEBDAE" w14:textId="77777777" w:rsidR="0047204F" w:rsidRPr="009A10A6" w:rsidRDefault="0047204F" w:rsidP="00170876">
            <w:pPr>
              <w:rPr>
                <w:b/>
                <w:bCs/>
                <w:sz w:val="20"/>
                <w:szCs w:val="20"/>
              </w:rPr>
            </w:pPr>
          </w:p>
          <w:p w14:paraId="0CBF78D5" w14:textId="77777777" w:rsidR="0047204F" w:rsidRPr="009A10A6" w:rsidRDefault="0047204F" w:rsidP="00170876">
            <w:pPr>
              <w:rPr>
                <w:sz w:val="20"/>
                <w:szCs w:val="20"/>
              </w:rPr>
            </w:pPr>
          </w:p>
        </w:tc>
        <w:tc>
          <w:tcPr>
            <w:tcW w:w="552" w:type="pct"/>
          </w:tcPr>
          <w:p w14:paraId="288B34D5" w14:textId="77777777" w:rsidR="0047204F" w:rsidRPr="009A10A6" w:rsidRDefault="0047204F" w:rsidP="00170876">
            <w:pPr>
              <w:rPr>
                <w:sz w:val="20"/>
                <w:szCs w:val="20"/>
              </w:rPr>
            </w:pPr>
            <w:r w:rsidRPr="009A10A6">
              <w:rPr>
                <w:sz w:val="20"/>
                <w:szCs w:val="20"/>
              </w:rPr>
              <w:t>UK</w:t>
            </w:r>
          </w:p>
        </w:tc>
        <w:tc>
          <w:tcPr>
            <w:tcW w:w="439" w:type="pct"/>
          </w:tcPr>
          <w:p w14:paraId="7F76A4B8" w14:textId="77777777" w:rsidR="0047204F" w:rsidRPr="009A10A6" w:rsidRDefault="0047204F" w:rsidP="00170876">
            <w:pPr>
              <w:rPr>
                <w:sz w:val="20"/>
                <w:szCs w:val="20"/>
              </w:rPr>
            </w:pPr>
            <w:r w:rsidRPr="009A10A6">
              <w:rPr>
                <w:sz w:val="20"/>
                <w:szCs w:val="20"/>
              </w:rPr>
              <w:t>Baker (2007)</w:t>
            </w:r>
          </w:p>
          <w:p w14:paraId="059A22C7" w14:textId="77777777" w:rsidR="0047204F" w:rsidRPr="009A10A6" w:rsidRDefault="0047204F" w:rsidP="00170876">
            <w:pPr>
              <w:rPr>
                <w:sz w:val="20"/>
                <w:szCs w:val="20"/>
              </w:rPr>
            </w:pPr>
          </w:p>
          <w:p w14:paraId="0534F08E" w14:textId="77777777" w:rsidR="0047204F" w:rsidRPr="009A10A6" w:rsidRDefault="0047204F" w:rsidP="00170876">
            <w:pPr>
              <w:rPr>
                <w:sz w:val="20"/>
                <w:szCs w:val="20"/>
              </w:rPr>
            </w:pPr>
          </w:p>
        </w:tc>
        <w:tc>
          <w:tcPr>
            <w:tcW w:w="743" w:type="pct"/>
          </w:tcPr>
          <w:p w14:paraId="5AFD3D45" w14:textId="77777777" w:rsidR="0047204F" w:rsidRPr="009A10A6" w:rsidRDefault="0047204F" w:rsidP="00170876">
            <w:pPr>
              <w:rPr>
                <w:sz w:val="20"/>
                <w:szCs w:val="20"/>
              </w:rPr>
            </w:pPr>
            <w:r w:rsidRPr="009A10A6">
              <w:rPr>
                <w:sz w:val="20"/>
                <w:szCs w:val="20"/>
              </w:rPr>
              <w:t>Intellectual disability</w:t>
            </w:r>
          </w:p>
          <w:p w14:paraId="4024570F" w14:textId="77777777" w:rsidR="0047204F" w:rsidRPr="009A10A6" w:rsidRDefault="0047204F" w:rsidP="00170876">
            <w:pPr>
              <w:rPr>
                <w:sz w:val="20"/>
                <w:szCs w:val="20"/>
              </w:rPr>
            </w:pPr>
            <w:r w:rsidRPr="009A10A6">
              <w:rPr>
                <w:sz w:val="20"/>
                <w:szCs w:val="20"/>
              </w:rPr>
              <w:t>N=60 Transitioned group: n=26 Community group: n=34</w:t>
            </w:r>
          </w:p>
        </w:tc>
        <w:tc>
          <w:tcPr>
            <w:tcW w:w="606" w:type="pct"/>
          </w:tcPr>
          <w:p w14:paraId="4D2CAFDE" w14:textId="77777777" w:rsidR="0047204F" w:rsidRPr="009A10A6" w:rsidRDefault="0047204F" w:rsidP="00170876">
            <w:pPr>
              <w:rPr>
                <w:sz w:val="20"/>
                <w:szCs w:val="20"/>
              </w:rPr>
            </w:pPr>
            <w:r w:rsidRPr="009A10A6">
              <w:rPr>
                <w:sz w:val="20"/>
                <w:szCs w:val="20"/>
              </w:rPr>
              <w:t>Cross sectional study</w:t>
            </w:r>
          </w:p>
          <w:p w14:paraId="4663B42F" w14:textId="77777777" w:rsidR="0047204F" w:rsidRPr="009A10A6" w:rsidRDefault="0047204F" w:rsidP="00170876">
            <w:pPr>
              <w:rPr>
                <w:sz w:val="20"/>
                <w:szCs w:val="20"/>
              </w:rPr>
            </w:pPr>
          </w:p>
        </w:tc>
        <w:tc>
          <w:tcPr>
            <w:tcW w:w="802" w:type="pct"/>
          </w:tcPr>
          <w:p w14:paraId="7A04556C" w14:textId="77777777" w:rsidR="0047204F" w:rsidRPr="009A10A6" w:rsidRDefault="0047204F" w:rsidP="00170876">
            <w:pPr>
              <w:rPr>
                <w:sz w:val="20"/>
                <w:szCs w:val="20"/>
              </w:rPr>
            </w:pPr>
            <w:r w:rsidRPr="009A10A6">
              <w:rPr>
                <w:sz w:val="20"/>
                <w:szCs w:val="20"/>
              </w:rPr>
              <w:t>Fair</w:t>
            </w:r>
          </w:p>
        </w:tc>
        <w:tc>
          <w:tcPr>
            <w:tcW w:w="1100" w:type="pct"/>
          </w:tcPr>
          <w:p w14:paraId="134E1516" w14:textId="77777777" w:rsidR="0047204F" w:rsidRPr="009A10A6" w:rsidRDefault="0047204F" w:rsidP="00170876">
            <w:pPr>
              <w:rPr>
                <w:sz w:val="20"/>
                <w:szCs w:val="20"/>
              </w:rPr>
            </w:pPr>
            <w:r w:rsidRPr="009A10A6">
              <w:rPr>
                <w:sz w:val="20"/>
                <w:szCs w:val="20"/>
              </w:rPr>
              <w:t xml:space="preserve">Significant increase in community participation in the transitioned group. </w:t>
            </w:r>
          </w:p>
        </w:tc>
      </w:tr>
      <w:tr w:rsidR="0047204F" w:rsidRPr="00B069D1" w14:paraId="5D19DF7A" w14:textId="77777777" w:rsidTr="00EF01DE">
        <w:tc>
          <w:tcPr>
            <w:tcW w:w="758" w:type="pct"/>
          </w:tcPr>
          <w:p w14:paraId="48E2A9E7" w14:textId="77777777" w:rsidR="0047204F" w:rsidRPr="009A10A6" w:rsidRDefault="0047204F" w:rsidP="00170876">
            <w:pPr>
              <w:rPr>
                <w:b/>
                <w:bCs/>
                <w:sz w:val="20"/>
                <w:szCs w:val="20"/>
              </w:rPr>
            </w:pPr>
            <w:r w:rsidRPr="009A10A6">
              <w:rPr>
                <w:b/>
                <w:bCs/>
                <w:sz w:val="20"/>
                <w:szCs w:val="20"/>
              </w:rPr>
              <w:t xml:space="preserve">Community residential living </w:t>
            </w:r>
          </w:p>
          <w:p w14:paraId="3A9CE440" w14:textId="77777777" w:rsidR="0047204F" w:rsidRPr="009A10A6" w:rsidRDefault="0047204F" w:rsidP="00170876">
            <w:pPr>
              <w:rPr>
                <w:b/>
                <w:bCs/>
                <w:sz w:val="20"/>
                <w:szCs w:val="20"/>
              </w:rPr>
            </w:pPr>
          </w:p>
          <w:p w14:paraId="2FED4338" w14:textId="77777777" w:rsidR="0047204F" w:rsidRPr="009A10A6" w:rsidRDefault="0047204F" w:rsidP="00170876">
            <w:pPr>
              <w:rPr>
                <w:sz w:val="20"/>
                <w:szCs w:val="20"/>
              </w:rPr>
            </w:pPr>
            <w:r w:rsidRPr="009A10A6">
              <w:rPr>
                <w:sz w:val="20"/>
                <w:szCs w:val="20"/>
              </w:rPr>
              <w:t>Group home style accommodation with up to 6 residents per unit</w:t>
            </w:r>
          </w:p>
          <w:p w14:paraId="3C387843" w14:textId="77777777" w:rsidR="0047204F" w:rsidRPr="009A10A6" w:rsidRDefault="0047204F" w:rsidP="00170876">
            <w:pPr>
              <w:rPr>
                <w:sz w:val="20"/>
                <w:szCs w:val="20"/>
              </w:rPr>
            </w:pPr>
          </w:p>
          <w:p w14:paraId="5D6A6FAA" w14:textId="77777777" w:rsidR="0047204F" w:rsidRPr="009A10A6" w:rsidRDefault="0047204F" w:rsidP="00170876">
            <w:pPr>
              <w:rPr>
                <w:sz w:val="20"/>
                <w:szCs w:val="20"/>
              </w:rPr>
            </w:pPr>
            <w:r w:rsidRPr="009A10A6">
              <w:rPr>
                <w:sz w:val="20"/>
                <w:szCs w:val="20"/>
              </w:rPr>
              <w:t>Residential support staff including overnight support staff with no differences on the level of support between groups</w:t>
            </w:r>
          </w:p>
          <w:p w14:paraId="6880EF40" w14:textId="77777777" w:rsidR="0047204F" w:rsidRPr="009A10A6" w:rsidRDefault="0047204F" w:rsidP="00170876">
            <w:pPr>
              <w:rPr>
                <w:sz w:val="20"/>
                <w:szCs w:val="20"/>
              </w:rPr>
            </w:pPr>
          </w:p>
        </w:tc>
        <w:tc>
          <w:tcPr>
            <w:tcW w:w="552" w:type="pct"/>
          </w:tcPr>
          <w:p w14:paraId="356746A3" w14:textId="77777777" w:rsidR="0047204F" w:rsidRPr="009A10A6" w:rsidRDefault="0047204F" w:rsidP="00170876">
            <w:pPr>
              <w:rPr>
                <w:sz w:val="20"/>
                <w:szCs w:val="20"/>
              </w:rPr>
            </w:pPr>
            <w:r w:rsidRPr="009A10A6">
              <w:rPr>
                <w:sz w:val="20"/>
                <w:szCs w:val="20"/>
              </w:rPr>
              <w:t>Taiwan</w:t>
            </w:r>
          </w:p>
        </w:tc>
        <w:tc>
          <w:tcPr>
            <w:tcW w:w="439" w:type="pct"/>
          </w:tcPr>
          <w:p w14:paraId="560DB3A1" w14:textId="77777777" w:rsidR="0047204F" w:rsidRPr="009A10A6" w:rsidRDefault="0047204F" w:rsidP="00170876">
            <w:pPr>
              <w:rPr>
                <w:sz w:val="20"/>
                <w:szCs w:val="20"/>
              </w:rPr>
            </w:pPr>
            <w:r w:rsidRPr="009A10A6">
              <w:rPr>
                <w:sz w:val="20"/>
                <w:szCs w:val="20"/>
              </w:rPr>
              <w:t>Chou et al (2008)</w:t>
            </w:r>
          </w:p>
          <w:p w14:paraId="66B10E37" w14:textId="77777777" w:rsidR="0047204F" w:rsidRPr="009A10A6" w:rsidRDefault="0047204F" w:rsidP="00170876">
            <w:pPr>
              <w:rPr>
                <w:sz w:val="20"/>
                <w:szCs w:val="20"/>
              </w:rPr>
            </w:pPr>
          </w:p>
          <w:p w14:paraId="317B2EF2" w14:textId="77777777" w:rsidR="0047204F" w:rsidRPr="009A10A6" w:rsidRDefault="0047204F" w:rsidP="00170876">
            <w:pPr>
              <w:rPr>
                <w:sz w:val="20"/>
                <w:szCs w:val="20"/>
              </w:rPr>
            </w:pPr>
          </w:p>
        </w:tc>
        <w:tc>
          <w:tcPr>
            <w:tcW w:w="743" w:type="pct"/>
          </w:tcPr>
          <w:p w14:paraId="5DC4C105" w14:textId="77777777" w:rsidR="0047204F" w:rsidRPr="009A10A6" w:rsidRDefault="0047204F" w:rsidP="00170876">
            <w:pPr>
              <w:rPr>
                <w:sz w:val="20"/>
                <w:szCs w:val="20"/>
              </w:rPr>
            </w:pPr>
            <w:r w:rsidRPr="009A10A6">
              <w:rPr>
                <w:sz w:val="20"/>
                <w:szCs w:val="20"/>
              </w:rPr>
              <w:t>Intellectual disability</w:t>
            </w:r>
          </w:p>
          <w:p w14:paraId="602DC51D" w14:textId="77777777" w:rsidR="0047204F" w:rsidRPr="009A10A6" w:rsidRDefault="0047204F" w:rsidP="00170876">
            <w:pPr>
              <w:rPr>
                <w:sz w:val="20"/>
                <w:szCs w:val="20"/>
              </w:rPr>
            </w:pPr>
            <w:r w:rsidRPr="009A10A6">
              <w:rPr>
                <w:sz w:val="20"/>
                <w:szCs w:val="20"/>
              </w:rPr>
              <w:t>1) Institution n=76, 2) Community home, n=69, 3) residential home, n=103</w:t>
            </w:r>
          </w:p>
        </w:tc>
        <w:tc>
          <w:tcPr>
            <w:tcW w:w="606" w:type="pct"/>
          </w:tcPr>
          <w:p w14:paraId="56EFE3BE" w14:textId="77777777" w:rsidR="0047204F" w:rsidRPr="009A10A6" w:rsidRDefault="0047204F" w:rsidP="00170876">
            <w:pPr>
              <w:rPr>
                <w:sz w:val="20"/>
                <w:szCs w:val="20"/>
              </w:rPr>
            </w:pPr>
            <w:r w:rsidRPr="009A10A6">
              <w:rPr>
                <w:sz w:val="20"/>
                <w:szCs w:val="20"/>
              </w:rPr>
              <w:t>Cross -sectional study comparison</w:t>
            </w:r>
          </w:p>
          <w:p w14:paraId="4C00D3AD" w14:textId="77777777" w:rsidR="0047204F" w:rsidRPr="009A10A6" w:rsidRDefault="0047204F" w:rsidP="00170876">
            <w:pPr>
              <w:rPr>
                <w:sz w:val="20"/>
                <w:szCs w:val="20"/>
              </w:rPr>
            </w:pPr>
            <w:r w:rsidRPr="009A10A6">
              <w:rPr>
                <w:sz w:val="20"/>
                <w:szCs w:val="20"/>
              </w:rPr>
              <w:t xml:space="preserve">Community residential living compared with: (1) Institution, &gt; 50 beds (2) community home, &lt;50 beds </w:t>
            </w:r>
          </w:p>
        </w:tc>
        <w:tc>
          <w:tcPr>
            <w:tcW w:w="802" w:type="pct"/>
          </w:tcPr>
          <w:p w14:paraId="56C58404" w14:textId="77777777" w:rsidR="0047204F" w:rsidRPr="009A10A6" w:rsidRDefault="0047204F" w:rsidP="00170876">
            <w:pPr>
              <w:rPr>
                <w:sz w:val="20"/>
                <w:szCs w:val="20"/>
              </w:rPr>
            </w:pPr>
            <w:r w:rsidRPr="009A10A6">
              <w:rPr>
                <w:sz w:val="20"/>
                <w:szCs w:val="20"/>
              </w:rPr>
              <w:t>Fair</w:t>
            </w:r>
          </w:p>
        </w:tc>
        <w:tc>
          <w:tcPr>
            <w:tcW w:w="1100" w:type="pct"/>
          </w:tcPr>
          <w:p w14:paraId="72666411" w14:textId="551530AB" w:rsidR="0047204F" w:rsidRPr="009A10A6" w:rsidRDefault="0047204F" w:rsidP="00170876">
            <w:pPr>
              <w:rPr>
                <w:sz w:val="20"/>
                <w:szCs w:val="20"/>
              </w:rPr>
            </w:pPr>
            <w:r w:rsidRPr="009A10A6">
              <w:rPr>
                <w:sz w:val="20"/>
                <w:szCs w:val="20"/>
              </w:rPr>
              <w:t>Deinstitutionali</w:t>
            </w:r>
            <w:r w:rsidR="00E7233A">
              <w:rPr>
                <w:sz w:val="20"/>
                <w:szCs w:val="20"/>
              </w:rPr>
              <w:t>s</w:t>
            </w:r>
            <w:r w:rsidRPr="009A10A6">
              <w:rPr>
                <w:sz w:val="20"/>
                <w:szCs w:val="20"/>
              </w:rPr>
              <w:t>ed residents reported improved QoL greater choice and independence but poorer living environmental accessibility. Institutions more costly than other housing models</w:t>
            </w:r>
          </w:p>
        </w:tc>
      </w:tr>
      <w:tr w:rsidR="0047204F" w:rsidRPr="00B069D1" w14:paraId="4373A73F" w14:textId="77777777" w:rsidTr="00EF01DE">
        <w:tc>
          <w:tcPr>
            <w:tcW w:w="758" w:type="pct"/>
          </w:tcPr>
          <w:p w14:paraId="449F3C89" w14:textId="77777777" w:rsidR="0047204F" w:rsidRPr="009A10A6" w:rsidRDefault="0047204F" w:rsidP="00170876">
            <w:pPr>
              <w:rPr>
                <w:b/>
                <w:bCs/>
                <w:sz w:val="20"/>
                <w:szCs w:val="20"/>
              </w:rPr>
            </w:pPr>
            <w:r w:rsidRPr="009A10A6">
              <w:rPr>
                <w:b/>
                <w:sz w:val="20"/>
                <w:szCs w:val="20"/>
              </w:rPr>
              <w:lastRenderedPageBreak/>
              <w:t xml:space="preserve">Community group home </w:t>
            </w:r>
            <w:r w:rsidRPr="009A10A6">
              <w:rPr>
                <w:b/>
                <w:bCs/>
                <w:sz w:val="20"/>
                <w:szCs w:val="20"/>
              </w:rPr>
              <w:t>to a maximum of six housing residents</w:t>
            </w:r>
          </w:p>
          <w:p w14:paraId="2BE23F38" w14:textId="77777777" w:rsidR="0047204F" w:rsidRPr="009A10A6" w:rsidRDefault="0047204F" w:rsidP="00170876">
            <w:pPr>
              <w:rPr>
                <w:b/>
                <w:bCs/>
                <w:sz w:val="20"/>
                <w:szCs w:val="20"/>
              </w:rPr>
            </w:pPr>
          </w:p>
          <w:p w14:paraId="21A00CF4" w14:textId="77777777" w:rsidR="0047204F" w:rsidRPr="009A10A6" w:rsidRDefault="0047204F" w:rsidP="00170876">
            <w:pPr>
              <w:rPr>
                <w:sz w:val="20"/>
                <w:szCs w:val="20"/>
              </w:rPr>
            </w:pPr>
            <w:r w:rsidRPr="009A10A6">
              <w:rPr>
                <w:sz w:val="20"/>
                <w:szCs w:val="20"/>
              </w:rPr>
              <w:t>Group Home</w:t>
            </w:r>
          </w:p>
          <w:p w14:paraId="141DBCAB" w14:textId="77777777" w:rsidR="0047204F" w:rsidRPr="009A10A6" w:rsidRDefault="0047204F" w:rsidP="00170876">
            <w:pPr>
              <w:rPr>
                <w:b/>
                <w:bCs/>
                <w:sz w:val="20"/>
                <w:szCs w:val="20"/>
              </w:rPr>
            </w:pPr>
          </w:p>
        </w:tc>
        <w:tc>
          <w:tcPr>
            <w:tcW w:w="552" w:type="pct"/>
          </w:tcPr>
          <w:p w14:paraId="53DB9F4C" w14:textId="77777777" w:rsidR="0047204F" w:rsidRPr="009A10A6" w:rsidRDefault="0047204F" w:rsidP="00170876">
            <w:pPr>
              <w:rPr>
                <w:bCs/>
                <w:sz w:val="20"/>
                <w:szCs w:val="20"/>
              </w:rPr>
            </w:pPr>
            <w:r w:rsidRPr="009A10A6">
              <w:rPr>
                <w:bCs/>
                <w:sz w:val="20"/>
                <w:szCs w:val="20"/>
              </w:rPr>
              <w:t xml:space="preserve">UK </w:t>
            </w:r>
          </w:p>
          <w:p w14:paraId="2B7B02C6" w14:textId="77777777" w:rsidR="0047204F" w:rsidRPr="009A10A6" w:rsidRDefault="0047204F" w:rsidP="00170876">
            <w:pPr>
              <w:rPr>
                <w:sz w:val="20"/>
                <w:szCs w:val="20"/>
              </w:rPr>
            </w:pPr>
          </w:p>
        </w:tc>
        <w:tc>
          <w:tcPr>
            <w:tcW w:w="439" w:type="pct"/>
          </w:tcPr>
          <w:p w14:paraId="29262971" w14:textId="77777777" w:rsidR="0047204F" w:rsidRPr="009A10A6" w:rsidRDefault="0047204F" w:rsidP="00170876">
            <w:pPr>
              <w:rPr>
                <w:sz w:val="20"/>
                <w:szCs w:val="20"/>
              </w:rPr>
            </w:pPr>
            <w:r w:rsidRPr="009A10A6">
              <w:rPr>
                <w:sz w:val="20"/>
                <w:szCs w:val="20"/>
              </w:rPr>
              <w:t>Golding et al (2005)</w:t>
            </w:r>
          </w:p>
          <w:p w14:paraId="3810A0C7" w14:textId="77777777" w:rsidR="0047204F" w:rsidRPr="009A10A6" w:rsidRDefault="0047204F" w:rsidP="00170876">
            <w:pPr>
              <w:rPr>
                <w:sz w:val="20"/>
                <w:szCs w:val="20"/>
              </w:rPr>
            </w:pPr>
          </w:p>
          <w:p w14:paraId="70F4CC21" w14:textId="77777777" w:rsidR="0047204F" w:rsidRPr="009A10A6" w:rsidRDefault="0047204F" w:rsidP="00170876">
            <w:pPr>
              <w:rPr>
                <w:sz w:val="20"/>
                <w:szCs w:val="20"/>
              </w:rPr>
            </w:pPr>
          </w:p>
        </w:tc>
        <w:tc>
          <w:tcPr>
            <w:tcW w:w="743" w:type="pct"/>
          </w:tcPr>
          <w:p w14:paraId="7A480605" w14:textId="77777777" w:rsidR="0047204F" w:rsidRPr="009A10A6" w:rsidRDefault="0047204F" w:rsidP="00170876">
            <w:pPr>
              <w:rPr>
                <w:sz w:val="20"/>
                <w:szCs w:val="20"/>
              </w:rPr>
            </w:pPr>
            <w:r w:rsidRPr="009A10A6">
              <w:rPr>
                <w:sz w:val="20"/>
                <w:szCs w:val="20"/>
              </w:rPr>
              <w:t>Intellectual disability</w:t>
            </w:r>
          </w:p>
          <w:p w14:paraId="381BEDB8" w14:textId="77777777" w:rsidR="0047204F" w:rsidRPr="009A10A6" w:rsidRDefault="0047204F" w:rsidP="00170876">
            <w:pPr>
              <w:rPr>
                <w:sz w:val="20"/>
                <w:szCs w:val="20"/>
              </w:rPr>
            </w:pPr>
          </w:p>
          <w:p w14:paraId="227B8815" w14:textId="77777777" w:rsidR="0047204F" w:rsidRPr="009A10A6" w:rsidRDefault="0047204F" w:rsidP="00170876">
            <w:pPr>
              <w:rPr>
                <w:sz w:val="20"/>
                <w:szCs w:val="20"/>
              </w:rPr>
            </w:pPr>
            <w:r w:rsidRPr="009A10A6">
              <w:rPr>
                <w:sz w:val="20"/>
                <w:szCs w:val="20"/>
              </w:rPr>
              <w:t>N=12 Hospital transition group: n=6 Community group: n=6</w:t>
            </w:r>
          </w:p>
        </w:tc>
        <w:tc>
          <w:tcPr>
            <w:tcW w:w="606" w:type="pct"/>
          </w:tcPr>
          <w:p w14:paraId="7820581B" w14:textId="77777777" w:rsidR="0047204F" w:rsidRPr="009A10A6" w:rsidRDefault="0047204F" w:rsidP="00170876">
            <w:pPr>
              <w:rPr>
                <w:sz w:val="20"/>
                <w:szCs w:val="20"/>
              </w:rPr>
            </w:pPr>
            <w:r w:rsidRPr="009A10A6">
              <w:rPr>
                <w:sz w:val="20"/>
                <w:szCs w:val="20"/>
              </w:rPr>
              <w:t>Cross sectional study</w:t>
            </w:r>
          </w:p>
        </w:tc>
        <w:tc>
          <w:tcPr>
            <w:tcW w:w="802" w:type="pct"/>
          </w:tcPr>
          <w:p w14:paraId="0BE0F2C8" w14:textId="77777777" w:rsidR="0047204F" w:rsidRPr="009A10A6" w:rsidRDefault="0047204F" w:rsidP="00170876">
            <w:pPr>
              <w:rPr>
                <w:sz w:val="20"/>
                <w:szCs w:val="20"/>
              </w:rPr>
            </w:pPr>
            <w:r w:rsidRPr="009A10A6">
              <w:rPr>
                <w:sz w:val="20"/>
                <w:szCs w:val="20"/>
              </w:rPr>
              <w:t>Fair</w:t>
            </w:r>
          </w:p>
        </w:tc>
        <w:tc>
          <w:tcPr>
            <w:tcW w:w="1100" w:type="pct"/>
          </w:tcPr>
          <w:p w14:paraId="4FCE9695" w14:textId="77777777" w:rsidR="0047204F" w:rsidRPr="009A10A6" w:rsidRDefault="0047204F" w:rsidP="00170876">
            <w:pPr>
              <w:rPr>
                <w:sz w:val="20"/>
                <w:szCs w:val="20"/>
              </w:rPr>
            </w:pPr>
            <w:r w:rsidRPr="009A10A6">
              <w:rPr>
                <w:sz w:val="20"/>
                <w:szCs w:val="20"/>
              </w:rPr>
              <w:t>Transition was associated with improved domestic activity skills, decrease in problem behaviours, improved QoL and increased staff contact.</w:t>
            </w:r>
          </w:p>
        </w:tc>
      </w:tr>
      <w:tr w:rsidR="0047204F" w:rsidRPr="00B069D1" w14:paraId="551E458D" w14:textId="77777777" w:rsidTr="00EF01DE">
        <w:tc>
          <w:tcPr>
            <w:tcW w:w="758" w:type="pct"/>
          </w:tcPr>
          <w:p w14:paraId="46E402EA" w14:textId="77777777" w:rsidR="0047204F" w:rsidRPr="009A10A6" w:rsidRDefault="0047204F" w:rsidP="00170876">
            <w:pPr>
              <w:rPr>
                <w:b/>
                <w:bCs/>
                <w:sz w:val="20"/>
                <w:szCs w:val="20"/>
              </w:rPr>
            </w:pPr>
            <w:r w:rsidRPr="009A10A6">
              <w:rPr>
                <w:b/>
                <w:bCs/>
                <w:sz w:val="20"/>
                <w:szCs w:val="20"/>
              </w:rPr>
              <w:t>Decongregated setting (community housing)</w:t>
            </w:r>
          </w:p>
          <w:p w14:paraId="34509B7B" w14:textId="77777777" w:rsidR="0047204F" w:rsidRPr="009A10A6" w:rsidRDefault="0047204F" w:rsidP="00170876">
            <w:pPr>
              <w:rPr>
                <w:b/>
                <w:bCs/>
                <w:sz w:val="20"/>
                <w:szCs w:val="20"/>
              </w:rPr>
            </w:pPr>
          </w:p>
          <w:p w14:paraId="13699AAC" w14:textId="77777777" w:rsidR="0047204F" w:rsidRPr="009A10A6" w:rsidRDefault="0047204F" w:rsidP="00170876">
            <w:pPr>
              <w:rPr>
                <w:bCs/>
                <w:sz w:val="20"/>
                <w:szCs w:val="20"/>
              </w:rPr>
            </w:pPr>
            <w:r w:rsidRPr="009A10A6">
              <w:rPr>
                <w:bCs/>
                <w:sz w:val="20"/>
                <w:szCs w:val="20"/>
              </w:rPr>
              <w:t>Broad range in number of residents:</w:t>
            </w:r>
          </w:p>
          <w:p w14:paraId="555F7BEB" w14:textId="77777777" w:rsidR="0047204F" w:rsidRPr="009A10A6" w:rsidRDefault="0047204F" w:rsidP="00170876">
            <w:pPr>
              <w:rPr>
                <w:bCs/>
                <w:sz w:val="20"/>
                <w:szCs w:val="20"/>
              </w:rPr>
            </w:pPr>
            <w:r w:rsidRPr="009A10A6">
              <w:rPr>
                <w:bCs/>
                <w:sz w:val="20"/>
                <w:szCs w:val="20"/>
              </w:rPr>
              <w:t>N=2-15.</w:t>
            </w:r>
          </w:p>
          <w:p w14:paraId="4B21D27E" w14:textId="77777777" w:rsidR="0047204F" w:rsidRPr="009A10A6" w:rsidRDefault="0047204F" w:rsidP="00170876">
            <w:pPr>
              <w:rPr>
                <w:bCs/>
                <w:sz w:val="20"/>
                <w:szCs w:val="20"/>
              </w:rPr>
            </w:pPr>
          </w:p>
          <w:p w14:paraId="6B9509BB" w14:textId="77777777" w:rsidR="0047204F" w:rsidRPr="009A10A6" w:rsidRDefault="0047204F" w:rsidP="00170876">
            <w:pPr>
              <w:rPr>
                <w:b/>
                <w:bCs/>
                <w:sz w:val="20"/>
                <w:szCs w:val="20"/>
              </w:rPr>
            </w:pPr>
          </w:p>
        </w:tc>
        <w:tc>
          <w:tcPr>
            <w:tcW w:w="552" w:type="pct"/>
          </w:tcPr>
          <w:p w14:paraId="4FA34298" w14:textId="77777777" w:rsidR="0047204F" w:rsidRPr="009A10A6" w:rsidRDefault="0047204F" w:rsidP="00170876">
            <w:pPr>
              <w:rPr>
                <w:sz w:val="20"/>
                <w:szCs w:val="20"/>
              </w:rPr>
            </w:pPr>
            <w:r w:rsidRPr="009A10A6">
              <w:rPr>
                <w:sz w:val="20"/>
                <w:szCs w:val="20"/>
              </w:rPr>
              <w:t>USA</w:t>
            </w:r>
          </w:p>
        </w:tc>
        <w:tc>
          <w:tcPr>
            <w:tcW w:w="439" w:type="pct"/>
          </w:tcPr>
          <w:p w14:paraId="453E9E34" w14:textId="77777777" w:rsidR="0047204F" w:rsidRPr="009A10A6" w:rsidRDefault="0047204F" w:rsidP="00170876">
            <w:pPr>
              <w:rPr>
                <w:sz w:val="20"/>
                <w:szCs w:val="20"/>
              </w:rPr>
            </w:pPr>
            <w:r w:rsidRPr="009A10A6">
              <w:rPr>
                <w:sz w:val="20"/>
                <w:szCs w:val="20"/>
              </w:rPr>
              <w:t>Stancliffe &amp; Lakin (2006)</w:t>
            </w:r>
          </w:p>
          <w:p w14:paraId="0E481AB1" w14:textId="77777777" w:rsidR="0047204F" w:rsidRPr="009A10A6" w:rsidRDefault="0047204F" w:rsidP="00170876">
            <w:pPr>
              <w:rPr>
                <w:sz w:val="20"/>
                <w:szCs w:val="20"/>
              </w:rPr>
            </w:pPr>
          </w:p>
          <w:p w14:paraId="7F34BE0E" w14:textId="77777777" w:rsidR="0047204F" w:rsidRPr="009A10A6" w:rsidRDefault="0047204F" w:rsidP="00170876">
            <w:pPr>
              <w:rPr>
                <w:sz w:val="20"/>
                <w:szCs w:val="20"/>
              </w:rPr>
            </w:pPr>
          </w:p>
        </w:tc>
        <w:tc>
          <w:tcPr>
            <w:tcW w:w="743" w:type="pct"/>
          </w:tcPr>
          <w:p w14:paraId="256C2369" w14:textId="77777777" w:rsidR="0047204F" w:rsidRPr="009A10A6" w:rsidRDefault="0047204F" w:rsidP="00170876">
            <w:pPr>
              <w:rPr>
                <w:sz w:val="20"/>
                <w:szCs w:val="20"/>
              </w:rPr>
            </w:pPr>
            <w:r w:rsidRPr="009A10A6">
              <w:rPr>
                <w:sz w:val="20"/>
                <w:szCs w:val="20"/>
              </w:rPr>
              <w:t>Intellectual disability</w:t>
            </w:r>
          </w:p>
          <w:p w14:paraId="40974498" w14:textId="77777777" w:rsidR="0047204F" w:rsidRPr="009A10A6" w:rsidRDefault="0047204F" w:rsidP="00170876">
            <w:pPr>
              <w:rPr>
                <w:sz w:val="20"/>
                <w:szCs w:val="20"/>
              </w:rPr>
            </w:pPr>
          </w:p>
          <w:p w14:paraId="062F3FB5" w14:textId="77777777" w:rsidR="0047204F" w:rsidRPr="009A10A6" w:rsidRDefault="0047204F" w:rsidP="00170876">
            <w:pPr>
              <w:rPr>
                <w:sz w:val="20"/>
                <w:szCs w:val="20"/>
              </w:rPr>
            </w:pPr>
            <w:r w:rsidRPr="009A10A6">
              <w:rPr>
                <w:sz w:val="20"/>
                <w:szCs w:val="20"/>
              </w:rPr>
              <w:t>N=155 Movers n=84, Stayers n=71</w:t>
            </w:r>
          </w:p>
        </w:tc>
        <w:tc>
          <w:tcPr>
            <w:tcW w:w="606" w:type="pct"/>
          </w:tcPr>
          <w:p w14:paraId="5DABB6FA" w14:textId="77777777" w:rsidR="0047204F" w:rsidRPr="009A10A6" w:rsidRDefault="0047204F" w:rsidP="00170876">
            <w:pPr>
              <w:rPr>
                <w:sz w:val="20"/>
                <w:szCs w:val="20"/>
              </w:rPr>
            </w:pPr>
            <w:r w:rsidRPr="009A10A6">
              <w:rPr>
                <w:sz w:val="20"/>
                <w:szCs w:val="20"/>
              </w:rPr>
              <w:t>Two group repeated measures design</w:t>
            </w:r>
          </w:p>
          <w:p w14:paraId="1F9785D1" w14:textId="77777777" w:rsidR="0047204F" w:rsidRPr="009A10A6" w:rsidRDefault="0047204F" w:rsidP="00170876">
            <w:pPr>
              <w:rPr>
                <w:sz w:val="20"/>
                <w:szCs w:val="20"/>
              </w:rPr>
            </w:pPr>
          </w:p>
          <w:p w14:paraId="12F5531C" w14:textId="77777777" w:rsidR="0047204F" w:rsidRPr="009A10A6" w:rsidRDefault="0047204F" w:rsidP="00170876">
            <w:pPr>
              <w:rPr>
                <w:sz w:val="20"/>
                <w:szCs w:val="20"/>
              </w:rPr>
            </w:pPr>
            <w:r w:rsidRPr="009A10A6">
              <w:rPr>
                <w:sz w:val="20"/>
                <w:szCs w:val="20"/>
              </w:rPr>
              <w:t xml:space="preserve">Compared with </w:t>
            </w:r>
          </w:p>
          <w:p w14:paraId="688204C7" w14:textId="77777777" w:rsidR="0047204F" w:rsidRPr="009A10A6" w:rsidRDefault="0047204F" w:rsidP="00170876">
            <w:pPr>
              <w:rPr>
                <w:sz w:val="20"/>
                <w:szCs w:val="20"/>
              </w:rPr>
            </w:pPr>
            <w:r w:rsidRPr="009A10A6">
              <w:rPr>
                <w:sz w:val="20"/>
                <w:szCs w:val="20"/>
              </w:rPr>
              <w:t>Congregated setting (institution): institutional residential settings with each setting range of number of residents, 5-26</w:t>
            </w:r>
          </w:p>
        </w:tc>
        <w:tc>
          <w:tcPr>
            <w:tcW w:w="802" w:type="pct"/>
          </w:tcPr>
          <w:p w14:paraId="5EFE3B8E" w14:textId="77777777" w:rsidR="0047204F" w:rsidRPr="009A10A6" w:rsidRDefault="0047204F" w:rsidP="00170876">
            <w:pPr>
              <w:rPr>
                <w:sz w:val="20"/>
                <w:szCs w:val="20"/>
              </w:rPr>
            </w:pPr>
            <w:r w:rsidRPr="009A10A6">
              <w:rPr>
                <w:sz w:val="20"/>
                <w:szCs w:val="20"/>
              </w:rPr>
              <w:t>Good</w:t>
            </w:r>
          </w:p>
        </w:tc>
        <w:tc>
          <w:tcPr>
            <w:tcW w:w="1100" w:type="pct"/>
          </w:tcPr>
          <w:p w14:paraId="5A3F9AB0" w14:textId="77777777" w:rsidR="0047204F" w:rsidRPr="009A10A6" w:rsidRDefault="0047204F" w:rsidP="00170876">
            <w:pPr>
              <w:rPr>
                <w:sz w:val="20"/>
                <w:szCs w:val="20"/>
              </w:rPr>
            </w:pPr>
            <w:r w:rsidRPr="009A10A6">
              <w:rPr>
                <w:sz w:val="20"/>
                <w:szCs w:val="20"/>
              </w:rPr>
              <w:t>Transitioned group (movers) reported significant increase in overall family contact.</w:t>
            </w:r>
          </w:p>
        </w:tc>
      </w:tr>
      <w:tr w:rsidR="0047204F" w:rsidRPr="00B069D1" w14:paraId="3A97DBF8" w14:textId="77777777" w:rsidTr="00EF01DE">
        <w:tc>
          <w:tcPr>
            <w:tcW w:w="758" w:type="pct"/>
          </w:tcPr>
          <w:p w14:paraId="055F167B" w14:textId="77777777" w:rsidR="0047204F" w:rsidRPr="009A10A6" w:rsidRDefault="0047204F" w:rsidP="00170876">
            <w:pPr>
              <w:rPr>
                <w:b/>
                <w:bCs/>
                <w:sz w:val="20"/>
                <w:szCs w:val="20"/>
              </w:rPr>
            </w:pPr>
            <w:r w:rsidRPr="009A10A6">
              <w:rPr>
                <w:b/>
                <w:bCs/>
                <w:sz w:val="20"/>
                <w:szCs w:val="20"/>
              </w:rPr>
              <w:t>Semi-independent living arrangement</w:t>
            </w:r>
          </w:p>
          <w:p w14:paraId="2BEE2182" w14:textId="77777777" w:rsidR="0047204F" w:rsidRPr="009A10A6" w:rsidRDefault="0047204F" w:rsidP="00170876">
            <w:pPr>
              <w:rPr>
                <w:bCs/>
                <w:sz w:val="20"/>
                <w:szCs w:val="20"/>
              </w:rPr>
            </w:pPr>
          </w:p>
          <w:p w14:paraId="6988543C" w14:textId="77777777" w:rsidR="0047204F" w:rsidRPr="009A10A6" w:rsidRDefault="0047204F" w:rsidP="00170876">
            <w:pPr>
              <w:rPr>
                <w:bCs/>
                <w:sz w:val="20"/>
                <w:szCs w:val="20"/>
              </w:rPr>
            </w:pPr>
            <w:r w:rsidRPr="009A10A6">
              <w:rPr>
                <w:bCs/>
                <w:sz w:val="20"/>
                <w:szCs w:val="20"/>
              </w:rPr>
              <w:t xml:space="preserve">Household of 1 to 4 people living together with regular part-time support by paid staff from an accommodation support agency for </w:t>
            </w:r>
            <w:r w:rsidRPr="009A10A6">
              <w:rPr>
                <w:bCs/>
                <w:sz w:val="20"/>
                <w:szCs w:val="20"/>
              </w:rPr>
              <w:lastRenderedPageBreak/>
              <w:t xml:space="preserve">people with a disability. </w:t>
            </w:r>
          </w:p>
          <w:p w14:paraId="2E148419" w14:textId="77777777" w:rsidR="0047204F" w:rsidRPr="009A10A6" w:rsidRDefault="0047204F" w:rsidP="00170876">
            <w:pPr>
              <w:rPr>
                <w:bCs/>
                <w:sz w:val="20"/>
                <w:szCs w:val="20"/>
              </w:rPr>
            </w:pPr>
          </w:p>
          <w:p w14:paraId="641C880D" w14:textId="77777777" w:rsidR="0047204F" w:rsidRPr="009A10A6" w:rsidRDefault="0047204F" w:rsidP="00170876">
            <w:pPr>
              <w:rPr>
                <w:bCs/>
                <w:sz w:val="20"/>
                <w:szCs w:val="20"/>
              </w:rPr>
            </w:pPr>
            <w:r w:rsidRPr="009A10A6">
              <w:rPr>
                <w:bCs/>
                <w:sz w:val="20"/>
                <w:szCs w:val="20"/>
              </w:rPr>
              <w:t>No regularly scheduled overnight staff support (including no sleepovers)</w:t>
            </w:r>
          </w:p>
          <w:p w14:paraId="359C33D0" w14:textId="77777777" w:rsidR="0047204F" w:rsidRPr="009A10A6" w:rsidRDefault="0047204F" w:rsidP="00170876">
            <w:pPr>
              <w:rPr>
                <w:bCs/>
                <w:sz w:val="20"/>
                <w:szCs w:val="20"/>
              </w:rPr>
            </w:pPr>
          </w:p>
          <w:p w14:paraId="447C8B47" w14:textId="77777777" w:rsidR="0047204F" w:rsidRPr="009A10A6" w:rsidRDefault="0047204F" w:rsidP="00170876">
            <w:pPr>
              <w:rPr>
                <w:sz w:val="20"/>
                <w:szCs w:val="20"/>
              </w:rPr>
            </w:pPr>
          </w:p>
        </w:tc>
        <w:tc>
          <w:tcPr>
            <w:tcW w:w="552" w:type="pct"/>
          </w:tcPr>
          <w:p w14:paraId="78F7FF07" w14:textId="77777777" w:rsidR="0047204F" w:rsidRPr="009A10A6" w:rsidRDefault="0047204F" w:rsidP="00170876">
            <w:pPr>
              <w:rPr>
                <w:bCs/>
                <w:sz w:val="20"/>
                <w:szCs w:val="20"/>
              </w:rPr>
            </w:pPr>
            <w:r w:rsidRPr="009A10A6">
              <w:rPr>
                <w:bCs/>
                <w:sz w:val="20"/>
                <w:szCs w:val="20"/>
              </w:rPr>
              <w:lastRenderedPageBreak/>
              <w:t>Australia</w:t>
            </w:r>
          </w:p>
        </w:tc>
        <w:tc>
          <w:tcPr>
            <w:tcW w:w="439" w:type="pct"/>
          </w:tcPr>
          <w:p w14:paraId="5CFFA062" w14:textId="77777777" w:rsidR="0047204F" w:rsidRPr="009A10A6" w:rsidRDefault="0047204F" w:rsidP="00170876">
            <w:pPr>
              <w:rPr>
                <w:bCs/>
                <w:sz w:val="20"/>
                <w:szCs w:val="20"/>
              </w:rPr>
            </w:pPr>
            <w:r w:rsidRPr="009A10A6">
              <w:rPr>
                <w:bCs/>
                <w:sz w:val="20"/>
                <w:szCs w:val="20"/>
              </w:rPr>
              <w:t>Stancliffe &amp; Keane (2000)</w:t>
            </w:r>
          </w:p>
          <w:p w14:paraId="55B8BEB8" w14:textId="77777777" w:rsidR="0047204F" w:rsidRPr="009A10A6" w:rsidRDefault="0047204F" w:rsidP="00170876">
            <w:pPr>
              <w:rPr>
                <w:bCs/>
                <w:sz w:val="20"/>
                <w:szCs w:val="20"/>
              </w:rPr>
            </w:pPr>
          </w:p>
          <w:p w14:paraId="2B7980FF" w14:textId="77777777" w:rsidR="0047204F" w:rsidRPr="009A10A6" w:rsidRDefault="0047204F" w:rsidP="00170876">
            <w:pPr>
              <w:rPr>
                <w:bCs/>
                <w:sz w:val="20"/>
                <w:szCs w:val="20"/>
              </w:rPr>
            </w:pPr>
          </w:p>
        </w:tc>
        <w:tc>
          <w:tcPr>
            <w:tcW w:w="743" w:type="pct"/>
          </w:tcPr>
          <w:p w14:paraId="6F567C8B" w14:textId="77777777" w:rsidR="0047204F" w:rsidRPr="009A10A6" w:rsidRDefault="0047204F" w:rsidP="00170876">
            <w:pPr>
              <w:rPr>
                <w:sz w:val="20"/>
                <w:szCs w:val="20"/>
              </w:rPr>
            </w:pPr>
            <w:r w:rsidRPr="009A10A6">
              <w:rPr>
                <w:sz w:val="20"/>
                <w:szCs w:val="20"/>
              </w:rPr>
              <w:t>Cross section of disabilities including physical, psychiatric and neurodevelopmental disabilities</w:t>
            </w:r>
          </w:p>
          <w:p w14:paraId="63F4CC64" w14:textId="77777777" w:rsidR="0047204F" w:rsidRPr="009A10A6" w:rsidRDefault="0047204F" w:rsidP="00170876">
            <w:pPr>
              <w:rPr>
                <w:sz w:val="20"/>
                <w:szCs w:val="20"/>
              </w:rPr>
            </w:pPr>
          </w:p>
          <w:p w14:paraId="415207BF" w14:textId="77777777" w:rsidR="0047204F" w:rsidRPr="009A10A6" w:rsidRDefault="0047204F" w:rsidP="00170876">
            <w:pPr>
              <w:rPr>
                <w:sz w:val="20"/>
                <w:szCs w:val="20"/>
              </w:rPr>
            </w:pPr>
            <w:r w:rsidRPr="009A10A6">
              <w:rPr>
                <w:sz w:val="20"/>
                <w:szCs w:val="20"/>
              </w:rPr>
              <w:t xml:space="preserve">N=87 Group home n=31, semi-independent  n=56 </w:t>
            </w:r>
          </w:p>
        </w:tc>
        <w:tc>
          <w:tcPr>
            <w:tcW w:w="606" w:type="pct"/>
          </w:tcPr>
          <w:p w14:paraId="0300080D" w14:textId="77777777" w:rsidR="0047204F" w:rsidRPr="009A10A6" w:rsidRDefault="0047204F" w:rsidP="00170876">
            <w:pPr>
              <w:rPr>
                <w:sz w:val="20"/>
                <w:szCs w:val="20"/>
              </w:rPr>
            </w:pPr>
            <w:r w:rsidRPr="009A10A6">
              <w:rPr>
                <w:sz w:val="20"/>
                <w:szCs w:val="20"/>
              </w:rPr>
              <w:t>Cross sectional</w:t>
            </w:r>
          </w:p>
          <w:p w14:paraId="33419026" w14:textId="77777777" w:rsidR="0047204F" w:rsidRPr="009A10A6" w:rsidRDefault="0047204F" w:rsidP="00170876">
            <w:pPr>
              <w:rPr>
                <w:sz w:val="20"/>
                <w:szCs w:val="20"/>
              </w:rPr>
            </w:pPr>
            <w:r w:rsidRPr="009A10A6">
              <w:rPr>
                <w:sz w:val="20"/>
                <w:szCs w:val="20"/>
              </w:rPr>
              <w:t xml:space="preserve">Compared with </w:t>
            </w:r>
          </w:p>
          <w:p w14:paraId="7543C8D6" w14:textId="77777777" w:rsidR="0047204F" w:rsidRPr="009A10A6" w:rsidRDefault="0047204F" w:rsidP="00170876">
            <w:pPr>
              <w:rPr>
                <w:sz w:val="20"/>
                <w:szCs w:val="20"/>
              </w:rPr>
            </w:pPr>
          </w:p>
          <w:p w14:paraId="447CB214" w14:textId="77777777" w:rsidR="0047204F" w:rsidRPr="009A10A6" w:rsidRDefault="0047204F" w:rsidP="00170876">
            <w:pPr>
              <w:rPr>
                <w:sz w:val="20"/>
                <w:szCs w:val="20"/>
              </w:rPr>
            </w:pPr>
            <w:r w:rsidRPr="009A10A6">
              <w:rPr>
                <w:sz w:val="20"/>
                <w:szCs w:val="20"/>
              </w:rPr>
              <w:t xml:space="preserve">Group home - a household of 3 to 7 people with full-time support (at least during waking hours) by paid staff from an </w:t>
            </w:r>
            <w:r w:rsidRPr="009A10A6">
              <w:rPr>
                <w:sz w:val="20"/>
                <w:szCs w:val="20"/>
              </w:rPr>
              <w:lastRenderedPageBreak/>
              <w:t>accommodation support agency for people with a disability</w:t>
            </w:r>
          </w:p>
        </w:tc>
        <w:tc>
          <w:tcPr>
            <w:tcW w:w="802" w:type="pct"/>
          </w:tcPr>
          <w:p w14:paraId="7EC87850" w14:textId="77777777" w:rsidR="0047204F" w:rsidRPr="009A10A6" w:rsidRDefault="0047204F" w:rsidP="00170876">
            <w:pPr>
              <w:rPr>
                <w:sz w:val="20"/>
                <w:szCs w:val="20"/>
              </w:rPr>
            </w:pPr>
            <w:r w:rsidRPr="009A10A6">
              <w:rPr>
                <w:sz w:val="20"/>
                <w:szCs w:val="20"/>
              </w:rPr>
              <w:lastRenderedPageBreak/>
              <w:t>Fair</w:t>
            </w:r>
          </w:p>
        </w:tc>
        <w:tc>
          <w:tcPr>
            <w:tcW w:w="1100" w:type="pct"/>
          </w:tcPr>
          <w:p w14:paraId="6BBC871A" w14:textId="77777777" w:rsidR="0047204F" w:rsidRPr="009A10A6" w:rsidRDefault="0047204F" w:rsidP="00170876">
            <w:pPr>
              <w:rPr>
                <w:sz w:val="20"/>
                <w:szCs w:val="20"/>
              </w:rPr>
            </w:pPr>
            <w:r w:rsidRPr="009A10A6">
              <w:rPr>
                <w:sz w:val="20"/>
                <w:szCs w:val="20"/>
              </w:rPr>
              <w:t>Semi-independent living residents reported more favourable ratings on social satisfaction, empowerment, frequency of community use and domestic participation.</w:t>
            </w:r>
          </w:p>
        </w:tc>
      </w:tr>
      <w:tr w:rsidR="0047204F" w:rsidRPr="00B069D1" w14:paraId="5394347F" w14:textId="77777777" w:rsidTr="00EF01DE">
        <w:tc>
          <w:tcPr>
            <w:tcW w:w="758" w:type="pct"/>
          </w:tcPr>
          <w:p w14:paraId="6EDE85BE" w14:textId="77777777" w:rsidR="0047204F" w:rsidRPr="009A10A6" w:rsidRDefault="0047204F" w:rsidP="00170876">
            <w:pPr>
              <w:rPr>
                <w:b/>
                <w:bCs/>
                <w:sz w:val="20"/>
                <w:szCs w:val="20"/>
              </w:rPr>
            </w:pPr>
            <w:r w:rsidRPr="009A10A6">
              <w:rPr>
                <w:b/>
                <w:bCs/>
                <w:sz w:val="20"/>
                <w:szCs w:val="20"/>
              </w:rPr>
              <w:t>Supported living</w:t>
            </w:r>
          </w:p>
          <w:p w14:paraId="69BDC341" w14:textId="77777777" w:rsidR="0047204F" w:rsidRPr="009A10A6" w:rsidRDefault="0047204F" w:rsidP="00170876">
            <w:pPr>
              <w:rPr>
                <w:b/>
                <w:bCs/>
                <w:sz w:val="20"/>
                <w:szCs w:val="20"/>
              </w:rPr>
            </w:pPr>
          </w:p>
          <w:p w14:paraId="2FF890EC" w14:textId="77777777" w:rsidR="0047204F" w:rsidRPr="009A10A6" w:rsidRDefault="0047204F" w:rsidP="00170876">
            <w:pPr>
              <w:rPr>
                <w:bCs/>
                <w:sz w:val="20"/>
                <w:szCs w:val="20"/>
              </w:rPr>
            </w:pPr>
            <w:r w:rsidRPr="009A10A6">
              <w:rPr>
                <w:bCs/>
                <w:sz w:val="20"/>
                <w:szCs w:val="20"/>
              </w:rPr>
              <w:t>No choice on accommodation or co-residents, shared accommodation</w:t>
            </w:r>
          </w:p>
          <w:p w14:paraId="101D0503" w14:textId="3787C4B2" w:rsidR="0047204F" w:rsidRPr="009A10A6" w:rsidRDefault="0047204F" w:rsidP="00641D90">
            <w:pPr>
              <w:rPr>
                <w:b/>
                <w:bCs/>
                <w:sz w:val="20"/>
                <w:szCs w:val="20"/>
              </w:rPr>
            </w:pPr>
            <w:r w:rsidRPr="009A10A6">
              <w:rPr>
                <w:bCs/>
                <w:sz w:val="20"/>
                <w:szCs w:val="20"/>
              </w:rPr>
              <w:t>24 hour support</w:t>
            </w:r>
          </w:p>
        </w:tc>
        <w:tc>
          <w:tcPr>
            <w:tcW w:w="552" w:type="pct"/>
          </w:tcPr>
          <w:p w14:paraId="44560940" w14:textId="77777777" w:rsidR="0047204F" w:rsidRPr="009A10A6" w:rsidRDefault="0047204F" w:rsidP="00170876">
            <w:pPr>
              <w:rPr>
                <w:sz w:val="20"/>
                <w:szCs w:val="20"/>
              </w:rPr>
            </w:pPr>
            <w:r w:rsidRPr="009A10A6">
              <w:rPr>
                <w:bCs/>
                <w:sz w:val="20"/>
                <w:szCs w:val="20"/>
              </w:rPr>
              <w:t>UK</w:t>
            </w:r>
          </w:p>
        </w:tc>
        <w:tc>
          <w:tcPr>
            <w:tcW w:w="439" w:type="pct"/>
          </w:tcPr>
          <w:p w14:paraId="33ADA8D4" w14:textId="77777777" w:rsidR="0047204F" w:rsidRPr="009A10A6" w:rsidRDefault="0047204F" w:rsidP="00170876">
            <w:pPr>
              <w:rPr>
                <w:bCs/>
                <w:sz w:val="20"/>
                <w:szCs w:val="20"/>
              </w:rPr>
            </w:pPr>
            <w:r w:rsidRPr="009A10A6">
              <w:rPr>
                <w:bCs/>
                <w:sz w:val="20"/>
                <w:szCs w:val="20"/>
              </w:rPr>
              <w:t>Marlow &amp; Walker (2015)</w:t>
            </w:r>
          </w:p>
          <w:p w14:paraId="283298EB" w14:textId="77777777" w:rsidR="0047204F" w:rsidRPr="009A10A6" w:rsidRDefault="0047204F" w:rsidP="00170876">
            <w:pPr>
              <w:rPr>
                <w:bCs/>
                <w:sz w:val="20"/>
                <w:szCs w:val="20"/>
              </w:rPr>
            </w:pPr>
          </w:p>
          <w:p w14:paraId="38214949" w14:textId="77777777" w:rsidR="0047204F" w:rsidRPr="009A10A6" w:rsidRDefault="0047204F" w:rsidP="00170876">
            <w:pPr>
              <w:rPr>
                <w:bCs/>
                <w:sz w:val="20"/>
                <w:szCs w:val="20"/>
              </w:rPr>
            </w:pPr>
          </w:p>
        </w:tc>
        <w:tc>
          <w:tcPr>
            <w:tcW w:w="743" w:type="pct"/>
          </w:tcPr>
          <w:p w14:paraId="70054E28" w14:textId="77777777" w:rsidR="0047204F" w:rsidRPr="009A10A6" w:rsidRDefault="0047204F" w:rsidP="00170876">
            <w:pPr>
              <w:rPr>
                <w:sz w:val="20"/>
                <w:szCs w:val="20"/>
              </w:rPr>
            </w:pPr>
            <w:r w:rsidRPr="009A10A6">
              <w:rPr>
                <w:sz w:val="20"/>
                <w:szCs w:val="20"/>
              </w:rPr>
              <w:t>Severe intellectual disability</w:t>
            </w:r>
          </w:p>
          <w:p w14:paraId="1694502A" w14:textId="77777777" w:rsidR="0047204F" w:rsidRPr="009A10A6" w:rsidRDefault="0047204F" w:rsidP="00170876">
            <w:pPr>
              <w:rPr>
                <w:sz w:val="20"/>
                <w:szCs w:val="20"/>
              </w:rPr>
            </w:pPr>
            <w:r w:rsidRPr="009A10A6">
              <w:rPr>
                <w:sz w:val="20"/>
                <w:szCs w:val="20"/>
              </w:rPr>
              <w:t>N=6</w:t>
            </w:r>
          </w:p>
        </w:tc>
        <w:tc>
          <w:tcPr>
            <w:tcW w:w="606" w:type="pct"/>
          </w:tcPr>
          <w:p w14:paraId="52D42A02" w14:textId="77777777" w:rsidR="0047204F" w:rsidRPr="009A10A6" w:rsidRDefault="0047204F" w:rsidP="00170876">
            <w:pPr>
              <w:rPr>
                <w:sz w:val="20"/>
                <w:szCs w:val="20"/>
              </w:rPr>
            </w:pPr>
            <w:r w:rsidRPr="009A10A6">
              <w:rPr>
                <w:sz w:val="20"/>
                <w:szCs w:val="20"/>
              </w:rPr>
              <w:t>Longitudinal study</w:t>
            </w:r>
          </w:p>
          <w:p w14:paraId="305C64E5" w14:textId="77777777" w:rsidR="0047204F" w:rsidRPr="009A10A6" w:rsidRDefault="0047204F" w:rsidP="00170876">
            <w:pPr>
              <w:rPr>
                <w:sz w:val="20"/>
                <w:szCs w:val="20"/>
              </w:rPr>
            </w:pPr>
            <w:r w:rsidRPr="009A10A6">
              <w:rPr>
                <w:sz w:val="20"/>
                <w:szCs w:val="20"/>
              </w:rPr>
              <w:t>1-month post move /6-month post-move</w:t>
            </w:r>
          </w:p>
        </w:tc>
        <w:tc>
          <w:tcPr>
            <w:tcW w:w="802" w:type="pct"/>
          </w:tcPr>
          <w:p w14:paraId="63977AAF" w14:textId="77777777" w:rsidR="0047204F" w:rsidRPr="009A10A6" w:rsidRDefault="0047204F" w:rsidP="00170876">
            <w:pPr>
              <w:rPr>
                <w:sz w:val="20"/>
                <w:szCs w:val="20"/>
              </w:rPr>
            </w:pPr>
            <w:r w:rsidRPr="009A10A6">
              <w:rPr>
                <w:sz w:val="20"/>
                <w:szCs w:val="20"/>
              </w:rPr>
              <w:t>Fair</w:t>
            </w:r>
          </w:p>
        </w:tc>
        <w:tc>
          <w:tcPr>
            <w:tcW w:w="1100" w:type="pct"/>
          </w:tcPr>
          <w:p w14:paraId="454A6F14" w14:textId="77777777" w:rsidR="0047204F" w:rsidRPr="009A10A6" w:rsidRDefault="0047204F" w:rsidP="00170876">
            <w:pPr>
              <w:rPr>
                <w:sz w:val="20"/>
                <w:szCs w:val="20"/>
              </w:rPr>
            </w:pPr>
            <w:r w:rsidRPr="009A10A6">
              <w:rPr>
                <w:sz w:val="20"/>
                <w:szCs w:val="20"/>
              </w:rPr>
              <w:t>Improvement in mood with decrease in challenging behaviours but limited activity involvement outside the home. Staff attitudes towards transition improved at six-month follow-up.</w:t>
            </w:r>
          </w:p>
        </w:tc>
      </w:tr>
      <w:tr w:rsidR="0047204F" w:rsidRPr="00B069D1" w14:paraId="7B348010" w14:textId="77777777" w:rsidTr="00EF01DE">
        <w:tc>
          <w:tcPr>
            <w:tcW w:w="758" w:type="pct"/>
          </w:tcPr>
          <w:p w14:paraId="77AECAFE" w14:textId="77777777" w:rsidR="0047204F" w:rsidRPr="009A10A6" w:rsidRDefault="0047204F" w:rsidP="00170876">
            <w:pPr>
              <w:rPr>
                <w:bCs/>
                <w:sz w:val="20"/>
                <w:szCs w:val="20"/>
              </w:rPr>
            </w:pPr>
            <w:r w:rsidRPr="009A10A6">
              <w:rPr>
                <w:b/>
                <w:sz w:val="20"/>
                <w:szCs w:val="20"/>
              </w:rPr>
              <w:t>Cluster housing:</w:t>
            </w:r>
            <w:r w:rsidRPr="009A10A6">
              <w:rPr>
                <w:bCs/>
                <w:sz w:val="20"/>
                <w:szCs w:val="20"/>
              </w:rPr>
              <w:t xml:space="preserve"> accommodation located either as part of a campus development (three or more houses with an on-site day centre) or in a cluster of houses for people with intellectual disabilities (e.g., a dead-end street with three or more houses for people with intellectual disabilities).</w:t>
            </w:r>
          </w:p>
          <w:p w14:paraId="07AE70D5" w14:textId="77777777" w:rsidR="0047204F" w:rsidRPr="009A10A6" w:rsidRDefault="0047204F" w:rsidP="00170876">
            <w:pPr>
              <w:rPr>
                <w:bCs/>
                <w:sz w:val="20"/>
                <w:szCs w:val="20"/>
              </w:rPr>
            </w:pPr>
          </w:p>
          <w:p w14:paraId="4A2B46E9" w14:textId="77777777" w:rsidR="0047204F" w:rsidRPr="009A10A6" w:rsidRDefault="0047204F" w:rsidP="00170876">
            <w:pPr>
              <w:rPr>
                <w:bCs/>
                <w:sz w:val="20"/>
                <w:szCs w:val="20"/>
              </w:rPr>
            </w:pPr>
            <w:r w:rsidRPr="009A10A6">
              <w:rPr>
                <w:b/>
                <w:sz w:val="20"/>
                <w:szCs w:val="20"/>
              </w:rPr>
              <w:lastRenderedPageBreak/>
              <w:t>Dispersed housing</w:t>
            </w:r>
            <w:r w:rsidRPr="009A10A6">
              <w:rPr>
                <w:bCs/>
                <w:sz w:val="20"/>
                <w:szCs w:val="20"/>
              </w:rPr>
              <w:t>: no specific details but indicated more personalised settings</w:t>
            </w:r>
          </w:p>
          <w:p w14:paraId="794C46F0" w14:textId="77777777" w:rsidR="0047204F" w:rsidRPr="009A10A6" w:rsidRDefault="0047204F" w:rsidP="00170876">
            <w:pPr>
              <w:rPr>
                <w:b/>
                <w:sz w:val="20"/>
                <w:szCs w:val="20"/>
              </w:rPr>
            </w:pPr>
          </w:p>
          <w:p w14:paraId="7E4A4D69" w14:textId="77777777" w:rsidR="0047204F" w:rsidRPr="009A10A6" w:rsidRDefault="0047204F" w:rsidP="00170876">
            <w:pPr>
              <w:rPr>
                <w:b/>
                <w:bCs/>
                <w:sz w:val="20"/>
                <w:szCs w:val="20"/>
              </w:rPr>
            </w:pPr>
          </w:p>
        </w:tc>
        <w:tc>
          <w:tcPr>
            <w:tcW w:w="552" w:type="pct"/>
          </w:tcPr>
          <w:p w14:paraId="0388A877" w14:textId="77777777" w:rsidR="0047204F" w:rsidRPr="009A10A6" w:rsidRDefault="0047204F" w:rsidP="00170876">
            <w:pPr>
              <w:rPr>
                <w:bCs/>
                <w:sz w:val="20"/>
                <w:szCs w:val="20"/>
              </w:rPr>
            </w:pPr>
            <w:r w:rsidRPr="009A10A6">
              <w:rPr>
                <w:sz w:val="20"/>
                <w:szCs w:val="20"/>
              </w:rPr>
              <w:lastRenderedPageBreak/>
              <w:t>UK</w:t>
            </w:r>
          </w:p>
        </w:tc>
        <w:tc>
          <w:tcPr>
            <w:tcW w:w="439" w:type="pct"/>
          </w:tcPr>
          <w:p w14:paraId="2CB37F53" w14:textId="77777777" w:rsidR="0047204F" w:rsidRPr="009A10A6" w:rsidRDefault="0047204F" w:rsidP="00170876">
            <w:pPr>
              <w:rPr>
                <w:sz w:val="20"/>
                <w:szCs w:val="20"/>
              </w:rPr>
            </w:pPr>
            <w:r w:rsidRPr="009A10A6">
              <w:rPr>
                <w:sz w:val="20"/>
                <w:szCs w:val="20"/>
              </w:rPr>
              <w:t>Emerson (2004)</w:t>
            </w:r>
          </w:p>
          <w:p w14:paraId="7D285F6D" w14:textId="77777777" w:rsidR="0047204F" w:rsidRPr="009A10A6" w:rsidRDefault="0047204F" w:rsidP="00170876">
            <w:pPr>
              <w:rPr>
                <w:sz w:val="20"/>
                <w:szCs w:val="20"/>
              </w:rPr>
            </w:pPr>
          </w:p>
          <w:p w14:paraId="10E1D55B" w14:textId="77777777" w:rsidR="0047204F" w:rsidRPr="009A10A6" w:rsidRDefault="0047204F" w:rsidP="00170876">
            <w:pPr>
              <w:rPr>
                <w:bCs/>
                <w:sz w:val="20"/>
                <w:szCs w:val="20"/>
              </w:rPr>
            </w:pPr>
          </w:p>
        </w:tc>
        <w:tc>
          <w:tcPr>
            <w:tcW w:w="743" w:type="pct"/>
          </w:tcPr>
          <w:p w14:paraId="42C2C82B" w14:textId="77777777" w:rsidR="0047204F" w:rsidRPr="009A10A6" w:rsidRDefault="0047204F" w:rsidP="00170876">
            <w:pPr>
              <w:rPr>
                <w:sz w:val="20"/>
                <w:szCs w:val="20"/>
              </w:rPr>
            </w:pPr>
            <w:r w:rsidRPr="009A10A6">
              <w:rPr>
                <w:sz w:val="20"/>
                <w:szCs w:val="20"/>
              </w:rPr>
              <w:t>Intellectual disability</w:t>
            </w:r>
          </w:p>
          <w:p w14:paraId="4585F7BB" w14:textId="77777777" w:rsidR="0047204F" w:rsidRPr="009A10A6" w:rsidRDefault="0047204F" w:rsidP="00170876">
            <w:pPr>
              <w:rPr>
                <w:sz w:val="20"/>
                <w:szCs w:val="20"/>
              </w:rPr>
            </w:pPr>
            <w:r w:rsidRPr="009A10A6">
              <w:rPr>
                <w:sz w:val="20"/>
                <w:szCs w:val="20"/>
              </w:rPr>
              <w:t>N=1542</w:t>
            </w:r>
          </w:p>
        </w:tc>
        <w:tc>
          <w:tcPr>
            <w:tcW w:w="606" w:type="pct"/>
          </w:tcPr>
          <w:p w14:paraId="3F7DA02B" w14:textId="77777777" w:rsidR="0047204F" w:rsidRPr="009A10A6" w:rsidRDefault="0047204F" w:rsidP="00170876">
            <w:pPr>
              <w:rPr>
                <w:sz w:val="20"/>
                <w:szCs w:val="20"/>
              </w:rPr>
            </w:pPr>
            <w:r w:rsidRPr="009A10A6">
              <w:rPr>
                <w:sz w:val="20"/>
                <w:szCs w:val="20"/>
              </w:rPr>
              <w:t>Cross sectional cohort study</w:t>
            </w:r>
          </w:p>
        </w:tc>
        <w:tc>
          <w:tcPr>
            <w:tcW w:w="802" w:type="pct"/>
          </w:tcPr>
          <w:p w14:paraId="5176664A" w14:textId="77777777" w:rsidR="0047204F" w:rsidRPr="009A10A6" w:rsidRDefault="0047204F" w:rsidP="00170876">
            <w:pPr>
              <w:rPr>
                <w:sz w:val="20"/>
                <w:szCs w:val="20"/>
              </w:rPr>
            </w:pPr>
            <w:r w:rsidRPr="009A10A6">
              <w:rPr>
                <w:sz w:val="20"/>
                <w:szCs w:val="20"/>
              </w:rPr>
              <w:t>Fair</w:t>
            </w:r>
          </w:p>
        </w:tc>
        <w:tc>
          <w:tcPr>
            <w:tcW w:w="1100" w:type="pct"/>
          </w:tcPr>
          <w:p w14:paraId="463F0876" w14:textId="38C8ECEC" w:rsidR="0047204F" w:rsidRPr="009A10A6" w:rsidRDefault="0047204F" w:rsidP="00170876">
            <w:pPr>
              <w:rPr>
                <w:sz w:val="20"/>
                <w:szCs w:val="20"/>
              </w:rPr>
            </w:pPr>
            <w:r w:rsidRPr="009A10A6">
              <w:rPr>
                <w:sz w:val="20"/>
                <w:szCs w:val="20"/>
              </w:rPr>
              <w:t xml:space="preserve">Cluster housing arrangement offered a poorer quality of life. People in cluster housing were </w:t>
            </w:r>
            <w:r w:rsidR="00E7233A">
              <w:rPr>
                <w:sz w:val="20"/>
                <w:szCs w:val="20"/>
              </w:rPr>
              <w:t xml:space="preserve">reported </w:t>
            </w:r>
            <w:r w:rsidRPr="009A10A6">
              <w:rPr>
                <w:sz w:val="20"/>
                <w:szCs w:val="20"/>
              </w:rPr>
              <w:t xml:space="preserve"> (a) to have housing setting shared with residents for short term care, (b) share house with more people (c) lower ratio of support staff (d) supported by casual/bank staff (e) fewer social activities (f) more likely to have been prescribed psychoactive medication</w:t>
            </w:r>
          </w:p>
        </w:tc>
      </w:tr>
      <w:tr w:rsidR="0047204F" w:rsidRPr="00B069D1" w14:paraId="63599C9D" w14:textId="77777777" w:rsidTr="00EF01DE">
        <w:tc>
          <w:tcPr>
            <w:tcW w:w="758" w:type="pct"/>
          </w:tcPr>
          <w:p w14:paraId="2821E6EA" w14:textId="77777777" w:rsidR="0047204F" w:rsidRPr="009A10A6" w:rsidRDefault="0047204F" w:rsidP="00170876">
            <w:pPr>
              <w:rPr>
                <w:b/>
                <w:bCs/>
                <w:sz w:val="20"/>
                <w:szCs w:val="20"/>
              </w:rPr>
            </w:pPr>
            <w:r w:rsidRPr="009A10A6">
              <w:rPr>
                <w:b/>
                <w:bCs/>
                <w:sz w:val="20"/>
                <w:szCs w:val="20"/>
              </w:rPr>
              <w:t>Community based homes and supported living/dispersed housing</w:t>
            </w:r>
          </w:p>
          <w:p w14:paraId="37A477A6" w14:textId="77777777" w:rsidR="0047204F" w:rsidRPr="009A10A6" w:rsidRDefault="0047204F" w:rsidP="00170876">
            <w:pPr>
              <w:rPr>
                <w:b/>
                <w:bCs/>
                <w:sz w:val="20"/>
                <w:szCs w:val="20"/>
              </w:rPr>
            </w:pPr>
          </w:p>
          <w:p w14:paraId="3B8EF093" w14:textId="77777777" w:rsidR="0047204F" w:rsidRPr="009A10A6" w:rsidRDefault="0047204F" w:rsidP="00170876">
            <w:pPr>
              <w:rPr>
                <w:sz w:val="20"/>
                <w:szCs w:val="20"/>
              </w:rPr>
            </w:pPr>
            <w:r w:rsidRPr="009A10A6">
              <w:rPr>
                <w:sz w:val="20"/>
                <w:szCs w:val="20"/>
              </w:rPr>
              <w:t>Long term residential with 24-hour support in dispersed housing</w:t>
            </w:r>
          </w:p>
          <w:p w14:paraId="75B00600" w14:textId="77777777" w:rsidR="0047204F" w:rsidRPr="009A10A6" w:rsidRDefault="0047204F" w:rsidP="00170876">
            <w:pPr>
              <w:rPr>
                <w:b/>
                <w:bCs/>
                <w:sz w:val="20"/>
                <w:szCs w:val="20"/>
              </w:rPr>
            </w:pPr>
          </w:p>
          <w:p w14:paraId="7CE31C97" w14:textId="77777777" w:rsidR="0047204F" w:rsidRPr="009A10A6" w:rsidRDefault="0047204F" w:rsidP="00170876">
            <w:pPr>
              <w:rPr>
                <w:b/>
                <w:bCs/>
                <w:sz w:val="20"/>
                <w:szCs w:val="20"/>
              </w:rPr>
            </w:pPr>
          </w:p>
        </w:tc>
        <w:tc>
          <w:tcPr>
            <w:tcW w:w="552" w:type="pct"/>
          </w:tcPr>
          <w:p w14:paraId="2FCCD0F5" w14:textId="77777777" w:rsidR="0047204F" w:rsidRPr="009A10A6" w:rsidRDefault="0047204F" w:rsidP="00170876">
            <w:pPr>
              <w:rPr>
                <w:bCs/>
                <w:sz w:val="20"/>
                <w:szCs w:val="20"/>
              </w:rPr>
            </w:pPr>
            <w:r w:rsidRPr="009A10A6">
              <w:rPr>
                <w:sz w:val="20"/>
                <w:szCs w:val="20"/>
              </w:rPr>
              <w:t>UK</w:t>
            </w:r>
          </w:p>
        </w:tc>
        <w:tc>
          <w:tcPr>
            <w:tcW w:w="439" w:type="pct"/>
          </w:tcPr>
          <w:p w14:paraId="5F790378" w14:textId="77777777" w:rsidR="0047204F" w:rsidRPr="009A10A6" w:rsidRDefault="0047204F" w:rsidP="00170876">
            <w:pPr>
              <w:rPr>
                <w:sz w:val="20"/>
                <w:szCs w:val="20"/>
              </w:rPr>
            </w:pPr>
            <w:r w:rsidRPr="009A10A6">
              <w:rPr>
                <w:sz w:val="20"/>
                <w:szCs w:val="20"/>
              </w:rPr>
              <w:t>Emerson (2001)</w:t>
            </w:r>
          </w:p>
          <w:p w14:paraId="408702D6" w14:textId="77777777" w:rsidR="0047204F" w:rsidRPr="009A10A6" w:rsidRDefault="0047204F" w:rsidP="00170876">
            <w:pPr>
              <w:rPr>
                <w:sz w:val="20"/>
                <w:szCs w:val="20"/>
              </w:rPr>
            </w:pPr>
          </w:p>
          <w:p w14:paraId="1684A955" w14:textId="77777777" w:rsidR="0047204F" w:rsidRPr="009A10A6" w:rsidRDefault="0047204F" w:rsidP="00170876">
            <w:pPr>
              <w:rPr>
                <w:sz w:val="20"/>
                <w:szCs w:val="20"/>
              </w:rPr>
            </w:pPr>
          </w:p>
          <w:p w14:paraId="7A60D055" w14:textId="77777777" w:rsidR="0047204F" w:rsidRPr="009A10A6" w:rsidRDefault="0047204F" w:rsidP="00170876">
            <w:pPr>
              <w:rPr>
                <w:bCs/>
                <w:sz w:val="20"/>
                <w:szCs w:val="20"/>
              </w:rPr>
            </w:pPr>
          </w:p>
        </w:tc>
        <w:tc>
          <w:tcPr>
            <w:tcW w:w="743" w:type="pct"/>
          </w:tcPr>
          <w:p w14:paraId="6F253E65" w14:textId="77777777" w:rsidR="0047204F" w:rsidRPr="009A10A6" w:rsidRDefault="0047204F" w:rsidP="00170876">
            <w:pPr>
              <w:rPr>
                <w:sz w:val="20"/>
                <w:szCs w:val="20"/>
              </w:rPr>
            </w:pPr>
            <w:r w:rsidRPr="009A10A6">
              <w:rPr>
                <w:sz w:val="20"/>
                <w:szCs w:val="20"/>
              </w:rPr>
              <w:t>Intellectual Disability</w:t>
            </w:r>
          </w:p>
        </w:tc>
        <w:tc>
          <w:tcPr>
            <w:tcW w:w="606" w:type="pct"/>
          </w:tcPr>
          <w:p w14:paraId="02D789BA" w14:textId="77777777" w:rsidR="0047204F" w:rsidRPr="009A10A6" w:rsidRDefault="0047204F" w:rsidP="00170876">
            <w:pPr>
              <w:rPr>
                <w:sz w:val="20"/>
                <w:szCs w:val="20"/>
              </w:rPr>
            </w:pPr>
            <w:r w:rsidRPr="009A10A6">
              <w:rPr>
                <w:sz w:val="20"/>
                <w:szCs w:val="20"/>
              </w:rPr>
              <w:t>Cross sectional study of residents in (a) village communities (b) residential campuses (c) small community based homes and supported living.</w:t>
            </w:r>
          </w:p>
        </w:tc>
        <w:tc>
          <w:tcPr>
            <w:tcW w:w="802" w:type="pct"/>
          </w:tcPr>
          <w:p w14:paraId="21CB60BD" w14:textId="77777777" w:rsidR="0047204F" w:rsidRPr="009A10A6" w:rsidRDefault="0047204F" w:rsidP="00170876">
            <w:pPr>
              <w:rPr>
                <w:sz w:val="20"/>
                <w:szCs w:val="20"/>
              </w:rPr>
            </w:pPr>
            <w:r w:rsidRPr="009A10A6">
              <w:rPr>
                <w:sz w:val="20"/>
                <w:szCs w:val="20"/>
              </w:rPr>
              <w:t>Fair</w:t>
            </w:r>
          </w:p>
        </w:tc>
        <w:tc>
          <w:tcPr>
            <w:tcW w:w="1100" w:type="pct"/>
          </w:tcPr>
          <w:p w14:paraId="124B0709" w14:textId="77777777" w:rsidR="0047204F" w:rsidRPr="009A10A6" w:rsidRDefault="0047204F" w:rsidP="00170876">
            <w:pPr>
              <w:rPr>
                <w:sz w:val="20"/>
                <w:szCs w:val="20"/>
              </w:rPr>
            </w:pPr>
            <w:r w:rsidRPr="009A10A6">
              <w:rPr>
                <w:sz w:val="20"/>
                <w:szCs w:val="20"/>
              </w:rPr>
              <w:t>Adjusted costs for dispersed housing schemes 15% greater than residential campuses and 20% greater than village communities</w:t>
            </w:r>
          </w:p>
        </w:tc>
      </w:tr>
      <w:tr w:rsidR="0047204F" w:rsidRPr="00B069D1" w14:paraId="03B4FD2E" w14:textId="77777777" w:rsidTr="00EF01DE">
        <w:tc>
          <w:tcPr>
            <w:tcW w:w="758" w:type="pct"/>
          </w:tcPr>
          <w:p w14:paraId="7FDA23A6" w14:textId="77777777" w:rsidR="0047204F" w:rsidRPr="009A10A6" w:rsidRDefault="0047204F" w:rsidP="00170876">
            <w:pPr>
              <w:rPr>
                <w:b/>
                <w:sz w:val="20"/>
                <w:szCs w:val="20"/>
              </w:rPr>
            </w:pPr>
            <w:r w:rsidRPr="009A10A6">
              <w:rPr>
                <w:b/>
                <w:sz w:val="20"/>
                <w:szCs w:val="20"/>
              </w:rPr>
              <w:t>Dispersed housing schemes</w:t>
            </w:r>
          </w:p>
          <w:p w14:paraId="6E9697BB" w14:textId="77777777" w:rsidR="0047204F" w:rsidRPr="009A10A6" w:rsidRDefault="0047204F" w:rsidP="00170876">
            <w:pPr>
              <w:rPr>
                <w:b/>
                <w:sz w:val="20"/>
                <w:szCs w:val="20"/>
              </w:rPr>
            </w:pPr>
          </w:p>
          <w:p w14:paraId="2247C7AA" w14:textId="77777777" w:rsidR="0047204F" w:rsidRPr="009A10A6" w:rsidRDefault="0047204F" w:rsidP="00170876">
            <w:pPr>
              <w:rPr>
                <w:b/>
                <w:bCs/>
                <w:sz w:val="20"/>
                <w:szCs w:val="20"/>
              </w:rPr>
            </w:pPr>
            <w:r w:rsidRPr="009A10A6">
              <w:rPr>
                <w:bCs/>
                <w:sz w:val="20"/>
                <w:szCs w:val="20"/>
              </w:rPr>
              <w:t>Allocated: Dispersed and cluster housing</w:t>
            </w:r>
          </w:p>
        </w:tc>
        <w:tc>
          <w:tcPr>
            <w:tcW w:w="552" w:type="pct"/>
          </w:tcPr>
          <w:p w14:paraId="36C3796F" w14:textId="77777777" w:rsidR="0047204F" w:rsidRPr="009A10A6" w:rsidRDefault="0047204F" w:rsidP="00170876">
            <w:pPr>
              <w:rPr>
                <w:bCs/>
                <w:sz w:val="20"/>
                <w:szCs w:val="20"/>
              </w:rPr>
            </w:pPr>
            <w:r w:rsidRPr="009A10A6">
              <w:rPr>
                <w:bCs/>
                <w:sz w:val="20"/>
                <w:szCs w:val="20"/>
              </w:rPr>
              <w:t>UK</w:t>
            </w:r>
          </w:p>
        </w:tc>
        <w:tc>
          <w:tcPr>
            <w:tcW w:w="439" w:type="pct"/>
          </w:tcPr>
          <w:p w14:paraId="04166567" w14:textId="77777777" w:rsidR="0047204F" w:rsidRPr="009A10A6" w:rsidRDefault="0047204F" w:rsidP="00170876">
            <w:pPr>
              <w:rPr>
                <w:sz w:val="20"/>
                <w:szCs w:val="20"/>
              </w:rPr>
            </w:pPr>
            <w:r w:rsidRPr="009A10A6">
              <w:rPr>
                <w:sz w:val="20"/>
                <w:szCs w:val="20"/>
              </w:rPr>
              <w:t>Hallam et al (2002)</w:t>
            </w:r>
          </w:p>
          <w:p w14:paraId="6A3CDE3B" w14:textId="77777777" w:rsidR="0047204F" w:rsidRPr="009A10A6" w:rsidRDefault="0047204F" w:rsidP="00170876">
            <w:pPr>
              <w:rPr>
                <w:sz w:val="20"/>
                <w:szCs w:val="20"/>
              </w:rPr>
            </w:pPr>
          </w:p>
          <w:p w14:paraId="3C267804" w14:textId="77777777" w:rsidR="0047204F" w:rsidRPr="009A10A6" w:rsidRDefault="0047204F" w:rsidP="00170876">
            <w:pPr>
              <w:rPr>
                <w:bCs/>
                <w:sz w:val="20"/>
                <w:szCs w:val="20"/>
              </w:rPr>
            </w:pPr>
          </w:p>
        </w:tc>
        <w:tc>
          <w:tcPr>
            <w:tcW w:w="743" w:type="pct"/>
          </w:tcPr>
          <w:p w14:paraId="2AD71196" w14:textId="77777777" w:rsidR="0047204F" w:rsidRPr="009A10A6" w:rsidRDefault="0047204F" w:rsidP="00170876">
            <w:pPr>
              <w:rPr>
                <w:sz w:val="20"/>
                <w:szCs w:val="20"/>
              </w:rPr>
            </w:pPr>
            <w:r w:rsidRPr="009A10A6">
              <w:rPr>
                <w:sz w:val="20"/>
                <w:szCs w:val="20"/>
              </w:rPr>
              <w:t>Intellectual disability N=454</w:t>
            </w:r>
          </w:p>
        </w:tc>
        <w:tc>
          <w:tcPr>
            <w:tcW w:w="606" w:type="pct"/>
          </w:tcPr>
          <w:p w14:paraId="17CA830F" w14:textId="77777777" w:rsidR="0047204F" w:rsidRPr="009A10A6" w:rsidRDefault="0047204F" w:rsidP="00170876">
            <w:pPr>
              <w:rPr>
                <w:sz w:val="20"/>
                <w:szCs w:val="20"/>
              </w:rPr>
            </w:pPr>
            <w:r w:rsidRPr="009A10A6">
              <w:rPr>
                <w:sz w:val="20"/>
                <w:szCs w:val="20"/>
              </w:rPr>
              <w:t xml:space="preserve">Cross sectional study </w:t>
            </w:r>
          </w:p>
          <w:p w14:paraId="4F128893" w14:textId="77777777" w:rsidR="0047204F" w:rsidRPr="009A10A6" w:rsidRDefault="0047204F" w:rsidP="00170876">
            <w:pPr>
              <w:rPr>
                <w:sz w:val="20"/>
                <w:szCs w:val="20"/>
              </w:rPr>
            </w:pPr>
            <w:r w:rsidRPr="009A10A6">
              <w:rPr>
                <w:sz w:val="20"/>
                <w:szCs w:val="20"/>
              </w:rPr>
              <w:t>Cost benefit analysis</w:t>
            </w:r>
          </w:p>
          <w:p w14:paraId="150E5D1A" w14:textId="77777777" w:rsidR="0047204F" w:rsidRPr="009A10A6" w:rsidRDefault="0047204F" w:rsidP="00170876">
            <w:pPr>
              <w:rPr>
                <w:sz w:val="20"/>
                <w:szCs w:val="20"/>
              </w:rPr>
            </w:pPr>
          </w:p>
          <w:p w14:paraId="63165EEC" w14:textId="77777777" w:rsidR="0047204F" w:rsidRPr="009A10A6" w:rsidRDefault="0047204F" w:rsidP="00170876">
            <w:pPr>
              <w:rPr>
                <w:sz w:val="20"/>
                <w:szCs w:val="20"/>
              </w:rPr>
            </w:pPr>
            <w:r w:rsidRPr="009A10A6">
              <w:rPr>
                <w:sz w:val="20"/>
                <w:szCs w:val="20"/>
              </w:rPr>
              <w:t>(1) Village communities (2) Residential campus (3) Dispersed housing schemes</w:t>
            </w:r>
          </w:p>
        </w:tc>
        <w:tc>
          <w:tcPr>
            <w:tcW w:w="802" w:type="pct"/>
          </w:tcPr>
          <w:p w14:paraId="6C447194" w14:textId="77777777" w:rsidR="0047204F" w:rsidRPr="009A10A6" w:rsidRDefault="0047204F" w:rsidP="00170876">
            <w:pPr>
              <w:rPr>
                <w:sz w:val="20"/>
                <w:szCs w:val="20"/>
              </w:rPr>
            </w:pPr>
            <w:r w:rsidRPr="009A10A6">
              <w:rPr>
                <w:sz w:val="20"/>
                <w:szCs w:val="20"/>
              </w:rPr>
              <w:t>Fair</w:t>
            </w:r>
          </w:p>
        </w:tc>
        <w:tc>
          <w:tcPr>
            <w:tcW w:w="1100" w:type="pct"/>
          </w:tcPr>
          <w:p w14:paraId="18C61F8C" w14:textId="77777777" w:rsidR="0047204F" w:rsidRPr="009A10A6" w:rsidRDefault="0047204F" w:rsidP="00170876">
            <w:pPr>
              <w:rPr>
                <w:sz w:val="20"/>
                <w:szCs w:val="20"/>
              </w:rPr>
            </w:pPr>
            <w:r w:rsidRPr="009A10A6">
              <w:rPr>
                <w:sz w:val="20"/>
                <w:szCs w:val="20"/>
              </w:rPr>
              <w:t>Weekly cost comparison: Residential campuses (931) greater than Dispersed housing schemes (902) greater than Village communities (637). More sophisticated service processes within a setting was associated with higher costs. Cost however, was moderated by systematic supervision and staff training.</w:t>
            </w:r>
          </w:p>
        </w:tc>
      </w:tr>
      <w:tr w:rsidR="0047204F" w:rsidRPr="00B069D1" w14:paraId="2A81B09D" w14:textId="77777777" w:rsidTr="00EF01DE">
        <w:tc>
          <w:tcPr>
            <w:tcW w:w="758" w:type="pct"/>
          </w:tcPr>
          <w:p w14:paraId="51616D7B" w14:textId="77777777" w:rsidR="0047204F" w:rsidRPr="009A10A6" w:rsidRDefault="0047204F" w:rsidP="00641D90">
            <w:pPr>
              <w:keepNext/>
              <w:rPr>
                <w:b/>
                <w:bCs/>
                <w:sz w:val="20"/>
                <w:szCs w:val="20"/>
              </w:rPr>
            </w:pPr>
            <w:r w:rsidRPr="009A10A6">
              <w:rPr>
                <w:b/>
                <w:bCs/>
                <w:sz w:val="20"/>
                <w:szCs w:val="20"/>
              </w:rPr>
              <w:lastRenderedPageBreak/>
              <w:t xml:space="preserve">Supported housing model </w:t>
            </w:r>
          </w:p>
          <w:p w14:paraId="21B1E220" w14:textId="77777777" w:rsidR="0047204F" w:rsidRPr="009A10A6" w:rsidRDefault="0047204F" w:rsidP="00641D90">
            <w:pPr>
              <w:keepNext/>
              <w:rPr>
                <w:sz w:val="20"/>
                <w:szCs w:val="20"/>
              </w:rPr>
            </w:pPr>
          </w:p>
          <w:p w14:paraId="403CA251" w14:textId="77777777" w:rsidR="0047204F" w:rsidRPr="009A10A6" w:rsidRDefault="0047204F" w:rsidP="00641D90">
            <w:pPr>
              <w:keepNext/>
              <w:rPr>
                <w:sz w:val="20"/>
                <w:szCs w:val="20"/>
              </w:rPr>
            </w:pPr>
            <w:r w:rsidRPr="009A10A6">
              <w:rPr>
                <w:sz w:val="20"/>
                <w:szCs w:val="20"/>
              </w:rPr>
              <w:t>Supported living accommodation defined as 'purpose-built flats within a complex for people with ID, no further information provided on number of residents.</w:t>
            </w:r>
          </w:p>
          <w:p w14:paraId="712BDC35" w14:textId="77777777" w:rsidR="0047204F" w:rsidRPr="009A10A6" w:rsidRDefault="0047204F" w:rsidP="00641D90">
            <w:pPr>
              <w:keepNext/>
              <w:rPr>
                <w:sz w:val="20"/>
                <w:szCs w:val="20"/>
              </w:rPr>
            </w:pPr>
          </w:p>
          <w:p w14:paraId="3AABD4D7" w14:textId="77777777" w:rsidR="0047204F" w:rsidRPr="009A10A6" w:rsidRDefault="0047204F" w:rsidP="00641D90">
            <w:pPr>
              <w:keepNext/>
              <w:rPr>
                <w:sz w:val="20"/>
                <w:szCs w:val="20"/>
              </w:rPr>
            </w:pPr>
            <w:r w:rsidRPr="009A10A6">
              <w:rPr>
                <w:sz w:val="20"/>
                <w:szCs w:val="20"/>
              </w:rPr>
              <w:t>Living support provided by care staff of non-nursing background with standard induction and mandatory training</w:t>
            </w:r>
          </w:p>
          <w:p w14:paraId="6D11120C" w14:textId="77777777" w:rsidR="0047204F" w:rsidRPr="009A10A6" w:rsidRDefault="0047204F" w:rsidP="00641D90">
            <w:pPr>
              <w:keepNext/>
              <w:rPr>
                <w:sz w:val="20"/>
                <w:szCs w:val="20"/>
              </w:rPr>
            </w:pPr>
          </w:p>
          <w:p w14:paraId="42EE3D50" w14:textId="77777777" w:rsidR="0047204F" w:rsidRPr="009A10A6" w:rsidRDefault="0047204F" w:rsidP="00641D90">
            <w:pPr>
              <w:keepNext/>
              <w:rPr>
                <w:b/>
                <w:bCs/>
                <w:sz w:val="20"/>
                <w:szCs w:val="20"/>
              </w:rPr>
            </w:pPr>
          </w:p>
        </w:tc>
        <w:tc>
          <w:tcPr>
            <w:tcW w:w="552" w:type="pct"/>
          </w:tcPr>
          <w:p w14:paraId="48B2EFB8" w14:textId="77777777" w:rsidR="0047204F" w:rsidRPr="009A10A6" w:rsidRDefault="0047204F" w:rsidP="00641D90">
            <w:pPr>
              <w:keepNext/>
              <w:rPr>
                <w:bCs/>
                <w:sz w:val="20"/>
                <w:szCs w:val="20"/>
              </w:rPr>
            </w:pPr>
            <w:r w:rsidRPr="009A10A6">
              <w:rPr>
                <w:sz w:val="20"/>
                <w:szCs w:val="20"/>
              </w:rPr>
              <w:t>UK</w:t>
            </w:r>
          </w:p>
        </w:tc>
        <w:tc>
          <w:tcPr>
            <w:tcW w:w="439" w:type="pct"/>
          </w:tcPr>
          <w:p w14:paraId="13A32E87" w14:textId="77777777" w:rsidR="0047204F" w:rsidRPr="009A10A6" w:rsidRDefault="0047204F" w:rsidP="00641D90">
            <w:pPr>
              <w:keepNext/>
              <w:rPr>
                <w:sz w:val="20"/>
                <w:szCs w:val="20"/>
              </w:rPr>
            </w:pPr>
            <w:r w:rsidRPr="009A10A6">
              <w:rPr>
                <w:sz w:val="20"/>
                <w:szCs w:val="20"/>
              </w:rPr>
              <w:t>Bhaumik et al (2011)</w:t>
            </w:r>
          </w:p>
          <w:p w14:paraId="763CABDC" w14:textId="77777777" w:rsidR="0047204F" w:rsidRPr="009A10A6" w:rsidRDefault="0047204F" w:rsidP="00641D90">
            <w:pPr>
              <w:keepNext/>
              <w:rPr>
                <w:sz w:val="20"/>
                <w:szCs w:val="20"/>
              </w:rPr>
            </w:pPr>
            <w:r w:rsidRPr="009A10A6">
              <w:rPr>
                <w:sz w:val="20"/>
                <w:szCs w:val="20"/>
              </w:rPr>
              <w:t xml:space="preserve"> </w:t>
            </w:r>
          </w:p>
          <w:p w14:paraId="109A0751" w14:textId="77777777" w:rsidR="0047204F" w:rsidRPr="009A10A6" w:rsidRDefault="0047204F" w:rsidP="00641D90">
            <w:pPr>
              <w:keepNext/>
              <w:rPr>
                <w:bCs/>
                <w:sz w:val="20"/>
                <w:szCs w:val="20"/>
              </w:rPr>
            </w:pPr>
          </w:p>
        </w:tc>
        <w:tc>
          <w:tcPr>
            <w:tcW w:w="743" w:type="pct"/>
          </w:tcPr>
          <w:p w14:paraId="00177397" w14:textId="77777777" w:rsidR="0047204F" w:rsidRPr="009A10A6" w:rsidRDefault="0047204F" w:rsidP="00641D90">
            <w:pPr>
              <w:keepNext/>
              <w:rPr>
                <w:sz w:val="20"/>
                <w:szCs w:val="20"/>
              </w:rPr>
            </w:pPr>
            <w:r w:rsidRPr="009A10A6">
              <w:rPr>
                <w:sz w:val="20"/>
                <w:szCs w:val="20"/>
              </w:rPr>
              <w:t>Intellectual disability</w:t>
            </w:r>
          </w:p>
          <w:p w14:paraId="1EBA0E12" w14:textId="77777777" w:rsidR="0047204F" w:rsidRPr="009A10A6" w:rsidRDefault="0047204F" w:rsidP="00641D90">
            <w:pPr>
              <w:keepNext/>
              <w:rPr>
                <w:sz w:val="20"/>
                <w:szCs w:val="20"/>
              </w:rPr>
            </w:pPr>
          </w:p>
          <w:p w14:paraId="62BA9471" w14:textId="77777777" w:rsidR="0047204F" w:rsidRPr="009A10A6" w:rsidRDefault="0047204F" w:rsidP="00641D90">
            <w:pPr>
              <w:keepNext/>
              <w:rPr>
                <w:sz w:val="20"/>
                <w:szCs w:val="20"/>
              </w:rPr>
            </w:pPr>
            <w:r w:rsidRPr="009A10A6">
              <w:rPr>
                <w:sz w:val="20"/>
                <w:szCs w:val="20"/>
              </w:rPr>
              <w:t>N=49</w:t>
            </w:r>
          </w:p>
          <w:p w14:paraId="2ADD9A9A" w14:textId="77777777" w:rsidR="0047204F" w:rsidRPr="009A10A6" w:rsidRDefault="0047204F" w:rsidP="00641D90">
            <w:pPr>
              <w:keepNext/>
              <w:rPr>
                <w:sz w:val="20"/>
                <w:szCs w:val="20"/>
              </w:rPr>
            </w:pPr>
          </w:p>
          <w:p w14:paraId="1280E0D6" w14:textId="77777777" w:rsidR="0047204F" w:rsidRPr="009A10A6" w:rsidRDefault="0047204F" w:rsidP="00641D90">
            <w:pPr>
              <w:keepNext/>
              <w:rPr>
                <w:sz w:val="20"/>
                <w:szCs w:val="20"/>
              </w:rPr>
            </w:pPr>
            <w:r w:rsidRPr="009A10A6">
              <w:rPr>
                <w:sz w:val="20"/>
                <w:szCs w:val="20"/>
              </w:rPr>
              <w:t>Mixed age sample data reported for &lt;55</w:t>
            </w:r>
          </w:p>
        </w:tc>
        <w:tc>
          <w:tcPr>
            <w:tcW w:w="606" w:type="pct"/>
          </w:tcPr>
          <w:p w14:paraId="753E31E1" w14:textId="77777777" w:rsidR="0047204F" w:rsidRPr="009A10A6" w:rsidRDefault="0047204F" w:rsidP="00641D90">
            <w:pPr>
              <w:keepNext/>
              <w:rPr>
                <w:sz w:val="20"/>
                <w:szCs w:val="20"/>
              </w:rPr>
            </w:pPr>
            <w:r w:rsidRPr="009A10A6">
              <w:rPr>
                <w:sz w:val="20"/>
                <w:szCs w:val="20"/>
              </w:rPr>
              <w:t>Repeated measures design: pre/post/follow-up</w:t>
            </w:r>
          </w:p>
        </w:tc>
        <w:tc>
          <w:tcPr>
            <w:tcW w:w="802" w:type="pct"/>
          </w:tcPr>
          <w:p w14:paraId="6E0C7128" w14:textId="77777777" w:rsidR="0047204F" w:rsidRPr="009A10A6" w:rsidRDefault="0047204F" w:rsidP="00641D90">
            <w:pPr>
              <w:keepNext/>
              <w:rPr>
                <w:sz w:val="20"/>
                <w:szCs w:val="20"/>
              </w:rPr>
            </w:pPr>
            <w:r w:rsidRPr="009A10A6">
              <w:rPr>
                <w:sz w:val="20"/>
                <w:szCs w:val="20"/>
              </w:rPr>
              <w:t>Good</w:t>
            </w:r>
          </w:p>
        </w:tc>
        <w:tc>
          <w:tcPr>
            <w:tcW w:w="1100" w:type="pct"/>
          </w:tcPr>
          <w:p w14:paraId="6E5E0570" w14:textId="77777777" w:rsidR="0047204F" w:rsidRPr="009A10A6" w:rsidRDefault="0047204F" w:rsidP="00641D90">
            <w:pPr>
              <w:keepNext/>
              <w:rPr>
                <w:sz w:val="20"/>
                <w:szCs w:val="20"/>
              </w:rPr>
            </w:pPr>
            <w:r w:rsidRPr="009A10A6">
              <w:rPr>
                <w:sz w:val="20"/>
                <w:szCs w:val="20"/>
              </w:rPr>
              <w:t xml:space="preserve">QoL improved from baseline at six months and plateau at 12 months. </w:t>
            </w:r>
          </w:p>
          <w:p w14:paraId="280387E9" w14:textId="77777777" w:rsidR="0047204F" w:rsidRPr="009A10A6" w:rsidRDefault="0047204F" w:rsidP="00641D90">
            <w:pPr>
              <w:keepNext/>
              <w:rPr>
                <w:sz w:val="20"/>
                <w:szCs w:val="20"/>
              </w:rPr>
            </w:pPr>
          </w:p>
        </w:tc>
      </w:tr>
      <w:tr w:rsidR="0047204F" w:rsidRPr="00B069D1" w14:paraId="0379A831" w14:textId="77777777" w:rsidTr="00EF01DE">
        <w:tc>
          <w:tcPr>
            <w:tcW w:w="758" w:type="pct"/>
          </w:tcPr>
          <w:p w14:paraId="4C614F00" w14:textId="77777777" w:rsidR="0047204F" w:rsidRPr="009A10A6" w:rsidRDefault="0047204F" w:rsidP="00170876">
            <w:pPr>
              <w:rPr>
                <w:b/>
                <w:bCs/>
                <w:sz w:val="20"/>
                <w:szCs w:val="20"/>
              </w:rPr>
            </w:pPr>
            <w:r w:rsidRPr="009A10A6">
              <w:rPr>
                <w:b/>
                <w:bCs/>
                <w:sz w:val="20"/>
                <w:szCs w:val="20"/>
              </w:rPr>
              <w:t xml:space="preserve">Supported housing model </w:t>
            </w:r>
          </w:p>
          <w:p w14:paraId="4C209648" w14:textId="77777777" w:rsidR="0047204F" w:rsidRPr="009A10A6" w:rsidRDefault="0047204F" w:rsidP="00170876">
            <w:pPr>
              <w:rPr>
                <w:sz w:val="20"/>
                <w:szCs w:val="20"/>
              </w:rPr>
            </w:pPr>
          </w:p>
          <w:p w14:paraId="1932157C" w14:textId="77777777" w:rsidR="0047204F" w:rsidRPr="009A10A6" w:rsidRDefault="0047204F" w:rsidP="00170876">
            <w:pPr>
              <w:rPr>
                <w:sz w:val="20"/>
                <w:szCs w:val="20"/>
              </w:rPr>
            </w:pPr>
            <w:r w:rsidRPr="009A10A6">
              <w:rPr>
                <w:sz w:val="20"/>
                <w:szCs w:val="20"/>
              </w:rPr>
              <w:t>Supported living accommodation defined as 'purpose-built flats within a complex for people with ID, no further information provided on number of residents.</w:t>
            </w:r>
          </w:p>
          <w:p w14:paraId="316EFAE8" w14:textId="77777777" w:rsidR="0047204F" w:rsidRPr="009A10A6" w:rsidRDefault="0047204F" w:rsidP="00170876">
            <w:pPr>
              <w:rPr>
                <w:sz w:val="20"/>
                <w:szCs w:val="20"/>
              </w:rPr>
            </w:pPr>
          </w:p>
          <w:p w14:paraId="511BCBB8" w14:textId="58EA2E89" w:rsidR="0047204F" w:rsidRPr="009A10A6" w:rsidRDefault="0047204F" w:rsidP="00170876">
            <w:pPr>
              <w:rPr>
                <w:sz w:val="20"/>
                <w:szCs w:val="20"/>
              </w:rPr>
            </w:pPr>
            <w:r w:rsidRPr="009A10A6">
              <w:rPr>
                <w:sz w:val="20"/>
                <w:szCs w:val="20"/>
              </w:rPr>
              <w:t>Living support provided by care staff of non-nursing background with standard induction and mandatory training</w:t>
            </w:r>
          </w:p>
          <w:p w14:paraId="32632A43" w14:textId="77777777" w:rsidR="0047204F" w:rsidRPr="009A10A6" w:rsidRDefault="0047204F" w:rsidP="00170876">
            <w:pPr>
              <w:rPr>
                <w:b/>
                <w:bCs/>
                <w:sz w:val="20"/>
                <w:szCs w:val="20"/>
              </w:rPr>
            </w:pPr>
          </w:p>
        </w:tc>
        <w:tc>
          <w:tcPr>
            <w:tcW w:w="552" w:type="pct"/>
          </w:tcPr>
          <w:p w14:paraId="21590CB5" w14:textId="77777777" w:rsidR="0047204F" w:rsidRPr="009A10A6" w:rsidRDefault="0047204F" w:rsidP="00170876">
            <w:pPr>
              <w:rPr>
                <w:bCs/>
                <w:sz w:val="20"/>
                <w:szCs w:val="20"/>
              </w:rPr>
            </w:pPr>
            <w:r w:rsidRPr="009A10A6">
              <w:rPr>
                <w:sz w:val="20"/>
                <w:szCs w:val="20"/>
              </w:rPr>
              <w:lastRenderedPageBreak/>
              <w:t>UK</w:t>
            </w:r>
          </w:p>
        </w:tc>
        <w:tc>
          <w:tcPr>
            <w:tcW w:w="439" w:type="pct"/>
          </w:tcPr>
          <w:p w14:paraId="7049305A" w14:textId="77777777" w:rsidR="0047204F" w:rsidRPr="009A10A6" w:rsidRDefault="0047204F" w:rsidP="00170876">
            <w:pPr>
              <w:rPr>
                <w:sz w:val="20"/>
                <w:szCs w:val="20"/>
              </w:rPr>
            </w:pPr>
            <w:r w:rsidRPr="009A10A6">
              <w:rPr>
                <w:sz w:val="20"/>
                <w:szCs w:val="20"/>
              </w:rPr>
              <w:t>Bhaumik et al (2009)</w:t>
            </w:r>
          </w:p>
          <w:p w14:paraId="42D0DA2A" w14:textId="77777777" w:rsidR="0047204F" w:rsidRPr="009A10A6" w:rsidRDefault="0047204F" w:rsidP="00170876">
            <w:pPr>
              <w:rPr>
                <w:sz w:val="20"/>
                <w:szCs w:val="20"/>
              </w:rPr>
            </w:pPr>
          </w:p>
          <w:p w14:paraId="614E65A2" w14:textId="77777777" w:rsidR="0047204F" w:rsidRPr="009A10A6" w:rsidRDefault="0047204F" w:rsidP="00170876">
            <w:pPr>
              <w:rPr>
                <w:bCs/>
                <w:sz w:val="20"/>
                <w:szCs w:val="20"/>
              </w:rPr>
            </w:pPr>
          </w:p>
        </w:tc>
        <w:tc>
          <w:tcPr>
            <w:tcW w:w="743" w:type="pct"/>
          </w:tcPr>
          <w:p w14:paraId="179DD2AB" w14:textId="77777777" w:rsidR="0047204F" w:rsidRPr="009A10A6" w:rsidRDefault="0047204F" w:rsidP="00170876">
            <w:pPr>
              <w:rPr>
                <w:sz w:val="20"/>
                <w:szCs w:val="20"/>
              </w:rPr>
            </w:pPr>
            <w:r w:rsidRPr="009A10A6">
              <w:rPr>
                <w:sz w:val="20"/>
                <w:szCs w:val="20"/>
              </w:rPr>
              <w:t>Intellectual disability</w:t>
            </w:r>
          </w:p>
          <w:p w14:paraId="1CA7A34B" w14:textId="77777777" w:rsidR="0047204F" w:rsidRPr="009A10A6" w:rsidRDefault="0047204F" w:rsidP="00170876">
            <w:pPr>
              <w:rPr>
                <w:sz w:val="20"/>
                <w:szCs w:val="20"/>
              </w:rPr>
            </w:pPr>
          </w:p>
          <w:p w14:paraId="66303E6C" w14:textId="77777777" w:rsidR="0047204F" w:rsidRPr="009A10A6" w:rsidRDefault="0047204F" w:rsidP="00170876">
            <w:pPr>
              <w:rPr>
                <w:sz w:val="20"/>
                <w:szCs w:val="20"/>
              </w:rPr>
            </w:pPr>
            <w:r w:rsidRPr="009A10A6">
              <w:rPr>
                <w:sz w:val="20"/>
                <w:szCs w:val="20"/>
              </w:rPr>
              <w:t>N=49</w:t>
            </w:r>
          </w:p>
          <w:p w14:paraId="63D7AEB1" w14:textId="77777777" w:rsidR="0047204F" w:rsidRPr="009A10A6" w:rsidRDefault="0047204F" w:rsidP="00170876">
            <w:pPr>
              <w:rPr>
                <w:sz w:val="20"/>
                <w:szCs w:val="20"/>
              </w:rPr>
            </w:pPr>
          </w:p>
          <w:p w14:paraId="6455A6FF" w14:textId="77777777" w:rsidR="0047204F" w:rsidRPr="009A10A6" w:rsidRDefault="0047204F" w:rsidP="00170876">
            <w:pPr>
              <w:rPr>
                <w:sz w:val="20"/>
                <w:szCs w:val="20"/>
              </w:rPr>
            </w:pPr>
            <w:r w:rsidRPr="009A10A6">
              <w:rPr>
                <w:sz w:val="20"/>
                <w:szCs w:val="20"/>
              </w:rPr>
              <w:t>Mixed age sample data reported for &lt;55</w:t>
            </w:r>
          </w:p>
        </w:tc>
        <w:tc>
          <w:tcPr>
            <w:tcW w:w="606" w:type="pct"/>
          </w:tcPr>
          <w:p w14:paraId="44F477A7" w14:textId="77777777" w:rsidR="0047204F" w:rsidRPr="009A10A6" w:rsidRDefault="0047204F" w:rsidP="00170876">
            <w:pPr>
              <w:rPr>
                <w:sz w:val="20"/>
                <w:szCs w:val="20"/>
              </w:rPr>
            </w:pPr>
            <w:r w:rsidRPr="009A10A6">
              <w:rPr>
                <w:sz w:val="20"/>
                <w:szCs w:val="20"/>
              </w:rPr>
              <w:t>One group repeated measures design: pre/post/follow-up</w:t>
            </w:r>
          </w:p>
        </w:tc>
        <w:tc>
          <w:tcPr>
            <w:tcW w:w="802" w:type="pct"/>
          </w:tcPr>
          <w:p w14:paraId="719F1489" w14:textId="77777777" w:rsidR="0047204F" w:rsidRPr="009A10A6" w:rsidRDefault="0047204F" w:rsidP="00170876">
            <w:pPr>
              <w:rPr>
                <w:sz w:val="20"/>
                <w:szCs w:val="20"/>
              </w:rPr>
            </w:pPr>
            <w:r w:rsidRPr="009A10A6">
              <w:rPr>
                <w:sz w:val="20"/>
                <w:szCs w:val="20"/>
              </w:rPr>
              <w:t>Fair</w:t>
            </w:r>
          </w:p>
        </w:tc>
        <w:tc>
          <w:tcPr>
            <w:tcW w:w="1100" w:type="pct"/>
          </w:tcPr>
          <w:p w14:paraId="7EE3C7EC" w14:textId="77777777" w:rsidR="0047204F" w:rsidRPr="009A10A6" w:rsidRDefault="0047204F" w:rsidP="00170876">
            <w:pPr>
              <w:rPr>
                <w:sz w:val="20"/>
                <w:szCs w:val="20"/>
              </w:rPr>
            </w:pPr>
            <w:r w:rsidRPr="009A10A6">
              <w:rPr>
                <w:sz w:val="20"/>
                <w:szCs w:val="20"/>
              </w:rPr>
              <w:t>Significant reduction on aggressive behaviour score at six month post move with no further changes at follow-up.</w:t>
            </w:r>
          </w:p>
        </w:tc>
      </w:tr>
      <w:tr w:rsidR="0047204F" w:rsidRPr="00B069D1" w14:paraId="66F7364E" w14:textId="77777777" w:rsidTr="00EF01DE">
        <w:tc>
          <w:tcPr>
            <w:tcW w:w="758" w:type="pct"/>
            <w:shd w:val="clear" w:color="auto" w:fill="FFFF00"/>
          </w:tcPr>
          <w:p w14:paraId="6D36123A" w14:textId="77777777" w:rsidR="0047204F" w:rsidRPr="009A10A6" w:rsidRDefault="0047204F" w:rsidP="00170876">
            <w:pPr>
              <w:rPr>
                <w:b/>
                <w:bCs/>
                <w:sz w:val="20"/>
                <w:szCs w:val="20"/>
              </w:rPr>
            </w:pPr>
            <w:r w:rsidRPr="009A10A6">
              <w:rPr>
                <w:b/>
                <w:bCs/>
                <w:sz w:val="20"/>
                <w:szCs w:val="20"/>
              </w:rPr>
              <w:t>Institution</w:t>
            </w:r>
          </w:p>
        </w:tc>
        <w:tc>
          <w:tcPr>
            <w:tcW w:w="552" w:type="pct"/>
            <w:shd w:val="clear" w:color="auto" w:fill="FFFF00"/>
          </w:tcPr>
          <w:p w14:paraId="4E661E46" w14:textId="77777777" w:rsidR="0047204F" w:rsidRPr="009A10A6" w:rsidRDefault="0047204F" w:rsidP="00170876">
            <w:pPr>
              <w:rPr>
                <w:sz w:val="20"/>
                <w:szCs w:val="20"/>
              </w:rPr>
            </w:pPr>
          </w:p>
        </w:tc>
        <w:tc>
          <w:tcPr>
            <w:tcW w:w="439" w:type="pct"/>
            <w:shd w:val="clear" w:color="auto" w:fill="FFFF00"/>
          </w:tcPr>
          <w:p w14:paraId="3EA45027" w14:textId="77777777" w:rsidR="0047204F" w:rsidRPr="009A10A6" w:rsidRDefault="0047204F" w:rsidP="00170876">
            <w:pPr>
              <w:rPr>
                <w:sz w:val="20"/>
                <w:szCs w:val="20"/>
              </w:rPr>
            </w:pPr>
          </w:p>
        </w:tc>
        <w:tc>
          <w:tcPr>
            <w:tcW w:w="743" w:type="pct"/>
            <w:shd w:val="clear" w:color="auto" w:fill="FFFF00"/>
          </w:tcPr>
          <w:p w14:paraId="40A3B126" w14:textId="77777777" w:rsidR="0047204F" w:rsidRPr="009A10A6" w:rsidRDefault="0047204F" w:rsidP="00170876">
            <w:pPr>
              <w:rPr>
                <w:sz w:val="20"/>
                <w:szCs w:val="20"/>
              </w:rPr>
            </w:pPr>
          </w:p>
        </w:tc>
        <w:tc>
          <w:tcPr>
            <w:tcW w:w="606" w:type="pct"/>
            <w:shd w:val="clear" w:color="auto" w:fill="FFFF00"/>
          </w:tcPr>
          <w:p w14:paraId="62CFD57F" w14:textId="77777777" w:rsidR="0047204F" w:rsidRPr="009A10A6" w:rsidRDefault="0047204F" w:rsidP="00170876">
            <w:pPr>
              <w:rPr>
                <w:sz w:val="20"/>
                <w:szCs w:val="20"/>
              </w:rPr>
            </w:pPr>
          </w:p>
        </w:tc>
        <w:tc>
          <w:tcPr>
            <w:tcW w:w="802" w:type="pct"/>
            <w:shd w:val="clear" w:color="auto" w:fill="FFFF00"/>
          </w:tcPr>
          <w:p w14:paraId="5A3E490B" w14:textId="77777777" w:rsidR="0047204F" w:rsidRPr="009A10A6" w:rsidRDefault="0047204F" w:rsidP="00170876">
            <w:pPr>
              <w:rPr>
                <w:sz w:val="20"/>
                <w:szCs w:val="20"/>
              </w:rPr>
            </w:pPr>
          </w:p>
        </w:tc>
        <w:tc>
          <w:tcPr>
            <w:tcW w:w="1100" w:type="pct"/>
            <w:shd w:val="clear" w:color="auto" w:fill="FFFF00"/>
          </w:tcPr>
          <w:p w14:paraId="22851805" w14:textId="77777777" w:rsidR="0047204F" w:rsidRPr="009A10A6" w:rsidRDefault="0047204F" w:rsidP="00170876">
            <w:pPr>
              <w:rPr>
                <w:sz w:val="20"/>
                <w:szCs w:val="20"/>
              </w:rPr>
            </w:pPr>
          </w:p>
        </w:tc>
      </w:tr>
      <w:tr w:rsidR="0047204F" w:rsidRPr="00B069D1" w14:paraId="4BD9583F" w14:textId="77777777" w:rsidTr="00EF01DE">
        <w:tc>
          <w:tcPr>
            <w:tcW w:w="758" w:type="pct"/>
          </w:tcPr>
          <w:p w14:paraId="34EB3AE8" w14:textId="77777777" w:rsidR="0047204F" w:rsidRPr="009A10A6" w:rsidRDefault="0047204F" w:rsidP="00170876">
            <w:pPr>
              <w:rPr>
                <w:b/>
                <w:bCs/>
                <w:sz w:val="20"/>
                <w:szCs w:val="20"/>
              </w:rPr>
            </w:pPr>
            <w:r w:rsidRPr="009A10A6">
              <w:rPr>
                <w:b/>
                <w:bCs/>
                <w:sz w:val="20"/>
                <w:szCs w:val="20"/>
              </w:rPr>
              <w:t>CCU</w:t>
            </w:r>
          </w:p>
          <w:p w14:paraId="3F3FB7B0" w14:textId="77777777" w:rsidR="0047204F" w:rsidRPr="009A10A6" w:rsidRDefault="0047204F" w:rsidP="00170876">
            <w:pPr>
              <w:rPr>
                <w:b/>
                <w:bCs/>
                <w:sz w:val="20"/>
                <w:szCs w:val="20"/>
              </w:rPr>
            </w:pPr>
            <w:r w:rsidRPr="009A10A6">
              <w:rPr>
                <w:b/>
                <w:bCs/>
                <w:sz w:val="20"/>
                <w:szCs w:val="20"/>
              </w:rPr>
              <w:t xml:space="preserve">Community Care Unit </w:t>
            </w:r>
          </w:p>
          <w:p w14:paraId="0A76B9E0" w14:textId="77777777" w:rsidR="0047204F" w:rsidRPr="009A10A6" w:rsidRDefault="0047204F" w:rsidP="00170876">
            <w:pPr>
              <w:rPr>
                <w:b/>
                <w:bCs/>
                <w:sz w:val="20"/>
                <w:szCs w:val="20"/>
              </w:rPr>
            </w:pPr>
          </w:p>
          <w:p w14:paraId="07C57F2D" w14:textId="77777777" w:rsidR="0047204F" w:rsidRPr="009A10A6" w:rsidRDefault="0047204F" w:rsidP="00170876">
            <w:pPr>
              <w:rPr>
                <w:bCs/>
                <w:sz w:val="20"/>
                <w:szCs w:val="20"/>
              </w:rPr>
            </w:pPr>
            <w:r w:rsidRPr="009A10A6">
              <w:rPr>
                <w:bCs/>
                <w:sz w:val="20"/>
                <w:szCs w:val="20"/>
              </w:rPr>
              <w:t>Interim CCUs-located on hospital grounds with accommodation for 20 residents with 24 hour staff support.</w:t>
            </w:r>
          </w:p>
          <w:p w14:paraId="3EAC88AF" w14:textId="77777777" w:rsidR="0047204F" w:rsidRPr="009A10A6" w:rsidRDefault="0047204F" w:rsidP="00170876">
            <w:pPr>
              <w:rPr>
                <w:bCs/>
                <w:sz w:val="20"/>
                <w:szCs w:val="20"/>
              </w:rPr>
            </w:pPr>
          </w:p>
          <w:p w14:paraId="7C048946" w14:textId="6938433A" w:rsidR="0047204F" w:rsidRPr="009A10A6" w:rsidRDefault="0047204F" w:rsidP="00170876">
            <w:pPr>
              <w:rPr>
                <w:sz w:val="20"/>
                <w:szCs w:val="20"/>
              </w:rPr>
            </w:pPr>
            <w:r w:rsidRPr="009A10A6">
              <w:rPr>
                <w:bCs/>
                <w:sz w:val="20"/>
                <w:szCs w:val="20"/>
              </w:rPr>
              <w:t>Allocated: Institutionali</w:t>
            </w:r>
            <w:r w:rsidR="0057259E">
              <w:rPr>
                <w:bCs/>
                <w:sz w:val="20"/>
                <w:szCs w:val="20"/>
              </w:rPr>
              <w:t>s</w:t>
            </w:r>
            <w:r w:rsidRPr="009A10A6">
              <w:rPr>
                <w:bCs/>
                <w:sz w:val="20"/>
                <w:szCs w:val="20"/>
              </w:rPr>
              <w:t>ed</w:t>
            </w:r>
          </w:p>
        </w:tc>
        <w:tc>
          <w:tcPr>
            <w:tcW w:w="552" w:type="pct"/>
          </w:tcPr>
          <w:p w14:paraId="55132B41" w14:textId="77777777" w:rsidR="0047204F" w:rsidRPr="009A10A6" w:rsidRDefault="0047204F" w:rsidP="00170876">
            <w:pPr>
              <w:rPr>
                <w:sz w:val="20"/>
                <w:szCs w:val="20"/>
              </w:rPr>
            </w:pPr>
            <w:r w:rsidRPr="009A10A6">
              <w:rPr>
                <w:sz w:val="20"/>
                <w:szCs w:val="20"/>
              </w:rPr>
              <w:t>Australia</w:t>
            </w:r>
          </w:p>
        </w:tc>
        <w:tc>
          <w:tcPr>
            <w:tcW w:w="439" w:type="pct"/>
          </w:tcPr>
          <w:p w14:paraId="5B6F3AF2" w14:textId="77777777" w:rsidR="0047204F" w:rsidRPr="009A10A6" w:rsidRDefault="0047204F" w:rsidP="00170876">
            <w:pPr>
              <w:rPr>
                <w:sz w:val="20"/>
                <w:szCs w:val="20"/>
              </w:rPr>
            </w:pPr>
            <w:r w:rsidRPr="009A10A6">
              <w:rPr>
                <w:sz w:val="20"/>
                <w:szCs w:val="20"/>
              </w:rPr>
              <w:t>Trauer et al (2001)</w:t>
            </w:r>
          </w:p>
          <w:p w14:paraId="55354A0D" w14:textId="77777777" w:rsidR="0047204F" w:rsidRPr="009A10A6" w:rsidRDefault="0047204F" w:rsidP="00170876">
            <w:pPr>
              <w:rPr>
                <w:sz w:val="20"/>
                <w:szCs w:val="20"/>
              </w:rPr>
            </w:pPr>
          </w:p>
          <w:p w14:paraId="7866C363" w14:textId="77777777" w:rsidR="0047204F" w:rsidRPr="009A10A6" w:rsidRDefault="0047204F" w:rsidP="00170876">
            <w:pPr>
              <w:rPr>
                <w:sz w:val="20"/>
                <w:szCs w:val="20"/>
              </w:rPr>
            </w:pPr>
          </w:p>
        </w:tc>
        <w:tc>
          <w:tcPr>
            <w:tcW w:w="743" w:type="pct"/>
          </w:tcPr>
          <w:p w14:paraId="1962B809" w14:textId="77777777" w:rsidR="0047204F" w:rsidRPr="009A10A6" w:rsidRDefault="0047204F" w:rsidP="00170876">
            <w:pPr>
              <w:rPr>
                <w:sz w:val="20"/>
                <w:szCs w:val="20"/>
              </w:rPr>
            </w:pPr>
            <w:r w:rsidRPr="009A10A6">
              <w:rPr>
                <w:sz w:val="20"/>
                <w:szCs w:val="20"/>
              </w:rPr>
              <w:t>Psychiatric illness</w:t>
            </w:r>
          </w:p>
          <w:p w14:paraId="7B3AE98A" w14:textId="77777777" w:rsidR="0047204F" w:rsidRPr="009A10A6" w:rsidRDefault="0047204F" w:rsidP="00170876">
            <w:pPr>
              <w:rPr>
                <w:sz w:val="20"/>
                <w:szCs w:val="20"/>
              </w:rPr>
            </w:pPr>
          </w:p>
          <w:p w14:paraId="1E1E3CC9" w14:textId="77777777" w:rsidR="0047204F" w:rsidRPr="009A10A6" w:rsidRDefault="0047204F" w:rsidP="00170876">
            <w:pPr>
              <w:rPr>
                <w:sz w:val="20"/>
                <w:szCs w:val="20"/>
              </w:rPr>
            </w:pPr>
            <w:r w:rsidRPr="009A10A6">
              <w:rPr>
                <w:sz w:val="20"/>
                <w:szCs w:val="20"/>
              </w:rPr>
              <w:t>N=125</w:t>
            </w:r>
          </w:p>
        </w:tc>
        <w:tc>
          <w:tcPr>
            <w:tcW w:w="606" w:type="pct"/>
          </w:tcPr>
          <w:p w14:paraId="090EA2FF" w14:textId="77777777" w:rsidR="0047204F" w:rsidRPr="009A10A6" w:rsidRDefault="0047204F" w:rsidP="00170876">
            <w:pPr>
              <w:rPr>
                <w:sz w:val="20"/>
                <w:szCs w:val="20"/>
              </w:rPr>
            </w:pPr>
            <w:r w:rsidRPr="009A10A6">
              <w:rPr>
                <w:sz w:val="20"/>
                <w:szCs w:val="20"/>
              </w:rPr>
              <w:t>One group pre/post repeated measures design</w:t>
            </w:r>
          </w:p>
        </w:tc>
        <w:tc>
          <w:tcPr>
            <w:tcW w:w="802" w:type="pct"/>
          </w:tcPr>
          <w:p w14:paraId="118FB80D" w14:textId="77777777" w:rsidR="0047204F" w:rsidRPr="009A10A6" w:rsidRDefault="0047204F" w:rsidP="00170876">
            <w:pPr>
              <w:rPr>
                <w:sz w:val="20"/>
                <w:szCs w:val="20"/>
              </w:rPr>
            </w:pPr>
            <w:r w:rsidRPr="009A10A6">
              <w:rPr>
                <w:sz w:val="20"/>
                <w:szCs w:val="20"/>
              </w:rPr>
              <w:t>Fair</w:t>
            </w:r>
          </w:p>
        </w:tc>
        <w:tc>
          <w:tcPr>
            <w:tcW w:w="1100" w:type="pct"/>
          </w:tcPr>
          <w:p w14:paraId="51949307" w14:textId="77777777" w:rsidR="0047204F" w:rsidRPr="009A10A6" w:rsidRDefault="0047204F" w:rsidP="00170876">
            <w:pPr>
              <w:rPr>
                <w:sz w:val="20"/>
                <w:szCs w:val="20"/>
              </w:rPr>
            </w:pPr>
            <w:r w:rsidRPr="009A10A6">
              <w:rPr>
                <w:sz w:val="20"/>
                <w:szCs w:val="20"/>
              </w:rPr>
              <w:t>Greater quality of life in CCU compared to institution but patients’ ultimate goal was to live in more independent housing.</w:t>
            </w:r>
          </w:p>
        </w:tc>
      </w:tr>
      <w:tr w:rsidR="0047204F" w:rsidRPr="00B069D1" w14:paraId="594604DC" w14:textId="77777777" w:rsidTr="00EF01DE">
        <w:tc>
          <w:tcPr>
            <w:tcW w:w="758" w:type="pct"/>
          </w:tcPr>
          <w:p w14:paraId="6C1B4785" w14:textId="77777777" w:rsidR="0047204F" w:rsidRPr="009A10A6" w:rsidRDefault="0047204F" w:rsidP="00641D90">
            <w:pPr>
              <w:keepNext/>
              <w:rPr>
                <w:b/>
                <w:bCs/>
                <w:sz w:val="20"/>
                <w:szCs w:val="20"/>
              </w:rPr>
            </w:pPr>
            <w:r w:rsidRPr="009A10A6">
              <w:rPr>
                <w:b/>
                <w:bCs/>
                <w:sz w:val="20"/>
                <w:szCs w:val="20"/>
              </w:rPr>
              <w:lastRenderedPageBreak/>
              <w:t>Community residential living (CRL)</w:t>
            </w:r>
          </w:p>
          <w:p w14:paraId="6D93A2F6" w14:textId="77777777" w:rsidR="0047204F" w:rsidRPr="009A10A6" w:rsidRDefault="0047204F" w:rsidP="00641D90">
            <w:pPr>
              <w:keepNext/>
              <w:rPr>
                <w:b/>
                <w:bCs/>
                <w:sz w:val="20"/>
                <w:szCs w:val="20"/>
              </w:rPr>
            </w:pPr>
          </w:p>
          <w:p w14:paraId="53DFBC10" w14:textId="77777777" w:rsidR="0047204F" w:rsidRPr="009A10A6" w:rsidRDefault="0047204F" w:rsidP="00641D90">
            <w:pPr>
              <w:keepNext/>
              <w:rPr>
                <w:sz w:val="20"/>
                <w:szCs w:val="20"/>
              </w:rPr>
            </w:pPr>
            <w:r w:rsidRPr="009A10A6">
              <w:rPr>
                <w:sz w:val="20"/>
                <w:szCs w:val="20"/>
              </w:rPr>
              <w:t>Transition from institution. Comparison of CRL with Training Centres (residential unit within a larger institution)</w:t>
            </w:r>
          </w:p>
          <w:p w14:paraId="493EA607" w14:textId="77777777" w:rsidR="0047204F" w:rsidRPr="009A10A6" w:rsidRDefault="0047204F" w:rsidP="00641D90">
            <w:pPr>
              <w:keepNext/>
              <w:rPr>
                <w:sz w:val="20"/>
                <w:szCs w:val="20"/>
              </w:rPr>
            </w:pPr>
          </w:p>
        </w:tc>
        <w:tc>
          <w:tcPr>
            <w:tcW w:w="552" w:type="pct"/>
          </w:tcPr>
          <w:p w14:paraId="037429D2" w14:textId="77777777" w:rsidR="0047204F" w:rsidRPr="009A10A6" w:rsidRDefault="0047204F" w:rsidP="00641D90">
            <w:pPr>
              <w:keepNext/>
              <w:rPr>
                <w:sz w:val="20"/>
                <w:szCs w:val="20"/>
              </w:rPr>
            </w:pPr>
            <w:r w:rsidRPr="009A10A6">
              <w:rPr>
                <w:sz w:val="20"/>
                <w:szCs w:val="20"/>
              </w:rPr>
              <w:t>UK</w:t>
            </w:r>
          </w:p>
        </w:tc>
        <w:tc>
          <w:tcPr>
            <w:tcW w:w="439" w:type="pct"/>
          </w:tcPr>
          <w:p w14:paraId="1A751783" w14:textId="77777777" w:rsidR="0047204F" w:rsidRPr="009A10A6" w:rsidRDefault="0047204F" w:rsidP="00641D90">
            <w:pPr>
              <w:keepNext/>
              <w:rPr>
                <w:sz w:val="20"/>
                <w:szCs w:val="20"/>
              </w:rPr>
            </w:pPr>
            <w:r w:rsidRPr="009A10A6">
              <w:rPr>
                <w:sz w:val="20"/>
                <w:szCs w:val="20"/>
              </w:rPr>
              <w:t>Cooper &amp; Picton (2000)</w:t>
            </w:r>
          </w:p>
          <w:p w14:paraId="1913B53D" w14:textId="77777777" w:rsidR="0047204F" w:rsidRPr="009A10A6" w:rsidRDefault="0047204F" w:rsidP="00641D90">
            <w:pPr>
              <w:keepNext/>
              <w:rPr>
                <w:sz w:val="20"/>
                <w:szCs w:val="20"/>
              </w:rPr>
            </w:pPr>
          </w:p>
          <w:p w14:paraId="241CA4ED" w14:textId="77777777" w:rsidR="0047204F" w:rsidRPr="009A10A6" w:rsidRDefault="0047204F" w:rsidP="00641D90">
            <w:pPr>
              <w:keepNext/>
              <w:rPr>
                <w:sz w:val="20"/>
                <w:szCs w:val="20"/>
              </w:rPr>
            </w:pPr>
          </w:p>
        </w:tc>
        <w:tc>
          <w:tcPr>
            <w:tcW w:w="743" w:type="pct"/>
          </w:tcPr>
          <w:p w14:paraId="79EFE1AD" w14:textId="77777777" w:rsidR="0047204F" w:rsidRPr="009A10A6" w:rsidRDefault="0047204F" w:rsidP="00641D90">
            <w:pPr>
              <w:keepNext/>
              <w:rPr>
                <w:sz w:val="20"/>
                <w:szCs w:val="20"/>
              </w:rPr>
            </w:pPr>
            <w:r w:rsidRPr="009A10A6">
              <w:rPr>
                <w:sz w:val="20"/>
                <w:szCs w:val="20"/>
              </w:rPr>
              <w:t>Intellectual disability</w:t>
            </w:r>
          </w:p>
          <w:p w14:paraId="02B191ED" w14:textId="77777777" w:rsidR="0047204F" w:rsidRPr="009A10A6" w:rsidRDefault="0047204F" w:rsidP="00641D90">
            <w:pPr>
              <w:keepNext/>
              <w:rPr>
                <w:sz w:val="20"/>
                <w:szCs w:val="20"/>
              </w:rPr>
            </w:pPr>
          </w:p>
          <w:p w14:paraId="7137F01C" w14:textId="77777777" w:rsidR="0047204F" w:rsidRPr="009A10A6" w:rsidRDefault="0047204F" w:rsidP="00641D90">
            <w:pPr>
              <w:keepNext/>
              <w:rPr>
                <w:sz w:val="20"/>
                <w:szCs w:val="20"/>
              </w:rPr>
            </w:pPr>
            <w:r w:rsidRPr="009A10A6">
              <w:rPr>
                <w:sz w:val="20"/>
                <w:szCs w:val="20"/>
              </w:rPr>
              <w:t>N=45 Community residential unit: n=26; Training centre: n=19</w:t>
            </w:r>
          </w:p>
        </w:tc>
        <w:tc>
          <w:tcPr>
            <w:tcW w:w="606" w:type="pct"/>
          </w:tcPr>
          <w:p w14:paraId="0A03592A" w14:textId="77777777" w:rsidR="0047204F" w:rsidRPr="009A10A6" w:rsidRDefault="0047204F" w:rsidP="00641D90">
            <w:pPr>
              <w:keepNext/>
              <w:rPr>
                <w:sz w:val="20"/>
                <w:szCs w:val="20"/>
              </w:rPr>
            </w:pPr>
            <w:r w:rsidRPr="009A10A6">
              <w:rPr>
                <w:sz w:val="20"/>
                <w:szCs w:val="20"/>
              </w:rPr>
              <w:t>Pre/post with follow up design: prior to transition, 6 months and 3 years post transition</w:t>
            </w:r>
          </w:p>
        </w:tc>
        <w:tc>
          <w:tcPr>
            <w:tcW w:w="802" w:type="pct"/>
          </w:tcPr>
          <w:p w14:paraId="3D805588" w14:textId="77777777" w:rsidR="0047204F" w:rsidRPr="009A10A6" w:rsidRDefault="0047204F" w:rsidP="00641D90">
            <w:pPr>
              <w:keepNext/>
              <w:rPr>
                <w:sz w:val="20"/>
                <w:szCs w:val="20"/>
              </w:rPr>
            </w:pPr>
            <w:r w:rsidRPr="009A10A6">
              <w:rPr>
                <w:sz w:val="20"/>
                <w:szCs w:val="20"/>
              </w:rPr>
              <w:t>Fair</w:t>
            </w:r>
          </w:p>
        </w:tc>
        <w:tc>
          <w:tcPr>
            <w:tcW w:w="1100" w:type="pct"/>
          </w:tcPr>
          <w:p w14:paraId="7F5E21DD" w14:textId="6427A8E7" w:rsidR="0047204F" w:rsidRPr="009A10A6" w:rsidRDefault="0047204F" w:rsidP="00641D90">
            <w:pPr>
              <w:keepNext/>
              <w:rPr>
                <w:sz w:val="20"/>
                <w:szCs w:val="20"/>
              </w:rPr>
            </w:pPr>
            <w:r w:rsidRPr="009A10A6">
              <w:rPr>
                <w:sz w:val="20"/>
                <w:szCs w:val="20"/>
              </w:rPr>
              <w:t>At six month follow-</w:t>
            </w:r>
            <w:r w:rsidR="007848FB">
              <w:rPr>
                <w:sz w:val="20"/>
                <w:szCs w:val="20"/>
              </w:rPr>
              <w:t xml:space="preserve">up </w:t>
            </w:r>
            <w:r w:rsidRPr="009A10A6">
              <w:rPr>
                <w:sz w:val="20"/>
                <w:szCs w:val="20"/>
              </w:rPr>
              <w:t xml:space="preserve">transitioned groups showed small but significant increases on QoL and quality of care. No differences on community living skills. </w:t>
            </w:r>
          </w:p>
        </w:tc>
      </w:tr>
    </w:tbl>
    <w:p w14:paraId="20BCCC9B" w14:textId="127EE4DE" w:rsidR="004F754B" w:rsidRPr="00E94D61" w:rsidRDefault="00E52173" w:rsidP="00E52173">
      <w:pPr>
        <w:pStyle w:val="ListParagraph"/>
        <w:spacing w:line="360" w:lineRule="auto"/>
        <w:jc w:val="both"/>
        <w:rPr>
          <w:sz w:val="20"/>
          <w:szCs w:val="20"/>
        </w:rPr>
      </w:pPr>
      <w:r>
        <w:rPr>
          <w:sz w:val="20"/>
          <w:szCs w:val="20"/>
        </w:rPr>
        <w:t>*</w:t>
      </w:r>
      <w:r w:rsidR="00960A92">
        <w:rPr>
          <w:sz w:val="20"/>
          <w:szCs w:val="20"/>
        </w:rPr>
        <w:t>Quality was assessed using the Joanna Briggs Instrument with</w:t>
      </w:r>
      <w:r w:rsidR="000D0701">
        <w:rPr>
          <w:sz w:val="20"/>
          <w:szCs w:val="20"/>
        </w:rPr>
        <w:t>,</w:t>
      </w:r>
      <w:r w:rsidR="001C54FB">
        <w:rPr>
          <w:sz w:val="20"/>
          <w:szCs w:val="20"/>
        </w:rPr>
        <w:t xml:space="preserve"> poor</w:t>
      </w:r>
      <w:r w:rsidR="000D0701">
        <w:rPr>
          <w:sz w:val="20"/>
          <w:szCs w:val="20"/>
        </w:rPr>
        <w:t xml:space="preserve"> &lt;=50%,</w:t>
      </w:r>
      <w:r w:rsidR="001C54FB">
        <w:rPr>
          <w:sz w:val="20"/>
          <w:szCs w:val="20"/>
        </w:rPr>
        <w:t xml:space="preserve"> </w:t>
      </w:r>
      <w:r w:rsidR="00960A92">
        <w:rPr>
          <w:sz w:val="20"/>
          <w:szCs w:val="20"/>
        </w:rPr>
        <w:t>fair</w:t>
      </w:r>
      <w:r w:rsidR="000D0701">
        <w:rPr>
          <w:sz w:val="20"/>
          <w:szCs w:val="20"/>
        </w:rPr>
        <w:t>&lt;=76%</w:t>
      </w:r>
      <w:r w:rsidR="00E94D61">
        <w:rPr>
          <w:sz w:val="20"/>
          <w:szCs w:val="20"/>
        </w:rPr>
        <w:t xml:space="preserve"> ,, good</w:t>
      </w:r>
      <w:r w:rsidR="000D0701">
        <w:rPr>
          <w:sz w:val="20"/>
          <w:szCs w:val="20"/>
        </w:rPr>
        <w:t>&gt;75%, of criteria met</w:t>
      </w:r>
      <w:r w:rsidR="00E94D61">
        <w:rPr>
          <w:sz w:val="20"/>
          <w:szCs w:val="20"/>
        </w:rPr>
        <w:t>. N/A means not applicable and refers to documents that were not quality assessed (grey literature)</w:t>
      </w:r>
    </w:p>
    <w:p w14:paraId="00E96390" w14:textId="77777777" w:rsidR="00B069D1" w:rsidRDefault="00B069D1" w:rsidP="00B5199A">
      <w:pPr>
        <w:pStyle w:val="Heading3"/>
      </w:pPr>
    </w:p>
    <w:p w14:paraId="706492B5" w14:textId="77777777" w:rsidR="00194A01" w:rsidRDefault="00194A01" w:rsidP="00194A01"/>
    <w:p w14:paraId="3DA23BFA" w14:textId="149D44C9" w:rsidR="00194A01" w:rsidRPr="00194A01" w:rsidRDefault="00194A01" w:rsidP="00194A01">
      <w:pPr>
        <w:sectPr w:rsidR="00194A01" w:rsidRPr="00194A01" w:rsidSect="009E6D13">
          <w:headerReference w:type="default" r:id="rId18"/>
          <w:footerReference w:type="default" r:id="rId19"/>
          <w:pgSz w:w="15840" w:h="12240" w:orient="landscape"/>
          <w:pgMar w:top="1440" w:right="1440" w:bottom="1440" w:left="1440" w:header="720" w:footer="720" w:gutter="0"/>
          <w:cols w:space="720"/>
          <w:docGrid w:linePitch="360"/>
        </w:sectPr>
      </w:pPr>
    </w:p>
    <w:p w14:paraId="70463497" w14:textId="3F0BAABF" w:rsidR="00DB06D4" w:rsidRPr="009A10A6" w:rsidRDefault="00DB06D4" w:rsidP="00B5199A">
      <w:pPr>
        <w:pStyle w:val="Heading3"/>
      </w:pPr>
      <w:bookmarkStart w:id="31" w:name="_Toc73535952"/>
      <w:r w:rsidRPr="009A10A6">
        <w:lastRenderedPageBreak/>
        <w:t>Quality of life</w:t>
      </w:r>
      <w:bookmarkEnd w:id="31"/>
    </w:p>
    <w:p w14:paraId="7AADD315" w14:textId="14A75897" w:rsidR="00EE74D5" w:rsidRPr="000D28D6" w:rsidRDefault="00EE74D5" w:rsidP="000D28D6">
      <w:pPr>
        <w:spacing w:before="120" w:line="360" w:lineRule="auto"/>
        <w:jc w:val="both"/>
      </w:pPr>
      <w:r w:rsidRPr="000D28D6">
        <w:t xml:space="preserve">Quality of life </w:t>
      </w:r>
      <w:r w:rsidR="006227A3" w:rsidRPr="000D28D6">
        <w:t xml:space="preserve">(QoL) </w:t>
      </w:r>
      <w:r w:rsidRPr="000D28D6">
        <w:t>was the most frequently mentioned outcome in the systematic review. Fourteen papers across the quantitative (n=13) and grey literature (n=1) measured QoL using standardised assessment rating scales</w:t>
      </w:r>
      <w:r w:rsidR="0072541F" w:rsidRPr="000D28D6">
        <w:t xml:space="preserve"> (see Table </w:t>
      </w:r>
      <w:r w:rsidR="00380805">
        <w:t>2</w:t>
      </w:r>
      <w:r w:rsidR="0072541F" w:rsidRPr="000D28D6">
        <w:t xml:space="preserve">). </w:t>
      </w:r>
      <w:r w:rsidRPr="000D28D6">
        <w:t xml:space="preserve">Two of these studies (Bigby, 2008, Sines </w:t>
      </w:r>
      <w:r w:rsidR="000D28D6">
        <w:t xml:space="preserve">et al </w:t>
      </w:r>
      <w:r w:rsidRPr="000D28D6">
        <w:t>2012) develop</w:t>
      </w:r>
      <w:r w:rsidR="00B93B63">
        <w:t>ed</w:t>
      </w:r>
      <w:r w:rsidRPr="000D28D6">
        <w:t xml:space="preserve"> study specific questionnaire items on QoL. One additional paper reported </w:t>
      </w:r>
      <w:r w:rsidR="006227A3" w:rsidRPr="000D28D6">
        <w:t xml:space="preserve">a </w:t>
      </w:r>
      <w:r w:rsidRPr="000D28D6">
        <w:t xml:space="preserve">meta-synthesis of </w:t>
      </w:r>
      <w:r w:rsidR="006227A3" w:rsidRPr="000D28D6">
        <w:t xml:space="preserve">QoL </w:t>
      </w:r>
      <w:r w:rsidRPr="000D28D6">
        <w:t>data (McCarron et al, 2018). Another described QoL tools (Noonan-Walsh et al, 2007) and one study reported a standardized tool qualitatively (Fisher et al, 2008). There was no single tool used consistently to measure</w:t>
      </w:r>
      <w:r w:rsidR="002662B5">
        <w:t xml:space="preserve"> QoL</w:t>
      </w:r>
      <w:r w:rsidRPr="000D28D6">
        <w:t xml:space="preserve">. </w:t>
      </w:r>
    </w:p>
    <w:p w14:paraId="7987CC9A" w14:textId="7632256A" w:rsidR="00EE74D5" w:rsidRPr="00EC0A64" w:rsidRDefault="002662B5" w:rsidP="00EE74D5">
      <w:pPr>
        <w:spacing w:line="360" w:lineRule="auto"/>
        <w:jc w:val="both"/>
      </w:pPr>
      <w:r>
        <w:t>W</w:t>
      </w:r>
      <w:r w:rsidR="00EE74D5" w:rsidRPr="000D28D6">
        <w:t>here QoL was measured quantitatively</w:t>
      </w:r>
      <w:r>
        <w:t>, most studies</w:t>
      </w:r>
      <w:r w:rsidR="00EE74D5" w:rsidRPr="000D28D6">
        <w:t xml:space="preserve"> reported improvements on QoL post</w:t>
      </w:r>
      <w:r w:rsidR="006227A3" w:rsidRPr="000D28D6">
        <w:t>-</w:t>
      </w:r>
      <w:r w:rsidR="00EE74D5" w:rsidRPr="000D28D6">
        <w:t>transition</w:t>
      </w:r>
      <w:r w:rsidR="006227A3" w:rsidRPr="000D28D6">
        <w:t>,</w:t>
      </w:r>
      <w:r w:rsidR="00EE74D5" w:rsidRPr="000D28D6">
        <w:t xml:space="preserve"> which was maintained at follow-up. Four studies (Bigby, 2008, Fish &amp; Lobley, 2001, Meehan, 2011) </w:t>
      </w:r>
      <w:r w:rsidR="006227A3" w:rsidRPr="000D28D6">
        <w:t xml:space="preserve">described </w:t>
      </w:r>
      <w:r w:rsidR="00EE74D5" w:rsidRPr="000D28D6">
        <w:t>no differences post</w:t>
      </w:r>
      <w:r w:rsidR="006227A3" w:rsidRPr="000D28D6">
        <w:t>-</w:t>
      </w:r>
      <w:r w:rsidR="00EE74D5" w:rsidRPr="000D28D6">
        <w:t xml:space="preserve">transition or between intervention and TAU groups (Lee, 2011). A significant improvement in QoL was reported </w:t>
      </w:r>
      <w:r w:rsidR="000D28D6">
        <w:t xml:space="preserve">by </w:t>
      </w:r>
      <w:r w:rsidR="00EE74D5" w:rsidRPr="000D28D6">
        <w:t>McCarron et al (2018</w:t>
      </w:r>
      <w:r w:rsidR="00EE74D5" w:rsidRPr="00EC0A64">
        <w:t>). Cocks et al (2016) report quality of life at one point in time but did find that participants with higher QoL also scored higher on the I</w:t>
      </w:r>
      <w:r w:rsidR="00B85B73">
        <w:t xml:space="preserve">ndividual </w:t>
      </w:r>
      <w:r w:rsidR="00EE74D5" w:rsidRPr="00EC0A64">
        <w:t>S</w:t>
      </w:r>
      <w:r w:rsidR="00B85B73">
        <w:t xml:space="preserve">upported </w:t>
      </w:r>
      <w:r w:rsidR="00EE74D5" w:rsidRPr="00EC0A64">
        <w:t>L</w:t>
      </w:r>
      <w:r w:rsidR="00B85B73">
        <w:t>iving (ISL)</w:t>
      </w:r>
      <w:r w:rsidR="00EE74D5" w:rsidRPr="00EC0A64">
        <w:t xml:space="preserve"> framework.</w:t>
      </w:r>
    </w:p>
    <w:p w14:paraId="2585A9B3" w14:textId="1094E5CA" w:rsidR="00FE28E6" w:rsidRPr="00EC0A64" w:rsidRDefault="00FE28E6" w:rsidP="00FE28E6">
      <w:pPr>
        <w:spacing w:line="360" w:lineRule="auto"/>
        <w:jc w:val="both"/>
      </w:pPr>
      <w:r w:rsidRPr="00EC0A64">
        <w:rPr>
          <w:rFonts w:eastAsia="Times New Roman" w:cstheme="minorHAnsi"/>
          <w:lang w:val="en-GB"/>
        </w:rPr>
        <w:t>S</w:t>
      </w:r>
      <w:r w:rsidRPr="00EC0A64">
        <w:rPr>
          <w:rFonts w:eastAsia="Times New Roman"/>
          <w:lang w:val="en-AU"/>
        </w:rPr>
        <w:t xml:space="preserve">elf-determined </w:t>
      </w:r>
      <w:r w:rsidR="006227A3" w:rsidRPr="00EC0A64">
        <w:rPr>
          <w:rFonts w:eastAsia="Times New Roman"/>
          <w:lang w:val="en-AU"/>
        </w:rPr>
        <w:t>QoL</w:t>
      </w:r>
      <w:r w:rsidRPr="00EC0A64">
        <w:rPr>
          <w:rFonts w:eastAsia="Times New Roman"/>
          <w:lang w:val="en-AU"/>
        </w:rPr>
        <w:t xml:space="preserve"> was </w:t>
      </w:r>
      <w:r w:rsidRPr="00EC0A64">
        <w:rPr>
          <w:rFonts w:eastAsia="Times New Roman"/>
        </w:rPr>
        <w:t xml:space="preserve">assessed in two qualitative </w:t>
      </w:r>
      <w:r w:rsidRPr="00EC0A64">
        <w:rPr>
          <w:rFonts w:eastAsia="Times New Roman"/>
          <w:lang w:val="en-AU"/>
        </w:rPr>
        <w:t xml:space="preserve">studies to establish whether the person who had moved felt that their life had improved post-transition </w:t>
      </w:r>
      <w:r w:rsidRPr="00EC0A64">
        <w:rPr>
          <w:rFonts w:eastAsia="Times New Roman"/>
          <w:lang w:val="en-AU"/>
        </w:rPr>
        <w:fldChar w:fldCharType="begin">
          <w:fldData xml:space="preserve">PEVuZE5vdGU+PENpdGU+PEF1dGhvcj5Cb3JiYXNpPC9BdXRob3I+PFllYXI+MjAwODwvWWVhcj48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62163C" w:rsidRPr="00EC0A64">
        <w:rPr>
          <w:rFonts w:eastAsia="Times New Roman"/>
          <w:lang w:val="en-AU"/>
        </w:rPr>
        <w:instrText xml:space="preserve"> ADDIN EN.CITE </w:instrText>
      </w:r>
      <w:r w:rsidR="0062163C" w:rsidRPr="00EC0A64">
        <w:rPr>
          <w:rFonts w:eastAsia="Times New Roman"/>
          <w:lang w:val="en-AU"/>
        </w:rPr>
        <w:fldChar w:fldCharType="begin">
          <w:fldData xml:space="preserve">PEVuZE5vdGU+PENpdGU+PEF1dGhvcj5Cb3JiYXNpPC9BdXRob3I+PFllYXI+MjAwODwvWWVhcj48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62163C" w:rsidRPr="00EC0A64">
        <w:rPr>
          <w:rFonts w:eastAsia="Times New Roman"/>
          <w:lang w:val="en-AU"/>
        </w:rPr>
        <w:instrText xml:space="preserve"> ADDIN EN.CITE.DATA </w:instrText>
      </w:r>
      <w:r w:rsidR="0062163C" w:rsidRPr="00EC0A64">
        <w:rPr>
          <w:rFonts w:eastAsia="Times New Roman"/>
          <w:lang w:val="en-AU"/>
        </w:rPr>
      </w:r>
      <w:r w:rsidR="0062163C" w:rsidRPr="00EC0A64">
        <w:rPr>
          <w:rFonts w:eastAsia="Times New Roman"/>
          <w:lang w:val="en-AU"/>
        </w:rPr>
        <w:fldChar w:fldCharType="end"/>
      </w:r>
      <w:r w:rsidRPr="00EC0A64">
        <w:rPr>
          <w:rFonts w:eastAsia="Times New Roman"/>
          <w:lang w:val="en-AU"/>
        </w:rPr>
      </w:r>
      <w:r w:rsidRPr="00EC0A64">
        <w:rPr>
          <w:rFonts w:eastAsia="Times New Roman"/>
          <w:lang w:val="en-AU"/>
        </w:rPr>
        <w:fldChar w:fldCharType="separate"/>
      </w:r>
      <w:r w:rsidR="0062163C" w:rsidRPr="00EC0A64">
        <w:rPr>
          <w:rFonts w:eastAsia="Times New Roman"/>
          <w:noProof/>
          <w:lang w:val="en-AU"/>
        </w:rPr>
        <w:t>(Borbasi, Bottroff, Williams, Jones, &amp; Douglas, 2008; Sheerin, Griffiths, de Vries, &amp; Keenan, 2015)</w:t>
      </w:r>
      <w:r w:rsidRPr="00EC0A64">
        <w:rPr>
          <w:rFonts w:eastAsia="Times New Roman"/>
          <w:lang w:val="en-AU"/>
        </w:rPr>
        <w:fldChar w:fldCharType="end"/>
      </w:r>
      <w:r w:rsidRPr="00EC0A64">
        <w:rPr>
          <w:rFonts w:eastAsia="Times New Roman"/>
          <w:lang w:val="en-AU"/>
        </w:rPr>
        <w:t xml:space="preserve">. People generally were clear that their life had improved once they were transitioned to a community setting.  </w:t>
      </w:r>
      <w:r w:rsidRPr="00EC0A64">
        <w:t>A further grey literature paper (Powell, 2012) recommends providing education on</w:t>
      </w:r>
      <w:r w:rsidR="006227A3" w:rsidRPr="00EC0A64">
        <w:t xml:space="preserve"> QoL</w:t>
      </w:r>
      <w:r w:rsidRPr="00EC0A64">
        <w:t xml:space="preserve"> for individuals with disability. Improved </w:t>
      </w:r>
      <w:r w:rsidR="006227A3" w:rsidRPr="00EC0A64">
        <w:t>QoL</w:t>
      </w:r>
      <w:r w:rsidRPr="00EC0A64">
        <w:t xml:space="preserve"> post-move was reported in all cases.</w:t>
      </w:r>
    </w:p>
    <w:p w14:paraId="4AF4B248" w14:textId="77777777" w:rsidR="00194A01" w:rsidRDefault="00194A01" w:rsidP="00FE28E6">
      <w:pPr>
        <w:spacing w:line="360" w:lineRule="auto"/>
        <w:jc w:val="both"/>
        <w:rPr>
          <w:rFonts w:eastAsia="Times New Roman"/>
          <w:sz w:val="20"/>
          <w:szCs w:val="20"/>
        </w:rPr>
      </w:pPr>
    </w:p>
    <w:p w14:paraId="442065D6" w14:textId="77777777" w:rsidR="00194A01" w:rsidRDefault="00194A01" w:rsidP="00FE28E6">
      <w:pPr>
        <w:spacing w:line="360" w:lineRule="auto"/>
        <w:jc w:val="both"/>
        <w:rPr>
          <w:rFonts w:eastAsia="Times New Roman"/>
          <w:sz w:val="20"/>
          <w:szCs w:val="20"/>
        </w:rPr>
      </w:pPr>
    </w:p>
    <w:p w14:paraId="11E7DD95" w14:textId="28684B60" w:rsidR="00194A01" w:rsidRDefault="00194A01" w:rsidP="00FE28E6">
      <w:pPr>
        <w:spacing w:line="360" w:lineRule="auto"/>
        <w:jc w:val="both"/>
        <w:rPr>
          <w:rFonts w:eastAsia="Times New Roman"/>
          <w:sz w:val="20"/>
          <w:szCs w:val="20"/>
        </w:rPr>
        <w:sectPr w:rsidR="00194A01" w:rsidSect="00194A01">
          <w:headerReference w:type="default" r:id="rId20"/>
          <w:footerReference w:type="default" r:id="rId21"/>
          <w:pgSz w:w="12240" w:h="15840"/>
          <w:pgMar w:top="1440" w:right="1440" w:bottom="1440" w:left="1440" w:header="720" w:footer="720" w:gutter="0"/>
          <w:cols w:space="720"/>
          <w:docGrid w:linePitch="360"/>
        </w:sectPr>
      </w:pPr>
    </w:p>
    <w:p w14:paraId="505C68CF" w14:textId="144EFA39" w:rsidR="00DB06D4" w:rsidRPr="00317BA9" w:rsidRDefault="00194A01" w:rsidP="00194A01">
      <w:pPr>
        <w:pStyle w:val="Caption"/>
        <w:rPr>
          <w:b/>
          <w:bCs/>
          <w:sz w:val="20"/>
          <w:szCs w:val="20"/>
        </w:rPr>
      </w:pPr>
      <w:bookmarkStart w:id="32" w:name="_Toc66355181"/>
      <w:r>
        <w:lastRenderedPageBreak/>
        <w:t xml:space="preserve">Table </w:t>
      </w:r>
      <w:r>
        <w:fldChar w:fldCharType="begin"/>
      </w:r>
      <w:r>
        <w:instrText>SEQ Table \* ARABIC</w:instrText>
      </w:r>
      <w:r>
        <w:fldChar w:fldCharType="separate"/>
      </w:r>
      <w:r w:rsidR="000E7FFE">
        <w:rPr>
          <w:noProof/>
        </w:rPr>
        <w:t>2</w:t>
      </w:r>
      <w:r>
        <w:fldChar w:fldCharType="end"/>
      </w:r>
      <w:r w:rsidR="00171A95" w:rsidRPr="00317BA9">
        <w:rPr>
          <w:b/>
          <w:bCs/>
          <w:sz w:val="20"/>
          <w:szCs w:val="20"/>
        </w:rPr>
        <w:t xml:space="preserve"> </w:t>
      </w:r>
      <w:r w:rsidR="00E802E8" w:rsidRPr="00317BA9">
        <w:rPr>
          <w:b/>
          <w:bCs/>
          <w:sz w:val="20"/>
          <w:szCs w:val="20"/>
        </w:rPr>
        <w:t>Quality of life measures</w:t>
      </w:r>
      <w:bookmarkEnd w:id="32"/>
    </w:p>
    <w:tbl>
      <w:tblPr>
        <w:tblStyle w:val="TableGrid"/>
        <w:tblW w:w="13462" w:type="dxa"/>
        <w:tblLayout w:type="fixed"/>
        <w:tblLook w:val="04A0" w:firstRow="1" w:lastRow="0" w:firstColumn="1" w:lastColumn="0" w:noHBand="0" w:noVBand="1"/>
      </w:tblPr>
      <w:tblGrid>
        <w:gridCol w:w="1984"/>
        <w:gridCol w:w="2410"/>
        <w:gridCol w:w="1843"/>
        <w:gridCol w:w="3114"/>
        <w:gridCol w:w="4111"/>
      </w:tblGrid>
      <w:tr w:rsidR="004279D8" w:rsidRPr="00B069D1" w14:paraId="163AE15E" w14:textId="77777777" w:rsidTr="00590481">
        <w:trPr>
          <w:tblHeader/>
        </w:trPr>
        <w:tc>
          <w:tcPr>
            <w:tcW w:w="1984" w:type="dxa"/>
            <w:shd w:val="clear" w:color="auto" w:fill="FFFF00"/>
          </w:tcPr>
          <w:p w14:paraId="6839E79C" w14:textId="77777777" w:rsidR="004279D8" w:rsidRPr="009A10A6" w:rsidRDefault="004279D8" w:rsidP="000038F8">
            <w:pPr>
              <w:rPr>
                <w:b/>
                <w:bCs/>
                <w:sz w:val="20"/>
                <w:szCs w:val="20"/>
              </w:rPr>
            </w:pPr>
            <w:r w:rsidRPr="009A10A6">
              <w:rPr>
                <w:b/>
                <w:bCs/>
                <w:sz w:val="20"/>
                <w:szCs w:val="20"/>
              </w:rPr>
              <w:t>Author (Year)</w:t>
            </w:r>
          </w:p>
        </w:tc>
        <w:tc>
          <w:tcPr>
            <w:tcW w:w="2410" w:type="dxa"/>
            <w:shd w:val="clear" w:color="auto" w:fill="FFFF00"/>
          </w:tcPr>
          <w:p w14:paraId="4A816F3D" w14:textId="77777777" w:rsidR="004279D8" w:rsidRPr="009A10A6" w:rsidRDefault="004279D8" w:rsidP="000038F8">
            <w:pPr>
              <w:rPr>
                <w:b/>
                <w:bCs/>
                <w:sz w:val="20"/>
                <w:szCs w:val="20"/>
              </w:rPr>
            </w:pPr>
            <w:r w:rsidRPr="009A10A6">
              <w:rPr>
                <w:b/>
                <w:bCs/>
                <w:sz w:val="20"/>
                <w:szCs w:val="20"/>
              </w:rPr>
              <w:t xml:space="preserve">Measure used or described </w:t>
            </w:r>
          </w:p>
        </w:tc>
        <w:tc>
          <w:tcPr>
            <w:tcW w:w="1843" w:type="dxa"/>
            <w:shd w:val="clear" w:color="auto" w:fill="FFFF00"/>
          </w:tcPr>
          <w:p w14:paraId="62954EE6" w14:textId="77777777" w:rsidR="004279D8" w:rsidRPr="009A10A6" w:rsidRDefault="004279D8" w:rsidP="000038F8">
            <w:pPr>
              <w:rPr>
                <w:b/>
                <w:bCs/>
                <w:sz w:val="20"/>
                <w:szCs w:val="20"/>
              </w:rPr>
            </w:pPr>
            <w:r w:rsidRPr="009A10A6">
              <w:rPr>
                <w:b/>
                <w:bCs/>
                <w:sz w:val="20"/>
                <w:szCs w:val="20"/>
              </w:rPr>
              <w:t>Number of time points</w:t>
            </w:r>
          </w:p>
          <w:p w14:paraId="1500C24C" w14:textId="77777777" w:rsidR="004279D8" w:rsidRPr="009A10A6" w:rsidRDefault="004279D8" w:rsidP="000038F8">
            <w:pPr>
              <w:rPr>
                <w:b/>
                <w:bCs/>
                <w:sz w:val="20"/>
                <w:szCs w:val="20"/>
              </w:rPr>
            </w:pPr>
            <w:r w:rsidRPr="009A10A6">
              <w:rPr>
                <w:b/>
                <w:bCs/>
                <w:sz w:val="20"/>
                <w:szCs w:val="20"/>
              </w:rPr>
              <w:t>(n/a, one, two multiple)</w:t>
            </w:r>
          </w:p>
        </w:tc>
        <w:tc>
          <w:tcPr>
            <w:tcW w:w="3114" w:type="dxa"/>
            <w:shd w:val="clear" w:color="auto" w:fill="FFFF00"/>
          </w:tcPr>
          <w:p w14:paraId="592A90EF" w14:textId="77777777" w:rsidR="004279D8" w:rsidRPr="009A10A6" w:rsidRDefault="004279D8" w:rsidP="000038F8">
            <w:pPr>
              <w:rPr>
                <w:b/>
                <w:bCs/>
                <w:sz w:val="20"/>
                <w:szCs w:val="20"/>
              </w:rPr>
            </w:pPr>
            <w:r w:rsidRPr="009A10A6">
              <w:rPr>
                <w:b/>
                <w:bCs/>
                <w:sz w:val="20"/>
                <w:szCs w:val="20"/>
              </w:rPr>
              <w:t>Conclusion</w:t>
            </w:r>
          </w:p>
        </w:tc>
        <w:tc>
          <w:tcPr>
            <w:tcW w:w="4111" w:type="dxa"/>
            <w:shd w:val="clear" w:color="auto" w:fill="FFFF00"/>
          </w:tcPr>
          <w:p w14:paraId="51070AEC" w14:textId="77777777" w:rsidR="004279D8" w:rsidRPr="009A10A6" w:rsidRDefault="004279D8" w:rsidP="000038F8">
            <w:pPr>
              <w:rPr>
                <w:b/>
                <w:bCs/>
                <w:sz w:val="20"/>
                <w:szCs w:val="20"/>
              </w:rPr>
            </w:pPr>
            <w:r w:rsidRPr="009A10A6">
              <w:rPr>
                <w:b/>
                <w:bCs/>
                <w:sz w:val="20"/>
                <w:szCs w:val="20"/>
              </w:rPr>
              <w:t xml:space="preserve">Limitations </w:t>
            </w:r>
          </w:p>
        </w:tc>
      </w:tr>
      <w:tr w:rsidR="004279D8" w:rsidRPr="00B069D1" w14:paraId="131EED65" w14:textId="77777777" w:rsidTr="00590481">
        <w:tc>
          <w:tcPr>
            <w:tcW w:w="1984" w:type="dxa"/>
          </w:tcPr>
          <w:p w14:paraId="3CF2ECEC" w14:textId="224FD86E" w:rsidR="004279D8" w:rsidRPr="009A10A6" w:rsidRDefault="004279D8" w:rsidP="000038F8">
            <w:pPr>
              <w:rPr>
                <w:sz w:val="20"/>
                <w:szCs w:val="20"/>
              </w:rPr>
            </w:pPr>
            <w:r w:rsidRPr="009A10A6">
              <w:rPr>
                <w:sz w:val="20"/>
                <w:szCs w:val="20"/>
              </w:rPr>
              <w:t xml:space="preserve">Bhaumik et al </w:t>
            </w:r>
            <w:r w:rsidR="00590481">
              <w:rPr>
                <w:sz w:val="20"/>
                <w:szCs w:val="20"/>
              </w:rPr>
              <w:t>(</w:t>
            </w:r>
            <w:r w:rsidRPr="009A10A6">
              <w:rPr>
                <w:sz w:val="20"/>
                <w:szCs w:val="20"/>
              </w:rPr>
              <w:t>2011</w:t>
            </w:r>
            <w:r w:rsidR="00590481">
              <w:rPr>
                <w:sz w:val="20"/>
                <w:szCs w:val="20"/>
              </w:rPr>
              <w:t>)</w:t>
            </w:r>
          </w:p>
          <w:p w14:paraId="4E77E8A2" w14:textId="77777777" w:rsidR="004279D8" w:rsidRPr="009A10A6" w:rsidRDefault="004279D8" w:rsidP="000038F8">
            <w:pPr>
              <w:rPr>
                <w:sz w:val="20"/>
                <w:szCs w:val="20"/>
              </w:rPr>
            </w:pPr>
          </w:p>
          <w:p w14:paraId="692472F4" w14:textId="77777777" w:rsidR="004279D8" w:rsidRPr="009A10A6" w:rsidRDefault="004279D8" w:rsidP="000038F8">
            <w:pPr>
              <w:rPr>
                <w:sz w:val="20"/>
                <w:szCs w:val="20"/>
              </w:rPr>
            </w:pPr>
          </w:p>
        </w:tc>
        <w:tc>
          <w:tcPr>
            <w:tcW w:w="2410" w:type="dxa"/>
          </w:tcPr>
          <w:p w14:paraId="2F677AD6" w14:textId="77777777" w:rsidR="004279D8" w:rsidRPr="009A10A6" w:rsidRDefault="004279D8" w:rsidP="000038F8">
            <w:pPr>
              <w:rPr>
                <w:sz w:val="20"/>
                <w:szCs w:val="20"/>
              </w:rPr>
            </w:pPr>
            <w:r w:rsidRPr="009A10A6">
              <w:rPr>
                <w:sz w:val="20"/>
                <w:szCs w:val="20"/>
              </w:rPr>
              <w:t>Quality of Life Questionnaire (QOLQ)</w:t>
            </w:r>
          </w:p>
        </w:tc>
        <w:tc>
          <w:tcPr>
            <w:tcW w:w="1843" w:type="dxa"/>
          </w:tcPr>
          <w:p w14:paraId="2FE03FC1" w14:textId="77777777" w:rsidR="004279D8" w:rsidRPr="009A10A6" w:rsidRDefault="004279D8" w:rsidP="000038F8">
            <w:pPr>
              <w:rPr>
                <w:sz w:val="20"/>
                <w:szCs w:val="20"/>
              </w:rPr>
            </w:pPr>
            <w:r w:rsidRPr="009A10A6">
              <w:rPr>
                <w:sz w:val="20"/>
                <w:szCs w:val="20"/>
              </w:rPr>
              <w:t>One group repeated measures design with three time-points, pre/post/follow-up</w:t>
            </w:r>
          </w:p>
        </w:tc>
        <w:tc>
          <w:tcPr>
            <w:tcW w:w="3114" w:type="dxa"/>
          </w:tcPr>
          <w:p w14:paraId="48FAAB0D" w14:textId="77777777" w:rsidR="004279D8" w:rsidRPr="009A10A6" w:rsidRDefault="004279D8" w:rsidP="000038F8">
            <w:pPr>
              <w:rPr>
                <w:sz w:val="20"/>
                <w:szCs w:val="20"/>
              </w:rPr>
            </w:pPr>
            <w:r w:rsidRPr="009A10A6">
              <w:rPr>
                <w:sz w:val="20"/>
                <w:szCs w:val="20"/>
              </w:rPr>
              <w:t>QoL improved from baseline at 6 months and plateau at 12 months</w:t>
            </w:r>
          </w:p>
        </w:tc>
        <w:tc>
          <w:tcPr>
            <w:tcW w:w="4111" w:type="dxa"/>
          </w:tcPr>
          <w:p w14:paraId="5380E6B1" w14:textId="4BB6CE30" w:rsidR="004279D8" w:rsidRPr="009A10A6" w:rsidRDefault="004279D8" w:rsidP="000038F8">
            <w:pPr>
              <w:rPr>
                <w:sz w:val="20"/>
                <w:szCs w:val="20"/>
              </w:rPr>
            </w:pPr>
            <w:r>
              <w:rPr>
                <w:sz w:val="20"/>
                <w:szCs w:val="20"/>
              </w:rPr>
              <w:t>Majority of sample (70%) male, no comparison group.</w:t>
            </w:r>
          </w:p>
        </w:tc>
      </w:tr>
      <w:tr w:rsidR="004279D8" w:rsidRPr="00B069D1" w14:paraId="4052CEF5" w14:textId="77777777" w:rsidTr="00590481">
        <w:tc>
          <w:tcPr>
            <w:tcW w:w="1984" w:type="dxa"/>
          </w:tcPr>
          <w:p w14:paraId="4109F83C" w14:textId="56BD2FA2" w:rsidR="004279D8" w:rsidRPr="009A10A6" w:rsidRDefault="004279D8" w:rsidP="000038F8">
            <w:pPr>
              <w:rPr>
                <w:sz w:val="20"/>
                <w:szCs w:val="20"/>
              </w:rPr>
            </w:pPr>
            <w:r w:rsidRPr="009A10A6">
              <w:rPr>
                <w:sz w:val="20"/>
                <w:szCs w:val="20"/>
              </w:rPr>
              <w:t xml:space="preserve">Bigby </w:t>
            </w:r>
            <w:r w:rsidR="00590481">
              <w:rPr>
                <w:sz w:val="20"/>
                <w:szCs w:val="20"/>
              </w:rPr>
              <w:t>(</w:t>
            </w:r>
            <w:r w:rsidRPr="009A10A6">
              <w:rPr>
                <w:sz w:val="20"/>
                <w:szCs w:val="20"/>
              </w:rPr>
              <w:t>2008</w:t>
            </w:r>
            <w:r w:rsidR="00590481">
              <w:rPr>
                <w:sz w:val="20"/>
                <w:szCs w:val="20"/>
              </w:rPr>
              <w:t>)</w:t>
            </w:r>
          </w:p>
        </w:tc>
        <w:tc>
          <w:tcPr>
            <w:tcW w:w="2410" w:type="dxa"/>
          </w:tcPr>
          <w:p w14:paraId="229CCC67" w14:textId="77777777" w:rsidR="004279D8" w:rsidRPr="009A10A6" w:rsidRDefault="004279D8" w:rsidP="000038F8">
            <w:pPr>
              <w:rPr>
                <w:sz w:val="20"/>
                <w:szCs w:val="20"/>
              </w:rPr>
            </w:pPr>
            <w:r w:rsidRPr="009A10A6">
              <w:rPr>
                <w:sz w:val="20"/>
                <w:szCs w:val="20"/>
              </w:rPr>
              <w:t>Global rating scales on domains of living situation, general health &amp; well-being, personal development, community integration &amp; interpersonal relationships</w:t>
            </w:r>
          </w:p>
        </w:tc>
        <w:tc>
          <w:tcPr>
            <w:tcW w:w="1843" w:type="dxa"/>
          </w:tcPr>
          <w:p w14:paraId="745A3F44" w14:textId="77777777" w:rsidR="004279D8" w:rsidRPr="009A10A6" w:rsidRDefault="004279D8" w:rsidP="000038F8">
            <w:pPr>
              <w:rPr>
                <w:sz w:val="20"/>
                <w:szCs w:val="20"/>
              </w:rPr>
            </w:pPr>
            <w:r w:rsidRPr="009A10A6">
              <w:rPr>
                <w:sz w:val="20"/>
                <w:szCs w:val="20"/>
              </w:rPr>
              <w:t>Repeated measures design with four time-points, baseline, 1 year, 3 years, 5 years post transition</w:t>
            </w:r>
          </w:p>
        </w:tc>
        <w:tc>
          <w:tcPr>
            <w:tcW w:w="3114" w:type="dxa"/>
          </w:tcPr>
          <w:p w14:paraId="453A0837" w14:textId="77777777" w:rsidR="004279D8" w:rsidRPr="009A10A6" w:rsidRDefault="004279D8" w:rsidP="000038F8">
            <w:pPr>
              <w:rPr>
                <w:sz w:val="20"/>
                <w:szCs w:val="20"/>
              </w:rPr>
            </w:pPr>
            <w:r w:rsidRPr="009A10A6">
              <w:rPr>
                <w:sz w:val="20"/>
                <w:szCs w:val="20"/>
              </w:rPr>
              <w:t>QoL measures did not improve following transition</w:t>
            </w:r>
          </w:p>
        </w:tc>
        <w:tc>
          <w:tcPr>
            <w:tcW w:w="4111" w:type="dxa"/>
          </w:tcPr>
          <w:p w14:paraId="5E5A1134" w14:textId="41EAC304" w:rsidR="004279D8" w:rsidRPr="009A10A6" w:rsidRDefault="004279D8" w:rsidP="000038F8">
            <w:pPr>
              <w:rPr>
                <w:sz w:val="20"/>
                <w:szCs w:val="20"/>
              </w:rPr>
            </w:pPr>
            <w:r>
              <w:rPr>
                <w:sz w:val="20"/>
                <w:szCs w:val="20"/>
              </w:rPr>
              <w:t>No comparison control group</w:t>
            </w:r>
          </w:p>
        </w:tc>
      </w:tr>
      <w:tr w:rsidR="004279D8" w:rsidRPr="00B069D1" w14:paraId="5344DCFD" w14:textId="77777777" w:rsidTr="00590481">
        <w:tc>
          <w:tcPr>
            <w:tcW w:w="1984" w:type="dxa"/>
          </w:tcPr>
          <w:p w14:paraId="2D09F9BF" w14:textId="51506298" w:rsidR="004279D8" w:rsidRPr="009A10A6" w:rsidRDefault="004279D8" w:rsidP="000038F8">
            <w:pPr>
              <w:rPr>
                <w:sz w:val="20"/>
                <w:szCs w:val="20"/>
              </w:rPr>
            </w:pPr>
            <w:r w:rsidRPr="009A10A6">
              <w:rPr>
                <w:sz w:val="20"/>
                <w:szCs w:val="20"/>
              </w:rPr>
              <w:t xml:space="preserve">Chou et al </w:t>
            </w:r>
            <w:r w:rsidR="00590481">
              <w:rPr>
                <w:sz w:val="20"/>
                <w:szCs w:val="20"/>
              </w:rPr>
              <w:t>(</w:t>
            </w:r>
            <w:r w:rsidRPr="009A10A6">
              <w:rPr>
                <w:sz w:val="20"/>
                <w:szCs w:val="20"/>
              </w:rPr>
              <w:t>2008</w:t>
            </w:r>
            <w:r w:rsidR="00590481">
              <w:rPr>
                <w:sz w:val="20"/>
                <w:szCs w:val="20"/>
              </w:rPr>
              <w:t>)</w:t>
            </w:r>
          </w:p>
        </w:tc>
        <w:tc>
          <w:tcPr>
            <w:tcW w:w="2410" w:type="dxa"/>
          </w:tcPr>
          <w:p w14:paraId="1DF4A4B7" w14:textId="77777777" w:rsidR="004279D8" w:rsidRPr="009A10A6" w:rsidRDefault="004279D8" w:rsidP="000038F8">
            <w:pPr>
              <w:rPr>
                <w:sz w:val="20"/>
                <w:szCs w:val="20"/>
              </w:rPr>
            </w:pPr>
            <w:r w:rsidRPr="009A10A6">
              <w:rPr>
                <w:sz w:val="20"/>
                <w:szCs w:val="20"/>
              </w:rPr>
              <w:t>Quality of Life Questionnaire (QOLQ)</w:t>
            </w:r>
          </w:p>
        </w:tc>
        <w:tc>
          <w:tcPr>
            <w:tcW w:w="1843" w:type="dxa"/>
          </w:tcPr>
          <w:p w14:paraId="4D5FC7BD" w14:textId="77777777" w:rsidR="004279D8" w:rsidRPr="009A10A6" w:rsidRDefault="004279D8" w:rsidP="000038F8">
            <w:pPr>
              <w:rPr>
                <w:sz w:val="20"/>
                <w:szCs w:val="20"/>
              </w:rPr>
            </w:pPr>
            <w:r w:rsidRPr="009A10A6">
              <w:rPr>
                <w:sz w:val="20"/>
                <w:szCs w:val="20"/>
              </w:rPr>
              <w:t>Cross-sectional study</w:t>
            </w:r>
          </w:p>
        </w:tc>
        <w:tc>
          <w:tcPr>
            <w:tcW w:w="3114" w:type="dxa"/>
          </w:tcPr>
          <w:p w14:paraId="6E7E6D88" w14:textId="2E2DE751" w:rsidR="004279D8" w:rsidRPr="009A10A6" w:rsidRDefault="004279D8" w:rsidP="000038F8">
            <w:pPr>
              <w:rPr>
                <w:sz w:val="20"/>
                <w:szCs w:val="20"/>
              </w:rPr>
            </w:pPr>
            <w:r w:rsidRPr="009A10A6">
              <w:rPr>
                <w:sz w:val="20"/>
                <w:szCs w:val="20"/>
              </w:rPr>
              <w:t xml:space="preserve">QoL in residents in small residential units compared to institutions </w:t>
            </w:r>
          </w:p>
        </w:tc>
        <w:tc>
          <w:tcPr>
            <w:tcW w:w="4111" w:type="dxa"/>
          </w:tcPr>
          <w:p w14:paraId="033CEC60" w14:textId="23212508" w:rsidR="004279D8" w:rsidRPr="009A10A6" w:rsidRDefault="004279D8" w:rsidP="000038F8">
            <w:pPr>
              <w:rPr>
                <w:sz w:val="20"/>
                <w:szCs w:val="20"/>
              </w:rPr>
            </w:pPr>
            <w:r>
              <w:rPr>
                <w:sz w:val="20"/>
                <w:szCs w:val="20"/>
              </w:rPr>
              <w:t>Cross sectional design limits inferences on longitudinal change</w:t>
            </w:r>
          </w:p>
        </w:tc>
      </w:tr>
      <w:tr w:rsidR="004279D8" w:rsidRPr="00B069D1" w14:paraId="0288A58E" w14:textId="77777777" w:rsidTr="00590481">
        <w:tc>
          <w:tcPr>
            <w:tcW w:w="1984" w:type="dxa"/>
          </w:tcPr>
          <w:p w14:paraId="645EFB03" w14:textId="0F57C062" w:rsidR="004279D8" w:rsidRPr="009A10A6" w:rsidRDefault="004279D8" w:rsidP="000038F8">
            <w:pPr>
              <w:rPr>
                <w:sz w:val="20"/>
                <w:szCs w:val="20"/>
              </w:rPr>
            </w:pPr>
            <w:r w:rsidRPr="009A10A6">
              <w:rPr>
                <w:sz w:val="20"/>
                <w:szCs w:val="20"/>
              </w:rPr>
              <w:t xml:space="preserve">Chou et al </w:t>
            </w:r>
            <w:r w:rsidR="00590481">
              <w:rPr>
                <w:sz w:val="20"/>
                <w:szCs w:val="20"/>
              </w:rPr>
              <w:t>(</w:t>
            </w:r>
            <w:r w:rsidRPr="009A10A6">
              <w:rPr>
                <w:sz w:val="20"/>
                <w:szCs w:val="20"/>
              </w:rPr>
              <w:t>2011</w:t>
            </w:r>
            <w:r w:rsidR="00590481">
              <w:rPr>
                <w:sz w:val="20"/>
                <w:szCs w:val="20"/>
              </w:rPr>
              <w:t>)</w:t>
            </w:r>
          </w:p>
        </w:tc>
        <w:tc>
          <w:tcPr>
            <w:tcW w:w="2410" w:type="dxa"/>
          </w:tcPr>
          <w:p w14:paraId="200EB302" w14:textId="77777777" w:rsidR="004279D8" w:rsidRPr="009A10A6" w:rsidRDefault="004279D8" w:rsidP="000038F8">
            <w:pPr>
              <w:rPr>
                <w:sz w:val="20"/>
                <w:szCs w:val="20"/>
              </w:rPr>
            </w:pPr>
            <w:r w:rsidRPr="009A10A6">
              <w:rPr>
                <w:sz w:val="20"/>
                <w:szCs w:val="20"/>
              </w:rPr>
              <w:t>Quality of Life Questionnaire (QOLQ)</w:t>
            </w:r>
          </w:p>
        </w:tc>
        <w:tc>
          <w:tcPr>
            <w:tcW w:w="1843" w:type="dxa"/>
          </w:tcPr>
          <w:p w14:paraId="6EF61549" w14:textId="77777777" w:rsidR="004279D8" w:rsidRPr="009A10A6" w:rsidRDefault="004279D8" w:rsidP="000038F8">
            <w:pPr>
              <w:rPr>
                <w:sz w:val="20"/>
                <w:szCs w:val="20"/>
              </w:rPr>
            </w:pPr>
            <w:r w:rsidRPr="009A10A6">
              <w:rPr>
                <w:sz w:val="20"/>
                <w:szCs w:val="20"/>
              </w:rPr>
              <w:t>Pre/post transition</w:t>
            </w:r>
          </w:p>
        </w:tc>
        <w:tc>
          <w:tcPr>
            <w:tcW w:w="3114" w:type="dxa"/>
          </w:tcPr>
          <w:p w14:paraId="719B8F3F" w14:textId="77777777" w:rsidR="004279D8" w:rsidRPr="009A10A6" w:rsidRDefault="004279D8" w:rsidP="000038F8">
            <w:pPr>
              <w:rPr>
                <w:sz w:val="20"/>
                <w:szCs w:val="20"/>
              </w:rPr>
            </w:pPr>
            <w:r w:rsidRPr="009A10A6">
              <w:rPr>
                <w:sz w:val="20"/>
                <w:szCs w:val="20"/>
              </w:rPr>
              <w:t>Half the residents returned to larger institutions or family at the end of the two year study. QoL improved significantly for residents remaining in small-scale residential facility.</w:t>
            </w:r>
          </w:p>
        </w:tc>
        <w:tc>
          <w:tcPr>
            <w:tcW w:w="4111" w:type="dxa"/>
          </w:tcPr>
          <w:p w14:paraId="64BFDFAF" w14:textId="0086663D" w:rsidR="004279D8" w:rsidRPr="009A10A6" w:rsidRDefault="004279D8" w:rsidP="00B069D1">
            <w:pPr>
              <w:autoSpaceDE w:val="0"/>
              <w:autoSpaceDN w:val="0"/>
              <w:adjustRightInd w:val="0"/>
              <w:rPr>
                <w:rFonts w:cstheme="minorHAnsi"/>
                <w:sz w:val="20"/>
                <w:szCs w:val="20"/>
              </w:rPr>
            </w:pPr>
            <w:r>
              <w:rPr>
                <w:rFonts w:cstheme="minorHAnsi"/>
                <w:sz w:val="20"/>
                <w:szCs w:val="20"/>
              </w:rPr>
              <w:t>L</w:t>
            </w:r>
            <w:r w:rsidRPr="009A10A6">
              <w:rPr>
                <w:rFonts w:cstheme="minorHAnsi"/>
                <w:sz w:val="20"/>
                <w:szCs w:val="20"/>
              </w:rPr>
              <w:t>ack of comparison</w:t>
            </w:r>
            <w:r>
              <w:rPr>
                <w:rFonts w:cstheme="minorHAnsi"/>
                <w:sz w:val="20"/>
                <w:szCs w:val="20"/>
              </w:rPr>
              <w:t xml:space="preserve"> to </w:t>
            </w:r>
            <w:r w:rsidRPr="009A10A6">
              <w:rPr>
                <w:rFonts w:cstheme="minorHAnsi"/>
                <w:sz w:val="20"/>
                <w:szCs w:val="20"/>
              </w:rPr>
              <w:t>groups who stayed in institution or with</w:t>
            </w:r>
          </w:p>
          <w:p w14:paraId="77D35C4B" w14:textId="2FF51F55" w:rsidR="004279D8" w:rsidRPr="009A10A6" w:rsidRDefault="004279D8" w:rsidP="00B069D1">
            <w:pPr>
              <w:rPr>
                <w:sz w:val="20"/>
                <w:szCs w:val="20"/>
              </w:rPr>
            </w:pPr>
            <w:r w:rsidRPr="009A10A6">
              <w:rPr>
                <w:rFonts w:cstheme="minorHAnsi"/>
                <w:sz w:val="20"/>
                <w:szCs w:val="20"/>
              </w:rPr>
              <w:t>their own families</w:t>
            </w:r>
          </w:p>
        </w:tc>
      </w:tr>
      <w:tr w:rsidR="004279D8" w:rsidRPr="00B069D1" w14:paraId="591100AB" w14:textId="77777777" w:rsidTr="00590481">
        <w:tc>
          <w:tcPr>
            <w:tcW w:w="1984" w:type="dxa"/>
          </w:tcPr>
          <w:p w14:paraId="7DBDDCB9" w14:textId="1A857A7D" w:rsidR="004279D8" w:rsidRPr="009A10A6" w:rsidRDefault="004279D8" w:rsidP="000038F8">
            <w:pPr>
              <w:rPr>
                <w:sz w:val="20"/>
                <w:szCs w:val="20"/>
              </w:rPr>
            </w:pPr>
            <w:r w:rsidRPr="009A10A6">
              <w:rPr>
                <w:sz w:val="20"/>
                <w:szCs w:val="20"/>
              </w:rPr>
              <w:t xml:space="preserve">Cooper &amp; Picton </w:t>
            </w:r>
            <w:r w:rsidR="00590481">
              <w:rPr>
                <w:sz w:val="20"/>
                <w:szCs w:val="20"/>
              </w:rPr>
              <w:t>(</w:t>
            </w:r>
            <w:r w:rsidRPr="009A10A6">
              <w:rPr>
                <w:sz w:val="20"/>
                <w:szCs w:val="20"/>
              </w:rPr>
              <w:t>2000</w:t>
            </w:r>
            <w:r w:rsidR="00590481">
              <w:rPr>
                <w:sz w:val="20"/>
                <w:szCs w:val="20"/>
              </w:rPr>
              <w:t>)</w:t>
            </w:r>
          </w:p>
        </w:tc>
        <w:tc>
          <w:tcPr>
            <w:tcW w:w="2410" w:type="dxa"/>
          </w:tcPr>
          <w:p w14:paraId="0C06F3E6" w14:textId="77777777" w:rsidR="004279D8" w:rsidRPr="009A10A6" w:rsidRDefault="004279D8" w:rsidP="000038F8">
            <w:pPr>
              <w:rPr>
                <w:sz w:val="20"/>
                <w:szCs w:val="20"/>
              </w:rPr>
            </w:pPr>
            <w:r w:rsidRPr="009A10A6">
              <w:rPr>
                <w:sz w:val="20"/>
                <w:szCs w:val="20"/>
              </w:rPr>
              <w:t>Quality of Life Questionnaire (QOLQ)</w:t>
            </w:r>
          </w:p>
        </w:tc>
        <w:tc>
          <w:tcPr>
            <w:tcW w:w="1843" w:type="dxa"/>
          </w:tcPr>
          <w:p w14:paraId="01C78537" w14:textId="24E996F3" w:rsidR="004279D8" w:rsidRPr="009A10A6" w:rsidRDefault="004279D8" w:rsidP="000038F8">
            <w:pPr>
              <w:rPr>
                <w:sz w:val="20"/>
                <w:szCs w:val="20"/>
              </w:rPr>
            </w:pPr>
            <w:r w:rsidRPr="009A10A6">
              <w:rPr>
                <w:sz w:val="20"/>
                <w:szCs w:val="20"/>
              </w:rPr>
              <w:t>Longitudinal design with three time points, Pre/post and follow up at baseline, 6 months and 3 years post transition</w:t>
            </w:r>
          </w:p>
        </w:tc>
        <w:tc>
          <w:tcPr>
            <w:tcW w:w="3114" w:type="dxa"/>
          </w:tcPr>
          <w:p w14:paraId="5E4E4D78" w14:textId="77777777" w:rsidR="004279D8" w:rsidRPr="009A10A6" w:rsidRDefault="004279D8" w:rsidP="000038F8">
            <w:pPr>
              <w:rPr>
                <w:sz w:val="20"/>
                <w:szCs w:val="20"/>
              </w:rPr>
            </w:pPr>
            <w:r w:rsidRPr="009A10A6">
              <w:rPr>
                <w:sz w:val="20"/>
                <w:szCs w:val="20"/>
              </w:rPr>
              <w:t>Small but significant increases in QoL at 6 month follow-up for transitioned residents from institution to community residential unit (n=6) residents or training centres (units within larger institution)</w:t>
            </w:r>
          </w:p>
        </w:tc>
        <w:tc>
          <w:tcPr>
            <w:tcW w:w="4111" w:type="dxa"/>
          </w:tcPr>
          <w:p w14:paraId="7CFEE12A" w14:textId="62C9EEFF" w:rsidR="004279D8" w:rsidRPr="00D3719D" w:rsidRDefault="004279D8" w:rsidP="000038F8">
            <w:pPr>
              <w:rPr>
                <w:sz w:val="20"/>
                <w:szCs w:val="20"/>
              </w:rPr>
            </w:pPr>
            <w:r w:rsidRPr="00D3719D">
              <w:rPr>
                <w:sz w:val="20"/>
                <w:szCs w:val="20"/>
              </w:rPr>
              <w:t>No comparison control group</w:t>
            </w:r>
          </w:p>
        </w:tc>
      </w:tr>
      <w:tr w:rsidR="004279D8" w:rsidRPr="00B069D1" w14:paraId="08A21EE2" w14:textId="77777777" w:rsidTr="00590481">
        <w:tc>
          <w:tcPr>
            <w:tcW w:w="1984" w:type="dxa"/>
          </w:tcPr>
          <w:p w14:paraId="28E52AC4" w14:textId="087E2015" w:rsidR="004279D8" w:rsidRPr="00A55A3E" w:rsidRDefault="004279D8" w:rsidP="007B4251">
            <w:pPr>
              <w:keepNext/>
              <w:rPr>
                <w:sz w:val="20"/>
                <w:szCs w:val="20"/>
              </w:rPr>
            </w:pPr>
            <w:r w:rsidRPr="00A55A3E">
              <w:rPr>
                <w:sz w:val="20"/>
                <w:szCs w:val="20"/>
              </w:rPr>
              <w:lastRenderedPageBreak/>
              <w:t xml:space="preserve">Enderman </w:t>
            </w:r>
            <w:r w:rsidR="00590481">
              <w:rPr>
                <w:sz w:val="20"/>
                <w:szCs w:val="20"/>
              </w:rPr>
              <w:t>(</w:t>
            </w:r>
            <w:r w:rsidRPr="00A55A3E">
              <w:rPr>
                <w:sz w:val="20"/>
                <w:szCs w:val="20"/>
              </w:rPr>
              <w:t>2015</w:t>
            </w:r>
            <w:r w:rsidR="00590481">
              <w:rPr>
                <w:sz w:val="20"/>
                <w:szCs w:val="20"/>
              </w:rPr>
              <w:t>)</w:t>
            </w:r>
          </w:p>
        </w:tc>
        <w:tc>
          <w:tcPr>
            <w:tcW w:w="2410" w:type="dxa"/>
          </w:tcPr>
          <w:p w14:paraId="5D5E429A" w14:textId="77777777" w:rsidR="004279D8" w:rsidRPr="00A55A3E" w:rsidRDefault="004279D8" w:rsidP="007B4251">
            <w:pPr>
              <w:keepNext/>
              <w:rPr>
                <w:sz w:val="20"/>
                <w:szCs w:val="20"/>
              </w:rPr>
            </w:pPr>
            <w:r w:rsidRPr="00A55A3E">
              <w:rPr>
                <w:sz w:val="20"/>
                <w:szCs w:val="20"/>
              </w:rPr>
              <w:t>PESOS questionnaire (PESOS = PErformance, SOciodemographic aspects, Subjective evaluation) includes sub-scales on a) life satisfaction, b) activities of daily living c) problems at work d) global QoL</w:t>
            </w:r>
          </w:p>
        </w:tc>
        <w:tc>
          <w:tcPr>
            <w:tcW w:w="1843" w:type="dxa"/>
          </w:tcPr>
          <w:p w14:paraId="042DEF48" w14:textId="77777777" w:rsidR="004279D8" w:rsidRPr="00A55A3E" w:rsidRDefault="004279D8" w:rsidP="007B4251">
            <w:pPr>
              <w:keepNext/>
              <w:rPr>
                <w:sz w:val="20"/>
                <w:szCs w:val="20"/>
              </w:rPr>
            </w:pPr>
            <w:r w:rsidRPr="00A55A3E">
              <w:rPr>
                <w:sz w:val="20"/>
                <w:szCs w:val="20"/>
              </w:rPr>
              <w:t>Two group repeated measures design with three time points</w:t>
            </w:r>
          </w:p>
        </w:tc>
        <w:tc>
          <w:tcPr>
            <w:tcW w:w="3114" w:type="dxa"/>
          </w:tcPr>
          <w:p w14:paraId="71414EC2" w14:textId="77777777" w:rsidR="004279D8" w:rsidRPr="00A55A3E" w:rsidRDefault="004279D8" w:rsidP="007B4251">
            <w:pPr>
              <w:keepNext/>
              <w:rPr>
                <w:sz w:val="20"/>
                <w:szCs w:val="20"/>
              </w:rPr>
            </w:pPr>
            <w:r w:rsidRPr="00A55A3E">
              <w:rPr>
                <w:sz w:val="20"/>
                <w:szCs w:val="20"/>
              </w:rPr>
              <w:t>Increase on global QoL observed between T1 and T2 but a decrease between T2 and T3</w:t>
            </w:r>
          </w:p>
        </w:tc>
        <w:tc>
          <w:tcPr>
            <w:tcW w:w="4111" w:type="dxa"/>
          </w:tcPr>
          <w:p w14:paraId="71774BC1" w14:textId="3D93B61A" w:rsidR="004279D8" w:rsidRPr="00A55A3E" w:rsidRDefault="004279D8" w:rsidP="007B4251">
            <w:pPr>
              <w:keepNext/>
              <w:rPr>
                <w:sz w:val="20"/>
                <w:szCs w:val="20"/>
              </w:rPr>
            </w:pPr>
            <w:r>
              <w:rPr>
                <w:sz w:val="20"/>
                <w:szCs w:val="20"/>
              </w:rPr>
              <w:t>Evaluation of overall outcomes does not allow inferences bout individual components. No cost benefit analysis</w:t>
            </w:r>
          </w:p>
        </w:tc>
      </w:tr>
      <w:tr w:rsidR="004279D8" w:rsidRPr="00B069D1" w14:paraId="765890D7" w14:textId="77777777" w:rsidTr="00590481">
        <w:tc>
          <w:tcPr>
            <w:tcW w:w="1984" w:type="dxa"/>
          </w:tcPr>
          <w:p w14:paraId="3BEC927E" w14:textId="732E4CCA" w:rsidR="004279D8" w:rsidRPr="00A55A3E" w:rsidRDefault="004279D8" w:rsidP="000038F8">
            <w:pPr>
              <w:rPr>
                <w:sz w:val="20"/>
                <w:szCs w:val="20"/>
              </w:rPr>
            </w:pPr>
            <w:r w:rsidRPr="00A55A3E">
              <w:rPr>
                <w:sz w:val="20"/>
                <w:szCs w:val="20"/>
              </w:rPr>
              <w:t xml:space="preserve">Fish and Lobley </w:t>
            </w:r>
            <w:r w:rsidR="00590481">
              <w:rPr>
                <w:sz w:val="20"/>
                <w:szCs w:val="20"/>
              </w:rPr>
              <w:t>(</w:t>
            </w:r>
            <w:r w:rsidRPr="00A55A3E">
              <w:rPr>
                <w:sz w:val="20"/>
                <w:szCs w:val="20"/>
              </w:rPr>
              <w:t>2001</w:t>
            </w:r>
            <w:r w:rsidR="00590481">
              <w:rPr>
                <w:sz w:val="20"/>
                <w:szCs w:val="20"/>
              </w:rPr>
              <w:t>)</w:t>
            </w:r>
          </w:p>
        </w:tc>
        <w:tc>
          <w:tcPr>
            <w:tcW w:w="2410" w:type="dxa"/>
          </w:tcPr>
          <w:p w14:paraId="4DC7EBC7" w14:textId="77777777" w:rsidR="004279D8" w:rsidRPr="00A55A3E" w:rsidRDefault="004279D8" w:rsidP="000038F8">
            <w:pPr>
              <w:rPr>
                <w:sz w:val="20"/>
                <w:szCs w:val="20"/>
              </w:rPr>
            </w:pPr>
            <w:r w:rsidRPr="00A55A3E">
              <w:rPr>
                <w:sz w:val="20"/>
                <w:szCs w:val="20"/>
              </w:rPr>
              <w:t>Quality of Life  Questionnaire</w:t>
            </w:r>
          </w:p>
          <w:p w14:paraId="09AD000C" w14:textId="61D3F69B" w:rsidR="004279D8" w:rsidRPr="00A55A3E" w:rsidRDefault="004279D8" w:rsidP="000038F8">
            <w:pPr>
              <w:rPr>
                <w:sz w:val="20"/>
                <w:szCs w:val="20"/>
              </w:rPr>
            </w:pPr>
          </w:p>
        </w:tc>
        <w:tc>
          <w:tcPr>
            <w:tcW w:w="1843" w:type="dxa"/>
          </w:tcPr>
          <w:p w14:paraId="4CE77C2A" w14:textId="77777777" w:rsidR="004279D8" w:rsidRPr="00A55A3E" w:rsidRDefault="004279D8" w:rsidP="000038F8">
            <w:pPr>
              <w:rPr>
                <w:sz w:val="20"/>
                <w:szCs w:val="20"/>
              </w:rPr>
            </w:pPr>
            <w:r w:rsidRPr="00A55A3E">
              <w:rPr>
                <w:sz w:val="20"/>
                <w:szCs w:val="20"/>
              </w:rPr>
              <w:t>Pre/post repeated measures design</w:t>
            </w:r>
          </w:p>
        </w:tc>
        <w:tc>
          <w:tcPr>
            <w:tcW w:w="3114" w:type="dxa"/>
          </w:tcPr>
          <w:p w14:paraId="67932CC0" w14:textId="77777777" w:rsidR="004279D8" w:rsidRPr="00A55A3E" w:rsidRDefault="004279D8" w:rsidP="000038F8">
            <w:pPr>
              <w:rPr>
                <w:sz w:val="20"/>
                <w:szCs w:val="20"/>
              </w:rPr>
            </w:pPr>
            <w:r w:rsidRPr="00A55A3E">
              <w:rPr>
                <w:sz w:val="20"/>
                <w:szCs w:val="20"/>
              </w:rPr>
              <w:t>No significant differences on QoL</w:t>
            </w:r>
          </w:p>
        </w:tc>
        <w:tc>
          <w:tcPr>
            <w:tcW w:w="4111" w:type="dxa"/>
          </w:tcPr>
          <w:p w14:paraId="1428A542" w14:textId="449FC691" w:rsidR="004279D8" w:rsidRPr="00A55A3E" w:rsidRDefault="004279D8" w:rsidP="000038F8">
            <w:pPr>
              <w:rPr>
                <w:sz w:val="20"/>
                <w:szCs w:val="20"/>
              </w:rPr>
            </w:pPr>
            <w:r>
              <w:rPr>
                <w:sz w:val="20"/>
                <w:szCs w:val="20"/>
              </w:rPr>
              <w:t>No comparison control group</w:t>
            </w:r>
          </w:p>
        </w:tc>
      </w:tr>
      <w:tr w:rsidR="004279D8" w:rsidRPr="00B069D1" w14:paraId="676F2A38" w14:textId="77777777" w:rsidTr="00F17C40">
        <w:tc>
          <w:tcPr>
            <w:tcW w:w="1984" w:type="dxa"/>
            <w:shd w:val="clear" w:color="auto" w:fill="auto"/>
          </w:tcPr>
          <w:p w14:paraId="29875C52" w14:textId="33507A20" w:rsidR="004279D8" w:rsidRPr="00A55A3E" w:rsidRDefault="004279D8" w:rsidP="000038F8">
            <w:pPr>
              <w:rPr>
                <w:sz w:val="20"/>
                <w:szCs w:val="20"/>
              </w:rPr>
            </w:pPr>
            <w:r w:rsidRPr="00A55A3E">
              <w:rPr>
                <w:sz w:val="20"/>
                <w:szCs w:val="20"/>
              </w:rPr>
              <w:t xml:space="preserve">Hobbs et al </w:t>
            </w:r>
            <w:r w:rsidR="00590481">
              <w:rPr>
                <w:sz w:val="20"/>
                <w:szCs w:val="20"/>
              </w:rPr>
              <w:t>(</w:t>
            </w:r>
            <w:r w:rsidRPr="00A55A3E">
              <w:rPr>
                <w:sz w:val="20"/>
                <w:szCs w:val="20"/>
              </w:rPr>
              <w:t>2002</w:t>
            </w:r>
            <w:r w:rsidR="00590481">
              <w:rPr>
                <w:sz w:val="20"/>
                <w:szCs w:val="20"/>
              </w:rPr>
              <w:t>)</w:t>
            </w:r>
          </w:p>
        </w:tc>
        <w:tc>
          <w:tcPr>
            <w:tcW w:w="2410" w:type="dxa"/>
          </w:tcPr>
          <w:p w14:paraId="57BB1E10" w14:textId="77777777" w:rsidR="004279D8" w:rsidRPr="00A55A3E" w:rsidRDefault="004279D8" w:rsidP="000038F8">
            <w:pPr>
              <w:rPr>
                <w:sz w:val="20"/>
                <w:szCs w:val="20"/>
              </w:rPr>
            </w:pPr>
            <w:r w:rsidRPr="00A55A3E">
              <w:rPr>
                <w:sz w:val="20"/>
                <w:szCs w:val="20"/>
              </w:rPr>
              <w:t>Quality of Life Index</w:t>
            </w:r>
          </w:p>
        </w:tc>
        <w:tc>
          <w:tcPr>
            <w:tcW w:w="1843" w:type="dxa"/>
          </w:tcPr>
          <w:p w14:paraId="407D2F64" w14:textId="77777777" w:rsidR="004279D8" w:rsidRPr="00A55A3E" w:rsidRDefault="004279D8" w:rsidP="000038F8">
            <w:pPr>
              <w:rPr>
                <w:sz w:val="20"/>
                <w:szCs w:val="20"/>
              </w:rPr>
            </w:pPr>
            <w:r w:rsidRPr="00A55A3E">
              <w:rPr>
                <w:sz w:val="20"/>
                <w:szCs w:val="20"/>
              </w:rPr>
              <w:t>Pre/post design</w:t>
            </w:r>
          </w:p>
        </w:tc>
        <w:tc>
          <w:tcPr>
            <w:tcW w:w="3114" w:type="dxa"/>
          </w:tcPr>
          <w:p w14:paraId="1D8FF888" w14:textId="77777777" w:rsidR="004279D8" w:rsidRPr="00A55A3E" w:rsidRDefault="004279D8" w:rsidP="000038F8">
            <w:pPr>
              <w:rPr>
                <w:rFonts w:cstheme="minorHAnsi"/>
                <w:sz w:val="20"/>
                <w:szCs w:val="20"/>
              </w:rPr>
            </w:pPr>
            <w:r w:rsidRPr="00A55A3E">
              <w:rPr>
                <w:rFonts w:cstheme="minorHAnsi"/>
                <w:color w:val="333333"/>
                <w:sz w:val="20"/>
                <w:szCs w:val="20"/>
                <w:shd w:val="clear" w:color="auto" w:fill="FFFFFF"/>
              </w:rPr>
              <w:t>Residents had improved life satisfaction living in the community.</w:t>
            </w:r>
          </w:p>
        </w:tc>
        <w:tc>
          <w:tcPr>
            <w:tcW w:w="4111" w:type="dxa"/>
            <w:shd w:val="clear" w:color="auto" w:fill="auto"/>
          </w:tcPr>
          <w:p w14:paraId="373E2DC8" w14:textId="31812960" w:rsidR="004279D8" w:rsidRPr="00A55A3E" w:rsidRDefault="004279D8" w:rsidP="000038F8">
            <w:pPr>
              <w:rPr>
                <w:sz w:val="20"/>
                <w:szCs w:val="20"/>
              </w:rPr>
            </w:pPr>
            <w:r>
              <w:rPr>
                <w:sz w:val="20"/>
                <w:szCs w:val="20"/>
              </w:rPr>
              <w:t>No comparison control group</w:t>
            </w:r>
          </w:p>
        </w:tc>
      </w:tr>
      <w:tr w:rsidR="004279D8" w:rsidRPr="00B069D1" w14:paraId="17EA6EA0" w14:textId="77777777" w:rsidTr="00F17C40">
        <w:trPr>
          <w:trHeight w:val="832"/>
        </w:trPr>
        <w:tc>
          <w:tcPr>
            <w:tcW w:w="1984" w:type="dxa"/>
          </w:tcPr>
          <w:p w14:paraId="3B4E6E73" w14:textId="47FCD0C6" w:rsidR="004279D8" w:rsidRPr="00A55A3E" w:rsidRDefault="004279D8" w:rsidP="000038F8">
            <w:pPr>
              <w:rPr>
                <w:sz w:val="20"/>
                <w:szCs w:val="20"/>
              </w:rPr>
            </w:pPr>
            <w:r w:rsidRPr="00A55A3E">
              <w:rPr>
                <w:sz w:val="20"/>
                <w:szCs w:val="20"/>
              </w:rPr>
              <w:t xml:space="preserve">Lee et al </w:t>
            </w:r>
            <w:r w:rsidR="00590481">
              <w:rPr>
                <w:sz w:val="20"/>
                <w:szCs w:val="20"/>
              </w:rPr>
              <w:t>(</w:t>
            </w:r>
            <w:r w:rsidRPr="00A55A3E">
              <w:rPr>
                <w:sz w:val="20"/>
                <w:szCs w:val="20"/>
              </w:rPr>
              <w:t>2015</w:t>
            </w:r>
            <w:r w:rsidR="00590481">
              <w:rPr>
                <w:sz w:val="20"/>
                <w:szCs w:val="20"/>
              </w:rPr>
              <w:t>)</w:t>
            </w:r>
          </w:p>
        </w:tc>
        <w:tc>
          <w:tcPr>
            <w:tcW w:w="2410" w:type="dxa"/>
          </w:tcPr>
          <w:p w14:paraId="73489D1B" w14:textId="77777777" w:rsidR="004279D8" w:rsidRPr="00A55A3E" w:rsidRDefault="004279D8" w:rsidP="000038F8">
            <w:pPr>
              <w:rPr>
                <w:sz w:val="20"/>
                <w:szCs w:val="20"/>
              </w:rPr>
            </w:pPr>
            <w:r w:rsidRPr="00A55A3E">
              <w:rPr>
                <w:sz w:val="20"/>
                <w:szCs w:val="20"/>
              </w:rPr>
              <w:t>WHOQOL-BREF</w:t>
            </w:r>
          </w:p>
        </w:tc>
        <w:tc>
          <w:tcPr>
            <w:tcW w:w="1843" w:type="dxa"/>
          </w:tcPr>
          <w:p w14:paraId="43C00C2B" w14:textId="77777777" w:rsidR="004279D8" w:rsidRPr="00A55A3E" w:rsidRDefault="004279D8" w:rsidP="000038F8">
            <w:pPr>
              <w:rPr>
                <w:sz w:val="20"/>
                <w:szCs w:val="20"/>
              </w:rPr>
            </w:pPr>
            <w:r w:rsidRPr="00A55A3E">
              <w:rPr>
                <w:sz w:val="20"/>
                <w:szCs w:val="20"/>
              </w:rPr>
              <w:t>Clinical trial comparing ACT intervention and TAU</w:t>
            </w:r>
          </w:p>
        </w:tc>
        <w:tc>
          <w:tcPr>
            <w:tcW w:w="3114" w:type="dxa"/>
          </w:tcPr>
          <w:p w14:paraId="399FB519" w14:textId="77777777" w:rsidR="004279D8" w:rsidRPr="00A55A3E" w:rsidRDefault="004279D8" w:rsidP="000038F8">
            <w:pPr>
              <w:rPr>
                <w:sz w:val="20"/>
                <w:szCs w:val="20"/>
              </w:rPr>
            </w:pPr>
            <w:r w:rsidRPr="00A55A3E">
              <w:rPr>
                <w:sz w:val="20"/>
                <w:szCs w:val="20"/>
              </w:rPr>
              <w:t>No significant differences on QoL between ACT and TAU</w:t>
            </w:r>
          </w:p>
        </w:tc>
        <w:tc>
          <w:tcPr>
            <w:tcW w:w="4111" w:type="dxa"/>
            <w:shd w:val="clear" w:color="auto" w:fill="auto"/>
          </w:tcPr>
          <w:p w14:paraId="3EF35401" w14:textId="30509E87" w:rsidR="004279D8" w:rsidRPr="00A55A3E" w:rsidRDefault="000648F7" w:rsidP="000038F8">
            <w:pPr>
              <w:rPr>
                <w:sz w:val="20"/>
                <w:szCs w:val="20"/>
              </w:rPr>
            </w:pPr>
            <w:r>
              <w:rPr>
                <w:sz w:val="20"/>
                <w:szCs w:val="20"/>
              </w:rPr>
              <w:t>Fidelity guidelines for study integrity not formally adopted limiting interpretations on study quality.</w:t>
            </w:r>
          </w:p>
        </w:tc>
      </w:tr>
      <w:tr w:rsidR="004279D8" w:rsidRPr="00B069D1" w14:paraId="31A5435B" w14:textId="77777777" w:rsidTr="00F17C40">
        <w:tc>
          <w:tcPr>
            <w:tcW w:w="1984" w:type="dxa"/>
          </w:tcPr>
          <w:p w14:paraId="58259D31" w14:textId="2661019C" w:rsidR="004279D8" w:rsidRPr="00A55A3E" w:rsidRDefault="004279D8" w:rsidP="000038F8">
            <w:pPr>
              <w:rPr>
                <w:sz w:val="20"/>
                <w:szCs w:val="20"/>
              </w:rPr>
            </w:pPr>
            <w:r w:rsidRPr="00A55A3E">
              <w:rPr>
                <w:sz w:val="20"/>
                <w:szCs w:val="20"/>
              </w:rPr>
              <w:t xml:space="preserve">Marlow &amp; Walker </w:t>
            </w:r>
            <w:r w:rsidR="00590481">
              <w:rPr>
                <w:sz w:val="20"/>
                <w:szCs w:val="20"/>
              </w:rPr>
              <w:t>(</w:t>
            </w:r>
            <w:r w:rsidRPr="00A55A3E">
              <w:rPr>
                <w:sz w:val="20"/>
                <w:szCs w:val="20"/>
              </w:rPr>
              <w:t>2015</w:t>
            </w:r>
            <w:r w:rsidR="00590481">
              <w:rPr>
                <w:sz w:val="20"/>
                <w:szCs w:val="20"/>
              </w:rPr>
              <w:t>)</w:t>
            </w:r>
          </w:p>
        </w:tc>
        <w:tc>
          <w:tcPr>
            <w:tcW w:w="2410" w:type="dxa"/>
          </w:tcPr>
          <w:p w14:paraId="0D88DEE2" w14:textId="77777777" w:rsidR="004279D8" w:rsidRPr="00A55A3E" w:rsidRDefault="004279D8" w:rsidP="000038F8">
            <w:pPr>
              <w:rPr>
                <w:sz w:val="20"/>
                <w:szCs w:val="20"/>
              </w:rPr>
            </w:pPr>
            <w:r w:rsidRPr="00A55A3E">
              <w:rPr>
                <w:sz w:val="20"/>
                <w:szCs w:val="20"/>
              </w:rPr>
              <w:t>Quality of Life-Life Experiences Checklist</w:t>
            </w:r>
          </w:p>
        </w:tc>
        <w:tc>
          <w:tcPr>
            <w:tcW w:w="1843" w:type="dxa"/>
          </w:tcPr>
          <w:p w14:paraId="56DB4417" w14:textId="5D33C313" w:rsidR="004279D8" w:rsidRPr="00A55A3E" w:rsidRDefault="004279D8" w:rsidP="000038F8">
            <w:pPr>
              <w:rPr>
                <w:sz w:val="20"/>
                <w:szCs w:val="20"/>
              </w:rPr>
            </w:pPr>
            <w:r w:rsidRPr="000139E6">
              <w:rPr>
                <w:sz w:val="20"/>
                <w:szCs w:val="20"/>
              </w:rPr>
              <w:t>Repeated measures design/baseline/1-month post move/6-month post-move</w:t>
            </w:r>
          </w:p>
        </w:tc>
        <w:tc>
          <w:tcPr>
            <w:tcW w:w="3114" w:type="dxa"/>
          </w:tcPr>
          <w:p w14:paraId="34D004D7" w14:textId="77777777" w:rsidR="004279D8" w:rsidRPr="00A55A3E" w:rsidRDefault="004279D8" w:rsidP="000038F8">
            <w:pPr>
              <w:rPr>
                <w:sz w:val="20"/>
                <w:szCs w:val="20"/>
              </w:rPr>
            </w:pPr>
            <w:r w:rsidRPr="00A55A3E">
              <w:rPr>
                <w:sz w:val="20"/>
                <w:szCs w:val="20"/>
              </w:rPr>
              <w:t>Improvement in mood and decrease in challenging behaviours.</w:t>
            </w:r>
          </w:p>
        </w:tc>
        <w:tc>
          <w:tcPr>
            <w:tcW w:w="4111" w:type="dxa"/>
            <w:shd w:val="clear" w:color="auto" w:fill="auto"/>
          </w:tcPr>
          <w:p w14:paraId="2B5687D2" w14:textId="48625F0C" w:rsidR="004279D8" w:rsidRPr="00A55A3E" w:rsidRDefault="004279D8" w:rsidP="000038F8">
            <w:pPr>
              <w:rPr>
                <w:sz w:val="20"/>
                <w:szCs w:val="20"/>
              </w:rPr>
            </w:pPr>
            <w:r>
              <w:rPr>
                <w:sz w:val="20"/>
                <w:szCs w:val="20"/>
              </w:rPr>
              <w:t>Very small sample size (N=6)</w:t>
            </w:r>
          </w:p>
        </w:tc>
      </w:tr>
      <w:tr w:rsidR="004279D8" w:rsidRPr="00B069D1" w14:paraId="504263B9" w14:textId="77777777" w:rsidTr="00F17C40">
        <w:tc>
          <w:tcPr>
            <w:tcW w:w="1984" w:type="dxa"/>
          </w:tcPr>
          <w:p w14:paraId="586CBE65" w14:textId="328D25BF" w:rsidR="004279D8" w:rsidRPr="00A55A3E" w:rsidRDefault="004279D8" w:rsidP="000038F8">
            <w:pPr>
              <w:rPr>
                <w:sz w:val="20"/>
                <w:szCs w:val="20"/>
              </w:rPr>
            </w:pPr>
            <w:r w:rsidRPr="00A55A3E">
              <w:rPr>
                <w:sz w:val="20"/>
                <w:szCs w:val="20"/>
              </w:rPr>
              <w:t>McConkey</w:t>
            </w:r>
            <w:r w:rsidR="00B17725">
              <w:rPr>
                <w:sz w:val="20"/>
                <w:szCs w:val="20"/>
              </w:rPr>
              <w:t xml:space="preserve"> et al </w:t>
            </w:r>
            <w:r w:rsidR="00590481">
              <w:rPr>
                <w:sz w:val="20"/>
                <w:szCs w:val="20"/>
              </w:rPr>
              <w:t>(</w:t>
            </w:r>
            <w:r w:rsidRPr="00A55A3E">
              <w:rPr>
                <w:sz w:val="20"/>
                <w:szCs w:val="20"/>
              </w:rPr>
              <w:t>2016</w:t>
            </w:r>
            <w:r w:rsidR="00590481">
              <w:rPr>
                <w:sz w:val="20"/>
                <w:szCs w:val="20"/>
              </w:rPr>
              <w:t>)</w:t>
            </w:r>
          </w:p>
        </w:tc>
        <w:tc>
          <w:tcPr>
            <w:tcW w:w="2410" w:type="dxa"/>
          </w:tcPr>
          <w:p w14:paraId="154C36B5" w14:textId="77777777" w:rsidR="004279D8" w:rsidRPr="00A55A3E" w:rsidRDefault="004279D8" w:rsidP="000038F8">
            <w:pPr>
              <w:rPr>
                <w:sz w:val="20"/>
                <w:szCs w:val="20"/>
              </w:rPr>
            </w:pPr>
            <w:r w:rsidRPr="00A55A3E">
              <w:rPr>
                <w:sz w:val="20"/>
                <w:szCs w:val="20"/>
              </w:rPr>
              <w:t>Pictogram - smiley faces - to rate satisfaction with change</w:t>
            </w:r>
          </w:p>
        </w:tc>
        <w:tc>
          <w:tcPr>
            <w:tcW w:w="1843" w:type="dxa"/>
          </w:tcPr>
          <w:p w14:paraId="27DB80BE" w14:textId="77777777" w:rsidR="004279D8" w:rsidRPr="00A55A3E" w:rsidRDefault="004279D8" w:rsidP="000038F8">
            <w:pPr>
              <w:rPr>
                <w:sz w:val="20"/>
                <w:szCs w:val="20"/>
              </w:rPr>
            </w:pPr>
            <w:r w:rsidRPr="00A55A3E">
              <w:rPr>
                <w:sz w:val="20"/>
                <w:szCs w:val="20"/>
              </w:rPr>
              <w:t>Pre/Post transition</w:t>
            </w:r>
          </w:p>
        </w:tc>
        <w:tc>
          <w:tcPr>
            <w:tcW w:w="3114" w:type="dxa"/>
          </w:tcPr>
          <w:p w14:paraId="2AE6BB56" w14:textId="77777777" w:rsidR="004279D8" w:rsidRPr="00A55A3E" w:rsidRDefault="004279D8" w:rsidP="000038F8">
            <w:pPr>
              <w:rPr>
                <w:sz w:val="20"/>
                <w:szCs w:val="20"/>
              </w:rPr>
            </w:pPr>
            <w:r w:rsidRPr="00A55A3E">
              <w:rPr>
                <w:sz w:val="20"/>
                <w:szCs w:val="20"/>
              </w:rPr>
              <w:t>90% of residents in personalized arrangements and 81% in group homes rated satisfaction with transition from institution</w:t>
            </w:r>
          </w:p>
        </w:tc>
        <w:tc>
          <w:tcPr>
            <w:tcW w:w="4111" w:type="dxa"/>
            <w:shd w:val="clear" w:color="auto" w:fill="auto"/>
          </w:tcPr>
          <w:p w14:paraId="70ADA290" w14:textId="1FDE7F01" w:rsidR="004279D8" w:rsidRPr="00A55A3E" w:rsidRDefault="000648F7" w:rsidP="000038F8">
            <w:pPr>
              <w:rPr>
                <w:sz w:val="20"/>
                <w:szCs w:val="20"/>
              </w:rPr>
            </w:pPr>
            <w:r>
              <w:rPr>
                <w:sz w:val="20"/>
                <w:szCs w:val="20"/>
              </w:rPr>
              <w:t>Small sample sizes per group, precluded more detailed analyses and control for potentially confounding variables such as support needs and age.</w:t>
            </w:r>
          </w:p>
        </w:tc>
      </w:tr>
      <w:tr w:rsidR="004279D8" w:rsidRPr="00B069D1" w14:paraId="73C40F79" w14:textId="77777777" w:rsidTr="00590481">
        <w:tc>
          <w:tcPr>
            <w:tcW w:w="1984" w:type="dxa"/>
          </w:tcPr>
          <w:p w14:paraId="66781621" w14:textId="2D7764E2" w:rsidR="004279D8" w:rsidRPr="00A55A3E" w:rsidRDefault="004279D8" w:rsidP="000038F8">
            <w:pPr>
              <w:rPr>
                <w:sz w:val="20"/>
                <w:szCs w:val="20"/>
              </w:rPr>
            </w:pPr>
            <w:r w:rsidRPr="00A55A3E">
              <w:rPr>
                <w:sz w:val="20"/>
                <w:szCs w:val="20"/>
              </w:rPr>
              <w:t xml:space="preserve">Meehan et al </w:t>
            </w:r>
            <w:r w:rsidR="00590481">
              <w:rPr>
                <w:sz w:val="20"/>
                <w:szCs w:val="20"/>
              </w:rPr>
              <w:t>(</w:t>
            </w:r>
            <w:r w:rsidRPr="00A55A3E">
              <w:rPr>
                <w:sz w:val="20"/>
                <w:szCs w:val="20"/>
              </w:rPr>
              <w:t>2011</w:t>
            </w:r>
            <w:r w:rsidR="00590481">
              <w:rPr>
                <w:sz w:val="20"/>
                <w:szCs w:val="20"/>
              </w:rPr>
              <w:t>)</w:t>
            </w:r>
          </w:p>
        </w:tc>
        <w:tc>
          <w:tcPr>
            <w:tcW w:w="2410" w:type="dxa"/>
          </w:tcPr>
          <w:p w14:paraId="1C5ACF89" w14:textId="77777777" w:rsidR="004279D8" w:rsidRPr="00A55A3E" w:rsidRDefault="004279D8" w:rsidP="000038F8">
            <w:pPr>
              <w:rPr>
                <w:sz w:val="20"/>
                <w:szCs w:val="20"/>
              </w:rPr>
            </w:pPr>
            <w:r w:rsidRPr="00A55A3E">
              <w:rPr>
                <w:sz w:val="20"/>
                <w:szCs w:val="20"/>
              </w:rPr>
              <w:t>QoL</w:t>
            </w:r>
          </w:p>
        </w:tc>
        <w:tc>
          <w:tcPr>
            <w:tcW w:w="1843" w:type="dxa"/>
          </w:tcPr>
          <w:p w14:paraId="62D86A0C" w14:textId="77777777" w:rsidR="004279D8" w:rsidRPr="00A55A3E" w:rsidRDefault="004279D8" w:rsidP="000038F8">
            <w:pPr>
              <w:rPr>
                <w:sz w:val="20"/>
                <w:szCs w:val="20"/>
              </w:rPr>
            </w:pPr>
            <w:r w:rsidRPr="00A55A3E">
              <w:rPr>
                <w:sz w:val="20"/>
                <w:szCs w:val="20"/>
              </w:rPr>
              <w:t>Pre/post transition</w:t>
            </w:r>
          </w:p>
        </w:tc>
        <w:tc>
          <w:tcPr>
            <w:tcW w:w="3114" w:type="dxa"/>
          </w:tcPr>
          <w:p w14:paraId="23693FCE" w14:textId="77777777" w:rsidR="004279D8" w:rsidRPr="00A55A3E" w:rsidRDefault="004279D8" w:rsidP="000038F8">
            <w:pPr>
              <w:rPr>
                <w:sz w:val="20"/>
                <w:szCs w:val="20"/>
              </w:rPr>
            </w:pPr>
            <w:r w:rsidRPr="00A55A3E">
              <w:rPr>
                <w:sz w:val="20"/>
                <w:szCs w:val="20"/>
              </w:rPr>
              <w:t>No significant changes with overall satisfaction however residents had high baseline ratings of satisfaction</w:t>
            </w:r>
          </w:p>
        </w:tc>
        <w:tc>
          <w:tcPr>
            <w:tcW w:w="4111" w:type="dxa"/>
          </w:tcPr>
          <w:p w14:paraId="17C17577" w14:textId="49807135" w:rsidR="004279D8" w:rsidRPr="00A55A3E" w:rsidRDefault="004279D8" w:rsidP="000038F8">
            <w:pPr>
              <w:rPr>
                <w:sz w:val="20"/>
                <w:szCs w:val="20"/>
              </w:rPr>
            </w:pPr>
            <w:r>
              <w:rPr>
                <w:sz w:val="20"/>
                <w:szCs w:val="20"/>
              </w:rPr>
              <w:t>No comparison control group</w:t>
            </w:r>
          </w:p>
        </w:tc>
      </w:tr>
      <w:tr w:rsidR="004279D8" w:rsidRPr="00B069D1" w14:paraId="3E7875D8" w14:textId="77777777" w:rsidTr="00590481">
        <w:tc>
          <w:tcPr>
            <w:tcW w:w="1984" w:type="dxa"/>
          </w:tcPr>
          <w:p w14:paraId="6823A6A4" w14:textId="5BB7474F" w:rsidR="004279D8" w:rsidRPr="00A55A3E" w:rsidRDefault="004279D8" w:rsidP="000038F8">
            <w:pPr>
              <w:rPr>
                <w:sz w:val="20"/>
                <w:szCs w:val="20"/>
              </w:rPr>
            </w:pPr>
            <w:r w:rsidRPr="00A55A3E">
              <w:rPr>
                <w:sz w:val="20"/>
                <w:szCs w:val="20"/>
              </w:rPr>
              <w:lastRenderedPageBreak/>
              <w:t xml:space="preserve">Padmakar et al </w:t>
            </w:r>
            <w:r w:rsidR="00590481">
              <w:rPr>
                <w:sz w:val="20"/>
                <w:szCs w:val="20"/>
              </w:rPr>
              <w:t>(</w:t>
            </w:r>
            <w:r w:rsidRPr="00A55A3E">
              <w:rPr>
                <w:sz w:val="20"/>
                <w:szCs w:val="20"/>
              </w:rPr>
              <w:t>2020</w:t>
            </w:r>
            <w:r w:rsidR="00590481">
              <w:rPr>
                <w:sz w:val="20"/>
                <w:szCs w:val="20"/>
              </w:rPr>
              <w:t>)</w:t>
            </w:r>
          </w:p>
        </w:tc>
        <w:tc>
          <w:tcPr>
            <w:tcW w:w="2410" w:type="dxa"/>
          </w:tcPr>
          <w:p w14:paraId="790F3FC4" w14:textId="77777777" w:rsidR="004279D8" w:rsidRPr="00A55A3E" w:rsidRDefault="004279D8" w:rsidP="000038F8">
            <w:pPr>
              <w:rPr>
                <w:sz w:val="20"/>
                <w:szCs w:val="20"/>
              </w:rPr>
            </w:pPr>
            <w:r w:rsidRPr="00A55A3E">
              <w:rPr>
                <w:sz w:val="20"/>
                <w:szCs w:val="20"/>
              </w:rPr>
              <w:t>WHO Quality of Life</w:t>
            </w:r>
          </w:p>
        </w:tc>
        <w:tc>
          <w:tcPr>
            <w:tcW w:w="1843" w:type="dxa"/>
          </w:tcPr>
          <w:p w14:paraId="590E4D92" w14:textId="77777777" w:rsidR="004279D8" w:rsidRPr="00A55A3E" w:rsidRDefault="004279D8" w:rsidP="000038F8">
            <w:pPr>
              <w:rPr>
                <w:sz w:val="20"/>
                <w:szCs w:val="20"/>
              </w:rPr>
            </w:pPr>
            <w:r w:rsidRPr="00A55A3E">
              <w:rPr>
                <w:sz w:val="20"/>
                <w:szCs w:val="20"/>
              </w:rPr>
              <w:t>One group repeated measures design</w:t>
            </w:r>
          </w:p>
        </w:tc>
        <w:tc>
          <w:tcPr>
            <w:tcW w:w="3114" w:type="dxa"/>
          </w:tcPr>
          <w:p w14:paraId="14C2AE30" w14:textId="77777777" w:rsidR="004279D8" w:rsidRPr="00A55A3E" w:rsidRDefault="004279D8" w:rsidP="000038F8">
            <w:pPr>
              <w:rPr>
                <w:sz w:val="20"/>
                <w:szCs w:val="20"/>
              </w:rPr>
            </w:pPr>
            <w:r w:rsidRPr="00A55A3E">
              <w:rPr>
                <w:sz w:val="20"/>
                <w:szCs w:val="20"/>
              </w:rPr>
              <w:t>WHOQOL scale show an initially steep incline and then a gradual stabilization of quality of life across four dimensions, including Physical Health, Psychological, Social Relations and Environment</w:t>
            </w:r>
          </w:p>
        </w:tc>
        <w:tc>
          <w:tcPr>
            <w:tcW w:w="4111" w:type="dxa"/>
          </w:tcPr>
          <w:p w14:paraId="0BA11A3E" w14:textId="78C1A8C9" w:rsidR="004279D8" w:rsidRPr="00A55A3E" w:rsidRDefault="004279D8" w:rsidP="000038F8">
            <w:pPr>
              <w:rPr>
                <w:sz w:val="20"/>
                <w:szCs w:val="20"/>
              </w:rPr>
            </w:pPr>
            <w:r>
              <w:rPr>
                <w:sz w:val="20"/>
                <w:szCs w:val="20"/>
              </w:rPr>
              <w:t>No comparison control group</w:t>
            </w:r>
          </w:p>
        </w:tc>
      </w:tr>
      <w:tr w:rsidR="004279D8" w:rsidRPr="00B069D1" w14:paraId="7E8E1C87" w14:textId="77777777" w:rsidTr="006E6DA3">
        <w:tc>
          <w:tcPr>
            <w:tcW w:w="1984" w:type="dxa"/>
          </w:tcPr>
          <w:p w14:paraId="7688C058" w14:textId="54008222" w:rsidR="004279D8" w:rsidRPr="00A55A3E" w:rsidRDefault="004279D8" w:rsidP="000038F8">
            <w:pPr>
              <w:rPr>
                <w:sz w:val="20"/>
                <w:szCs w:val="20"/>
              </w:rPr>
            </w:pPr>
            <w:r w:rsidRPr="00A55A3E">
              <w:rPr>
                <w:sz w:val="20"/>
                <w:szCs w:val="20"/>
              </w:rPr>
              <w:t xml:space="preserve">Sheth et al </w:t>
            </w:r>
            <w:r w:rsidR="00590481">
              <w:rPr>
                <w:sz w:val="20"/>
                <w:szCs w:val="20"/>
              </w:rPr>
              <w:t>(</w:t>
            </w:r>
            <w:r w:rsidRPr="00A55A3E">
              <w:rPr>
                <w:sz w:val="20"/>
                <w:szCs w:val="20"/>
              </w:rPr>
              <w:t>2019</w:t>
            </w:r>
            <w:r w:rsidR="00590481">
              <w:rPr>
                <w:sz w:val="20"/>
                <w:szCs w:val="20"/>
              </w:rPr>
              <w:t>)</w:t>
            </w:r>
          </w:p>
        </w:tc>
        <w:tc>
          <w:tcPr>
            <w:tcW w:w="2410" w:type="dxa"/>
          </w:tcPr>
          <w:p w14:paraId="1AB95DA2" w14:textId="77777777" w:rsidR="004279D8" w:rsidRPr="00A55A3E" w:rsidRDefault="004279D8" w:rsidP="000038F8">
            <w:pPr>
              <w:rPr>
                <w:sz w:val="20"/>
                <w:szCs w:val="20"/>
              </w:rPr>
            </w:pPr>
            <w:r w:rsidRPr="00A55A3E">
              <w:rPr>
                <w:sz w:val="20"/>
                <w:szCs w:val="20"/>
              </w:rPr>
              <w:t>Quality of Life survey on domains of: a) living situation, b) choice and control, c) respect and dignity, d) access to personal care e) community integration/inclusion</w:t>
            </w:r>
          </w:p>
          <w:p w14:paraId="5449C786" w14:textId="77777777" w:rsidR="004279D8" w:rsidRPr="00A55A3E" w:rsidRDefault="004279D8" w:rsidP="000038F8">
            <w:pPr>
              <w:rPr>
                <w:sz w:val="20"/>
                <w:szCs w:val="20"/>
              </w:rPr>
            </w:pPr>
          </w:p>
          <w:p w14:paraId="2D7837F2" w14:textId="57BCC1AC" w:rsidR="004279D8" w:rsidRPr="00A55A3E" w:rsidRDefault="004279D8" w:rsidP="000038F8">
            <w:pPr>
              <w:rPr>
                <w:sz w:val="20"/>
                <w:szCs w:val="20"/>
              </w:rPr>
            </w:pPr>
            <w:r w:rsidRPr="00A55A3E">
              <w:rPr>
                <w:sz w:val="20"/>
                <w:szCs w:val="20"/>
              </w:rPr>
              <w:t xml:space="preserve">Survey questions taken from a validated measure </w:t>
            </w:r>
          </w:p>
        </w:tc>
        <w:tc>
          <w:tcPr>
            <w:tcW w:w="1843" w:type="dxa"/>
          </w:tcPr>
          <w:p w14:paraId="780717B3" w14:textId="77777777" w:rsidR="004279D8" w:rsidRPr="00A55A3E" w:rsidRDefault="004279D8" w:rsidP="000038F8">
            <w:pPr>
              <w:rPr>
                <w:sz w:val="20"/>
                <w:szCs w:val="20"/>
              </w:rPr>
            </w:pPr>
            <w:r w:rsidRPr="00A55A3E">
              <w:rPr>
                <w:sz w:val="20"/>
                <w:szCs w:val="20"/>
              </w:rPr>
              <w:t>Validation of questionnaire following transition to a decongregated setting.</w:t>
            </w:r>
          </w:p>
        </w:tc>
        <w:tc>
          <w:tcPr>
            <w:tcW w:w="3114" w:type="dxa"/>
          </w:tcPr>
          <w:p w14:paraId="43253799" w14:textId="77777777" w:rsidR="004279D8" w:rsidRPr="00A55A3E" w:rsidRDefault="004279D8" w:rsidP="000038F8">
            <w:pPr>
              <w:rPr>
                <w:sz w:val="20"/>
                <w:szCs w:val="20"/>
              </w:rPr>
            </w:pPr>
            <w:r w:rsidRPr="00A55A3E">
              <w:rPr>
                <w:sz w:val="20"/>
                <w:szCs w:val="20"/>
              </w:rPr>
              <w:t>Overall higher ratings across domains but residents continued to face challenges with social inclusion.</w:t>
            </w:r>
          </w:p>
        </w:tc>
        <w:tc>
          <w:tcPr>
            <w:tcW w:w="4111" w:type="dxa"/>
            <w:shd w:val="clear" w:color="auto" w:fill="auto"/>
          </w:tcPr>
          <w:p w14:paraId="05D2AEF2" w14:textId="5656D87A" w:rsidR="004279D8" w:rsidRPr="00A55A3E" w:rsidRDefault="000648F7" w:rsidP="000038F8">
            <w:pPr>
              <w:rPr>
                <w:sz w:val="20"/>
                <w:szCs w:val="20"/>
              </w:rPr>
            </w:pPr>
            <w:r>
              <w:rPr>
                <w:sz w:val="20"/>
                <w:szCs w:val="20"/>
              </w:rPr>
              <w:t>Small sample size in comparison to other studies examin</w:t>
            </w:r>
            <w:r w:rsidR="00D3719D">
              <w:rPr>
                <w:sz w:val="20"/>
                <w:szCs w:val="20"/>
              </w:rPr>
              <w:t>in</w:t>
            </w:r>
            <w:r>
              <w:rPr>
                <w:sz w:val="20"/>
                <w:szCs w:val="20"/>
              </w:rPr>
              <w:t>g transition outcomes limits generalisation of results.</w:t>
            </w:r>
          </w:p>
        </w:tc>
      </w:tr>
      <w:tr w:rsidR="004279D8" w:rsidRPr="00B069D1" w14:paraId="7300585E" w14:textId="77777777" w:rsidTr="00590481">
        <w:tc>
          <w:tcPr>
            <w:tcW w:w="1984" w:type="dxa"/>
          </w:tcPr>
          <w:p w14:paraId="10B1F312" w14:textId="15E94B59" w:rsidR="004279D8" w:rsidRPr="00A55A3E" w:rsidRDefault="004279D8" w:rsidP="000038F8">
            <w:pPr>
              <w:rPr>
                <w:sz w:val="20"/>
                <w:szCs w:val="20"/>
              </w:rPr>
            </w:pPr>
            <w:r w:rsidRPr="00A55A3E">
              <w:rPr>
                <w:sz w:val="20"/>
                <w:szCs w:val="20"/>
              </w:rPr>
              <w:t xml:space="preserve">Sines </w:t>
            </w:r>
            <w:r>
              <w:rPr>
                <w:sz w:val="20"/>
                <w:szCs w:val="20"/>
              </w:rPr>
              <w:t xml:space="preserve">et al </w:t>
            </w:r>
            <w:r w:rsidR="00590481">
              <w:rPr>
                <w:sz w:val="20"/>
                <w:szCs w:val="20"/>
              </w:rPr>
              <w:t>(</w:t>
            </w:r>
            <w:r w:rsidRPr="00A55A3E">
              <w:rPr>
                <w:sz w:val="20"/>
                <w:szCs w:val="20"/>
              </w:rPr>
              <w:t>2012</w:t>
            </w:r>
            <w:r w:rsidR="00590481">
              <w:rPr>
                <w:sz w:val="20"/>
                <w:szCs w:val="20"/>
              </w:rPr>
              <w:t>)</w:t>
            </w:r>
          </w:p>
        </w:tc>
        <w:tc>
          <w:tcPr>
            <w:tcW w:w="2410" w:type="dxa"/>
          </w:tcPr>
          <w:p w14:paraId="0013B936" w14:textId="77777777" w:rsidR="004279D8" w:rsidRPr="00A55A3E" w:rsidRDefault="004279D8" w:rsidP="000038F8">
            <w:pPr>
              <w:rPr>
                <w:sz w:val="20"/>
                <w:szCs w:val="20"/>
              </w:rPr>
            </w:pPr>
            <w:r w:rsidRPr="00A55A3E">
              <w:rPr>
                <w:sz w:val="20"/>
                <w:szCs w:val="20"/>
              </w:rPr>
              <w:t>Study specific instrument on quality of life</w:t>
            </w:r>
          </w:p>
        </w:tc>
        <w:tc>
          <w:tcPr>
            <w:tcW w:w="1843" w:type="dxa"/>
          </w:tcPr>
          <w:p w14:paraId="0FB4ECD7" w14:textId="77777777" w:rsidR="004279D8" w:rsidRPr="00A55A3E" w:rsidRDefault="004279D8" w:rsidP="000038F8">
            <w:pPr>
              <w:rPr>
                <w:sz w:val="20"/>
                <w:szCs w:val="20"/>
              </w:rPr>
            </w:pPr>
            <w:r w:rsidRPr="00A55A3E">
              <w:rPr>
                <w:sz w:val="20"/>
                <w:szCs w:val="20"/>
              </w:rPr>
              <w:t>Longitudinal design three time points</w:t>
            </w:r>
          </w:p>
        </w:tc>
        <w:tc>
          <w:tcPr>
            <w:tcW w:w="3114" w:type="dxa"/>
          </w:tcPr>
          <w:p w14:paraId="2AEEABA1" w14:textId="77777777" w:rsidR="004279D8" w:rsidRPr="00A55A3E" w:rsidRDefault="004279D8" w:rsidP="000038F8">
            <w:pPr>
              <w:rPr>
                <w:sz w:val="20"/>
                <w:szCs w:val="20"/>
              </w:rPr>
            </w:pPr>
            <w:r w:rsidRPr="00A55A3E">
              <w:rPr>
                <w:sz w:val="20"/>
                <w:szCs w:val="20"/>
              </w:rPr>
              <w:t>Overall QoL significantly improved at 6 months and was maintained at 12 month</w:t>
            </w:r>
          </w:p>
        </w:tc>
        <w:tc>
          <w:tcPr>
            <w:tcW w:w="4111" w:type="dxa"/>
          </w:tcPr>
          <w:p w14:paraId="213B177A" w14:textId="38B15BB2" w:rsidR="004279D8" w:rsidRPr="00A55A3E" w:rsidRDefault="004279D8" w:rsidP="000038F8">
            <w:pPr>
              <w:rPr>
                <w:sz w:val="20"/>
                <w:szCs w:val="20"/>
              </w:rPr>
            </w:pPr>
            <w:r>
              <w:rPr>
                <w:sz w:val="20"/>
                <w:szCs w:val="20"/>
              </w:rPr>
              <w:t>No comparison control group</w:t>
            </w:r>
          </w:p>
        </w:tc>
      </w:tr>
      <w:tr w:rsidR="004279D8" w:rsidRPr="00B069D1" w14:paraId="1CC9C16E" w14:textId="77777777" w:rsidTr="00590481">
        <w:tc>
          <w:tcPr>
            <w:tcW w:w="1984" w:type="dxa"/>
          </w:tcPr>
          <w:p w14:paraId="2B27FED3" w14:textId="35E3E5FC" w:rsidR="004279D8" w:rsidRPr="00A55A3E" w:rsidRDefault="004279D8" w:rsidP="000038F8">
            <w:pPr>
              <w:rPr>
                <w:sz w:val="20"/>
                <w:szCs w:val="20"/>
                <w:highlight w:val="yellow"/>
              </w:rPr>
            </w:pPr>
            <w:r w:rsidRPr="00A55A3E">
              <w:rPr>
                <w:sz w:val="20"/>
                <w:szCs w:val="20"/>
              </w:rPr>
              <w:t xml:space="preserve">Stancliffe &amp; Keane </w:t>
            </w:r>
            <w:r w:rsidR="00590481">
              <w:rPr>
                <w:sz w:val="20"/>
                <w:szCs w:val="20"/>
              </w:rPr>
              <w:t>(</w:t>
            </w:r>
            <w:r w:rsidRPr="00A55A3E">
              <w:rPr>
                <w:sz w:val="20"/>
                <w:szCs w:val="20"/>
              </w:rPr>
              <w:t>2000</w:t>
            </w:r>
            <w:r w:rsidR="00590481">
              <w:rPr>
                <w:sz w:val="20"/>
                <w:szCs w:val="20"/>
              </w:rPr>
              <w:t>)</w:t>
            </w:r>
          </w:p>
        </w:tc>
        <w:tc>
          <w:tcPr>
            <w:tcW w:w="2410" w:type="dxa"/>
          </w:tcPr>
          <w:p w14:paraId="7F8233C0" w14:textId="7F5ED85E" w:rsidR="004279D8" w:rsidRPr="00A55A3E" w:rsidRDefault="004279D8" w:rsidP="000038F8">
            <w:pPr>
              <w:rPr>
                <w:sz w:val="20"/>
                <w:szCs w:val="20"/>
              </w:rPr>
            </w:pPr>
            <w:r w:rsidRPr="00A55A3E">
              <w:rPr>
                <w:sz w:val="20"/>
                <w:szCs w:val="20"/>
              </w:rPr>
              <w:t xml:space="preserve">Quality of Life Questionnaire </w:t>
            </w:r>
          </w:p>
        </w:tc>
        <w:tc>
          <w:tcPr>
            <w:tcW w:w="1843" w:type="dxa"/>
          </w:tcPr>
          <w:p w14:paraId="410856FE" w14:textId="77777777" w:rsidR="004279D8" w:rsidRPr="00A55A3E" w:rsidRDefault="004279D8" w:rsidP="000038F8">
            <w:pPr>
              <w:rPr>
                <w:sz w:val="20"/>
                <w:szCs w:val="20"/>
              </w:rPr>
            </w:pPr>
            <w:r w:rsidRPr="00A55A3E">
              <w:rPr>
                <w:sz w:val="20"/>
                <w:szCs w:val="20"/>
              </w:rPr>
              <w:t>Cross sectional study</w:t>
            </w:r>
          </w:p>
        </w:tc>
        <w:tc>
          <w:tcPr>
            <w:tcW w:w="3114" w:type="dxa"/>
          </w:tcPr>
          <w:p w14:paraId="77FE2D0E" w14:textId="77777777" w:rsidR="004279D8" w:rsidRPr="00A55A3E" w:rsidRDefault="004279D8" w:rsidP="000038F8">
            <w:pPr>
              <w:rPr>
                <w:sz w:val="20"/>
                <w:szCs w:val="20"/>
              </w:rPr>
            </w:pPr>
            <w:r w:rsidRPr="00A55A3E">
              <w:rPr>
                <w:sz w:val="20"/>
                <w:szCs w:val="20"/>
              </w:rPr>
              <w:t>Improved QoL</w:t>
            </w:r>
          </w:p>
        </w:tc>
        <w:tc>
          <w:tcPr>
            <w:tcW w:w="4111" w:type="dxa"/>
          </w:tcPr>
          <w:p w14:paraId="6D1369AB" w14:textId="4D63469D" w:rsidR="004279D8" w:rsidRPr="00A55A3E" w:rsidRDefault="004279D8" w:rsidP="000038F8">
            <w:pPr>
              <w:rPr>
                <w:sz w:val="20"/>
                <w:szCs w:val="20"/>
              </w:rPr>
            </w:pPr>
            <w:r>
              <w:rPr>
                <w:sz w:val="20"/>
                <w:szCs w:val="20"/>
              </w:rPr>
              <w:t>Cross sectional design limits inferences on maintaining outcomes</w:t>
            </w:r>
          </w:p>
        </w:tc>
      </w:tr>
      <w:tr w:rsidR="004279D8" w:rsidRPr="00B069D1" w14:paraId="395C2B58" w14:textId="77777777" w:rsidTr="00590481">
        <w:tc>
          <w:tcPr>
            <w:tcW w:w="1984" w:type="dxa"/>
          </w:tcPr>
          <w:p w14:paraId="58911F99" w14:textId="6A34247D" w:rsidR="004279D8" w:rsidRPr="00A55A3E" w:rsidRDefault="004279D8" w:rsidP="000038F8">
            <w:pPr>
              <w:rPr>
                <w:sz w:val="20"/>
                <w:szCs w:val="20"/>
              </w:rPr>
            </w:pPr>
            <w:r w:rsidRPr="00A55A3E">
              <w:rPr>
                <w:sz w:val="20"/>
                <w:szCs w:val="20"/>
              </w:rPr>
              <w:t xml:space="preserve">Styron et al </w:t>
            </w:r>
            <w:r w:rsidR="00590481">
              <w:rPr>
                <w:sz w:val="20"/>
                <w:szCs w:val="20"/>
              </w:rPr>
              <w:t>(</w:t>
            </w:r>
            <w:r w:rsidRPr="00A55A3E">
              <w:rPr>
                <w:sz w:val="20"/>
                <w:szCs w:val="20"/>
              </w:rPr>
              <w:t>2006</w:t>
            </w:r>
            <w:r w:rsidR="00590481">
              <w:rPr>
                <w:sz w:val="20"/>
                <w:szCs w:val="20"/>
              </w:rPr>
              <w:t>)</w:t>
            </w:r>
          </w:p>
        </w:tc>
        <w:tc>
          <w:tcPr>
            <w:tcW w:w="2410" w:type="dxa"/>
          </w:tcPr>
          <w:p w14:paraId="15F3747B" w14:textId="749F9C22" w:rsidR="004279D8" w:rsidRPr="00A55A3E" w:rsidRDefault="004279D8" w:rsidP="000038F8">
            <w:pPr>
              <w:rPr>
                <w:sz w:val="20"/>
                <w:szCs w:val="20"/>
              </w:rPr>
            </w:pPr>
            <w:r w:rsidRPr="00A55A3E">
              <w:rPr>
                <w:sz w:val="20"/>
                <w:szCs w:val="20"/>
              </w:rPr>
              <w:t>Client Experiences Questionnaire (CEQ; includes items on QoL</w:t>
            </w:r>
          </w:p>
        </w:tc>
        <w:tc>
          <w:tcPr>
            <w:tcW w:w="1843" w:type="dxa"/>
          </w:tcPr>
          <w:p w14:paraId="37C84F60" w14:textId="77777777" w:rsidR="004279D8" w:rsidRPr="00A55A3E" w:rsidRDefault="004279D8" w:rsidP="000038F8">
            <w:pPr>
              <w:rPr>
                <w:sz w:val="20"/>
                <w:szCs w:val="20"/>
              </w:rPr>
            </w:pPr>
            <w:r w:rsidRPr="00A55A3E">
              <w:rPr>
                <w:sz w:val="20"/>
                <w:szCs w:val="20"/>
              </w:rPr>
              <w:t>Pre/post intervention single group design</w:t>
            </w:r>
          </w:p>
        </w:tc>
        <w:tc>
          <w:tcPr>
            <w:tcW w:w="3114" w:type="dxa"/>
          </w:tcPr>
          <w:p w14:paraId="1A99F4A9" w14:textId="77777777" w:rsidR="004279D8" w:rsidRPr="00A55A3E" w:rsidRDefault="004279D8" w:rsidP="000038F8">
            <w:pPr>
              <w:rPr>
                <w:sz w:val="20"/>
                <w:szCs w:val="20"/>
              </w:rPr>
            </w:pPr>
            <w:r w:rsidRPr="00A55A3E">
              <w:rPr>
                <w:sz w:val="20"/>
                <w:szCs w:val="20"/>
              </w:rPr>
              <w:t>Improved QoL</w:t>
            </w:r>
          </w:p>
        </w:tc>
        <w:tc>
          <w:tcPr>
            <w:tcW w:w="4111" w:type="dxa"/>
          </w:tcPr>
          <w:p w14:paraId="1F4BC89E" w14:textId="1B0353C8" w:rsidR="004279D8" w:rsidRPr="00A55A3E" w:rsidRDefault="004279D8" w:rsidP="000038F8">
            <w:pPr>
              <w:rPr>
                <w:sz w:val="20"/>
                <w:szCs w:val="20"/>
              </w:rPr>
            </w:pPr>
            <w:r>
              <w:rPr>
                <w:sz w:val="20"/>
                <w:szCs w:val="20"/>
              </w:rPr>
              <w:t>No comparison control group</w:t>
            </w:r>
          </w:p>
        </w:tc>
      </w:tr>
      <w:tr w:rsidR="004279D8" w:rsidRPr="00B069D1" w14:paraId="01C31816" w14:textId="77777777" w:rsidTr="00590481">
        <w:tc>
          <w:tcPr>
            <w:tcW w:w="1984" w:type="dxa"/>
          </w:tcPr>
          <w:p w14:paraId="774B2A73" w14:textId="671D17CA" w:rsidR="004279D8" w:rsidRPr="00A55A3E" w:rsidRDefault="004279D8" w:rsidP="000038F8">
            <w:pPr>
              <w:rPr>
                <w:sz w:val="20"/>
                <w:szCs w:val="20"/>
              </w:rPr>
            </w:pPr>
            <w:r w:rsidRPr="00A55A3E">
              <w:rPr>
                <w:sz w:val="20"/>
                <w:szCs w:val="20"/>
              </w:rPr>
              <w:t xml:space="preserve">Umansky et al </w:t>
            </w:r>
            <w:r w:rsidR="00590481">
              <w:rPr>
                <w:sz w:val="20"/>
                <w:szCs w:val="20"/>
              </w:rPr>
              <w:t>(</w:t>
            </w:r>
            <w:r w:rsidRPr="00A55A3E">
              <w:rPr>
                <w:sz w:val="20"/>
                <w:szCs w:val="20"/>
              </w:rPr>
              <w:t>2003</w:t>
            </w:r>
            <w:r w:rsidR="00590481">
              <w:rPr>
                <w:sz w:val="20"/>
                <w:szCs w:val="20"/>
              </w:rPr>
              <w:t>)</w:t>
            </w:r>
          </w:p>
        </w:tc>
        <w:tc>
          <w:tcPr>
            <w:tcW w:w="2410" w:type="dxa"/>
          </w:tcPr>
          <w:p w14:paraId="710CAB4F" w14:textId="77777777" w:rsidR="004279D8" w:rsidRPr="00A55A3E" w:rsidRDefault="004279D8" w:rsidP="000038F8">
            <w:pPr>
              <w:rPr>
                <w:sz w:val="20"/>
                <w:szCs w:val="20"/>
              </w:rPr>
            </w:pPr>
            <w:r w:rsidRPr="00A55A3E">
              <w:rPr>
                <w:sz w:val="20"/>
                <w:szCs w:val="20"/>
              </w:rPr>
              <w:t>WHO Quality of Life (WHOQOL-BREF)</w:t>
            </w:r>
          </w:p>
        </w:tc>
        <w:tc>
          <w:tcPr>
            <w:tcW w:w="1843" w:type="dxa"/>
          </w:tcPr>
          <w:p w14:paraId="0E14E559" w14:textId="77777777" w:rsidR="004279D8" w:rsidRPr="00A55A3E" w:rsidRDefault="004279D8" w:rsidP="000038F8">
            <w:pPr>
              <w:rPr>
                <w:sz w:val="20"/>
                <w:szCs w:val="20"/>
              </w:rPr>
            </w:pPr>
            <w:r w:rsidRPr="00A55A3E">
              <w:rPr>
                <w:sz w:val="20"/>
                <w:szCs w:val="20"/>
              </w:rPr>
              <w:t>Two group repeated measures design</w:t>
            </w:r>
          </w:p>
        </w:tc>
        <w:tc>
          <w:tcPr>
            <w:tcW w:w="3114" w:type="dxa"/>
          </w:tcPr>
          <w:p w14:paraId="52AF2D52" w14:textId="77777777" w:rsidR="004279D8" w:rsidRPr="00A55A3E" w:rsidRDefault="004279D8" w:rsidP="000038F8">
            <w:pPr>
              <w:rPr>
                <w:sz w:val="20"/>
                <w:szCs w:val="20"/>
              </w:rPr>
            </w:pPr>
            <w:r w:rsidRPr="00A55A3E">
              <w:rPr>
                <w:sz w:val="20"/>
                <w:szCs w:val="20"/>
              </w:rPr>
              <w:t>Improvements on all scales of the WHOQOL-BREF</w:t>
            </w:r>
          </w:p>
        </w:tc>
        <w:tc>
          <w:tcPr>
            <w:tcW w:w="4111" w:type="dxa"/>
          </w:tcPr>
          <w:p w14:paraId="256A8027" w14:textId="69B1DCA5" w:rsidR="004279D8" w:rsidRPr="00A55A3E" w:rsidRDefault="004279D8" w:rsidP="000038F8">
            <w:pPr>
              <w:rPr>
                <w:sz w:val="20"/>
                <w:szCs w:val="20"/>
              </w:rPr>
            </w:pPr>
            <w:r>
              <w:rPr>
                <w:sz w:val="20"/>
                <w:szCs w:val="20"/>
              </w:rPr>
              <w:t>No comparison control group</w:t>
            </w:r>
          </w:p>
        </w:tc>
      </w:tr>
      <w:tr w:rsidR="004279D8" w:rsidRPr="00B069D1" w14:paraId="0CE237A7" w14:textId="77777777" w:rsidTr="00590481">
        <w:tc>
          <w:tcPr>
            <w:tcW w:w="1984" w:type="dxa"/>
          </w:tcPr>
          <w:p w14:paraId="6128AB79" w14:textId="79CB5E85" w:rsidR="004279D8" w:rsidRPr="00A55A3E" w:rsidRDefault="004279D8" w:rsidP="007B4251">
            <w:pPr>
              <w:keepNext/>
              <w:rPr>
                <w:sz w:val="20"/>
                <w:szCs w:val="20"/>
              </w:rPr>
            </w:pPr>
            <w:r w:rsidRPr="00A55A3E">
              <w:rPr>
                <w:sz w:val="20"/>
                <w:szCs w:val="20"/>
              </w:rPr>
              <w:lastRenderedPageBreak/>
              <w:t xml:space="preserve">McCarron et al (2018) </w:t>
            </w:r>
          </w:p>
        </w:tc>
        <w:tc>
          <w:tcPr>
            <w:tcW w:w="2410" w:type="dxa"/>
          </w:tcPr>
          <w:p w14:paraId="53782FAA" w14:textId="77777777" w:rsidR="004279D8" w:rsidRPr="00A55A3E" w:rsidRDefault="004279D8" w:rsidP="007B4251">
            <w:pPr>
              <w:keepNext/>
              <w:rPr>
                <w:sz w:val="20"/>
                <w:szCs w:val="20"/>
              </w:rPr>
            </w:pPr>
            <w:r w:rsidRPr="00A55A3E">
              <w:rPr>
                <w:sz w:val="20"/>
                <w:szCs w:val="20"/>
              </w:rPr>
              <w:t>Life circumstances Questionnaire (LCG)</w:t>
            </w:r>
          </w:p>
          <w:p w14:paraId="44C96134" w14:textId="77777777" w:rsidR="004279D8" w:rsidRPr="00A55A3E" w:rsidRDefault="004279D8" w:rsidP="007B4251">
            <w:pPr>
              <w:keepNext/>
              <w:rPr>
                <w:sz w:val="20"/>
                <w:szCs w:val="20"/>
              </w:rPr>
            </w:pPr>
            <w:r w:rsidRPr="00A55A3E">
              <w:rPr>
                <w:sz w:val="20"/>
                <w:szCs w:val="20"/>
              </w:rPr>
              <w:t>Life Experiences Checklist (LEC)</w:t>
            </w:r>
          </w:p>
          <w:p w14:paraId="616E0877" w14:textId="400B093D" w:rsidR="004279D8" w:rsidRPr="00A55A3E" w:rsidRDefault="004279D8" w:rsidP="007B4251">
            <w:pPr>
              <w:keepNext/>
              <w:rPr>
                <w:sz w:val="20"/>
                <w:szCs w:val="20"/>
              </w:rPr>
            </w:pPr>
            <w:r w:rsidRPr="00A55A3E">
              <w:rPr>
                <w:sz w:val="20"/>
                <w:szCs w:val="20"/>
              </w:rPr>
              <w:t xml:space="preserve">Quality of life questionnaire (Q.QoL) </w:t>
            </w:r>
          </w:p>
        </w:tc>
        <w:tc>
          <w:tcPr>
            <w:tcW w:w="1843" w:type="dxa"/>
          </w:tcPr>
          <w:p w14:paraId="1C559B82" w14:textId="57FC6BFA" w:rsidR="004279D8" w:rsidRPr="00A55A3E" w:rsidRDefault="004279D8" w:rsidP="007B4251">
            <w:pPr>
              <w:keepNext/>
              <w:rPr>
                <w:sz w:val="20"/>
                <w:szCs w:val="20"/>
              </w:rPr>
            </w:pPr>
            <w:r w:rsidRPr="00A55A3E">
              <w:rPr>
                <w:sz w:val="20"/>
                <w:szCs w:val="20"/>
              </w:rPr>
              <w:t xml:space="preserve">Multiple </w:t>
            </w:r>
          </w:p>
        </w:tc>
        <w:tc>
          <w:tcPr>
            <w:tcW w:w="3114" w:type="dxa"/>
          </w:tcPr>
          <w:p w14:paraId="157CEFF5" w14:textId="09C73BBB" w:rsidR="004279D8" w:rsidRPr="00A55A3E" w:rsidRDefault="004279D8" w:rsidP="007B4251">
            <w:pPr>
              <w:keepNext/>
              <w:rPr>
                <w:sz w:val="20"/>
                <w:szCs w:val="20"/>
              </w:rPr>
            </w:pPr>
            <w:r w:rsidRPr="00A55A3E">
              <w:rPr>
                <w:sz w:val="20"/>
                <w:szCs w:val="20"/>
              </w:rPr>
              <w:t xml:space="preserve">Improvement as a result of moving to new living arrangement </w:t>
            </w:r>
          </w:p>
        </w:tc>
        <w:tc>
          <w:tcPr>
            <w:tcW w:w="4111" w:type="dxa"/>
          </w:tcPr>
          <w:p w14:paraId="3B3F77C3" w14:textId="4B3ACE42" w:rsidR="004279D8" w:rsidRPr="00A55A3E" w:rsidRDefault="004279D8" w:rsidP="007B4251">
            <w:pPr>
              <w:keepNext/>
              <w:rPr>
                <w:sz w:val="20"/>
                <w:szCs w:val="20"/>
              </w:rPr>
            </w:pPr>
            <w:r w:rsidRPr="00A55A3E">
              <w:rPr>
                <w:sz w:val="20"/>
                <w:szCs w:val="20"/>
              </w:rPr>
              <w:t xml:space="preserve">No one standard measure applied across studies. Makes comparability difficult. </w:t>
            </w:r>
          </w:p>
        </w:tc>
      </w:tr>
      <w:tr w:rsidR="004279D8" w:rsidRPr="00B069D1" w14:paraId="31E528FD" w14:textId="77777777" w:rsidTr="00590481">
        <w:tc>
          <w:tcPr>
            <w:tcW w:w="1984" w:type="dxa"/>
          </w:tcPr>
          <w:p w14:paraId="677438BA" w14:textId="77777777" w:rsidR="004279D8" w:rsidRPr="00A55A3E" w:rsidRDefault="004279D8" w:rsidP="0017540C">
            <w:pPr>
              <w:rPr>
                <w:sz w:val="20"/>
                <w:szCs w:val="20"/>
              </w:rPr>
            </w:pPr>
            <w:r w:rsidRPr="00A55A3E">
              <w:rPr>
                <w:sz w:val="20"/>
                <w:szCs w:val="20"/>
              </w:rPr>
              <w:t>Powell (2012)</w:t>
            </w:r>
          </w:p>
          <w:p w14:paraId="62D6C88F" w14:textId="77777777" w:rsidR="004279D8" w:rsidRPr="00A55A3E" w:rsidRDefault="004279D8" w:rsidP="000038F8">
            <w:pPr>
              <w:rPr>
                <w:sz w:val="20"/>
                <w:szCs w:val="20"/>
              </w:rPr>
            </w:pPr>
          </w:p>
        </w:tc>
        <w:tc>
          <w:tcPr>
            <w:tcW w:w="2410" w:type="dxa"/>
          </w:tcPr>
          <w:p w14:paraId="24BC90A0" w14:textId="77777777" w:rsidR="004279D8" w:rsidRPr="00A55A3E" w:rsidRDefault="004279D8" w:rsidP="0017540C">
            <w:pPr>
              <w:rPr>
                <w:sz w:val="20"/>
                <w:szCs w:val="20"/>
              </w:rPr>
            </w:pPr>
            <w:r w:rsidRPr="00A55A3E">
              <w:rPr>
                <w:sz w:val="20"/>
                <w:szCs w:val="20"/>
              </w:rPr>
              <w:t>No measure. QoL term used broadly</w:t>
            </w:r>
          </w:p>
          <w:p w14:paraId="736AFEE2" w14:textId="77777777" w:rsidR="004279D8" w:rsidRPr="00A55A3E" w:rsidRDefault="004279D8" w:rsidP="000038F8">
            <w:pPr>
              <w:rPr>
                <w:sz w:val="20"/>
                <w:szCs w:val="20"/>
              </w:rPr>
            </w:pPr>
          </w:p>
        </w:tc>
        <w:tc>
          <w:tcPr>
            <w:tcW w:w="1843" w:type="dxa"/>
          </w:tcPr>
          <w:p w14:paraId="6103CE33" w14:textId="77777777" w:rsidR="004279D8" w:rsidRPr="00A55A3E" w:rsidRDefault="004279D8" w:rsidP="0017540C">
            <w:pPr>
              <w:rPr>
                <w:sz w:val="20"/>
                <w:szCs w:val="20"/>
              </w:rPr>
            </w:pPr>
            <w:r w:rsidRPr="00A55A3E">
              <w:rPr>
                <w:sz w:val="20"/>
                <w:szCs w:val="20"/>
              </w:rPr>
              <w:t>Two (implied)</w:t>
            </w:r>
          </w:p>
          <w:p w14:paraId="6AC1238D" w14:textId="77777777" w:rsidR="004279D8" w:rsidRPr="00A55A3E" w:rsidRDefault="004279D8" w:rsidP="000038F8">
            <w:pPr>
              <w:rPr>
                <w:sz w:val="20"/>
                <w:szCs w:val="20"/>
              </w:rPr>
            </w:pPr>
          </w:p>
        </w:tc>
        <w:tc>
          <w:tcPr>
            <w:tcW w:w="3114" w:type="dxa"/>
          </w:tcPr>
          <w:p w14:paraId="7D571999" w14:textId="77777777" w:rsidR="004279D8" w:rsidRPr="00A55A3E" w:rsidRDefault="004279D8" w:rsidP="0017540C">
            <w:pPr>
              <w:rPr>
                <w:sz w:val="20"/>
                <w:szCs w:val="20"/>
              </w:rPr>
            </w:pPr>
            <w:r w:rsidRPr="00A55A3E">
              <w:rPr>
                <w:sz w:val="20"/>
                <w:szCs w:val="20"/>
              </w:rPr>
              <w:t>Improvement as a result of moving to new living arrangement and use of Active Support</w:t>
            </w:r>
          </w:p>
          <w:p w14:paraId="0E7DD761" w14:textId="77777777" w:rsidR="004279D8" w:rsidRPr="00A55A3E" w:rsidRDefault="004279D8" w:rsidP="000038F8">
            <w:pPr>
              <w:rPr>
                <w:sz w:val="20"/>
                <w:szCs w:val="20"/>
              </w:rPr>
            </w:pPr>
          </w:p>
        </w:tc>
        <w:tc>
          <w:tcPr>
            <w:tcW w:w="4111" w:type="dxa"/>
          </w:tcPr>
          <w:p w14:paraId="0CBC6115" w14:textId="28A40D49" w:rsidR="004279D8" w:rsidRPr="00A55A3E" w:rsidRDefault="004279D8" w:rsidP="000038F8">
            <w:pPr>
              <w:rPr>
                <w:sz w:val="20"/>
                <w:szCs w:val="20"/>
              </w:rPr>
            </w:pPr>
            <w:r>
              <w:rPr>
                <w:sz w:val="20"/>
                <w:szCs w:val="20"/>
              </w:rPr>
              <w:t>No data shown</w:t>
            </w:r>
          </w:p>
        </w:tc>
      </w:tr>
      <w:tr w:rsidR="004279D8" w:rsidRPr="00B069D1" w14:paraId="480CE187" w14:textId="77777777" w:rsidTr="00590481">
        <w:tc>
          <w:tcPr>
            <w:tcW w:w="1984" w:type="dxa"/>
          </w:tcPr>
          <w:p w14:paraId="36F2B9CE" w14:textId="77777777" w:rsidR="004279D8" w:rsidRPr="00A55A3E" w:rsidRDefault="004279D8" w:rsidP="0017540C">
            <w:pPr>
              <w:rPr>
                <w:sz w:val="20"/>
                <w:szCs w:val="20"/>
              </w:rPr>
            </w:pPr>
            <w:r w:rsidRPr="00A55A3E">
              <w:rPr>
                <w:sz w:val="20"/>
                <w:szCs w:val="20"/>
              </w:rPr>
              <w:t>McConkey, (2000)</w:t>
            </w:r>
          </w:p>
          <w:p w14:paraId="127B07F2" w14:textId="77777777" w:rsidR="004279D8" w:rsidRPr="00A55A3E" w:rsidRDefault="004279D8" w:rsidP="000038F8">
            <w:pPr>
              <w:rPr>
                <w:sz w:val="20"/>
                <w:szCs w:val="20"/>
              </w:rPr>
            </w:pPr>
          </w:p>
        </w:tc>
        <w:tc>
          <w:tcPr>
            <w:tcW w:w="2410" w:type="dxa"/>
          </w:tcPr>
          <w:p w14:paraId="710503E4" w14:textId="77777777" w:rsidR="004279D8" w:rsidRPr="00A55A3E" w:rsidRDefault="004279D8" w:rsidP="0017540C">
            <w:pPr>
              <w:rPr>
                <w:sz w:val="20"/>
                <w:szCs w:val="20"/>
              </w:rPr>
            </w:pPr>
            <w:r w:rsidRPr="00A55A3E">
              <w:rPr>
                <w:sz w:val="20"/>
                <w:szCs w:val="20"/>
              </w:rPr>
              <w:t>No measure. QoL term used broadly</w:t>
            </w:r>
          </w:p>
          <w:p w14:paraId="50198A96" w14:textId="77777777" w:rsidR="004279D8" w:rsidRPr="00A55A3E" w:rsidRDefault="004279D8" w:rsidP="000038F8">
            <w:pPr>
              <w:rPr>
                <w:sz w:val="20"/>
                <w:szCs w:val="20"/>
              </w:rPr>
            </w:pPr>
          </w:p>
        </w:tc>
        <w:tc>
          <w:tcPr>
            <w:tcW w:w="1843" w:type="dxa"/>
          </w:tcPr>
          <w:p w14:paraId="7EE67B93" w14:textId="4411F766" w:rsidR="004279D8" w:rsidRPr="00A55A3E" w:rsidRDefault="00371CC7" w:rsidP="000038F8">
            <w:pPr>
              <w:rPr>
                <w:sz w:val="20"/>
                <w:szCs w:val="20"/>
              </w:rPr>
            </w:pPr>
            <w:r>
              <w:rPr>
                <w:sz w:val="20"/>
                <w:szCs w:val="20"/>
              </w:rPr>
              <w:t>N/A</w:t>
            </w:r>
          </w:p>
        </w:tc>
        <w:tc>
          <w:tcPr>
            <w:tcW w:w="3114" w:type="dxa"/>
          </w:tcPr>
          <w:p w14:paraId="6B1FA37F" w14:textId="354523CD" w:rsidR="004279D8" w:rsidRPr="00A55A3E" w:rsidRDefault="00371CC7" w:rsidP="000038F8">
            <w:pPr>
              <w:rPr>
                <w:sz w:val="20"/>
                <w:szCs w:val="20"/>
              </w:rPr>
            </w:pPr>
            <w:r>
              <w:rPr>
                <w:sz w:val="20"/>
                <w:szCs w:val="20"/>
              </w:rPr>
              <w:t>No data presented.</w:t>
            </w:r>
          </w:p>
        </w:tc>
        <w:tc>
          <w:tcPr>
            <w:tcW w:w="4111" w:type="dxa"/>
          </w:tcPr>
          <w:p w14:paraId="37D02AF6" w14:textId="6FF0F1B0" w:rsidR="004279D8" w:rsidRPr="00A55A3E" w:rsidRDefault="00C17B90" w:rsidP="000038F8">
            <w:pPr>
              <w:rPr>
                <w:sz w:val="20"/>
                <w:szCs w:val="20"/>
              </w:rPr>
            </w:pPr>
            <w:r>
              <w:rPr>
                <w:sz w:val="20"/>
                <w:szCs w:val="20"/>
              </w:rPr>
              <w:t>No data shown</w:t>
            </w:r>
          </w:p>
        </w:tc>
      </w:tr>
      <w:tr w:rsidR="004279D8" w:rsidRPr="00B069D1" w14:paraId="49EA85E2" w14:textId="77777777" w:rsidTr="00267551">
        <w:tc>
          <w:tcPr>
            <w:tcW w:w="1984" w:type="dxa"/>
          </w:tcPr>
          <w:p w14:paraId="220ADBB0" w14:textId="67CDECCD" w:rsidR="004279D8" w:rsidRPr="00A55A3E" w:rsidRDefault="004279D8" w:rsidP="00547416">
            <w:pPr>
              <w:rPr>
                <w:sz w:val="20"/>
                <w:szCs w:val="20"/>
              </w:rPr>
            </w:pPr>
            <w:r w:rsidRPr="00A55A3E">
              <w:rPr>
                <w:sz w:val="20"/>
                <w:szCs w:val="20"/>
              </w:rPr>
              <w:t>Fisher et al (200</w:t>
            </w:r>
            <w:r>
              <w:rPr>
                <w:sz w:val="20"/>
                <w:szCs w:val="20"/>
              </w:rPr>
              <w:t>9</w:t>
            </w:r>
            <w:r w:rsidRPr="00A55A3E">
              <w:rPr>
                <w:sz w:val="20"/>
                <w:szCs w:val="20"/>
              </w:rPr>
              <w:t>)</w:t>
            </w:r>
          </w:p>
          <w:p w14:paraId="1816053A" w14:textId="77777777" w:rsidR="004279D8" w:rsidRPr="00A55A3E" w:rsidRDefault="004279D8" w:rsidP="000038F8">
            <w:pPr>
              <w:rPr>
                <w:sz w:val="20"/>
                <w:szCs w:val="20"/>
              </w:rPr>
            </w:pPr>
          </w:p>
        </w:tc>
        <w:tc>
          <w:tcPr>
            <w:tcW w:w="2410" w:type="dxa"/>
          </w:tcPr>
          <w:p w14:paraId="19DD0C40" w14:textId="77777777" w:rsidR="004279D8" w:rsidRPr="00A55A3E" w:rsidRDefault="004279D8" w:rsidP="00547416">
            <w:pPr>
              <w:rPr>
                <w:sz w:val="20"/>
                <w:szCs w:val="20"/>
              </w:rPr>
            </w:pPr>
            <w:r w:rsidRPr="00A55A3E">
              <w:rPr>
                <w:sz w:val="20"/>
                <w:szCs w:val="20"/>
              </w:rPr>
              <w:t>University of Toronto QoL tool</w:t>
            </w:r>
          </w:p>
          <w:p w14:paraId="05E50016" w14:textId="77777777" w:rsidR="004279D8" w:rsidRPr="00A55A3E" w:rsidRDefault="004279D8" w:rsidP="000038F8">
            <w:pPr>
              <w:rPr>
                <w:sz w:val="20"/>
                <w:szCs w:val="20"/>
              </w:rPr>
            </w:pPr>
          </w:p>
        </w:tc>
        <w:tc>
          <w:tcPr>
            <w:tcW w:w="1843" w:type="dxa"/>
          </w:tcPr>
          <w:p w14:paraId="3D40F86D" w14:textId="6B4ADE86" w:rsidR="004279D8" w:rsidRPr="00A55A3E" w:rsidRDefault="004279D8" w:rsidP="000038F8">
            <w:pPr>
              <w:rPr>
                <w:sz w:val="20"/>
                <w:szCs w:val="20"/>
              </w:rPr>
            </w:pPr>
            <w:r>
              <w:rPr>
                <w:sz w:val="20"/>
                <w:szCs w:val="20"/>
              </w:rPr>
              <w:t xml:space="preserve">One </w:t>
            </w:r>
          </w:p>
        </w:tc>
        <w:tc>
          <w:tcPr>
            <w:tcW w:w="3114" w:type="dxa"/>
            <w:shd w:val="clear" w:color="auto" w:fill="auto"/>
          </w:tcPr>
          <w:p w14:paraId="00873C6D" w14:textId="4139FA55" w:rsidR="004279D8" w:rsidRPr="00A55A3E" w:rsidRDefault="002B7890" w:rsidP="002B7890">
            <w:pPr>
              <w:rPr>
                <w:sz w:val="20"/>
                <w:szCs w:val="20"/>
              </w:rPr>
            </w:pPr>
            <w:r w:rsidRPr="002B7890">
              <w:rPr>
                <w:sz w:val="20"/>
                <w:szCs w:val="20"/>
              </w:rPr>
              <w:t>Trends in Australian housing support policy for persons with disabilities are consistent</w:t>
            </w:r>
            <w:r w:rsidR="00D3719D">
              <w:rPr>
                <w:sz w:val="20"/>
                <w:szCs w:val="20"/>
              </w:rPr>
              <w:t xml:space="preserve"> </w:t>
            </w:r>
            <w:r w:rsidRPr="002B7890">
              <w:rPr>
                <w:sz w:val="20"/>
                <w:szCs w:val="20"/>
              </w:rPr>
              <w:t>with international policy changes. They include</w:t>
            </w:r>
            <w:r w:rsidR="00D3719D">
              <w:rPr>
                <w:sz w:val="20"/>
                <w:szCs w:val="20"/>
              </w:rPr>
              <w:t>:</w:t>
            </w:r>
            <w:r w:rsidR="00A5332A">
              <w:rPr>
                <w:sz w:val="20"/>
                <w:szCs w:val="20"/>
              </w:rPr>
              <w:t xml:space="preserve"> </w:t>
            </w:r>
            <w:r w:rsidRPr="002B7890">
              <w:rPr>
                <w:sz w:val="20"/>
                <w:szCs w:val="20"/>
              </w:rPr>
              <w:t>accessing private and public housing; individualised approaches to planning, support and</w:t>
            </w:r>
            <w:r w:rsidR="00D3719D">
              <w:rPr>
                <w:sz w:val="20"/>
                <w:szCs w:val="20"/>
              </w:rPr>
              <w:t xml:space="preserve"> </w:t>
            </w:r>
            <w:r w:rsidRPr="002B7890">
              <w:rPr>
                <w:sz w:val="20"/>
                <w:szCs w:val="20"/>
              </w:rPr>
              <w:t>funding housing support; and in-home support</w:t>
            </w:r>
            <w:r w:rsidR="00D3719D">
              <w:rPr>
                <w:sz w:val="20"/>
                <w:szCs w:val="20"/>
              </w:rPr>
              <w:t xml:space="preserve"> </w:t>
            </w:r>
            <w:r w:rsidRPr="002B7890">
              <w:rPr>
                <w:sz w:val="20"/>
                <w:szCs w:val="20"/>
              </w:rPr>
              <w:t>that coordinates with informal care</w:t>
            </w:r>
            <w:r w:rsidR="00A5332A">
              <w:rPr>
                <w:sz w:val="20"/>
                <w:szCs w:val="20"/>
              </w:rPr>
              <w:t>.</w:t>
            </w:r>
          </w:p>
        </w:tc>
        <w:tc>
          <w:tcPr>
            <w:tcW w:w="4111" w:type="dxa"/>
            <w:shd w:val="clear" w:color="auto" w:fill="auto"/>
          </w:tcPr>
          <w:p w14:paraId="5F25D85E" w14:textId="387899C7" w:rsidR="004279D8" w:rsidRPr="00A55A3E" w:rsidRDefault="002B7890" w:rsidP="000038F8">
            <w:pPr>
              <w:rPr>
                <w:sz w:val="20"/>
                <w:szCs w:val="20"/>
              </w:rPr>
            </w:pPr>
            <w:r>
              <w:rPr>
                <w:sz w:val="20"/>
                <w:szCs w:val="20"/>
              </w:rPr>
              <w:t>Qualitative study based on six case studies no detailed information or narrative synthesis presented.</w:t>
            </w:r>
          </w:p>
        </w:tc>
      </w:tr>
      <w:tr w:rsidR="004279D8" w:rsidRPr="00B069D1" w14:paraId="23D08FBD" w14:textId="77777777" w:rsidTr="00590481">
        <w:tc>
          <w:tcPr>
            <w:tcW w:w="1984" w:type="dxa"/>
          </w:tcPr>
          <w:p w14:paraId="6157C855" w14:textId="77777777" w:rsidR="004279D8" w:rsidRPr="00A55A3E" w:rsidRDefault="004279D8" w:rsidP="0078755B">
            <w:pPr>
              <w:rPr>
                <w:sz w:val="20"/>
                <w:szCs w:val="20"/>
              </w:rPr>
            </w:pPr>
          </w:p>
          <w:p w14:paraId="7FAD5C3C" w14:textId="77777777" w:rsidR="004279D8" w:rsidRPr="00A55A3E" w:rsidRDefault="004279D8" w:rsidP="0078755B">
            <w:pPr>
              <w:rPr>
                <w:sz w:val="20"/>
                <w:szCs w:val="20"/>
              </w:rPr>
            </w:pPr>
            <w:r w:rsidRPr="00A55A3E">
              <w:rPr>
                <w:sz w:val="20"/>
                <w:szCs w:val="20"/>
              </w:rPr>
              <w:t>Felce (2006)</w:t>
            </w:r>
          </w:p>
          <w:p w14:paraId="6EB59034" w14:textId="77777777" w:rsidR="004279D8" w:rsidRPr="00A55A3E" w:rsidRDefault="004279D8" w:rsidP="000038F8">
            <w:pPr>
              <w:rPr>
                <w:sz w:val="20"/>
                <w:szCs w:val="20"/>
              </w:rPr>
            </w:pPr>
          </w:p>
        </w:tc>
        <w:tc>
          <w:tcPr>
            <w:tcW w:w="2410" w:type="dxa"/>
          </w:tcPr>
          <w:p w14:paraId="2CC8A34B" w14:textId="77777777" w:rsidR="004279D8" w:rsidRPr="00A55A3E" w:rsidRDefault="004279D8" w:rsidP="00547416">
            <w:pPr>
              <w:rPr>
                <w:sz w:val="20"/>
                <w:szCs w:val="20"/>
              </w:rPr>
            </w:pPr>
            <w:r w:rsidRPr="00A55A3E">
              <w:rPr>
                <w:sz w:val="20"/>
                <w:szCs w:val="20"/>
              </w:rPr>
              <w:t>No measure. QoL term used broadly</w:t>
            </w:r>
          </w:p>
          <w:p w14:paraId="6EDAC242" w14:textId="77777777" w:rsidR="004279D8" w:rsidRPr="00A55A3E" w:rsidRDefault="004279D8" w:rsidP="000038F8">
            <w:pPr>
              <w:rPr>
                <w:sz w:val="20"/>
                <w:szCs w:val="20"/>
              </w:rPr>
            </w:pPr>
          </w:p>
        </w:tc>
        <w:tc>
          <w:tcPr>
            <w:tcW w:w="1843" w:type="dxa"/>
          </w:tcPr>
          <w:p w14:paraId="595B4A06" w14:textId="6EBC4DB3" w:rsidR="004279D8" w:rsidRPr="00A55A3E" w:rsidRDefault="00371CC7" w:rsidP="000038F8">
            <w:pPr>
              <w:rPr>
                <w:sz w:val="20"/>
                <w:szCs w:val="20"/>
              </w:rPr>
            </w:pPr>
            <w:r>
              <w:rPr>
                <w:sz w:val="20"/>
                <w:szCs w:val="20"/>
              </w:rPr>
              <w:t>N/A</w:t>
            </w:r>
          </w:p>
        </w:tc>
        <w:tc>
          <w:tcPr>
            <w:tcW w:w="3114" w:type="dxa"/>
          </w:tcPr>
          <w:p w14:paraId="1E339F53" w14:textId="2B3AA403" w:rsidR="004279D8" w:rsidRPr="00A55A3E" w:rsidRDefault="00371CC7" w:rsidP="000038F8">
            <w:pPr>
              <w:rPr>
                <w:sz w:val="20"/>
                <w:szCs w:val="20"/>
              </w:rPr>
            </w:pPr>
            <w:r>
              <w:rPr>
                <w:sz w:val="20"/>
                <w:szCs w:val="20"/>
              </w:rPr>
              <w:t xml:space="preserve">No data presented </w:t>
            </w:r>
          </w:p>
        </w:tc>
        <w:tc>
          <w:tcPr>
            <w:tcW w:w="4111" w:type="dxa"/>
          </w:tcPr>
          <w:p w14:paraId="3D73F025" w14:textId="04385E7B" w:rsidR="004279D8" w:rsidRPr="00A55A3E" w:rsidRDefault="00C17B90" w:rsidP="000038F8">
            <w:pPr>
              <w:rPr>
                <w:sz w:val="20"/>
                <w:szCs w:val="20"/>
              </w:rPr>
            </w:pPr>
            <w:r>
              <w:rPr>
                <w:sz w:val="20"/>
                <w:szCs w:val="20"/>
              </w:rPr>
              <w:t xml:space="preserve">No data shown </w:t>
            </w:r>
          </w:p>
        </w:tc>
      </w:tr>
      <w:tr w:rsidR="004279D8" w:rsidRPr="00B069D1" w14:paraId="51A39201" w14:textId="77777777" w:rsidTr="00590481">
        <w:tc>
          <w:tcPr>
            <w:tcW w:w="1984" w:type="dxa"/>
          </w:tcPr>
          <w:p w14:paraId="13B4FE15" w14:textId="77777777" w:rsidR="004279D8" w:rsidRPr="00A55A3E" w:rsidRDefault="004279D8" w:rsidP="007B4251">
            <w:pPr>
              <w:keepNext/>
              <w:rPr>
                <w:sz w:val="20"/>
                <w:szCs w:val="20"/>
              </w:rPr>
            </w:pPr>
            <w:r w:rsidRPr="00A55A3E">
              <w:rPr>
                <w:sz w:val="20"/>
                <w:szCs w:val="20"/>
              </w:rPr>
              <w:t>Cocks et al (2016)</w:t>
            </w:r>
          </w:p>
          <w:p w14:paraId="099969D5" w14:textId="77777777" w:rsidR="004279D8" w:rsidRPr="00A55A3E" w:rsidRDefault="004279D8" w:rsidP="007B4251">
            <w:pPr>
              <w:keepNext/>
              <w:rPr>
                <w:sz w:val="20"/>
                <w:szCs w:val="20"/>
              </w:rPr>
            </w:pPr>
          </w:p>
        </w:tc>
        <w:tc>
          <w:tcPr>
            <w:tcW w:w="2410" w:type="dxa"/>
          </w:tcPr>
          <w:p w14:paraId="686A3549" w14:textId="77777777" w:rsidR="004279D8" w:rsidRPr="00A55A3E" w:rsidRDefault="004279D8" w:rsidP="007B4251">
            <w:pPr>
              <w:keepNext/>
              <w:rPr>
                <w:sz w:val="20"/>
                <w:szCs w:val="20"/>
              </w:rPr>
            </w:pPr>
            <w:r w:rsidRPr="00A55A3E">
              <w:rPr>
                <w:sz w:val="20"/>
                <w:szCs w:val="20"/>
              </w:rPr>
              <w:t>Qol.Q</w:t>
            </w:r>
          </w:p>
          <w:p w14:paraId="3D849215" w14:textId="77777777" w:rsidR="004279D8" w:rsidRPr="00A55A3E" w:rsidRDefault="004279D8" w:rsidP="007B4251">
            <w:pPr>
              <w:keepNext/>
              <w:rPr>
                <w:sz w:val="20"/>
                <w:szCs w:val="20"/>
              </w:rPr>
            </w:pPr>
          </w:p>
        </w:tc>
        <w:tc>
          <w:tcPr>
            <w:tcW w:w="1843" w:type="dxa"/>
          </w:tcPr>
          <w:p w14:paraId="4D8B0F8E" w14:textId="77777777" w:rsidR="004279D8" w:rsidRPr="00A55A3E" w:rsidRDefault="004279D8" w:rsidP="007B4251">
            <w:pPr>
              <w:keepNext/>
              <w:rPr>
                <w:sz w:val="20"/>
                <w:szCs w:val="20"/>
              </w:rPr>
            </w:pPr>
            <w:r w:rsidRPr="00A55A3E">
              <w:rPr>
                <w:sz w:val="20"/>
                <w:szCs w:val="20"/>
              </w:rPr>
              <w:t xml:space="preserve">One </w:t>
            </w:r>
          </w:p>
          <w:p w14:paraId="21E511F0" w14:textId="77777777" w:rsidR="004279D8" w:rsidRPr="00A55A3E" w:rsidRDefault="004279D8" w:rsidP="007B4251">
            <w:pPr>
              <w:keepNext/>
              <w:rPr>
                <w:sz w:val="20"/>
                <w:szCs w:val="20"/>
              </w:rPr>
            </w:pPr>
          </w:p>
        </w:tc>
        <w:tc>
          <w:tcPr>
            <w:tcW w:w="3114" w:type="dxa"/>
          </w:tcPr>
          <w:p w14:paraId="6E3A8969" w14:textId="77777777" w:rsidR="004279D8" w:rsidRPr="00A55A3E" w:rsidRDefault="004279D8" w:rsidP="007B4251">
            <w:pPr>
              <w:keepNext/>
              <w:rPr>
                <w:sz w:val="20"/>
                <w:szCs w:val="20"/>
              </w:rPr>
            </w:pPr>
            <w:r w:rsidRPr="00A55A3E">
              <w:rPr>
                <w:sz w:val="20"/>
                <w:szCs w:val="20"/>
              </w:rPr>
              <w:t xml:space="preserve">Programme effectiveness at addressing QoL domains described descriptively </w:t>
            </w:r>
          </w:p>
          <w:p w14:paraId="6BEDE3A6" w14:textId="060A26F2" w:rsidR="004279D8" w:rsidRPr="00A55A3E" w:rsidRDefault="004279D8" w:rsidP="007B4251">
            <w:pPr>
              <w:keepNext/>
              <w:rPr>
                <w:sz w:val="20"/>
                <w:szCs w:val="20"/>
              </w:rPr>
            </w:pPr>
            <w:r w:rsidRPr="00A55A3E">
              <w:rPr>
                <w:sz w:val="20"/>
                <w:szCs w:val="20"/>
              </w:rPr>
              <w:t>Participants with higher QoL scored higher in ISL framework</w:t>
            </w:r>
            <w:r w:rsidR="00EF19A3">
              <w:rPr>
                <w:sz w:val="20"/>
                <w:szCs w:val="20"/>
              </w:rPr>
              <w:t>.</w:t>
            </w:r>
          </w:p>
        </w:tc>
        <w:tc>
          <w:tcPr>
            <w:tcW w:w="4111" w:type="dxa"/>
          </w:tcPr>
          <w:p w14:paraId="054951F6" w14:textId="4E84D3ED" w:rsidR="004279D8" w:rsidRPr="00A55A3E" w:rsidRDefault="004279D8" w:rsidP="007B4251">
            <w:pPr>
              <w:keepNext/>
              <w:rPr>
                <w:sz w:val="20"/>
                <w:szCs w:val="20"/>
              </w:rPr>
            </w:pPr>
            <w:r w:rsidRPr="00A55A3E">
              <w:rPr>
                <w:sz w:val="20"/>
                <w:szCs w:val="20"/>
              </w:rPr>
              <w:t>Correlation but not causation captured as only one time point</w:t>
            </w:r>
            <w:r w:rsidR="00EF19A3">
              <w:rPr>
                <w:sz w:val="20"/>
                <w:szCs w:val="20"/>
              </w:rPr>
              <w:t>.</w:t>
            </w:r>
          </w:p>
          <w:p w14:paraId="204351BD" w14:textId="77777777" w:rsidR="004279D8" w:rsidRPr="00A55A3E" w:rsidRDefault="004279D8" w:rsidP="007B4251">
            <w:pPr>
              <w:keepNext/>
              <w:rPr>
                <w:sz w:val="20"/>
                <w:szCs w:val="20"/>
              </w:rPr>
            </w:pPr>
          </w:p>
        </w:tc>
      </w:tr>
      <w:tr w:rsidR="004279D8" w:rsidRPr="00B069D1" w14:paraId="23E2B29D" w14:textId="77777777" w:rsidTr="00384927">
        <w:tc>
          <w:tcPr>
            <w:tcW w:w="1984" w:type="dxa"/>
          </w:tcPr>
          <w:p w14:paraId="37221553" w14:textId="6AE092D9" w:rsidR="004279D8" w:rsidRPr="00A55A3E" w:rsidRDefault="004279D8" w:rsidP="0078755B">
            <w:pPr>
              <w:rPr>
                <w:sz w:val="20"/>
                <w:szCs w:val="20"/>
              </w:rPr>
            </w:pPr>
            <w:r w:rsidRPr="00A55A3E">
              <w:rPr>
                <w:sz w:val="20"/>
                <w:szCs w:val="20"/>
              </w:rPr>
              <w:t>Noonan-Walsh et al, (2007)</w:t>
            </w:r>
          </w:p>
        </w:tc>
        <w:tc>
          <w:tcPr>
            <w:tcW w:w="2410" w:type="dxa"/>
          </w:tcPr>
          <w:p w14:paraId="6049DFD3" w14:textId="77777777" w:rsidR="004279D8" w:rsidRPr="00A55A3E" w:rsidRDefault="004279D8" w:rsidP="0078755B">
            <w:pPr>
              <w:rPr>
                <w:sz w:val="20"/>
                <w:szCs w:val="20"/>
              </w:rPr>
            </w:pPr>
            <w:r w:rsidRPr="00A55A3E">
              <w:rPr>
                <w:sz w:val="20"/>
                <w:szCs w:val="20"/>
              </w:rPr>
              <w:t>Domains of QoL discussed.</w:t>
            </w:r>
          </w:p>
          <w:p w14:paraId="0D1C9558" w14:textId="77777777" w:rsidR="004279D8" w:rsidRPr="00A55A3E" w:rsidRDefault="004279D8" w:rsidP="0078755B">
            <w:pPr>
              <w:rPr>
                <w:sz w:val="20"/>
                <w:szCs w:val="20"/>
              </w:rPr>
            </w:pPr>
            <w:r w:rsidRPr="00A55A3E">
              <w:rPr>
                <w:sz w:val="20"/>
                <w:szCs w:val="20"/>
              </w:rPr>
              <w:lastRenderedPageBreak/>
              <w:t xml:space="preserve">Quality of Life Questionnaire. </w:t>
            </w:r>
          </w:p>
          <w:p w14:paraId="53A116C1" w14:textId="1C9A15D5" w:rsidR="004279D8" w:rsidRPr="00A55A3E" w:rsidRDefault="004279D8" w:rsidP="0078755B">
            <w:pPr>
              <w:rPr>
                <w:sz w:val="20"/>
                <w:szCs w:val="20"/>
              </w:rPr>
            </w:pPr>
            <w:r w:rsidRPr="00A55A3E">
              <w:rPr>
                <w:sz w:val="20"/>
                <w:szCs w:val="20"/>
              </w:rPr>
              <w:t>Life Experiences Checklist</w:t>
            </w:r>
          </w:p>
        </w:tc>
        <w:tc>
          <w:tcPr>
            <w:tcW w:w="1843" w:type="dxa"/>
          </w:tcPr>
          <w:p w14:paraId="65F2C526" w14:textId="2A35CCA6" w:rsidR="004279D8" w:rsidRPr="00A55A3E" w:rsidRDefault="00371CC7" w:rsidP="0078755B">
            <w:pPr>
              <w:rPr>
                <w:sz w:val="20"/>
                <w:szCs w:val="20"/>
              </w:rPr>
            </w:pPr>
            <w:r>
              <w:rPr>
                <w:sz w:val="20"/>
                <w:szCs w:val="20"/>
              </w:rPr>
              <w:lastRenderedPageBreak/>
              <w:t>N/A</w:t>
            </w:r>
          </w:p>
        </w:tc>
        <w:tc>
          <w:tcPr>
            <w:tcW w:w="3114" w:type="dxa"/>
            <w:shd w:val="clear" w:color="auto" w:fill="auto"/>
          </w:tcPr>
          <w:p w14:paraId="2D82373F" w14:textId="62E1138B" w:rsidR="004279D8" w:rsidRPr="00A55A3E" w:rsidRDefault="009339B9" w:rsidP="0078755B">
            <w:pPr>
              <w:rPr>
                <w:sz w:val="20"/>
                <w:szCs w:val="20"/>
              </w:rPr>
            </w:pPr>
            <w:r>
              <w:rPr>
                <w:sz w:val="20"/>
                <w:szCs w:val="20"/>
              </w:rPr>
              <w:t xml:space="preserve">Overall quality of life measured less frequently than individual domains, </w:t>
            </w:r>
            <w:r>
              <w:rPr>
                <w:sz w:val="20"/>
                <w:szCs w:val="20"/>
              </w:rPr>
              <w:lastRenderedPageBreak/>
              <w:t>General consensus of improved QoL post deintitutionalisation and in independent settings for people with less severe disability</w:t>
            </w:r>
          </w:p>
        </w:tc>
        <w:tc>
          <w:tcPr>
            <w:tcW w:w="4111" w:type="dxa"/>
            <w:shd w:val="clear" w:color="auto" w:fill="auto"/>
          </w:tcPr>
          <w:p w14:paraId="778E29B3" w14:textId="1CE1A15B" w:rsidR="004279D8" w:rsidRPr="00A55A3E" w:rsidRDefault="00384927" w:rsidP="0078755B">
            <w:pPr>
              <w:rPr>
                <w:sz w:val="20"/>
                <w:szCs w:val="20"/>
              </w:rPr>
            </w:pPr>
            <w:r>
              <w:rPr>
                <w:sz w:val="20"/>
                <w:szCs w:val="20"/>
              </w:rPr>
              <w:lastRenderedPageBreak/>
              <w:t xml:space="preserve">No primary data. Systematic review. </w:t>
            </w:r>
          </w:p>
        </w:tc>
      </w:tr>
    </w:tbl>
    <w:p w14:paraId="5D7DC3E7" w14:textId="77777777" w:rsidR="00DB06D4" w:rsidRPr="00A55A3E" w:rsidRDefault="00DB06D4" w:rsidP="00DB06D4">
      <w:pPr>
        <w:rPr>
          <w:sz w:val="20"/>
          <w:szCs w:val="20"/>
        </w:rPr>
      </w:pPr>
    </w:p>
    <w:p w14:paraId="3CD164A3" w14:textId="51415FA6" w:rsidR="00DB06D4" w:rsidRDefault="00DB06D4" w:rsidP="00DB06D4"/>
    <w:p w14:paraId="22763BD3" w14:textId="77777777" w:rsidR="00194A01" w:rsidRDefault="00194A01" w:rsidP="00DB06D4">
      <w:pPr>
        <w:sectPr w:rsidR="00194A01" w:rsidSect="009E6D13">
          <w:headerReference w:type="default" r:id="rId22"/>
          <w:footerReference w:type="default" r:id="rId23"/>
          <w:pgSz w:w="15840" w:h="12240" w:orient="landscape"/>
          <w:pgMar w:top="1440" w:right="1440" w:bottom="1440" w:left="1440" w:header="720" w:footer="720" w:gutter="0"/>
          <w:cols w:space="720"/>
          <w:docGrid w:linePitch="360"/>
        </w:sectPr>
      </w:pPr>
    </w:p>
    <w:p w14:paraId="7F507E9B" w14:textId="43F76A3A" w:rsidR="00DB06D4" w:rsidRDefault="00DB06D4" w:rsidP="00B5199A">
      <w:pPr>
        <w:pStyle w:val="Heading3"/>
      </w:pPr>
      <w:bookmarkStart w:id="33" w:name="_Toc73535953"/>
      <w:r>
        <w:lastRenderedPageBreak/>
        <w:t>Choice and control</w:t>
      </w:r>
      <w:bookmarkEnd w:id="33"/>
    </w:p>
    <w:p w14:paraId="6A9B7771" w14:textId="1AE42E0C" w:rsidR="009942A1" w:rsidRDefault="009942A1" w:rsidP="009E3D11">
      <w:pPr>
        <w:spacing w:before="120" w:line="360" w:lineRule="auto"/>
        <w:jc w:val="both"/>
      </w:pPr>
      <w:r>
        <w:t xml:space="preserve">Choice and control </w:t>
      </w:r>
      <w:r w:rsidR="00B93B63">
        <w:t xml:space="preserve">were </w:t>
      </w:r>
      <w:r>
        <w:t>the second most frequently measured or mentioned outcome</w:t>
      </w:r>
      <w:r w:rsidR="00856DD3">
        <w:t xml:space="preserve"> used</w:t>
      </w:r>
      <w:r>
        <w:t xml:space="preserve"> to assess transition. There were ten quantitative papers, and nine grey literature papers which referenced choice and control (Wiesel et al, 2015; Woolrych, 2000, Fisher et al, 2008; Cocks et al, 2016; Powell, 2012, Foley, 2014, Carnemolla, 2020).  There was no reporting on choice as an outcome measure in the qualitative literature reviewed. </w:t>
      </w:r>
      <w:r w:rsidR="006227A3">
        <w:t>H</w:t>
      </w:r>
      <w:r>
        <w:t xml:space="preserve">ow choice and control </w:t>
      </w:r>
      <w:r w:rsidR="00B93B63">
        <w:t xml:space="preserve">were </w:t>
      </w:r>
      <w:r>
        <w:t xml:space="preserve">measured </w:t>
      </w:r>
      <w:r w:rsidR="00C17D0B">
        <w:t xml:space="preserve">was </w:t>
      </w:r>
      <w:r>
        <w:t xml:space="preserve">not consistent across the research reviewed. </w:t>
      </w:r>
    </w:p>
    <w:p w14:paraId="6D257B6A" w14:textId="3EC74977" w:rsidR="009942A1" w:rsidRDefault="009942A1" w:rsidP="006E0AF3">
      <w:pPr>
        <w:spacing w:line="360" w:lineRule="auto"/>
      </w:pPr>
      <w:r>
        <w:t xml:space="preserve">A broad range of assessment tools </w:t>
      </w:r>
      <w:r w:rsidRPr="00FF52AF">
        <w:t>(n=9)</w:t>
      </w:r>
      <w:r>
        <w:t xml:space="preserve"> were utili</w:t>
      </w:r>
      <w:r w:rsidR="00C17D0B">
        <w:t>s</w:t>
      </w:r>
      <w:r>
        <w:t>ed to evaluate choice and control outcomes in people with disabilities with the one advantage that most were standardised questionnaires with reported psychometric properties. With the exception of two studies (Bigby, 2018, Chou et al, 2011)</w:t>
      </w:r>
      <w:r w:rsidR="006227A3">
        <w:t>,</w:t>
      </w:r>
      <w:r>
        <w:t xml:space="preserve"> all other studies reported greater choice and control in de</w:t>
      </w:r>
      <w:r w:rsidR="00856DD3">
        <w:t>-</w:t>
      </w:r>
      <w:r>
        <w:t xml:space="preserve">congregated settings. It is noted however that the least congregated setting did not always align with the greatest choice.  </w:t>
      </w:r>
      <w:r w:rsidR="006227A3">
        <w:t xml:space="preserve">For example, in a </w:t>
      </w:r>
      <w:r>
        <w:t>study by Fahey et al (2010)</w:t>
      </w:r>
      <w:r w:rsidR="006227A3">
        <w:t>,</w:t>
      </w:r>
      <w:r>
        <w:t xml:space="preserve"> residents in life sharing communities reported less choice than residents in group homes. Woolrych (2000) and Wiesel et al (2015) report on choice qualitatively stating greater choice available post move or within more independent settings, but </w:t>
      </w:r>
      <w:r w:rsidR="00856DD3">
        <w:t xml:space="preserve">it is </w:t>
      </w:r>
      <w:r>
        <w:t xml:space="preserve">difficult to ascertain to what extent, where and how, choice changed for people with disabilities. </w:t>
      </w:r>
    </w:p>
    <w:p w14:paraId="2316B9A0" w14:textId="39DC012C" w:rsidR="000A6DC4" w:rsidRDefault="000A6DC4" w:rsidP="006E0AF3">
      <w:pPr>
        <w:spacing w:line="360" w:lineRule="auto"/>
      </w:pPr>
    </w:p>
    <w:p w14:paraId="69FC777A" w14:textId="77777777" w:rsidR="000A6DC4" w:rsidRDefault="000A6DC4" w:rsidP="006E0AF3">
      <w:pPr>
        <w:spacing w:line="360" w:lineRule="auto"/>
        <w:sectPr w:rsidR="000A6DC4" w:rsidSect="00194A01">
          <w:headerReference w:type="default" r:id="rId24"/>
          <w:footerReference w:type="default" r:id="rId25"/>
          <w:pgSz w:w="12240" w:h="15840"/>
          <w:pgMar w:top="1440" w:right="1440" w:bottom="1440" w:left="1440" w:header="720" w:footer="720" w:gutter="0"/>
          <w:cols w:space="720"/>
          <w:docGrid w:linePitch="360"/>
        </w:sectPr>
      </w:pPr>
    </w:p>
    <w:p w14:paraId="4E15ED2E" w14:textId="3D7027A1" w:rsidR="00DB06D4" w:rsidRPr="00317BA9" w:rsidRDefault="000A6DC4" w:rsidP="000A6DC4">
      <w:pPr>
        <w:pStyle w:val="Caption"/>
        <w:rPr>
          <w:b/>
          <w:bCs/>
        </w:rPr>
      </w:pPr>
      <w:bookmarkStart w:id="34" w:name="_Toc66355182"/>
      <w:r>
        <w:lastRenderedPageBreak/>
        <w:t xml:space="preserve">Table </w:t>
      </w:r>
      <w:r>
        <w:fldChar w:fldCharType="begin"/>
      </w:r>
      <w:r>
        <w:instrText>SEQ Table \* ARABIC</w:instrText>
      </w:r>
      <w:r>
        <w:fldChar w:fldCharType="separate"/>
      </w:r>
      <w:r w:rsidR="000E7FFE">
        <w:rPr>
          <w:noProof/>
        </w:rPr>
        <w:t>3</w:t>
      </w:r>
      <w:r>
        <w:fldChar w:fldCharType="end"/>
      </w:r>
      <w:r w:rsidR="00E802E8" w:rsidRPr="00317BA9">
        <w:rPr>
          <w:b/>
          <w:bCs/>
        </w:rPr>
        <w:t xml:space="preserve"> Choice and control measures</w:t>
      </w:r>
      <w:bookmarkEnd w:id="34"/>
    </w:p>
    <w:tbl>
      <w:tblPr>
        <w:tblStyle w:val="TableGrid"/>
        <w:tblW w:w="5000" w:type="pct"/>
        <w:tblLook w:val="04A0" w:firstRow="1" w:lastRow="0" w:firstColumn="1" w:lastColumn="0" w:noHBand="0" w:noVBand="1"/>
      </w:tblPr>
      <w:tblGrid>
        <w:gridCol w:w="2267"/>
        <w:gridCol w:w="2266"/>
        <w:gridCol w:w="2266"/>
        <w:gridCol w:w="2626"/>
        <w:gridCol w:w="3525"/>
      </w:tblGrid>
      <w:tr w:rsidR="00AE3402" w:rsidRPr="000A6DC4" w14:paraId="66E42FC8" w14:textId="77777777" w:rsidTr="00D00B71">
        <w:trPr>
          <w:tblHeader/>
        </w:trPr>
        <w:tc>
          <w:tcPr>
            <w:tcW w:w="875" w:type="pct"/>
            <w:shd w:val="clear" w:color="auto" w:fill="FFFF00"/>
          </w:tcPr>
          <w:p w14:paraId="3144D2CF" w14:textId="77777777" w:rsidR="00AE3402" w:rsidRPr="000A6DC4" w:rsidRDefault="00AE3402" w:rsidP="000038F8">
            <w:pPr>
              <w:rPr>
                <w:b/>
                <w:bCs/>
                <w:sz w:val="20"/>
                <w:szCs w:val="20"/>
              </w:rPr>
            </w:pPr>
            <w:r w:rsidRPr="000A6DC4">
              <w:rPr>
                <w:b/>
                <w:bCs/>
                <w:sz w:val="20"/>
                <w:szCs w:val="20"/>
              </w:rPr>
              <w:t>Author (Year)</w:t>
            </w:r>
          </w:p>
        </w:tc>
        <w:tc>
          <w:tcPr>
            <w:tcW w:w="875" w:type="pct"/>
            <w:shd w:val="clear" w:color="auto" w:fill="FFFF00"/>
          </w:tcPr>
          <w:p w14:paraId="2992B1A7" w14:textId="77777777" w:rsidR="00AE3402" w:rsidRPr="000A6DC4" w:rsidRDefault="00AE3402" w:rsidP="000038F8">
            <w:pPr>
              <w:rPr>
                <w:b/>
                <w:bCs/>
                <w:sz w:val="20"/>
                <w:szCs w:val="20"/>
              </w:rPr>
            </w:pPr>
            <w:r w:rsidRPr="000A6DC4">
              <w:rPr>
                <w:b/>
                <w:bCs/>
                <w:sz w:val="20"/>
                <w:szCs w:val="20"/>
              </w:rPr>
              <w:t xml:space="preserve">Measure used or described </w:t>
            </w:r>
          </w:p>
        </w:tc>
        <w:tc>
          <w:tcPr>
            <w:tcW w:w="875" w:type="pct"/>
            <w:shd w:val="clear" w:color="auto" w:fill="FFFF00"/>
          </w:tcPr>
          <w:p w14:paraId="7BB60BC9" w14:textId="77777777" w:rsidR="00AE3402" w:rsidRPr="000A6DC4" w:rsidRDefault="00AE3402" w:rsidP="000038F8">
            <w:pPr>
              <w:rPr>
                <w:b/>
                <w:bCs/>
                <w:sz w:val="20"/>
                <w:szCs w:val="20"/>
              </w:rPr>
            </w:pPr>
            <w:r w:rsidRPr="000A6DC4">
              <w:rPr>
                <w:b/>
                <w:bCs/>
                <w:sz w:val="20"/>
                <w:szCs w:val="20"/>
              </w:rPr>
              <w:t>Number of time points</w:t>
            </w:r>
          </w:p>
          <w:p w14:paraId="11EF2019" w14:textId="77777777" w:rsidR="00AE3402" w:rsidRPr="000A6DC4" w:rsidRDefault="00AE3402" w:rsidP="000038F8">
            <w:pPr>
              <w:rPr>
                <w:b/>
                <w:bCs/>
                <w:sz w:val="20"/>
                <w:szCs w:val="20"/>
              </w:rPr>
            </w:pPr>
            <w:r w:rsidRPr="000A6DC4">
              <w:rPr>
                <w:b/>
                <w:bCs/>
                <w:sz w:val="20"/>
                <w:szCs w:val="20"/>
              </w:rPr>
              <w:t>(n/a, one, two multiple)</w:t>
            </w:r>
          </w:p>
        </w:tc>
        <w:tc>
          <w:tcPr>
            <w:tcW w:w="1014" w:type="pct"/>
            <w:shd w:val="clear" w:color="auto" w:fill="FFFF00"/>
          </w:tcPr>
          <w:p w14:paraId="1DAF1F26" w14:textId="77777777" w:rsidR="00AE3402" w:rsidRPr="000A6DC4" w:rsidRDefault="00AE3402" w:rsidP="000038F8">
            <w:pPr>
              <w:rPr>
                <w:b/>
                <w:bCs/>
                <w:sz w:val="20"/>
                <w:szCs w:val="20"/>
              </w:rPr>
            </w:pPr>
            <w:r w:rsidRPr="000A6DC4">
              <w:rPr>
                <w:b/>
                <w:bCs/>
                <w:sz w:val="20"/>
                <w:szCs w:val="20"/>
              </w:rPr>
              <w:t>Conclusion</w:t>
            </w:r>
          </w:p>
        </w:tc>
        <w:tc>
          <w:tcPr>
            <w:tcW w:w="1361" w:type="pct"/>
            <w:shd w:val="clear" w:color="auto" w:fill="FFFF00"/>
          </w:tcPr>
          <w:p w14:paraId="624AB3E4" w14:textId="77777777" w:rsidR="00AE3402" w:rsidRPr="000A6DC4" w:rsidRDefault="00AE3402" w:rsidP="000038F8">
            <w:pPr>
              <w:rPr>
                <w:b/>
                <w:bCs/>
                <w:sz w:val="20"/>
                <w:szCs w:val="20"/>
              </w:rPr>
            </w:pPr>
            <w:r w:rsidRPr="000A6DC4">
              <w:rPr>
                <w:b/>
                <w:bCs/>
                <w:sz w:val="20"/>
                <w:szCs w:val="20"/>
              </w:rPr>
              <w:t xml:space="preserve">Limitations </w:t>
            </w:r>
          </w:p>
        </w:tc>
      </w:tr>
      <w:tr w:rsidR="00AE3402" w:rsidRPr="000A6DC4" w14:paraId="29D58C52" w14:textId="77777777" w:rsidTr="00D00B71">
        <w:tc>
          <w:tcPr>
            <w:tcW w:w="875" w:type="pct"/>
          </w:tcPr>
          <w:p w14:paraId="27A75470" w14:textId="77777777" w:rsidR="00AE3402" w:rsidRPr="000A6DC4" w:rsidRDefault="00AE3402" w:rsidP="000038F8">
            <w:pPr>
              <w:rPr>
                <w:sz w:val="20"/>
                <w:szCs w:val="20"/>
              </w:rPr>
            </w:pPr>
            <w:r w:rsidRPr="000A6DC4">
              <w:rPr>
                <w:sz w:val="20"/>
                <w:szCs w:val="20"/>
              </w:rPr>
              <w:t>Bigby (2018)</w:t>
            </w:r>
          </w:p>
          <w:p w14:paraId="595F0FAC" w14:textId="77777777" w:rsidR="00AE3402" w:rsidRPr="000A6DC4" w:rsidRDefault="00AE3402" w:rsidP="000038F8">
            <w:pPr>
              <w:rPr>
                <w:sz w:val="20"/>
                <w:szCs w:val="20"/>
              </w:rPr>
            </w:pPr>
          </w:p>
        </w:tc>
        <w:tc>
          <w:tcPr>
            <w:tcW w:w="875" w:type="pct"/>
          </w:tcPr>
          <w:p w14:paraId="40D04F38" w14:textId="77777777" w:rsidR="00AE3402" w:rsidRPr="000A6DC4" w:rsidRDefault="00AE3402" w:rsidP="000038F8">
            <w:pPr>
              <w:rPr>
                <w:sz w:val="20"/>
                <w:szCs w:val="20"/>
              </w:rPr>
            </w:pPr>
            <w:r w:rsidRPr="000A6DC4">
              <w:rPr>
                <w:sz w:val="20"/>
                <w:szCs w:val="20"/>
              </w:rPr>
              <w:t>Choice Making Scale</w:t>
            </w:r>
          </w:p>
        </w:tc>
        <w:tc>
          <w:tcPr>
            <w:tcW w:w="875" w:type="pct"/>
          </w:tcPr>
          <w:p w14:paraId="127BE665" w14:textId="77777777" w:rsidR="00AE3402" w:rsidRPr="000A6DC4" w:rsidRDefault="00AE3402" w:rsidP="000038F8">
            <w:pPr>
              <w:rPr>
                <w:sz w:val="20"/>
                <w:szCs w:val="20"/>
              </w:rPr>
            </w:pPr>
            <w:r w:rsidRPr="000A6DC4">
              <w:rPr>
                <w:sz w:val="20"/>
                <w:szCs w:val="20"/>
              </w:rPr>
              <w:t>Cross sectional study</w:t>
            </w:r>
          </w:p>
        </w:tc>
        <w:tc>
          <w:tcPr>
            <w:tcW w:w="1014" w:type="pct"/>
          </w:tcPr>
          <w:p w14:paraId="36427C5F" w14:textId="77777777" w:rsidR="00AE3402" w:rsidRPr="000A6DC4" w:rsidRDefault="00AE3402" w:rsidP="000038F8">
            <w:pPr>
              <w:rPr>
                <w:sz w:val="20"/>
                <w:szCs w:val="20"/>
              </w:rPr>
            </w:pPr>
            <w:r w:rsidRPr="000A6DC4">
              <w:rPr>
                <w:sz w:val="20"/>
                <w:szCs w:val="20"/>
              </w:rPr>
              <w:t>No differences between choice and control between the supported living and group home.</w:t>
            </w:r>
          </w:p>
        </w:tc>
        <w:tc>
          <w:tcPr>
            <w:tcW w:w="1361" w:type="pct"/>
          </w:tcPr>
          <w:p w14:paraId="2FAA0D86" w14:textId="7ED99D9C" w:rsidR="00AE3402" w:rsidRPr="000A6DC4" w:rsidRDefault="00AE3402" w:rsidP="000038F8">
            <w:pPr>
              <w:rPr>
                <w:sz w:val="20"/>
                <w:szCs w:val="20"/>
              </w:rPr>
            </w:pPr>
            <w:r w:rsidRPr="000A6DC4">
              <w:rPr>
                <w:sz w:val="20"/>
                <w:szCs w:val="20"/>
              </w:rPr>
              <w:t>No comparison control group</w:t>
            </w:r>
          </w:p>
        </w:tc>
      </w:tr>
      <w:tr w:rsidR="00AE3402" w:rsidRPr="000A6DC4" w14:paraId="3C1F5250" w14:textId="77777777" w:rsidTr="00D00B71">
        <w:tc>
          <w:tcPr>
            <w:tcW w:w="875" w:type="pct"/>
          </w:tcPr>
          <w:p w14:paraId="22A51EFE" w14:textId="262426E7" w:rsidR="00AE3402" w:rsidRPr="000A6DC4" w:rsidRDefault="00AE3402" w:rsidP="000038F8">
            <w:pPr>
              <w:rPr>
                <w:sz w:val="20"/>
                <w:szCs w:val="20"/>
              </w:rPr>
            </w:pPr>
            <w:r w:rsidRPr="000A6DC4">
              <w:rPr>
                <w:sz w:val="20"/>
                <w:szCs w:val="20"/>
              </w:rPr>
              <w:t xml:space="preserve">Chou et al </w:t>
            </w:r>
            <w:r w:rsidR="00C17B90">
              <w:rPr>
                <w:sz w:val="20"/>
                <w:szCs w:val="20"/>
              </w:rPr>
              <w:t>(</w:t>
            </w:r>
            <w:r w:rsidRPr="000A6DC4">
              <w:rPr>
                <w:sz w:val="20"/>
                <w:szCs w:val="20"/>
              </w:rPr>
              <w:t>2011</w:t>
            </w:r>
            <w:r w:rsidR="00C17B90">
              <w:rPr>
                <w:sz w:val="20"/>
                <w:szCs w:val="20"/>
              </w:rPr>
              <w:t>)</w:t>
            </w:r>
          </w:p>
          <w:p w14:paraId="33A2AF99" w14:textId="77777777" w:rsidR="00AE3402" w:rsidRPr="000A6DC4" w:rsidRDefault="00AE3402" w:rsidP="000038F8">
            <w:pPr>
              <w:rPr>
                <w:sz w:val="20"/>
                <w:szCs w:val="20"/>
              </w:rPr>
            </w:pPr>
          </w:p>
        </w:tc>
        <w:tc>
          <w:tcPr>
            <w:tcW w:w="875" w:type="pct"/>
          </w:tcPr>
          <w:p w14:paraId="794C143E" w14:textId="77777777" w:rsidR="00AE3402" w:rsidRPr="000A6DC4" w:rsidRDefault="00AE3402" w:rsidP="000038F8">
            <w:pPr>
              <w:rPr>
                <w:b/>
                <w:bCs/>
                <w:sz w:val="20"/>
                <w:szCs w:val="20"/>
              </w:rPr>
            </w:pPr>
            <w:r w:rsidRPr="000A6DC4">
              <w:rPr>
                <w:b/>
                <w:bCs/>
                <w:sz w:val="20"/>
                <w:szCs w:val="20"/>
              </w:rPr>
              <w:t>RCAS</w:t>
            </w:r>
          </w:p>
          <w:p w14:paraId="76B17A62" w14:textId="77777777" w:rsidR="00AE3402" w:rsidRPr="000A6DC4" w:rsidRDefault="00AE3402" w:rsidP="000038F8">
            <w:pPr>
              <w:rPr>
                <w:sz w:val="20"/>
                <w:szCs w:val="20"/>
              </w:rPr>
            </w:pPr>
            <w:r w:rsidRPr="000A6DC4">
              <w:rPr>
                <w:sz w:val="20"/>
                <w:szCs w:val="20"/>
              </w:rPr>
              <w:t xml:space="preserve">Residence Choice Assessment Scale </w:t>
            </w:r>
          </w:p>
        </w:tc>
        <w:tc>
          <w:tcPr>
            <w:tcW w:w="875" w:type="pct"/>
          </w:tcPr>
          <w:p w14:paraId="11B0F179" w14:textId="77777777" w:rsidR="00AE3402" w:rsidRPr="000A6DC4" w:rsidRDefault="00AE3402" w:rsidP="000038F8">
            <w:pPr>
              <w:rPr>
                <w:sz w:val="20"/>
                <w:szCs w:val="20"/>
              </w:rPr>
            </w:pPr>
            <w:r w:rsidRPr="000A6DC4">
              <w:rPr>
                <w:sz w:val="20"/>
                <w:szCs w:val="20"/>
              </w:rPr>
              <w:t>Pre/post design</w:t>
            </w:r>
          </w:p>
        </w:tc>
        <w:tc>
          <w:tcPr>
            <w:tcW w:w="1014" w:type="pct"/>
          </w:tcPr>
          <w:p w14:paraId="4C2C69C6" w14:textId="3AD81B68" w:rsidR="00AE3402" w:rsidRPr="000A6DC4" w:rsidRDefault="00AE3402" w:rsidP="000038F8">
            <w:pPr>
              <w:rPr>
                <w:sz w:val="20"/>
                <w:szCs w:val="20"/>
              </w:rPr>
            </w:pPr>
            <w:r w:rsidRPr="000A6DC4">
              <w:rPr>
                <w:sz w:val="20"/>
                <w:szCs w:val="20"/>
              </w:rPr>
              <w:t>Limited to no-choice available to residents at the two-year follow-up in the de</w:t>
            </w:r>
            <w:r>
              <w:rPr>
                <w:sz w:val="20"/>
                <w:szCs w:val="20"/>
              </w:rPr>
              <w:t>-</w:t>
            </w:r>
            <w:r w:rsidRPr="000A6DC4">
              <w:rPr>
                <w:sz w:val="20"/>
                <w:szCs w:val="20"/>
              </w:rPr>
              <w:t>congregated setting.</w:t>
            </w:r>
          </w:p>
        </w:tc>
        <w:tc>
          <w:tcPr>
            <w:tcW w:w="1361" w:type="pct"/>
          </w:tcPr>
          <w:p w14:paraId="5EE2C152" w14:textId="409BBD05" w:rsidR="00AE3402" w:rsidRPr="000A6DC4" w:rsidRDefault="00AE3402" w:rsidP="000038F8">
            <w:pPr>
              <w:rPr>
                <w:sz w:val="20"/>
                <w:szCs w:val="20"/>
              </w:rPr>
            </w:pPr>
            <w:r w:rsidRPr="000A6DC4">
              <w:rPr>
                <w:sz w:val="20"/>
                <w:szCs w:val="20"/>
              </w:rPr>
              <w:t>No comparison control group</w:t>
            </w:r>
          </w:p>
        </w:tc>
      </w:tr>
      <w:tr w:rsidR="00AE3402" w:rsidRPr="000A6DC4" w14:paraId="49BBAD52" w14:textId="77777777" w:rsidTr="00D00B71">
        <w:tc>
          <w:tcPr>
            <w:tcW w:w="875" w:type="pct"/>
          </w:tcPr>
          <w:p w14:paraId="231DC67C" w14:textId="7FA80D01" w:rsidR="00AE3402" w:rsidRPr="000A6DC4" w:rsidRDefault="00AE3402" w:rsidP="000038F8">
            <w:pPr>
              <w:rPr>
                <w:sz w:val="20"/>
                <w:szCs w:val="20"/>
              </w:rPr>
            </w:pPr>
            <w:r w:rsidRPr="000A6DC4">
              <w:rPr>
                <w:sz w:val="20"/>
                <w:szCs w:val="20"/>
              </w:rPr>
              <w:t xml:space="preserve">Cooper &amp; Picton </w:t>
            </w:r>
            <w:r w:rsidR="00C17B90">
              <w:rPr>
                <w:sz w:val="20"/>
                <w:szCs w:val="20"/>
              </w:rPr>
              <w:t>(</w:t>
            </w:r>
            <w:r w:rsidRPr="000A6DC4">
              <w:rPr>
                <w:sz w:val="20"/>
                <w:szCs w:val="20"/>
              </w:rPr>
              <w:t>2000</w:t>
            </w:r>
            <w:r w:rsidR="00C17B90">
              <w:rPr>
                <w:sz w:val="20"/>
                <w:szCs w:val="20"/>
              </w:rPr>
              <w:t>)</w:t>
            </w:r>
          </w:p>
          <w:p w14:paraId="48543699" w14:textId="77777777" w:rsidR="00AE3402" w:rsidRPr="000A6DC4" w:rsidRDefault="00AE3402" w:rsidP="000038F8">
            <w:pPr>
              <w:rPr>
                <w:sz w:val="20"/>
                <w:szCs w:val="20"/>
              </w:rPr>
            </w:pPr>
          </w:p>
        </w:tc>
        <w:tc>
          <w:tcPr>
            <w:tcW w:w="875" w:type="pct"/>
          </w:tcPr>
          <w:p w14:paraId="0674B3FB" w14:textId="77777777" w:rsidR="00AE3402" w:rsidRPr="000A6DC4" w:rsidRDefault="00AE3402" w:rsidP="000038F8">
            <w:pPr>
              <w:rPr>
                <w:b/>
                <w:bCs/>
                <w:sz w:val="20"/>
                <w:szCs w:val="20"/>
              </w:rPr>
            </w:pPr>
            <w:r w:rsidRPr="000A6DC4">
              <w:rPr>
                <w:b/>
                <w:bCs/>
                <w:sz w:val="20"/>
                <w:szCs w:val="20"/>
              </w:rPr>
              <w:t>SCES</w:t>
            </w:r>
          </w:p>
          <w:p w14:paraId="46294C6C" w14:textId="77777777" w:rsidR="00AE3402" w:rsidRPr="000A6DC4" w:rsidRDefault="00AE3402" w:rsidP="000038F8">
            <w:pPr>
              <w:rPr>
                <w:sz w:val="20"/>
                <w:szCs w:val="20"/>
              </w:rPr>
            </w:pPr>
            <w:r w:rsidRPr="000A6DC4">
              <w:rPr>
                <w:sz w:val="20"/>
                <w:szCs w:val="20"/>
              </w:rPr>
              <w:t>Sheltered Care Environment Scale</w:t>
            </w:r>
          </w:p>
        </w:tc>
        <w:tc>
          <w:tcPr>
            <w:tcW w:w="875" w:type="pct"/>
          </w:tcPr>
          <w:p w14:paraId="39659377" w14:textId="77777777" w:rsidR="00AE3402" w:rsidRPr="000A6DC4" w:rsidRDefault="00AE3402" w:rsidP="000038F8">
            <w:pPr>
              <w:rPr>
                <w:sz w:val="20"/>
                <w:szCs w:val="20"/>
              </w:rPr>
            </w:pPr>
            <w:r w:rsidRPr="000A6DC4">
              <w:rPr>
                <w:sz w:val="20"/>
                <w:szCs w:val="20"/>
              </w:rPr>
              <w:t>Pre/post and follow up design: baseline, six months and three years post transition</w:t>
            </w:r>
          </w:p>
        </w:tc>
        <w:tc>
          <w:tcPr>
            <w:tcW w:w="1014" w:type="pct"/>
          </w:tcPr>
          <w:p w14:paraId="08D719F8" w14:textId="77777777" w:rsidR="00AE3402" w:rsidRPr="000A6DC4" w:rsidRDefault="00AE3402" w:rsidP="000038F8">
            <w:pPr>
              <w:rPr>
                <w:sz w:val="20"/>
                <w:szCs w:val="20"/>
              </w:rPr>
            </w:pPr>
            <w:r w:rsidRPr="000A6DC4">
              <w:rPr>
                <w:sz w:val="20"/>
                <w:szCs w:val="20"/>
              </w:rPr>
              <w:t>Significant but small increases at six-month follow-up.</w:t>
            </w:r>
          </w:p>
        </w:tc>
        <w:tc>
          <w:tcPr>
            <w:tcW w:w="1361" w:type="pct"/>
          </w:tcPr>
          <w:p w14:paraId="3F0BFB7D" w14:textId="77E2A6C4" w:rsidR="00AE3402" w:rsidRPr="000A6DC4" w:rsidRDefault="00AE3402" w:rsidP="000038F8">
            <w:pPr>
              <w:rPr>
                <w:sz w:val="20"/>
                <w:szCs w:val="20"/>
              </w:rPr>
            </w:pPr>
            <w:r w:rsidRPr="000A6DC4">
              <w:rPr>
                <w:sz w:val="20"/>
                <w:szCs w:val="20"/>
              </w:rPr>
              <w:t>No comparison control group</w:t>
            </w:r>
          </w:p>
        </w:tc>
      </w:tr>
      <w:tr w:rsidR="00AE3402" w:rsidRPr="000A6DC4" w14:paraId="2D58BE87" w14:textId="77777777" w:rsidTr="00D00B71">
        <w:tc>
          <w:tcPr>
            <w:tcW w:w="875" w:type="pct"/>
          </w:tcPr>
          <w:p w14:paraId="35BA5095" w14:textId="6357A124" w:rsidR="00AE3402" w:rsidRPr="000A6DC4" w:rsidRDefault="00AE3402" w:rsidP="000038F8">
            <w:pPr>
              <w:rPr>
                <w:sz w:val="20"/>
                <w:szCs w:val="20"/>
              </w:rPr>
            </w:pPr>
            <w:r w:rsidRPr="000A6DC4">
              <w:rPr>
                <w:sz w:val="20"/>
                <w:szCs w:val="20"/>
              </w:rPr>
              <w:t xml:space="preserve">Emerson </w:t>
            </w:r>
            <w:r>
              <w:rPr>
                <w:sz w:val="20"/>
                <w:szCs w:val="20"/>
              </w:rPr>
              <w:t xml:space="preserve">et al </w:t>
            </w:r>
            <w:r w:rsidR="00C17B90">
              <w:rPr>
                <w:sz w:val="20"/>
                <w:szCs w:val="20"/>
              </w:rPr>
              <w:t>(</w:t>
            </w:r>
            <w:r w:rsidRPr="000A6DC4">
              <w:rPr>
                <w:sz w:val="20"/>
                <w:szCs w:val="20"/>
              </w:rPr>
              <w:t>2000</w:t>
            </w:r>
            <w:r w:rsidR="00C17B90">
              <w:rPr>
                <w:sz w:val="20"/>
                <w:szCs w:val="20"/>
              </w:rPr>
              <w:t>)</w:t>
            </w:r>
          </w:p>
          <w:p w14:paraId="47B232CE" w14:textId="77777777" w:rsidR="00AE3402" w:rsidRPr="000A6DC4" w:rsidRDefault="00AE3402" w:rsidP="000038F8">
            <w:pPr>
              <w:rPr>
                <w:sz w:val="20"/>
                <w:szCs w:val="20"/>
              </w:rPr>
            </w:pPr>
          </w:p>
        </w:tc>
        <w:tc>
          <w:tcPr>
            <w:tcW w:w="875" w:type="pct"/>
          </w:tcPr>
          <w:p w14:paraId="1D93AAE3" w14:textId="77777777" w:rsidR="00AE3402" w:rsidRPr="000A6DC4" w:rsidRDefault="00AE3402" w:rsidP="000038F8">
            <w:pPr>
              <w:rPr>
                <w:sz w:val="20"/>
                <w:szCs w:val="20"/>
              </w:rPr>
            </w:pPr>
            <w:r w:rsidRPr="000A6DC4">
              <w:rPr>
                <w:sz w:val="20"/>
                <w:szCs w:val="20"/>
              </w:rPr>
              <w:t>Choice and Control Scale</w:t>
            </w:r>
          </w:p>
        </w:tc>
        <w:tc>
          <w:tcPr>
            <w:tcW w:w="875" w:type="pct"/>
          </w:tcPr>
          <w:p w14:paraId="450F833B" w14:textId="77777777" w:rsidR="00AE3402" w:rsidRPr="000A6DC4" w:rsidRDefault="00AE3402" w:rsidP="000038F8">
            <w:pPr>
              <w:rPr>
                <w:sz w:val="20"/>
                <w:szCs w:val="20"/>
              </w:rPr>
            </w:pPr>
            <w:r w:rsidRPr="000A6DC4">
              <w:rPr>
                <w:sz w:val="20"/>
                <w:szCs w:val="20"/>
              </w:rPr>
              <w:t>Cross sectional design</w:t>
            </w:r>
          </w:p>
        </w:tc>
        <w:tc>
          <w:tcPr>
            <w:tcW w:w="1014" w:type="pct"/>
          </w:tcPr>
          <w:p w14:paraId="7F2A542F" w14:textId="77777777" w:rsidR="00AE3402" w:rsidRPr="000A6DC4" w:rsidRDefault="00AE3402" w:rsidP="000038F8">
            <w:pPr>
              <w:rPr>
                <w:sz w:val="20"/>
                <w:szCs w:val="20"/>
              </w:rPr>
            </w:pPr>
            <w:r w:rsidRPr="000A6DC4">
              <w:rPr>
                <w:sz w:val="20"/>
                <w:szCs w:val="20"/>
              </w:rPr>
              <w:t>Greater resident choice in dispersed housing schemes compared to residential campus but no differences between dispersed housing and village communities.</w:t>
            </w:r>
          </w:p>
        </w:tc>
        <w:tc>
          <w:tcPr>
            <w:tcW w:w="1361" w:type="pct"/>
          </w:tcPr>
          <w:p w14:paraId="15EC828B" w14:textId="30865072" w:rsidR="00AE3402" w:rsidRPr="000A6DC4" w:rsidRDefault="00AE3402" w:rsidP="000038F8">
            <w:pPr>
              <w:rPr>
                <w:sz w:val="20"/>
                <w:szCs w:val="20"/>
              </w:rPr>
            </w:pPr>
            <w:r w:rsidRPr="000A6DC4">
              <w:rPr>
                <w:sz w:val="20"/>
                <w:szCs w:val="20"/>
              </w:rPr>
              <w:t>Cross sectional design limits inferences about longitudinal change</w:t>
            </w:r>
          </w:p>
        </w:tc>
      </w:tr>
      <w:tr w:rsidR="00AE3402" w:rsidRPr="000A6DC4" w14:paraId="55952563" w14:textId="77777777" w:rsidTr="00D00B71">
        <w:tc>
          <w:tcPr>
            <w:tcW w:w="875" w:type="pct"/>
          </w:tcPr>
          <w:p w14:paraId="3CD9A768" w14:textId="79275B97" w:rsidR="00AE3402" w:rsidRPr="000A6DC4" w:rsidRDefault="00AE3402" w:rsidP="000038F8">
            <w:pPr>
              <w:rPr>
                <w:sz w:val="20"/>
                <w:szCs w:val="20"/>
              </w:rPr>
            </w:pPr>
            <w:r w:rsidRPr="000A6DC4">
              <w:rPr>
                <w:sz w:val="20"/>
                <w:szCs w:val="20"/>
              </w:rPr>
              <w:t xml:space="preserve">Fahey et al </w:t>
            </w:r>
            <w:r w:rsidR="00C17B90">
              <w:rPr>
                <w:sz w:val="20"/>
                <w:szCs w:val="20"/>
              </w:rPr>
              <w:t>(</w:t>
            </w:r>
            <w:r w:rsidRPr="000A6DC4">
              <w:rPr>
                <w:sz w:val="20"/>
                <w:szCs w:val="20"/>
              </w:rPr>
              <w:t>2010</w:t>
            </w:r>
            <w:r w:rsidR="00C17B90">
              <w:rPr>
                <w:sz w:val="20"/>
                <w:szCs w:val="20"/>
              </w:rPr>
              <w:t>)</w:t>
            </w:r>
          </w:p>
          <w:p w14:paraId="04F82424" w14:textId="77777777" w:rsidR="00AE3402" w:rsidRPr="000A6DC4" w:rsidRDefault="00AE3402" w:rsidP="000038F8">
            <w:pPr>
              <w:rPr>
                <w:sz w:val="20"/>
                <w:szCs w:val="20"/>
              </w:rPr>
            </w:pPr>
          </w:p>
        </w:tc>
        <w:tc>
          <w:tcPr>
            <w:tcW w:w="875" w:type="pct"/>
          </w:tcPr>
          <w:p w14:paraId="14D85ED5" w14:textId="77777777" w:rsidR="00AE3402" w:rsidRPr="000A6DC4" w:rsidRDefault="00AE3402" w:rsidP="000038F8">
            <w:pPr>
              <w:rPr>
                <w:sz w:val="20"/>
                <w:szCs w:val="20"/>
              </w:rPr>
            </w:pPr>
            <w:r w:rsidRPr="000A6DC4">
              <w:rPr>
                <w:sz w:val="20"/>
                <w:szCs w:val="20"/>
              </w:rPr>
              <w:t>Resident Choice Scale</w:t>
            </w:r>
          </w:p>
        </w:tc>
        <w:tc>
          <w:tcPr>
            <w:tcW w:w="875" w:type="pct"/>
          </w:tcPr>
          <w:p w14:paraId="4BBAC275" w14:textId="77777777" w:rsidR="00AE3402" w:rsidRPr="000A6DC4" w:rsidRDefault="00AE3402" w:rsidP="000038F8">
            <w:pPr>
              <w:rPr>
                <w:sz w:val="20"/>
                <w:szCs w:val="20"/>
              </w:rPr>
            </w:pPr>
            <w:r w:rsidRPr="000A6DC4">
              <w:rPr>
                <w:sz w:val="20"/>
                <w:szCs w:val="20"/>
              </w:rPr>
              <w:t>Cross sectional design</w:t>
            </w:r>
          </w:p>
        </w:tc>
        <w:tc>
          <w:tcPr>
            <w:tcW w:w="1014" w:type="pct"/>
          </w:tcPr>
          <w:p w14:paraId="56C2DB5E" w14:textId="77777777" w:rsidR="00AE3402" w:rsidRPr="000A6DC4" w:rsidRDefault="00AE3402" w:rsidP="000038F8">
            <w:pPr>
              <w:rPr>
                <w:sz w:val="20"/>
                <w:szCs w:val="20"/>
              </w:rPr>
            </w:pPr>
            <w:r w:rsidRPr="000A6DC4">
              <w:rPr>
                <w:sz w:val="20"/>
                <w:szCs w:val="20"/>
              </w:rPr>
              <w:t>Camphill residents had greater choice than campus residents, but less choice than group home residents.</w:t>
            </w:r>
          </w:p>
        </w:tc>
        <w:tc>
          <w:tcPr>
            <w:tcW w:w="1361" w:type="pct"/>
          </w:tcPr>
          <w:p w14:paraId="0C668F53" w14:textId="26E58EC2" w:rsidR="00AE3402" w:rsidRPr="000A6DC4" w:rsidRDefault="00AE3402" w:rsidP="000038F8">
            <w:pPr>
              <w:rPr>
                <w:sz w:val="20"/>
                <w:szCs w:val="20"/>
              </w:rPr>
            </w:pPr>
            <w:r w:rsidRPr="000A6DC4">
              <w:rPr>
                <w:sz w:val="20"/>
                <w:szCs w:val="20"/>
              </w:rPr>
              <w:t>Cross sectional design limits inferences about longitudinal change</w:t>
            </w:r>
          </w:p>
        </w:tc>
      </w:tr>
      <w:tr w:rsidR="00AE3402" w:rsidRPr="000A6DC4" w14:paraId="2774A43D" w14:textId="77777777" w:rsidTr="00D00B71">
        <w:tc>
          <w:tcPr>
            <w:tcW w:w="875" w:type="pct"/>
          </w:tcPr>
          <w:p w14:paraId="7CE6AABE" w14:textId="50476BDF" w:rsidR="00AE3402" w:rsidRPr="000A6DC4" w:rsidRDefault="00AE3402" w:rsidP="000038F8">
            <w:pPr>
              <w:rPr>
                <w:sz w:val="20"/>
                <w:szCs w:val="20"/>
              </w:rPr>
            </w:pPr>
            <w:r w:rsidRPr="000A6DC4">
              <w:rPr>
                <w:sz w:val="20"/>
                <w:szCs w:val="20"/>
              </w:rPr>
              <w:t xml:space="preserve">Wehmeyer et al </w:t>
            </w:r>
            <w:r w:rsidR="00C17B90">
              <w:rPr>
                <w:sz w:val="20"/>
                <w:szCs w:val="20"/>
              </w:rPr>
              <w:t>(</w:t>
            </w:r>
            <w:r w:rsidRPr="000A6DC4">
              <w:rPr>
                <w:sz w:val="20"/>
                <w:szCs w:val="20"/>
              </w:rPr>
              <w:t>2001</w:t>
            </w:r>
            <w:r w:rsidR="00C17B90">
              <w:rPr>
                <w:sz w:val="20"/>
                <w:szCs w:val="20"/>
              </w:rPr>
              <w:t>)</w:t>
            </w:r>
          </w:p>
          <w:p w14:paraId="38312CB1" w14:textId="77777777" w:rsidR="00AE3402" w:rsidRPr="000A6DC4" w:rsidRDefault="00AE3402" w:rsidP="000038F8">
            <w:pPr>
              <w:rPr>
                <w:sz w:val="20"/>
                <w:szCs w:val="20"/>
              </w:rPr>
            </w:pPr>
          </w:p>
        </w:tc>
        <w:tc>
          <w:tcPr>
            <w:tcW w:w="875" w:type="pct"/>
          </w:tcPr>
          <w:p w14:paraId="0E228080" w14:textId="77777777" w:rsidR="00AE3402" w:rsidRPr="000A6DC4" w:rsidRDefault="00AE3402" w:rsidP="000038F8">
            <w:pPr>
              <w:rPr>
                <w:b/>
                <w:bCs/>
                <w:sz w:val="20"/>
                <w:szCs w:val="20"/>
              </w:rPr>
            </w:pPr>
            <w:r w:rsidRPr="000A6DC4">
              <w:rPr>
                <w:b/>
                <w:bCs/>
                <w:sz w:val="20"/>
                <w:szCs w:val="20"/>
              </w:rPr>
              <w:t>SDS</w:t>
            </w:r>
          </w:p>
          <w:p w14:paraId="5CA85649" w14:textId="77777777" w:rsidR="00AE3402" w:rsidRPr="000A6DC4" w:rsidRDefault="00AE3402" w:rsidP="000038F8">
            <w:pPr>
              <w:rPr>
                <w:sz w:val="20"/>
                <w:szCs w:val="20"/>
              </w:rPr>
            </w:pPr>
            <w:r w:rsidRPr="000A6DC4">
              <w:rPr>
                <w:sz w:val="20"/>
                <w:szCs w:val="20"/>
              </w:rPr>
              <w:t xml:space="preserve">Arc’s Self-Determination Scale - Adult Version </w:t>
            </w:r>
          </w:p>
        </w:tc>
        <w:tc>
          <w:tcPr>
            <w:tcW w:w="875" w:type="pct"/>
          </w:tcPr>
          <w:p w14:paraId="410319AB" w14:textId="77777777" w:rsidR="00AE3402" w:rsidRPr="000A6DC4" w:rsidRDefault="00AE3402" w:rsidP="000038F8">
            <w:pPr>
              <w:rPr>
                <w:sz w:val="20"/>
                <w:szCs w:val="20"/>
              </w:rPr>
            </w:pPr>
            <w:r w:rsidRPr="000A6DC4">
              <w:rPr>
                <w:sz w:val="20"/>
                <w:szCs w:val="20"/>
              </w:rPr>
              <w:t>One group pre/post repeated measures design</w:t>
            </w:r>
          </w:p>
        </w:tc>
        <w:tc>
          <w:tcPr>
            <w:tcW w:w="1014" w:type="pct"/>
          </w:tcPr>
          <w:p w14:paraId="2EFC8539" w14:textId="77777777" w:rsidR="00AE3402" w:rsidRPr="000A6DC4" w:rsidRDefault="00AE3402" w:rsidP="000038F8">
            <w:pPr>
              <w:rPr>
                <w:sz w:val="20"/>
                <w:szCs w:val="20"/>
              </w:rPr>
            </w:pPr>
            <w:r w:rsidRPr="000A6DC4">
              <w:rPr>
                <w:sz w:val="20"/>
                <w:szCs w:val="20"/>
              </w:rPr>
              <w:t>Significant improvement in self-determination post transition.</w:t>
            </w:r>
          </w:p>
        </w:tc>
        <w:tc>
          <w:tcPr>
            <w:tcW w:w="1361" w:type="pct"/>
          </w:tcPr>
          <w:p w14:paraId="288F95DA" w14:textId="3273ECB6" w:rsidR="00AE3402" w:rsidRPr="000A6DC4" w:rsidRDefault="00AE3402" w:rsidP="000038F8">
            <w:pPr>
              <w:rPr>
                <w:sz w:val="20"/>
                <w:szCs w:val="20"/>
              </w:rPr>
            </w:pPr>
            <w:r w:rsidRPr="000A6DC4">
              <w:rPr>
                <w:sz w:val="20"/>
                <w:szCs w:val="20"/>
              </w:rPr>
              <w:t>No comparison control group</w:t>
            </w:r>
          </w:p>
        </w:tc>
      </w:tr>
      <w:tr w:rsidR="00AE3402" w:rsidRPr="000A6DC4" w14:paraId="023093AB" w14:textId="77777777" w:rsidTr="00D00B71">
        <w:tc>
          <w:tcPr>
            <w:tcW w:w="875" w:type="pct"/>
          </w:tcPr>
          <w:p w14:paraId="261CA191" w14:textId="73B84ABD" w:rsidR="00AE3402" w:rsidRPr="000A6DC4" w:rsidRDefault="00AE3402" w:rsidP="000038F8">
            <w:pPr>
              <w:rPr>
                <w:sz w:val="20"/>
                <w:szCs w:val="20"/>
              </w:rPr>
            </w:pPr>
            <w:r w:rsidRPr="000A6DC4">
              <w:rPr>
                <w:sz w:val="20"/>
                <w:szCs w:val="20"/>
              </w:rPr>
              <w:t xml:space="preserve">Wehmeyer et al </w:t>
            </w:r>
            <w:r w:rsidR="00C17B90">
              <w:rPr>
                <w:sz w:val="20"/>
                <w:szCs w:val="20"/>
              </w:rPr>
              <w:t>(</w:t>
            </w:r>
            <w:r w:rsidRPr="000A6DC4">
              <w:rPr>
                <w:sz w:val="20"/>
                <w:szCs w:val="20"/>
              </w:rPr>
              <w:t>2001</w:t>
            </w:r>
            <w:r w:rsidR="00C17B90">
              <w:rPr>
                <w:sz w:val="20"/>
                <w:szCs w:val="20"/>
              </w:rPr>
              <w:t>)</w:t>
            </w:r>
          </w:p>
        </w:tc>
        <w:tc>
          <w:tcPr>
            <w:tcW w:w="875" w:type="pct"/>
          </w:tcPr>
          <w:p w14:paraId="43E94A31" w14:textId="77777777" w:rsidR="00AE3402" w:rsidRPr="000A6DC4" w:rsidRDefault="00AE3402" w:rsidP="000038F8">
            <w:pPr>
              <w:rPr>
                <w:b/>
                <w:bCs/>
                <w:sz w:val="20"/>
                <w:szCs w:val="20"/>
              </w:rPr>
            </w:pPr>
            <w:r w:rsidRPr="000A6DC4">
              <w:rPr>
                <w:b/>
                <w:bCs/>
                <w:sz w:val="20"/>
                <w:szCs w:val="20"/>
              </w:rPr>
              <w:t>AFC</w:t>
            </w:r>
          </w:p>
          <w:p w14:paraId="67D00194" w14:textId="77777777" w:rsidR="00AE3402" w:rsidRPr="000A6DC4" w:rsidRDefault="00AE3402" w:rsidP="000038F8">
            <w:pPr>
              <w:rPr>
                <w:sz w:val="20"/>
                <w:szCs w:val="20"/>
              </w:rPr>
            </w:pPr>
            <w:r w:rsidRPr="000A6DC4">
              <w:rPr>
                <w:sz w:val="20"/>
                <w:szCs w:val="20"/>
              </w:rPr>
              <w:t xml:space="preserve">Autonomous Functioning Checklist </w:t>
            </w:r>
          </w:p>
        </w:tc>
        <w:tc>
          <w:tcPr>
            <w:tcW w:w="875" w:type="pct"/>
          </w:tcPr>
          <w:p w14:paraId="31D98B6B" w14:textId="77777777" w:rsidR="00AE3402" w:rsidRPr="000A6DC4" w:rsidRDefault="00AE3402" w:rsidP="000038F8">
            <w:pPr>
              <w:rPr>
                <w:sz w:val="20"/>
                <w:szCs w:val="20"/>
              </w:rPr>
            </w:pPr>
            <w:r w:rsidRPr="000A6DC4">
              <w:rPr>
                <w:sz w:val="20"/>
                <w:szCs w:val="20"/>
              </w:rPr>
              <w:t>One group pre/post repeated measures design</w:t>
            </w:r>
          </w:p>
        </w:tc>
        <w:tc>
          <w:tcPr>
            <w:tcW w:w="1014" w:type="pct"/>
          </w:tcPr>
          <w:p w14:paraId="01C65CFE" w14:textId="77777777" w:rsidR="00AE3402" w:rsidRPr="000A6DC4" w:rsidRDefault="00AE3402" w:rsidP="000038F8">
            <w:pPr>
              <w:rPr>
                <w:sz w:val="20"/>
                <w:szCs w:val="20"/>
              </w:rPr>
            </w:pPr>
            <w:r w:rsidRPr="000A6DC4">
              <w:rPr>
                <w:sz w:val="20"/>
                <w:szCs w:val="20"/>
              </w:rPr>
              <w:t>Significant improvement in autonomous functioning of life post transition.</w:t>
            </w:r>
          </w:p>
        </w:tc>
        <w:tc>
          <w:tcPr>
            <w:tcW w:w="1361" w:type="pct"/>
          </w:tcPr>
          <w:p w14:paraId="31EA3CF0" w14:textId="0A2E2D3B" w:rsidR="00AE3402" w:rsidRPr="000A6DC4" w:rsidRDefault="00AE3402" w:rsidP="000038F8">
            <w:pPr>
              <w:rPr>
                <w:sz w:val="20"/>
                <w:szCs w:val="20"/>
              </w:rPr>
            </w:pPr>
            <w:r w:rsidRPr="000A6DC4">
              <w:rPr>
                <w:sz w:val="20"/>
                <w:szCs w:val="20"/>
              </w:rPr>
              <w:t>No comparison control group</w:t>
            </w:r>
          </w:p>
        </w:tc>
      </w:tr>
      <w:tr w:rsidR="00AE3402" w:rsidRPr="000A6DC4" w14:paraId="55F7082E" w14:textId="77777777" w:rsidTr="00D00B71">
        <w:tc>
          <w:tcPr>
            <w:tcW w:w="875" w:type="pct"/>
          </w:tcPr>
          <w:p w14:paraId="6837C656" w14:textId="3AB3DF6A" w:rsidR="00AE3402" w:rsidRPr="000A6DC4" w:rsidRDefault="00AE3402" w:rsidP="00D00B71">
            <w:pPr>
              <w:keepNext/>
              <w:rPr>
                <w:sz w:val="20"/>
                <w:szCs w:val="20"/>
              </w:rPr>
            </w:pPr>
            <w:r w:rsidRPr="000A6DC4">
              <w:rPr>
                <w:sz w:val="20"/>
                <w:szCs w:val="20"/>
              </w:rPr>
              <w:lastRenderedPageBreak/>
              <w:t xml:space="preserve">Wehmeyer et al </w:t>
            </w:r>
            <w:r w:rsidR="00C17B90">
              <w:rPr>
                <w:sz w:val="20"/>
                <w:szCs w:val="20"/>
              </w:rPr>
              <w:t>(</w:t>
            </w:r>
            <w:r w:rsidRPr="000A6DC4">
              <w:rPr>
                <w:sz w:val="20"/>
                <w:szCs w:val="20"/>
              </w:rPr>
              <w:t>2001</w:t>
            </w:r>
            <w:r w:rsidR="00C17B90">
              <w:rPr>
                <w:sz w:val="20"/>
                <w:szCs w:val="20"/>
              </w:rPr>
              <w:t>)</w:t>
            </w:r>
          </w:p>
        </w:tc>
        <w:tc>
          <w:tcPr>
            <w:tcW w:w="875" w:type="pct"/>
          </w:tcPr>
          <w:p w14:paraId="00FFCFD7" w14:textId="77777777" w:rsidR="00AE3402" w:rsidRPr="000A6DC4" w:rsidRDefault="00AE3402" w:rsidP="00D00B71">
            <w:pPr>
              <w:keepNext/>
              <w:rPr>
                <w:b/>
                <w:bCs/>
                <w:sz w:val="20"/>
                <w:szCs w:val="20"/>
              </w:rPr>
            </w:pPr>
            <w:r w:rsidRPr="000A6DC4">
              <w:rPr>
                <w:b/>
                <w:bCs/>
                <w:sz w:val="20"/>
                <w:szCs w:val="20"/>
              </w:rPr>
              <w:t>LCS</w:t>
            </w:r>
          </w:p>
          <w:p w14:paraId="70D50FE5" w14:textId="77777777" w:rsidR="00AE3402" w:rsidRPr="000A6DC4" w:rsidRDefault="00AE3402" w:rsidP="00D00B71">
            <w:pPr>
              <w:keepNext/>
              <w:rPr>
                <w:sz w:val="20"/>
                <w:szCs w:val="20"/>
              </w:rPr>
            </w:pPr>
            <w:r w:rsidRPr="000A6DC4">
              <w:rPr>
                <w:sz w:val="20"/>
                <w:szCs w:val="20"/>
              </w:rPr>
              <w:t xml:space="preserve">Self-Report Life Choices Survey </w:t>
            </w:r>
          </w:p>
        </w:tc>
        <w:tc>
          <w:tcPr>
            <w:tcW w:w="875" w:type="pct"/>
          </w:tcPr>
          <w:p w14:paraId="38CFA527" w14:textId="1D1BC83F" w:rsidR="00AE3402" w:rsidRPr="000A6DC4" w:rsidRDefault="00AE3402" w:rsidP="00D00B71">
            <w:pPr>
              <w:keepNext/>
              <w:rPr>
                <w:sz w:val="20"/>
                <w:szCs w:val="20"/>
              </w:rPr>
            </w:pPr>
            <w:r w:rsidRPr="000A6DC4">
              <w:rPr>
                <w:sz w:val="20"/>
                <w:szCs w:val="20"/>
              </w:rPr>
              <w:t>One group pre/post repeated measures design</w:t>
            </w:r>
          </w:p>
        </w:tc>
        <w:tc>
          <w:tcPr>
            <w:tcW w:w="1014" w:type="pct"/>
            <w:shd w:val="clear" w:color="auto" w:fill="auto"/>
          </w:tcPr>
          <w:p w14:paraId="10FF89D6" w14:textId="5BF6DACD" w:rsidR="00AE3402" w:rsidRPr="000A6DC4" w:rsidRDefault="0074099C" w:rsidP="00D00B71">
            <w:pPr>
              <w:keepNext/>
              <w:rPr>
                <w:sz w:val="20"/>
                <w:szCs w:val="20"/>
              </w:rPr>
            </w:pPr>
            <w:r>
              <w:rPr>
                <w:sz w:val="20"/>
                <w:szCs w:val="20"/>
              </w:rPr>
              <w:t>Significant</w:t>
            </w:r>
            <w:r w:rsidR="00A5332A">
              <w:rPr>
                <w:sz w:val="20"/>
                <w:szCs w:val="20"/>
              </w:rPr>
              <w:t xml:space="preserve"> </w:t>
            </w:r>
            <w:r w:rsidRPr="0074099C">
              <w:rPr>
                <w:sz w:val="20"/>
                <w:szCs w:val="20"/>
              </w:rPr>
              <w:t>changes, in each case in a more adaptive direction,</w:t>
            </w:r>
            <w:r w:rsidR="00A5332A">
              <w:rPr>
                <w:sz w:val="20"/>
                <w:szCs w:val="20"/>
              </w:rPr>
              <w:t xml:space="preserve"> </w:t>
            </w:r>
            <w:r w:rsidRPr="0074099C">
              <w:rPr>
                <w:sz w:val="20"/>
                <w:szCs w:val="20"/>
              </w:rPr>
              <w:t>in self-determination, autonomous functioning and</w:t>
            </w:r>
            <w:r w:rsidR="00A5332A">
              <w:rPr>
                <w:sz w:val="20"/>
                <w:szCs w:val="20"/>
              </w:rPr>
              <w:t xml:space="preserve"> </w:t>
            </w:r>
            <w:r w:rsidRPr="0074099C">
              <w:rPr>
                <w:sz w:val="20"/>
                <w:szCs w:val="20"/>
              </w:rPr>
              <w:t>life choices following a move to a less restrictive</w:t>
            </w:r>
            <w:r>
              <w:rPr>
                <w:sz w:val="20"/>
                <w:szCs w:val="20"/>
              </w:rPr>
              <w:t xml:space="preserve"> environment.</w:t>
            </w:r>
          </w:p>
        </w:tc>
        <w:tc>
          <w:tcPr>
            <w:tcW w:w="1361" w:type="pct"/>
          </w:tcPr>
          <w:p w14:paraId="365780DA" w14:textId="04382506" w:rsidR="00AE3402" w:rsidRPr="000A6DC4" w:rsidRDefault="00AE3402" w:rsidP="00D00B71">
            <w:pPr>
              <w:keepNext/>
              <w:rPr>
                <w:sz w:val="20"/>
                <w:szCs w:val="20"/>
              </w:rPr>
            </w:pPr>
            <w:r w:rsidRPr="000A6DC4">
              <w:rPr>
                <w:sz w:val="20"/>
                <w:szCs w:val="20"/>
              </w:rPr>
              <w:t>No comparison control group</w:t>
            </w:r>
          </w:p>
        </w:tc>
      </w:tr>
      <w:tr w:rsidR="00AE3402" w:rsidRPr="000A6DC4" w14:paraId="02E7586C" w14:textId="77777777" w:rsidTr="00D00B71">
        <w:tc>
          <w:tcPr>
            <w:tcW w:w="875" w:type="pct"/>
          </w:tcPr>
          <w:p w14:paraId="39C38559" w14:textId="7A24D199" w:rsidR="00AE3402" w:rsidRPr="000A6DC4" w:rsidRDefault="00AE3402" w:rsidP="000038F8">
            <w:pPr>
              <w:rPr>
                <w:sz w:val="20"/>
                <w:szCs w:val="20"/>
              </w:rPr>
            </w:pPr>
            <w:r w:rsidRPr="000A6DC4">
              <w:rPr>
                <w:sz w:val="20"/>
                <w:szCs w:val="20"/>
              </w:rPr>
              <w:t xml:space="preserve">Winkler et al </w:t>
            </w:r>
            <w:r w:rsidR="00C17B90">
              <w:rPr>
                <w:sz w:val="20"/>
                <w:szCs w:val="20"/>
              </w:rPr>
              <w:t>(</w:t>
            </w:r>
            <w:r w:rsidRPr="000A6DC4">
              <w:rPr>
                <w:sz w:val="20"/>
                <w:szCs w:val="20"/>
              </w:rPr>
              <w:t>2015</w:t>
            </w:r>
            <w:r w:rsidR="00C17B90">
              <w:rPr>
                <w:sz w:val="20"/>
                <w:szCs w:val="20"/>
              </w:rPr>
              <w:t>)</w:t>
            </w:r>
          </w:p>
          <w:p w14:paraId="1CDF854C" w14:textId="77777777" w:rsidR="00AE3402" w:rsidRPr="000A6DC4" w:rsidRDefault="00AE3402" w:rsidP="000038F8">
            <w:pPr>
              <w:rPr>
                <w:sz w:val="20"/>
                <w:szCs w:val="20"/>
              </w:rPr>
            </w:pPr>
          </w:p>
        </w:tc>
        <w:tc>
          <w:tcPr>
            <w:tcW w:w="875" w:type="pct"/>
          </w:tcPr>
          <w:p w14:paraId="725B009E" w14:textId="77777777" w:rsidR="00AE3402" w:rsidRPr="000A6DC4" w:rsidRDefault="00AE3402" w:rsidP="000038F8">
            <w:pPr>
              <w:rPr>
                <w:b/>
                <w:bCs/>
                <w:sz w:val="20"/>
                <w:szCs w:val="20"/>
              </w:rPr>
            </w:pPr>
            <w:r w:rsidRPr="000A6DC4">
              <w:rPr>
                <w:b/>
                <w:bCs/>
                <w:sz w:val="20"/>
                <w:szCs w:val="20"/>
              </w:rPr>
              <w:t>RCS</w:t>
            </w:r>
          </w:p>
          <w:p w14:paraId="2833A5E3" w14:textId="77777777" w:rsidR="00AE3402" w:rsidRPr="000A6DC4" w:rsidRDefault="00AE3402" w:rsidP="000038F8">
            <w:pPr>
              <w:rPr>
                <w:sz w:val="20"/>
                <w:szCs w:val="20"/>
              </w:rPr>
            </w:pPr>
            <w:r w:rsidRPr="000A6DC4">
              <w:rPr>
                <w:sz w:val="20"/>
                <w:szCs w:val="20"/>
              </w:rPr>
              <w:t xml:space="preserve">Resident Choice Scale </w:t>
            </w:r>
          </w:p>
        </w:tc>
        <w:tc>
          <w:tcPr>
            <w:tcW w:w="875" w:type="pct"/>
          </w:tcPr>
          <w:p w14:paraId="606FABF0" w14:textId="77777777" w:rsidR="00AE3402" w:rsidRPr="000A6DC4" w:rsidRDefault="00AE3402" w:rsidP="000038F8">
            <w:pPr>
              <w:rPr>
                <w:sz w:val="20"/>
                <w:szCs w:val="20"/>
              </w:rPr>
            </w:pPr>
            <w:r w:rsidRPr="000A6DC4">
              <w:rPr>
                <w:sz w:val="20"/>
                <w:szCs w:val="20"/>
              </w:rPr>
              <w:t>Cross sectional design</w:t>
            </w:r>
          </w:p>
        </w:tc>
        <w:tc>
          <w:tcPr>
            <w:tcW w:w="1014" w:type="pct"/>
          </w:tcPr>
          <w:p w14:paraId="3723F20D" w14:textId="77777777" w:rsidR="00AE3402" w:rsidRPr="000A6DC4" w:rsidRDefault="00AE3402" w:rsidP="000038F8">
            <w:pPr>
              <w:rPr>
                <w:sz w:val="20"/>
                <w:szCs w:val="20"/>
              </w:rPr>
            </w:pPr>
            <w:r w:rsidRPr="000A6DC4">
              <w:rPr>
                <w:sz w:val="20"/>
                <w:szCs w:val="20"/>
              </w:rPr>
              <w:t>Greater choice opportunities in small-scale supported accommodation compared to residential aged care centre.</w:t>
            </w:r>
          </w:p>
        </w:tc>
        <w:tc>
          <w:tcPr>
            <w:tcW w:w="1361" w:type="pct"/>
          </w:tcPr>
          <w:p w14:paraId="7909AAB8" w14:textId="799208EE" w:rsidR="00AE3402" w:rsidRPr="000A6DC4" w:rsidRDefault="00AE3402" w:rsidP="000038F8">
            <w:pPr>
              <w:rPr>
                <w:sz w:val="20"/>
                <w:szCs w:val="20"/>
              </w:rPr>
            </w:pPr>
            <w:r w:rsidRPr="000A6DC4">
              <w:rPr>
                <w:sz w:val="20"/>
                <w:szCs w:val="20"/>
              </w:rPr>
              <w:t>Cross sectional design limits inferences about longitudinal change</w:t>
            </w:r>
          </w:p>
        </w:tc>
      </w:tr>
      <w:tr w:rsidR="00AE3402" w:rsidRPr="000A6DC4" w14:paraId="1B3024FC" w14:textId="77777777" w:rsidTr="00D00B71">
        <w:tc>
          <w:tcPr>
            <w:tcW w:w="875" w:type="pct"/>
          </w:tcPr>
          <w:p w14:paraId="7994CC60" w14:textId="4F565174" w:rsidR="00AE3402" w:rsidRPr="000A6DC4" w:rsidRDefault="00AE3402" w:rsidP="000038F8">
            <w:pPr>
              <w:rPr>
                <w:sz w:val="20"/>
                <w:szCs w:val="20"/>
              </w:rPr>
            </w:pPr>
            <w:r w:rsidRPr="000A6DC4">
              <w:rPr>
                <w:sz w:val="20"/>
                <w:szCs w:val="20"/>
              </w:rPr>
              <w:t xml:space="preserve">Woodman et al </w:t>
            </w:r>
            <w:r w:rsidR="00C17B90">
              <w:rPr>
                <w:sz w:val="20"/>
                <w:szCs w:val="20"/>
              </w:rPr>
              <w:t>(</w:t>
            </w:r>
            <w:r w:rsidRPr="000A6DC4">
              <w:rPr>
                <w:sz w:val="20"/>
                <w:szCs w:val="20"/>
              </w:rPr>
              <w:t>2014</w:t>
            </w:r>
            <w:r w:rsidR="00C17B90">
              <w:rPr>
                <w:sz w:val="20"/>
                <w:szCs w:val="20"/>
              </w:rPr>
              <w:t>)</w:t>
            </w:r>
          </w:p>
          <w:p w14:paraId="5C7174F4" w14:textId="77777777" w:rsidR="00AE3402" w:rsidRPr="000A6DC4" w:rsidRDefault="00AE3402" w:rsidP="000038F8">
            <w:pPr>
              <w:rPr>
                <w:sz w:val="20"/>
                <w:szCs w:val="20"/>
              </w:rPr>
            </w:pPr>
          </w:p>
        </w:tc>
        <w:tc>
          <w:tcPr>
            <w:tcW w:w="875" w:type="pct"/>
          </w:tcPr>
          <w:p w14:paraId="3A609E7D" w14:textId="77777777" w:rsidR="00AE3402" w:rsidRPr="000A6DC4" w:rsidRDefault="00AE3402" w:rsidP="000038F8">
            <w:pPr>
              <w:rPr>
                <w:b/>
                <w:bCs/>
                <w:sz w:val="20"/>
                <w:szCs w:val="20"/>
              </w:rPr>
            </w:pPr>
            <w:r w:rsidRPr="000A6DC4">
              <w:rPr>
                <w:b/>
                <w:bCs/>
                <w:sz w:val="20"/>
                <w:szCs w:val="20"/>
              </w:rPr>
              <w:t>SIB-R</w:t>
            </w:r>
          </w:p>
          <w:p w14:paraId="27ACEB37" w14:textId="77777777" w:rsidR="00AE3402" w:rsidRPr="000A6DC4" w:rsidRDefault="00AE3402" w:rsidP="000038F8">
            <w:pPr>
              <w:rPr>
                <w:sz w:val="20"/>
                <w:szCs w:val="20"/>
              </w:rPr>
            </w:pPr>
            <w:r w:rsidRPr="000A6DC4">
              <w:rPr>
                <w:sz w:val="20"/>
                <w:szCs w:val="20"/>
              </w:rPr>
              <w:t>Scales of Independent Behaviour-Revised</w:t>
            </w:r>
          </w:p>
        </w:tc>
        <w:tc>
          <w:tcPr>
            <w:tcW w:w="875" w:type="pct"/>
          </w:tcPr>
          <w:p w14:paraId="2FC87399" w14:textId="77777777" w:rsidR="00AE3402" w:rsidRPr="000A6DC4" w:rsidRDefault="00AE3402" w:rsidP="000038F8">
            <w:pPr>
              <w:rPr>
                <w:sz w:val="20"/>
                <w:szCs w:val="20"/>
              </w:rPr>
            </w:pPr>
            <w:r w:rsidRPr="000A6DC4">
              <w:rPr>
                <w:sz w:val="20"/>
                <w:szCs w:val="20"/>
              </w:rPr>
              <w:t>Repeated measures design</w:t>
            </w:r>
          </w:p>
        </w:tc>
        <w:tc>
          <w:tcPr>
            <w:tcW w:w="1014" w:type="pct"/>
          </w:tcPr>
          <w:p w14:paraId="38078D86" w14:textId="77777777" w:rsidR="00AE3402" w:rsidRPr="000A6DC4" w:rsidRDefault="00AE3402" w:rsidP="000038F8">
            <w:pPr>
              <w:rPr>
                <w:sz w:val="20"/>
                <w:szCs w:val="20"/>
              </w:rPr>
            </w:pPr>
            <w:r w:rsidRPr="000A6DC4">
              <w:rPr>
                <w:sz w:val="20"/>
                <w:szCs w:val="20"/>
              </w:rPr>
              <w:t>The overall conclusion of the study was that semi- or fully-independent living settings may be feasible for adults with Down syndrome with a broad range of self-care skills. Service providers should not restrict the residential options for adults with lower functional skills</w:t>
            </w:r>
          </w:p>
        </w:tc>
        <w:tc>
          <w:tcPr>
            <w:tcW w:w="1361" w:type="pct"/>
            <w:shd w:val="clear" w:color="auto" w:fill="auto"/>
          </w:tcPr>
          <w:p w14:paraId="14CD1876" w14:textId="5F9779B6" w:rsidR="00AE3402" w:rsidRPr="000A6DC4" w:rsidRDefault="0074099C" w:rsidP="000038F8">
            <w:pPr>
              <w:rPr>
                <w:sz w:val="20"/>
                <w:szCs w:val="20"/>
              </w:rPr>
            </w:pPr>
            <w:r>
              <w:rPr>
                <w:sz w:val="20"/>
                <w:szCs w:val="20"/>
              </w:rPr>
              <w:t>Sample did not include a mix of racial/ethnic groups limiting generalisation</w:t>
            </w:r>
            <w:r w:rsidR="00BA427E">
              <w:rPr>
                <w:sz w:val="20"/>
                <w:szCs w:val="20"/>
              </w:rPr>
              <w:t xml:space="preserve"> of study results.</w:t>
            </w:r>
          </w:p>
        </w:tc>
      </w:tr>
      <w:tr w:rsidR="00AE3402" w:rsidRPr="000A6DC4" w14:paraId="21B55D75" w14:textId="77777777" w:rsidTr="00D00B71">
        <w:tc>
          <w:tcPr>
            <w:tcW w:w="875" w:type="pct"/>
          </w:tcPr>
          <w:p w14:paraId="7E27B0C5" w14:textId="531E523E" w:rsidR="00AE3402" w:rsidRPr="000A6DC4" w:rsidRDefault="00AE3402" w:rsidP="00D00B71">
            <w:pPr>
              <w:rPr>
                <w:sz w:val="20"/>
                <w:szCs w:val="20"/>
              </w:rPr>
            </w:pPr>
            <w:r w:rsidRPr="000A6DC4">
              <w:rPr>
                <w:sz w:val="20"/>
                <w:szCs w:val="20"/>
              </w:rPr>
              <w:t>Wiesel et al (2015)</w:t>
            </w:r>
          </w:p>
        </w:tc>
        <w:tc>
          <w:tcPr>
            <w:tcW w:w="875" w:type="pct"/>
          </w:tcPr>
          <w:p w14:paraId="25848162" w14:textId="4D45EB5D" w:rsidR="00AE3402" w:rsidRPr="000A6DC4" w:rsidRDefault="00AE3402" w:rsidP="00D00B71">
            <w:pPr>
              <w:rPr>
                <w:b/>
                <w:bCs/>
                <w:sz w:val="20"/>
                <w:szCs w:val="20"/>
              </w:rPr>
            </w:pPr>
            <w:r w:rsidRPr="000A6DC4">
              <w:rPr>
                <w:sz w:val="20"/>
                <w:szCs w:val="20"/>
              </w:rPr>
              <w:t>No standard scale or measure used</w:t>
            </w:r>
          </w:p>
        </w:tc>
        <w:tc>
          <w:tcPr>
            <w:tcW w:w="875" w:type="pct"/>
          </w:tcPr>
          <w:p w14:paraId="23B42868" w14:textId="0E633CA2" w:rsidR="00AE3402" w:rsidRPr="000A6DC4" w:rsidRDefault="00AE3402" w:rsidP="00D00B71">
            <w:pPr>
              <w:rPr>
                <w:sz w:val="20"/>
                <w:szCs w:val="20"/>
              </w:rPr>
            </w:pPr>
            <w:r w:rsidRPr="000A6DC4">
              <w:rPr>
                <w:sz w:val="20"/>
                <w:szCs w:val="20"/>
              </w:rPr>
              <w:t>n/a</w:t>
            </w:r>
          </w:p>
        </w:tc>
        <w:tc>
          <w:tcPr>
            <w:tcW w:w="1014" w:type="pct"/>
          </w:tcPr>
          <w:p w14:paraId="3320EF89" w14:textId="1019D145" w:rsidR="00AE3402" w:rsidRPr="000A6DC4" w:rsidRDefault="00AE3402" w:rsidP="00D00B71">
            <w:pPr>
              <w:rPr>
                <w:sz w:val="20"/>
                <w:szCs w:val="20"/>
              </w:rPr>
            </w:pPr>
            <w:r w:rsidRPr="000A6DC4">
              <w:rPr>
                <w:sz w:val="20"/>
                <w:szCs w:val="20"/>
              </w:rPr>
              <w:t>Authors report variation in extent of choice people with disability experience in housing</w:t>
            </w:r>
          </w:p>
        </w:tc>
        <w:tc>
          <w:tcPr>
            <w:tcW w:w="1361" w:type="pct"/>
          </w:tcPr>
          <w:p w14:paraId="31944F5C" w14:textId="497E034E" w:rsidR="00AE3402" w:rsidRPr="000A6DC4" w:rsidRDefault="00AE3402" w:rsidP="00D00B71">
            <w:pPr>
              <w:rPr>
                <w:sz w:val="20"/>
                <w:szCs w:val="20"/>
              </w:rPr>
            </w:pPr>
            <w:r w:rsidRPr="000A6DC4">
              <w:rPr>
                <w:sz w:val="20"/>
                <w:szCs w:val="20"/>
              </w:rPr>
              <w:t>Difficult to ascertain the change in access to choice – how, at what point and what specific areas of choice</w:t>
            </w:r>
          </w:p>
        </w:tc>
      </w:tr>
      <w:tr w:rsidR="00864DCE" w:rsidRPr="000A6DC4" w14:paraId="59D621D0" w14:textId="77777777" w:rsidTr="00D00B71">
        <w:tc>
          <w:tcPr>
            <w:tcW w:w="875" w:type="pct"/>
          </w:tcPr>
          <w:p w14:paraId="71C84FFE" w14:textId="7E30637D" w:rsidR="00864DCE" w:rsidRPr="000A6DC4" w:rsidRDefault="00864DCE" w:rsidP="000038F8">
            <w:pPr>
              <w:rPr>
                <w:sz w:val="20"/>
                <w:szCs w:val="20"/>
              </w:rPr>
            </w:pPr>
            <w:r w:rsidRPr="000A6DC4">
              <w:rPr>
                <w:sz w:val="20"/>
                <w:szCs w:val="20"/>
              </w:rPr>
              <w:t>Woolrych (2000)</w:t>
            </w:r>
          </w:p>
        </w:tc>
        <w:tc>
          <w:tcPr>
            <w:tcW w:w="875" w:type="pct"/>
          </w:tcPr>
          <w:p w14:paraId="2CB1C3B4" w14:textId="7649E7F2" w:rsidR="00864DCE" w:rsidRPr="000A6DC4" w:rsidRDefault="00864DCE" w:rsidP="000038F8">
            <w:pPr>
              <w:rPr>
                <w:sz w:val="20"/>
                <w:szCs w:val="20"/>
              </w:rPr>
            </w:pPr>
            <w:r w:rsidRPr="000A6DC4">
              <w:rPr>
                <w:sz w:val="20"/>
                <w:szCs w:val="20"/>
              </w:rPr>
              <w:t>No standard scale or measure used</w:t>
            </w:r>
          </w:p>
        </w:tc>
        <w:tc>
          <w:tcPr>
            <w:tcW w:w="875" w:type="pct"/>
          </w:tcPr>
          <w:p w14:paraId="3AAD90C1" w14:textId="393F0CB3" w:rsidR="00864DCE" w:rsidRPr="000A6DC4" w:rsidRDefault="00864DCE" w:rsidP="000038F8">
            <w:pPr>
              <w:rPr>
                <w:sz w:val="20"/>
                <w:szCs w:val="20"/>
              </w:rPr>
            </w:pPr>
            <w:r>
              <w:rPr>
                <w:sz w:val="20"/>
                <w:szCs w:val="20"/>
              </w:rPr>
              <w:t>one</w:t>
            </w:r>
          </w:p>
        </w:tc>
        <w:tc>
          <w:tcPr>
            <w:tcW w:w="1014" w:type="pct"/>
          </w:tcPr>
          <w:p w14:paraId="2F971714" w14:textId="0DF7A408" w:rsidR="00864DCE" w:rsidRPr="000A6DC4" w:rsidRDefault="00864DCE" w:rsidP="000038F8">
            <w:pPr>
              <w:rPr>
                <w:sz w:val="20"/>
                <w:szCs w:val="20"/>
              </w:rPr>
            </w:pPr>
            <w:r w:rsidRPr="000A6DC4">
              <w:rPr>
                <w:sz w:val="20"/>
                <w:szCs w:val="20"/>
              </w:rPr>
              <w:t>Authors report that participants had opportunity to choose from 3 developments when moving</w:t>
            </w:r>
          </w:p>
        </w:tc>
        <w:tc>
          <w:tcPr>
            <w:tcW w:w="1361" w:type="pct"/>
          </w:tcPr>
          <w:p w14:paraId="525D215F" w14:textId="34588BB6" w:rsidR="00864DCE" w:rsidRPr="000A6DC4" w:rsidRDefault="00413121" w:rsidP="000038F8">
            <w:pPr>
              <w:rPr>
                <w:sz w:val="20"/>
                <w:szCs w:val="20"/>
              </w:rPr>
            </w:pPr>
            <w:r w:rsidRPr="000A6DC4">
              <w:rPr>
                <w:sz w:val="20"/>
                <w:szCs w:val="20"/>
              </w:rPr>
              <w:t>Broad description that choice is available but no detail on how this happened and what impact it had</w:t>
            </w:r>
          </w:p>
        </w:tc>
      </w:tr>
    </w:tbl>
    <w:p w14:paraId="45CF0D99" w14:textId="77777777" w:rsidR="00DB06D4" w:rsidRDefault="00DB06D4" w:rsidP="00DB06D4"/>
    <w:p w14:paraId="2F3F82F3" w14:textId="77777777" w:rsidR="000A6DC4" w:rsidRDefault="000A6DC4" w:rsidP="00DB06D4"/>
    <w:p w14:paraId="5BAC1466" w14:textId="4D50C918" w:rsidR="000A6DC4" w:rsidRDefault="000A6DC4" w:rsidP="00DB06D4">
      <w:pPr>
        <w:sectPr w:rsidR="000A6DC4" w:rsidSect="000A6DC4">
          <w:headerReference w:type="default" r:id="rId26"/>
          <w:footerReference w:type="default" r:id="rId27"/>
          <w:pgSz w:w="15840" w:h="12240" w:orient="landscape"/>
          <w:pgMar w:top="1440" w:right="1440" w:bottom="1440" w:left="1440" w:header="720" w:footer="720" w:gutter="0"/>
          <w:cols w:space="720"/>
          <w:docGrid w:linePitch="360"/>
        </w:sectPr>
      </w:pPr>
    </w:p>
    <w:p w14:paraId="20EEA5E9" w14:textId="05FFA6F6" w:rsidR="00DB06D4" w:rsidRDefault="00DB06D4" w:rsidP="00B5199A">
      <w:pPr>
        <w:pStyle w:val="Heading3"/>
      </w:pPr>
      <w:bookmarkStart w:id="35" w:name="_Toc73535954"/>
      <w:r>
        <w:lastRenderedPageBreak/>
        <w:t>Health and functioning</w:t>
      </w:r>
      <w:bookmarkEnd w:id="35"/>
    </w:p>
    <w:p w14:paraId="27645B28" w14:textId="22F3B156" w:rsidR="006F71C4" w:rsidRDefault="006F71C4" w:rsidP="00EC0A64">
      <w:pPr>
        <w:spacing w:before="120" w:line="360" w:lineRule="auto"/>
        <w:jc w:val="both"/>
      </w:pPr>
      <w:r>
        <w:t>A</w:t>
      </w:r>
      <w:r w:rsidR="0043730D">
        <w:t xml:space="preserve">s presented in Table </w:t>
      </w:r>
      <w:r w:rsidR="00380805">
        <w:t>4</w:t>
      </w:r>
      <w:r w:rsidR="0043730D">
        <w:t>, a</w:t>
      </w:r>
      <w:r>
        <w:t xml:space="preserve"> total of 16 studies (n=13 quantitative; n=3 grey literature) reported on adaptive functioning, daily/independent living activities and/or health using a range of standardi</w:t>
      </w:r>
      <w:r w:rsidR="00C973EB">
        <w:t>s</w:t>
      </w:r>
      <w:r>
        <w:t xml:space="preserve">ed assessment tools. </w:t>
      </w:r>
      <w:r w:rsidR="0043730D">
        <w:t xml:space="preserve">Health and functioning outcomes were not reported in the qualitative studies reviewed. </w:t>
      </w:r>
      <w:r>
        <w:t xml:space="preserve">Six of the studies used a longitudinal design and </w:t>
      </w:r>
      <w:r w:rsidR="00C973EB">
        <w:t xml:space="preserve">reported </w:t>
      </w:r>
      <w:r>
        <w:t xml:space="preserve">improvements on health/adaptive functioning outcomes. Four studies used rating scales of adaptive functioning, ABS (Baker, 2007, Bigby, 2018, Fahey et al, 2010 or ABAS </w:t>
      </w:r>
      <w:r w:rsidRPr="00862001">
        <w:t>(Marlow &amp; Walker 2015)</w:t>
      </w:r>
      <w:r>
        <w:t xml:space="preserve">. All four studies reported higher adaptive levels of functioning in decongregated settings. Bigby (2018) however, reported that about one third of residents in group homes had comparable living skill capabilities that should allow them to live in independent supported living if the opportunity was available to them. Norris et al (2014) </w:t>
      </w:r>
      <w:r w:rsidR="00C973EB">
        <w:t xml:space="preserve">reported </w:t>
      </w:r>
      <w:r>
        <w:t>no significant difference found in ICAP service level scores (measure of adaptive skills and behaviours that challenge) and HRST with regard to transition status.</w:t>
      </w:r>
    </w:p>
    <w:p w14:paraId="251B0EEA" w14:textId="2F56619F" w:rsidR="006F71C4" w:rsidRDefault="006F71C4" w:rsidP="006227A3">
      <w:pPr>
        <w:spacing w:line="360" w:lineRule="auto"/>
        <w:jc w:val="both"/>
      </w:pPr>
      <w:r>
        <w:t>Cocks et al (2016) reported level of support needed at one point in time, highlighting the variance of support hours needed by people with disabilities in individual supported living. Only two studies reported on individual health conditions (e.g. physical fitness, respiratory problems) and one reported on destabili</w:t>
      </w:r>
      <w:r w:rsidR="00C973EB">
        <w:t>s</w:t>
      </w:r>
      <w:r>
        <w:t xml:space="preserve">ation of health (Norris et al, 2014) although broader health outcomes are also part of some of the </w:t>
      </w:r>
      <w:r w:rsidR="008D4C64">
        <w:t>standardised</w:t>
      </w:r>
      <w:r>
        <w:t xml:space="preserve"> tools. This reflects a significant gap in the </w:t>
      </w:r>
      <w:r w:rsidR="008D4C64">
        <w:t>literature</w:t>
      </w:r>
      <w:r>
        <w:t xml:space="preserve"> given th</w:t>
      </w:r>
      <w:r w:rsidR="00C973EB">
        <w:t>at</w:t>
      </w:r>
      <w:r>
        <w:t xml:space="preserve"> health vulnerabilities are a major factor in people with disabilities.</w:t>
      </w:r>
    </w:p>
    <w:p w14:paraId="327F8527" w14:textId="6123F49E" w:rsidR="000A6DC4" w:rsidRDefault="000A6DC4" w:rsidP="006227A3">
      <w:pPr>
        <w:spacing w:line="360" w:lineRule="auto"/>
        <w:jc w:val="both"/>
      </w:pPr>
    </w:p>
    <w:p w14:paraId="77A4B3B4" w14:textId="77777777" w:rsidR="000A6DC4" w:rsidRDefault="000A6DC4" w:rsidP="006227A3">
      <w:pPr>
        <w:spacing w:line="360" w:lineRule="auto"/>
        <w:jc w:val="both"/>
        <w:sectPr w:rsidR="000A6DC4" w:rsidSect="000A6DC4">
          <w:headerReference w:type="default" r:id="rId28"/>
          <w:footerReference w:type="default" r:id="rId29"/>
          <w:pgSz w:w="12240" w:h="15840"/>
          <w:pgMar w:top="1440" w:right="1440" w:bottom="1440" w:left="1440" w:header="720" w:footer="720" w:gutter="0"/>
          <w:cols w:space="720"/>
          <w:docGrid w:linePitch="360"/>
        </w:sectPr>
      </w:pPr>
    </w:p>
    <w:p w14:paraId="7E5F927D" w14:textId="7091F34A" w:rsidR="00DB06D4" w:rsidRPr="00317BA9" w:rsidRDefault="000A6DC4" w:rsidP="000A6DC4">
      <w:pPr>
        <w:pStyle w:val="Caption"/>
        <w:rPr>
          <w:b/>
          <w:bCs/>
        </w:rPr>
      </w:pPr>
      <w:bookmarkStart w:id="36" w:name="_Toc66355183"/>
      <w:r>
        <w:lastRenderedPageBreak/>
        <w:t xml:space="preserve">Table </w:t>
      </w:r>
      <w:r>
        <w:fldChar w:fldCharType="begin"/>
      </w:r>
      <w:r>
        <w:instrText>SEQ Table \* ARABIC</w:instrText>
      </w:r>
      <w:r>
        <w:fldChar w:fldCharType="separate"/>
      </w:r>
      <w:r w:rsidR="000E7FFE">
        <w:rPr>
          <w:noProof/>
        </w:rPr>
        <w:t>4</w:t>
      </w:r>
      <w:r>
        <w:fldChar w:fldCharType="end"/>
      </w:r>
      <w:r w:rsidR="00171A95" w:rsidRPr="00317BA9">
        <w:rPr>
          <w:b/>
          <w:bCs/>
        </w:rPr>
        <w:t xml:space="preserve"> </w:t>
      </w:r>
      <w:r w:rsidR="00EF7EFA" w:rsidRPr="00317BA9">
        <w:rPr>
          <w:b/>
          <w:bCs/>
        </w:rPr>
        <w:t>Health and Functioning measures</w:t>
      </w:r>
      <w:bookmarkEnd w:id="36"/>
    </w:p>
    <w:tbl>
      <w:tblPr>
        <w:tblStyle w:val="TableGrid"/>
        <w:tblW w:w="5000" w:type="pct"/>
        <w:tblLook w:val="04A0" w:firstRow="1" w:lastRow="0" w:firstColumn="1" w:lastColumn="0" w:noHBand="0" w:noVBand="1"/>
      </w:tblPr>
      <w:tblGrid>
        <w:gridCol w:w="2373"/>
        <w:gridCol w:w="2372"/>
        <w:gridCol w:w="2554"/>
        <w:gridCol w:w="2919"/>
        <w:gridCol w:w="2732"/>
      </w:tblGrid>
      <w:tr w:rsidR="00EE25B8" w:rsidRPr="00A802E7" w14:paraId="23AA1480" w14:textId="77777777" w:rsidTr="000F23DB">
        <w:trPr>
          <w:tblHeader/>
        </w:trPr>
        <w:tc>
          <w:tcPr>
            <w:tcW w:w="916" w:type="pct"/>
            <w:shd w:val="clear" w:color="auto" w:fill="FFFF00"/>
          </w:tcPr>
          <w:p w14:paraId="61076C5E" w14:textId="77777777" w:rsidR="00EE25B8" w:rsidRPr="00A802E7" w:rsidRDefault="00EE25B8" w:rsidP="000038F8">
            <w:pPr>
              <w:rPr>
                <w:b/>
                <w:bCs/>
              </w:rPr>
            </w:pPr>
            <w:r w:rsidRPr="00A802E7">
              <w:rPr>
                <w:b/>
                <w:bCs/>
              </w:rPr>
              <w:t>Author, Year, Title</w:t>
            </w:r>
          </w:p>
        </w:tc>
        <w:tc>
          <w:tcPr>
            <w:tcW w:w="916" w:type="pct"/>
            <w:shd w:val="clear" w:color="auto" w:fill="FFFF00"/>
          </w:tcPr>
          <w:p w14:paraId="32D9E581" w14:textId="77777777" w:rsidR="00EE25B8" w:rsidRDefault="00EE25B8" w:rsidP="000038F8">
            <w:pPr>
              <w:rPr>
                <w:b/>
                <w:bCs/>
              </w:rPr>
            </w:pPr>
            <w:r>
              <w:rPr>
                <w:b/>
                <w:bCs/>
              </w:rPr>
              <w:t xml:space="preserve">Measure used or described </w:t>
            </w:r>
          </w:p>
        </w:tc>
        <w:tc>
          <w:tcPr>
            <w:tcW w:w="986" w:type="pct"/>
            <w:shd w:val="clear" w:color="auto" w:fill="FFFF00"/>
          </w:tcPr>
          <w:p w14:paraId="6C464BC5" w14:textId="77777777" w:rsidR="00EE25B8" w:rsidRDefault="00EE25B8" w:rsidP="000038F8">
            <w:pPr>
              <w:rPr>
                <w:b/>
                <w:bCs/>
              </w:rPr>
            </w:pPr>
            <w:r>
              <w:rPr>
                <w:b/>
                <w:bCs/>
              </w:rPr>
              <w:t>Number of time points</w:t>
            </w:r>
          </w:p>
          <w:p w14:paraId="5FD5B076" w14:textId="77777777" w:rsidR="00EE25B8" w:rsidRPr="00A802E7" w:rsidRDefault="00EE25B8" w:rsidP="000038F8">
            <w:pPr>
              <w:rPr>
                <w:b/>
                <w:bCs/>
              </w:rPr>
            </w:pPr>
            <w:r>
              <w:rPr>
                <w:b/>
                <w:bCs/>
              </w:rPr>
              <w:t>(n/a, one, two multiple)</w:t>
            </w:r>
          </w:p>
        </w:tc>
        <w:tc>
          <w:tcPr>
            <w:tcW w:w="1127" w:type="pct"/>
            <w:shd w:val="clear" w:color="auto" w:fill="FFFF00"/>
          </w:tcPr>
          <w:p w14:paraId="23DF8E4A" w14:textId="77777777" w:rsidR="00EE25B8" w:rsidRPr="00A802E7" w:rsidRDefault="00EE25B8" w:rsidP="000038F8">
            <w:pPr>
              <w:rPr>
                <w:b/>
                <w:bCs/>
              </w:rPr>
            </w:pPr>
            <w:r>
              <w:rPr>
                <w:b/>
                <w:bCs/>
              </w:rPr>
              <w:t>Conclusion</w:t>
            </w:r>
          </w:p>
        </w:tc>
        <w:tc>
          <w:tcPr>
            <w:tcW w:w="1056" w:type="pct"/>
            <w:shd w:val="clear" w:color="auto" w:fill="FFFF00"/>
          </w:tcPr>
          <w:p w14:paraId="5262642E" w14:textId="77777777" w:rsidR="00EE25B8" w:rsidRPr="00A802E7" w:rsidRDefault="00EE25B8" w:rsidP="000038F8">
            <w:pPr>
              <w:rPr>
                <w:b/>
                <w:bCs/>
              </w:rPr>
            </w:pPr>
            <w:r>
              <w:rPr>
                <w:b/>
                <w:bCs/>
              </w:rPr>
              <w:t xml:space="preserve">Limitations </w:t>
            </w:r>
          </w:p>
        </w:tc>
      </w:tr>
      <w:tr w:rsidR="00EE25B8" w:rsidRPr="00A802E7" w14:paraId="36EFC7D4" w14:textId="77777777" w:rsidTr="000F23DB">
        <w:tc>
          <w:tcPr>
            <w:tcW w:w="916" w:type="pct"/>
          </w:tcPr>
          <w:p w14:paraId="3168F7BD" w14:textId="18AB83E3" w:rsidR="00EE25B8" w:rsidRPr="000D590C" w:rsidRDefault="00EE25B8" w:rsidP="000038F8">
            <w:r w:rsidRPr="000D590C">
              <w:t xml:space="preserve">Baker </w:t>
            </w:r>
            <w:r w:rsidR="00413121">
              <w:t>(</w:t>
            </w:r>
            <w:r w:rsidRPr="000D590C">
              <w:t>2007</w:t>
            </w:r>
            <w:r w:rsidR="00413121">
              <w:t>)</w:t>
            </w:r>
          </w:p>
          <w:p w14:paraId="22F4E5A1" w14:textId="77777777" w:rsidR="00EE25B8" w:rsidRPr="000D590C" w:rsidRDefault="00EE25B8" w:rsidP="000038F8"/>
        </w:tc>
        <w:tc>
          <w:tcPr>
            <w:tcW w:w="916" w:type="pct"/>
          </w:tcPr>
          <w:p w14:paraId="0AA7791C" w14:textId="77777777" w:rsidR="00EE25B8" w:rsidRPr="00995FD2" w:rsidRDefault="00EE25B8" w:rsidP="000038F8">
            <w:pPr>
              <w:rPr>
                <w:b/>
                <w:bCs/>
              </w:rPr>
            </w:pPr>
            <w:r w:rsidRPr="00995FD2">
              <w:rPr>
                <w:b/>
                <w:bCs/>
              </w:rPr>
              <w:t>ABS</w:t>
            </w:r>
          </w:p>
          <w:p w14:paraId="55DDEC08" w14:textId="705DFB32" w:rsidR="00EE25B8" w:rsidRDefault="00EE25B8" w:rsidP="000038F8">
            <w:r w:rsidRPr="000F7640">
              <w:t>Adaptive Behavio</w:t>
            </w:r>
            <w:r w:rsidR="005256BE">
              <w:t>u</w:t>
            </w:r>
            <w:r w:rsidRPr="000F7640">
              <w:t>r Scale</w:t>
            </w:r>
          </w:p>
        </w:tc>
        <w:tc>
          <w:tcPr>
            <w:tcW w:w="986" w:type="pct"/>
          </w:tcPr>
          <w:p w14:paraId="3DB4C5F9" w14:textId="77777777" w:rsidR="00EE25B8" w:rsidRPr="00B936B8" w:rsidRDefault="00EE25B8" w:rsidP="000038F8">
            <w:r>
              <w:t>Longitudinal design with pre/post (six months) and follow-up (18 months) measures.</w:t>
            </w:r>
          </w:p>
        </w:tc>
        <w:tc>
          <w:tcPr>
            <w:tcW w:w="1127" w:type="pct"/>
          </w:tcPr>
          <w:p w14:paraId="5B1BBDD8" w14:textId="77777777" w:rsidR="00EE25B8" w:rsidRPr="00B936B8" w:rsidRDefault="00EE25B8" w:rsidP="000038F8">
            <w:r>
              <w:t xml:space="preserve">Transitioned group had </w:t>
            </w:r>
            <w:r w:rsidRPr="000F7640">
              <w:t>higher level</w:t>
            </w:r>
            <w:r>
              <w:t>s</w:t>
            </w:r>
            <w:r w:rsidRPr="000F7640">
              <w:t xml:space="preserve"> of adaptive behaviour</w:t>
            </w:r>
            <w:r>
              <w:t xml:space="preserve"> which was a significant predictor of community involvement.</w:t>
            </w:r>
          </w:p>
        </w:tc>
        <w:tc>
          <w:tcPr>
            <w:tcW w:w="1056" w:type="pct"/>
            <w:shd w:val="clear" w:color="auto" w:fill="auto"/>
          </w:tcPr>
          <w:p w14:paraId="524EDFE2" w14:textId="136B20B6" w:rsidR="00EE25B8" w:rsidRPr="00B936B8" w:rsidRDefault="00D5067A" w:rsidP="000038F8">
            <w:r>
              <w:t>Small sample size based on a single service in one geographical area limits generalisation of results.</w:t>
            </w:r>
          </w:p>
        </w:tc>
      </w:tr>
      <w:tr w:rsidR="00EE25B8" w:rsidRPr="00A802E7" w14:paraId="55F4161F" w14:textId="77777777" w:rsidTr="000F23DB">
        <w:tc>
          <w:tcPr>
            <w:tcW w:w="916" w:type="pct"/>
          </w:tcPr>
          <w:p w14:paraId="3B30664B" w14:textId="292F5D22" w:rsidR="00EE25B8" w:rsidRPr="000D590C" w:rsidRDefault="00EE25B8" w:rsidP="000038F8">
            <w:r w:rsidRPr="000D590C">
              <w:t xml:space="preserve">Baker </w:t>
            </w:r>
            <w:r w:rsidR="00413121">
              <w:t>(</w:t>
            </w:r>
            <w:r w:rsidRPr="000D590C">
              <w:t>2007</w:t>
            </w:r>
            <w:r w:rsidR="00413121">
              <w:t>)</w:t>
            </w:r>
          </w:p>
        </w:tc>
        <w:tc>
          <w:tcPr>
            <w:tcW w:w="916" w:type="pct"/>
          </w:tcPr>
          <w:p w14:paraId="50F397EB" w14:textId="77777777" w:rsidR="00EE25B8" w:rsidRPr="00995FD2" w:rsidRDefault="00EE25B8" w:rsidP="000038F8">
            <w:pPr>
              <w:rPr>
                <w:b/>
                <w:bCs/>
              </w:rPr>
            </w:pPr>
            <w:r w:rsidRPr="00995FD2">
              <w:rPr>
                <w:b/>
                <w:bCs/>
              </w:rPr>
              <w:t>BPI</w:t>
            </w:r>
          </w:p>
          <w:p w14:paraId="2C17F607" w14:textId="05A007E0" w:rsidR="00EE25B8" w:rsidRPr="00B936B8" w:rsidRDefault="00EE25B8" w:rsidP="000038F8">
            <w:r w:rsidRPr="00995FD2">
              <w:t>Behavio</w:t>
            </w:r>
            <w:r w:rsidR="005256BE">
              <w:t>u</w:t>
            </w:r>
            <w:r w:rsidRPr="00995FD2">
              <w:t>r Problems Inventory</w:t>
            </w:r>
          </w:p>
        </w:tc>
        <w:tc>
          <w:tcPr>
            <w:tcW w:w="986" w:type="pct"/>
          </w:tcPr>
          <w:p w14:paraId="2E463459" w14:textId="78E56485" w:rsidR="00EE25B8" w:rsidRPr="00B936B8" w:rsidRDefault="007848FB" w:rsidP="000038F8">
            <w:r>
              <w:t xml:space="preserve">As above </w:t>
            </w:r>
          </w:p>
        </w:tc>
        <w:tc>
          <w:tcPr>
            <w:tcW w:w="1127" w:type="pct"/>
          </w:tcPr>
          <w:p w14:paraId="565310F3" w14:textId="77777777" w:rsidR="00EE25B8" w:rsidRPr="00B936B8" w:rsidRDefault="00EE25B8" w:rsidP="000038F8">
            <w:r>
              <w:t>BPI was examined as a predictor of community living activities, although not a significant predictor it was highly correlated with ABS ratings which did predict community involvement.</w:t>
            </w:r>
          </w:p>
        </w:tc>
        <w:tc>
          <w:tcPr>
            <w:tcW w:w="1056" w:type="pct"/>
            <w:shd w:val="clear" w:color="auto" w:fill="auto"/>
          </w:tcPr>
          <w:p w14:paraId="4BBE1338" w14:textId="620275B9" w:rsidR="00EE25B8" w:rsidRPr="00B936B8" w:rsidRDefault="00D5067A" w:rsidP="000038F8">
            <w:r>
              <w:t xml:space="preserve"> Small sample size based on a single service in one geographical area limits generalisation of results.</w:t>
            </w:r>
          </w:p>
        </w:tc>
      </w:tr>
      <w:tr w:rsidR="00EE25B8" w:rsidRPr="00A802E7" w14:paraId="494CFD1E" w14:textId="77777777" w:rsidTr="000F23DB">
        <w:tc>
          <w:tcPr>
            <w:tcW w:w="916" w:type="pct"/>
          </w:tcPr>
          <w:p w14:paraId="25C14DC1" w14:textId="7DFEB211" w:rsidR="00EE25B8" w:rsidRPr="000D590C" w:rsidRDefault="00EE25B8" w:rsidP="000038F8">
            <w:r w:rsidRPr="000D590C">
              <w:t>Bhaumik et al</w:t>
            </w:r>
            <w:r w:rsidR="007D3757">
              <w:t xml:space="preserve"> </w:t>
            </w:r>
            <w:r w:rsidR="00413121">
              <w:t>(</w:t>
            </w:r>
            <w:r w:rsidRPr="000D590C">
              <w:t>2009</w:t>
            </w:r>
            <w:r w:rsidR="00413121">
              <w:t>)</w:t>
            </w:r>
          </w:p>
          <w:p w14:paraId="03D0B4C4" w14:textId="77777777" w:rsidR="00EE25B8" w:rsidRPr="000D590C" w:rsidRDefault="00EE25B8" w:rsidP="000038F8"/>
        </w:tc>
        <w:tc>
          <w:tcPr>
            <w:tcW w:w="916" w:type="pct"/>
          </w:tcPr>
          <w:p w14:paraId="18585D53" w14:textId="77777777" w:rsidR="00EE25B8" w:rsidRPr="00995FD2" w:rsidRDefault="00EE25B8" w:rsidP="000038F8">
            <w:pPr>
              <w:rPr>
                <w:b/>
                <w:bCs/>
              </w:rPr>
            </w:pPr>
            <w:r w:rsidRPr="00995FD2">
              <w:rPr>
                <w:b/>
                <w:bCs/>
              </w:rPr>
              <w:t>MOAS</w:t>
            </w:r>
          </w:p>
          <w:p w14:paraId="1100FADE" w14:textId="77777777" w:rsidR="00EE25B8" w:rsidRPr="00B936B8" w:rsidRDefault="00EE25B8" w:rsidP="000038F8">
            <w:r w:rsidRPr="00995FD2">
              <w:t>Modified Overt Aggression Scale</w:t>
            </w:r>
          </w:p>
        </w:tc>
        <w:tc>
          <w:tcPr>
            <w:tcW w:w="986" w:type="pct"/>
          </w:tcPr>
          <w:p w14:paraId="6DA4D596" w14:textId="77777777" w:rsidR="00EE25B8" w:rsidRPr="00B936B8" w:rsidRDefault="00EE25B8" w:rsidP="000038F8">
            <w:r w:rsidRPr="00BA4D89">
              <w:t>One group repeated measures design: pre/post/follow-u</w:t>
            </w:r>
            <w:r>
              <w:t>p</w:t>
            </w:r>
          </w:p>
        </w:tc>
        <w:tc>
          <w:tcPr>
            <w:tcW w:w="1127" w:type="pct"/>
          </w:tcPr>
          <w:p w14:paraId="67A2CB82" w14:textId="77777777" w:rsidR="00EE25B8" w:rsidRPr="00B936B8" w:rsidRDefault="00EE25B8" w:rsidP="000038F8">
            <w:r w:rsidRPr="00995FD2">
              <w:t xml:space="preserve">Significant reduction on MOAS score at </w:t>
            </w:r>
            <w:r>
              <w:t>six</w:t>
            </w:r>
            <w:r w:rsidRPr="00995FD2">
              <w:t xml:space="preserve"> month post move with no further changes at follow-up.</w:t>
            </w:r>
          </w:p>
        </w:tc>
        <w:tc>
          <w:tcPr>
            <w:tcW w:w="1056" w:type="pct"/>
          </w:tcPr>
          <w:p w14:paraId="6B662958" w14:textId="0C98A2BD" w:rsidR="00EE25B8" w:rsidRPr="00B936B8" w:rsidRDefault="00EE25B8" w:rsidP="000038F8">
            <w:r>
              <w:t>No comparison control group</w:t>
            </w:r>
          </w:p>
        </w:tc>
      </w:tr>
      <w:tr w:rsidR="00EE25B8" w:rsidRPr="00A802E7" w14:paraId="1C09E1E2" w14:textId="77777777" w:rsidTr="000F23DB">
        <w:tc>
          <w:tcPr>
            <w:tcW w:w="916" w:type="pct"/>
          </w:tcPr>
          <w:p w14:paraId="2D8AA143" w14:textId="0B840B1E" w:rsidR="00EE25B8" w:rsidRPr="000D590C" w:rsidRDefault="00EE25B8" w:rsidP="000038F8">
            <w:r w:rsidRPr="000D590C">
              <w:t xml:space="preserve">Bigby </w:t>
            </w:r>
            <w:r w:rsidR="00413121">
              <w:t>(</w:t>
            </w:r>
            <w:r w:rsidRPr="000D590C">
              <w:t>2018</w:t>
            </w:r>
            <w:r w:rsidR="00413121">
              <w:t>)</w:t>
            </w:r>
          </w:p>
          <w:p w14:paraId="3A594827" w14:textId="77777777" w:rsidR="00EE25B8" w:rsidRPr="000D590C" w:rsidRDefault="00EE25B8" w:rsidP="000038F8"/>
          <w:p w14:paraId="0E31DE95" w14:textId="77777777" w:rsidR="00EE25B8" w:rsidRPr="000D590C" w:rsidRDefault="00EE25B8" w:rsidP="000038F8"/>
        </w:tc>
        <w:tc>
          <w:tcPr>
            <w:tcW w:w="916" w:type="pct"/>
          </w:tcPr>
          <w:p w14:paraId="41316DC6" w14:textId="77777777" w:rsidR="00EE25B8" w:rsidRPr="00746749" w:rsidRDefault="00EE25B8" w:rsidP="000038F8">
            <w:pPr>
              <w:rPr>
                <w:b/>
                <w:bCs/>
              </w:rPr>
            </w:pPr>
            <w:r w:rsidRPr="00746749">
              <w:rPr>
                <w:b/>
                <w:bCs/>
              </w:rPr>
              <w:t>ABS</w:t>
            </w:r>
          </w:p>
          <w:p w14:paraId="204D2A03" w14:textId="5C625C5E" w:rsidR="00EE25B8" w:rsidRPr="00B936B8" w:rsidRDefault="00EE25B8" w:rsidP="000038F8">
            <w:r w:rsidRPr="00C52406">
              <w:t>Adaptive Behavio</w:t>
            </w:r>
            <w:r w:rsidR="005256BE">
              <w:t>u</w:t>
            </w:r>
            <w:r w:rsidRPr="00C52406">
              <w:t>r Scale Part I</w:t>
            </w:r>
          </w:p>
        </w:tc>
        <w:tc>
          <w:tcPr>
            <w:tcW w:w="986" w:type="pct"/>
          </w:tcPr>
          <w:p w14:paraId="4B5169D7" w14:textId="77777777" w:rsidR="00EE25B8" w:rsidRPr="00B936B8" w:rsidRDefault="00EE25B8" w:rsidP="000038F8">
            <w:r w:rsidRPr="006140CE">
              <w:t>Cross sectional study</w:t>
            </w:r>
          </w:p>
        </w:tc>
        <w:tc>
          <w:tcPr>
            <w:tcW w:w="1127" w:type="pct"/>
          </w:tcPr>
          <w:p w14:paraId="0D563227" w14:textId="77777777" w:rsidR="00EE25B8" w:rsidRPr="00B936B8" w:rsidRDefault="00EE25B8" w:rsidP="000038F8">
            <w:r>
              <w:t>Wider range of severity of disability among people in group homes compared to those in supported living, however, about 35% in group home comparable levels and could live in a supported living environment.</w:t>
            </w:r>
          </w:p>
        </w:tc>
        <w:tc>
          <w:tcPr>
            <w:tcW w:w="1056" w:type="pct"/>
          </w:tcPr>
          <w:p w14:paraId="3ECEBBDD" w14:textId="2D34E392" w:rsidR="00EE25B8" w:rsidRPr="00B936B8" w:rsidRDefault="00EE25B8" w:rsidP="000038F8">
            <w:r w:rsidRPr="0015334E">
              <w:t>Cross sectional design limits inferences about longitudinal change</w:t>
            </w:r>
          </w:p>
        </w:tc>
      </w:tr>
      <w:tr w:rsidR="00EE25B8" w:rsidRPr="00A802E7" w14:paraId="7C0149B3" w14:textId="77777777" w:rsidTr="001175C0">
        <w:tc>
          <w:tcPr>
            <w:tcW w:w="916" w:type="pct"/>
          </w:tcPr>
          <w:p w14:paraId="12DCB0A8" w14:textId="3B696C57" w:rsidR="00EE25B8" w:rsidRPr="000D590C" w:rsidRDefault="00EE25B8" w:rsidP="000F23DB">
            <w:pPr>
              <w:keepNext/>
            </w:pPr>
            <w:r w:rsidRPr="000D590C">
              <w:lastRenderedPageBreak/>
              <w:t xml:space="preserve">Bigby </w:t>
            </w:r>
            <w:r w:rsidR="00413121">
              <w:t>(</w:t>
            </w:r>
            <w:r w:rsidRPr="000D590C">
              <w:t>20</w:t>
            </w:r>
            <w:r>
              <w:t>0</w:t>
            </w:r>
            <w:r w:rsidRPr="000D590C">
              <w:t>8</w:t>
            </w:r>
            <w:r w:rsidR="00413121">
              <w:t>)</w:t>
            </w:r>
          </w:p>
        </w:tc>
        <w:tc>
          <w:tcPr>
            <w:tcW w:w="916" w:type="pct"/>
          </w:tcPr>
          <w:p w14:paraId="246CFBFF" w14:textId="77777777" w:rsidR="00EE25B8" w:rsidRPr="00EE04EE" w:rsidRDefault="00EE25B8" w:rsidP="000F23DB">
            <w:pPr>
              <w:keepNext/>
            </w:pPr>
            <w:r w:rsidRPr="00EE04EE">
              <w:t xml:space="preserve">Observed Secondary Health Conditions </w:t>
            </w:r>
          </w:p>
        </w:tc>
        <w:tc>
          <w:tcPr>
            <w:tcW w:w="986" w:type="pct"/>
            <w:shd w:val="clear" w:color="auto" w:fill="auto"/>
          </w:tcPr>
          <w:p w14:paraId="040C222F" w14:textId="368818D0" w:rsidR="00EE25B8" w:rsidRPr="006140CE" w:rsidRDefault="007B274C" w:rsidP="000F23DB">
            <w:pPr>
              <w:keepNext/>
            </w:pPr>
            <w:r>
              <w:t xml:space="preserve">Pre/post with follow up - </w:t>
            </w:r>
            <w:r w:rsidRPr="007B274C">
              <w:t>Data were collected prior to leaving the institution, and 1, 3 and 5 years after the move</w:t>
            </w:r>
          </w:p>
        </w:tc>
        <w:tc>
          <w:tcPr>
            <w:tcW w:w="1127" w:type="pct"/>
          </w:tcPr>
          <w:p w14:paraId="60880F8F" w14:textId="77777777" w:rsidR="00EE25B8" w:rsidRDefault="00EE25B8" w:rsidP="000F23DB">
            <w:pPr>
              <w:keepNext/>
            </w:pPr>
            <w:r>
              <w:t xml:space="preserve">Comparison of health outcomes of residents in supported living with either good or poor overall QoL. Those reporting better QoL reported a trend for better health outcomes although only few (e.g. physical fitness) were statistically significant. </w:t>
            </w:r>
          </w:p>
        </w:tc>
        <w:tc>
          <w:tcPr>
            <w:tcW w:w="1056" w:type="pct"/>
          </w:tcPr>
          <w:p w14:paraId="5EC9BA69" w14:textId="0A6D0E00" w:rsidR="00EE25B8" w:rsidRPr="00B936B8" w:rsidRDefault="00EE25B8" w:rsidP="000F23DB">
            <w:pPr>
              <w:keepNext/>
            </w:pPr>
            <w:r w:rsidRPr="0015334E">
              <w:t>Cross sectional design limits inferences about longitudinal change</w:t>
            </w:r>
          </w:p>
        </w:tc>
      </w:tr>
      <w:tr w:rsidR="00EE25B8" w:rsidRPr="00A802E7" w14:paraId="1F3FAA2A" w14:textId="77777777" w:rsidTr="000F23DB">
        <w:tc>
          <w:tcPr>
            <w:tcW w:w="916" w:type="pct"/>
          </w:tcPr>
          <w:p w14:paraId="260C2089" w14:textId="561B93BA" w:rsidR="00EE25B8" w:rsidRPr="000D590C" w:rsidRDefault="00EE25B8" w:rsidP="000038F8">
            <w:r w:rsidRPr="000D590C">
              <w:t xml:space="preserve">Chan et al </w:t>
            </w:r>
            <w:r w:rsidR="00413121">
              <w:t>(</w:t>
            </w:r>
            <w:r w:rsidRPr="000D590C">
              <w:t>2021</w:t>
            </w:r>
            <w:r w:rsidR="00413121">
              <w:t>)</w:t>
            </w:r>
          </w:p>
          <w:p w14:paraId="3A48DEC4" w14:textId="77777777" w:rsidR="00EE25B8" w:rsidRPr="000D590C" w:rsidRDefault="00EE25B8" w:rsidP="000038F8"/>
        </w:tc>
        <w:tc>
          <w:tcPr>
            <w:tcW w:w="916" w:type="pct"/>
          </w:tcPr>
          <w:p w14:paraId="70D4A532" w14:textId="77777777" w:rsidR="00EE25B8" w:rsidRPr="002B2A7D" w:rsidRDefault="00EE25B8" w:rsidP="000038F8">
            <w:pPr>
              <w:rPr>
                <w:b/>
                <w:bCs/>
              </w:rPr>
            </w:pPr>
            <w:r w:rsidRPr="002B2A7D">
              <w:rPr>
                <w:b/>
                <w:bCs/>
              </w:rPr>
              <w:t>CAN</w:t>
            </w:r>
            <w:r>
              <w:rPr>
                <w:b/>
                <w:bCs/>
              </w:rPr>
              <w:t>S</w:t>
            </w:r>
            <w:r w:rsidRPr="002B2A7D">
              <w:rPr>
                <w:b/>
                <w:bCs/>
              </w:rPr>
              <w:t>AS</w:t>
            </w:r>
          </w:p>
          <w:p w14:paraId="28D2755D" w14:textId="77777777" w:rsidR="00EE25B8" w:rsidRPr="00F02B79" w:rsidRDefault="00EE25B8" w:rsidP="000038F8">
            <w:r w:rsidRPr="00DB651A">
              <w:t xml:space="preserve">Camberwall Assessment of Needs Short Appraisal Scale </w:t>
            </w:r>
          </w:p>
        </w:tc>
        <w:tc>
          <w:tcPr>
            <w:tcW w:w="986" w:type="pct"/>
          </w:tcPr>
          <w:p w14:paraId="2CED308D" w14:textId="77777777" w:rsidR="00EE25B8" w:rsidRPr="00744525" w:rsidRDefault="00EE25B8" w:rsidP="000038F8">
            <w:r w:rsidRPr="006140CE">
              <w:t>Cox proportional hazard regression</w:t>
            </w:r>
            <w:r>
              <w:t xml:space="preserve"> analysis on longitudinal data of successful moves to independent living.</w:t>
            </w:r>
          </w:p>
        </w:tc>
        <w:tc>
          <w:tcPr>
            <w:tcW w:w="1127" w:type="pct"/>
          </w:tcPr>
          <w:p w14:paraId="226C5ACE" w14:textId="77777777" w:rsidR="00EE25B8" w:rsidRPr="00744525" w:rsidRDefault="00EE25B8" w:rsidP="000038F8">
            <w:r>
              <w:t>CANSAS score did not predict successful move to independent housing.</w:t>
            </w:r>
          </w:p>
        </w:tc>
        <w:tc>
          <w:tcPr>
            <w:tcW w:w="1056" w:type="pct"/>
            <w:shd w:val="clear" w:color="auto" w:fill="auto"/>
          </w:tcPr>
          <w:p w14:paraId="2D6F1980" w14:textId="0FD2AC2E" w:rsidR="00D5067A" w:rsidRDefault="00D5067A" w:rsidP="00D5067A">
            <w:r>
              <w:t>Observational</w:t>
            </w:r>
          </w:p>
          <w:p w14:paraId="1A320A89" w14:textId="77777777" w:rsidR="00D5067A" w:rsidRDefault="00D5067A" w:rsidP="00D5067A">
            <w:r>
              <w:t>study was only able to report associations between service</w:t>
            </w:r>
          </w:p>
          <w:p w14:paraId="0CCAE4BE" w14:textId="77777777" w:rsidR="00D5067A" w:rsidRDefault="00D5067A" w:rsidP="00D5067A">
            <w:r>
              <w:t>user characteristics and successful move-on and could not</w:t>
            </w:r>
          </w:p>
          <w:p w14:paraId="31E4528D" w14:textId="793BE2FE" w:rsidR="00EE25B8" w:rsidRPr="00B936B8" w:rsidRDefault="00D5067A" w:rsidP="00D5067A">
            <w:r>
              <w:t>confirm a causal relationship.</w:t>
            </w:r>
          </w:p>
        </w:tc>
      </w:tr>
      <w:tr w:rsidR="00EE25B8" w:rsidRPr="00A802E7" w14:paraId="2E577D32" w14:textId="77777777" w:rsidTr="001175C0">
        <w:tc>
          <w:tcPr>
            <w:tcW w:w="916" w:type="pct"/>
          </w:tcPr>
          <w:p w14:paraId="259497B1" w14:textId="2BDE078A" w:rsidR="00EE25B8" w:rsidRPr="000D590C" w:rsidRDefault="00EE25B8" w:rsidP="000038F8">
            <w:r w:rsidRPr="000D590C">
              <w:t xml:space="preserve">Chan et al </w:t>
            </w:r>
            <w:r w:rsidR="00413121">
              <w:t>(</w:t>
            </w:r>
            <w:r w:rsidRPr="000D590C">
              <w:t>2021</w:t>
            </w:r>
            <w:r w:rsidR="00413121">
              <w:t>)</w:t>
            </w:r>
          </w:p>
          <w:p w14:paraId="508C1C1E" w14:textId="77777777" w:rsidR="00EE25B8" w:rsidRPr="000D590C" w:rsidRDefault="00EE25B8" w:rsidP="000038F8"/>
        </w:tc>
        <w:tc>
          <w:tcPr>
            <w:tcW w:w="916" w:type="pct"/>
          </w:tcPr>
          <w:p w14:paraId="19955168" w14:textId="77777777" w:rsidR="00EE25B8" w:rsidRPr="002B2A7D" w:rsidRDefault="00EE25B8" w:rsidP="000038F8">
            <w:pPr>
              <w:rPr>
                <w:b/>
                <w:bCs/>
              </w:rPr>
            </w:pPr>
            <w:r w:rsidRPr="002B2A7D">
              <w:rPr>
                <w:b/>
                <w:bCs/>
              </w:rPr>
              <w:t>LSP</w:t>
            </w:r>
          </w:p>
          <w:p w14:paraId="1060CF5C" w14:textId="77777777" w:rsidR="00EE25B8" w:rsidRPr="00F02B79" w:rsidRDefault="00EE25B8" w:rsidP="000038F8">
            <w:r w:rsidRPr="00DB651A">
              <w:t xml:space="preserve">Life Skills Profile </w:t>
            </w:r>
          </w:p>
        </w:tc>
        <w:tc>
          <w:tcPr>
            <w:tcW w:w="986" w:type="pct"/>
            <w:shd w:val="clear" w:color="auto" w:fill="auto"/>
          </w:tcPr>
          <w:p w14:paraId="6CFFC852" w14:textId="032F8721" w:rsidR="00EE25B8" w:rsidRPr="00744525" w:rsidRDefault="007B274C" w:rsidP="000038F8">
            <w:r>
              <w:t>M</w:t>
            </w:r>
            <w:r w:rsidRPr="007B274C">
              <w:t>ultivariable Cox proportional hazard regression</w:t>
            </w:r>
            <w:r>
              <w:t xml:space="preserve"> on longitudinal data</w:t>
            </w:r>
          </w:p>
        </w:tc>
        <w:tc>
          <w:tcPr>
            <w:tcW w:w="1127" w:type="pct"/>
          </w:tcPr>
          <w:p w14:paraId="2BB4F211" w14:textId="77777777" w:rsidR="00EE25B8" w:rsidRPr="00744525" w:rsidRDefault="00EE25B8" w:rsidP="000038F8">
            <w:r>
              <w:t xml:space="preserve">LSP </w:t>
            </w:r>
            <w:r w:rsidRPr="000535A0">
              <w:t>score predict</w:t>
            </w:r>
            <w:r>
              <w:t>ed</w:t>
            </w:r>
            <w:r w:rsidRPr="000535A0">
              <w:t xml:space="preserve"> successful move to independent housing.</w:t>
            </w:r>
          </w:p>
        </w:tc>
        <w:tc>
          <w:tcPr>
            <w:tcW w:w="1056" w:type="pct"/>
            <w:shd w:val="clear" w:color="auto" w:fill="auto"/>
          </w:tcPr>
          <w:p w14:paraId="340E8DA1" w14:textId="20240DD2" w:rsidR="00D5067A" w:rsidRDefault="00D5067A" w:rsidP="00D5067A">
            <w:r>
              <w:t xml:space="preserve"> Observational</w:t>
            </w:r>
          </w:p>
          <w:p w14:paraId="2D5C1D60" w14:textId="77777777" w:rsidR="00D5067A" w:rsidRDefault="00D5067A" w:rsidP="00D5067A">
            <w:r>
              <w:t>study was only able to report associations between service</w:t>
            </w:r>
          </w:p>
          <w:p w14:paraId="41DFB515" w14:textId="77777777" w:rsidR="00D5067A" w:rsidRDefault="00D5067A" w:rsidP="00D5067A">
            <w:r>
              <w:t>user characteristics and successful move-on and could not</w:t>
            </w:r>
          </w:p>
          <w:p w14:paraId="57B74ED1" w14:textId="3E32ABDD" w:rsidR="00EE25B8" w:rsidRPr="00B936B8" w:rsidRDefault="00D5067A" w:rsidP="00D5067A">
            <w:r>
              <w:t>confirm a causal relationship.</w:t>
            </w:r>
          </w:p>
        </w:tc>
      </w:tr>
      <w:tr w:rsidR="00EE25B8" w:rsidRPr="00A802E7" w14:paraId="50A4E0BD" w14:textId="77777777" w:rsidTr="000F23DB">
        <w:tc>
          <w:tcPr>
            <w:tcW w:w="916" w:type="pct"/>
          </w:tcPr>
          <w:p w14:paraId="31CBE86F" w14:textId="0148616A" w:rsidR="00EE25B8" w:rsidRPr="000D590C" w:rsidRDefault="00EE25B8" w:rsidP="000038F8">
            <w:r w:rsidRPr="000D590C">
              <w:t xml:space="preserve">Cooper &amp; Picton </w:t>
            </w:r>
            <w:r w:rsidR="00413121">
              <w:t>(</w:t>
            </w:r>
            <w:r w:rsidRPr="000D590C">
              <w:t>2000</w:t>
            </w:r>
            <w:r w:rsidR="00413121">
              <w:t>)</w:t>
            </w:r>
          </w:p>
          <w:p w14:paraId="76A0C80E" w14:textId="77777777" w:rsidR="00EE25B8" w:rsidRPr="000D590C" w:rsidRDefault="00EE25B8" w:rsidP="000038F8"/>
        </w:tc>
        <w:tc>
          <w:tcPr>
            <w:tcW w:w="916" w:type="pct"/>
          </w:tcPr>
          <w:p w14:paraId="3E851651" w14:textId="77777777" w:rsidR="00EE25B8" w:rsidRPr="00FB02DA" w:rsidRDefault="00EE25B8" w:rsidP="000038F8">
            <w:pPr>
              <w:rPr>
                <w:b/>
                <w:bCs/>
              </w:rPr>
            </w:pPr>
            <w:r w:rsidRPr="00FB02DA">
              <w:rPr>
                <w:b/>
                <w:bCs/>
              </w:rPr>
              <w:t>BDS</w:t>
            </w:r>
          </w:p>
          <w:p w14:paraId="12B5EAB5" w14:textId="625619A5" w:rsidR="00EE25B8" w:rsidRPr="00F02B79" w:rsidRDefault="00EE25B8" w:rsidP="000038F8">
            <w:r w:rsidRPr="00FB02DA">
              <w:t>Behavio</w:t>
            </w:r>
            <w:r w:rsidR="005256BE">
              <w:t>u</w:t>
            </w:r>
            <w:r w:rsidRPr="00FB02DA">
              <w:t>r Development Survey</w:t>
            </w:r>
          </w:p>
        </w:tc>
        <w:tc>
          <w:tcPr>
            <w:tcW w:w="986" w:type="pct"/>
          </w:tcPr>
          <w:p w14:paraId="67F9EDF4" w14:textId="77777777" w:rsidR="00EE25B8" w:rsidRPr="00744525" w:rsidRDefault="00EE25B8" w:rsidP="000038F8">
            <w:r w:rsidRPr="00B40DBE">
              <w:t>Pre/post with follow up design: prior to transition, 6 months and 3 years post transition</w:t>
            </w:r>
          </w:p>
        </w:tc>
        <w:tc>
          <w:tcPr>
            <w:tcW w:w="1127" w:type="pct"/>
          </w:tcPr>
          <w:p w14:paraId="7A2A9F6D" w14:textId="77777777" w:rsidR="00EE25B8" w:rsidRPr="00744525" w:rsidRDefault="00EE25B8" w:rsidP="000038F8">
            <w:r w:rsidRPr="00FB02DA">
              <w:t xml:space="preserve">Significant decrease at </w:t>
            </w:r>
            <w:r>
              <w:t>six</w:t>
            </w:r>
            <w:r w:rsidRPr="00FB02DA">
              <w:t xml:space="preserve"> month follow-up for training centre residents only</w:t>
            </w:r>
          </w:p>
        </w:tc>
        <w:tc>
          <w:tcPr>
            <w:tcW w:w="1056" w:type="pct"/>
          </w:tcPr>
          <w:p w14:paraId="5033071E" w14:textId="34C0CB6A" w:rsidR="00EE25B8" w:rsidRPr="00B936B8" w:rsidRDefault="00EE25B8" w:rsidP="000038F8">
            <w:r>
              <w:t>No comparison control group</w:t>
            </w:r>
          </w:p>
        </w:tc>
      </w:tr>
      <w:tr w:rsidR="00EE25B8" w:rsidRPr="00A802E7" w14:paraId="0760CCF3" w14:textId="77777777" w:rsidTr="000F23DB">
        <w:tc>
          <w:tcPr>
            <w:tcW w:w="916" w:type="pct"/>
          </w:tcPr>
          <w:p w14:paraId="437059A4" w14:textId="0493CEAC" w:rsidR="00EE25B8" w:rsidRPr="000D590C" w:rsidRDefault="00EE25B8" w:rsidP="000038F8">
            <w:r w:rsidRPr="000D590C">
              <w:lastRenderedPageBreak/>
              <w:t xml:space="preserve">Emerson </w:t>
            </w:r>
            <w:r w:rsidR="00413121">
              <w:t>(</w:t>
            </w:r>
            <w:r w:rsidRPr="000D590C">
              <w:t>2004</w:t>
            </w:r>
            <w:r w:rsidR="00413121">
              <w:t>)</w:t>
            </w:r>
          </w:p>
          <w:p w14:paraId="482BCE2E" w14:textId="77777777" w:rsidR="00EE25B8" w:rsidRPr="000D590C" w:rsidRDefault="00EE25B8" w:rsidP="000038F8"/>
        </w:tc>
        <w:tc>
          <w:tcPr>
            <w:tcW w:w="916" w:type="pct"/>
          </w:tcPr>
          <w:p w14:paraId="14BD22B9" w14:textId="77777777" w:rsidR="00EE25B8" w:rsidRPr="002F25E7" w:rsidRDefault="00EE25B8" w:rsidP="000038F8">
            <w:r w:rsidRPr="00C23E18">
              <w:t>Physical Activity Scale</w:t>
            </w:r>
          </w:p>
        </w:tc>
        <w:tc>
          <w:tcPr>
            <w:tcW w:w="986" w:type="pct"/>
          </w:tcPr>
          <w:p w14:paraId="36E9CF86" w14:textId="77777777" w:rsidR="00EE25B8" w:rsidRPr="00744525" w:rsidRDefault="00EE25B8" w:rsidP="000038F8">
            <w:r w:rsidRPr="00B40DBE">
              <w:t>Cross sectional</w:t>
            </w:r>
            <w:r>
              <w:t xml:space="preserve"> design</w:t>
            </w:r>
          </w:p>
        </w:tc>
        <w:tc>
          <w:tcPr>
            <w:tcW w:w="1127" w:type="pct"/>
          </w:tcPr>
          <w:p w14:paraId="42CB29FC" w14:textId="77777777" w:rsidR="00EE25B8" w:rsidRPr="002F25E7" w:rsidRDefault="00EE25B8" w:rsidP="000038F8">
            <w:r>
              <w:t>Cluster housing residents had poorer physical health.</w:t>
            </w:r>
          </w:p>
        </w:tc>
        <w:tc>
          <w:tcPr>
            <w:tcW w:w="1056" w:type="pct"/>
          </w:tcPr>
          <w:p w14:paraId="07168E61" w14:textId="11D0AC4A" w:rsidR="00EE25B8" w:rsidRPr="00B936B8" w:rsidRDefault="00EE25B8" w:rsidP="000038F8">
            <w:r w:rsidRPr="0015334E">
              <w:t>Cross sectional design limits inferences about longitudinal change</w:t>
            </w:r>
          </w:p>
        </w:tc>
      </w:tr>
      <w:tr w:rsidR="00EE25B8" w:rsidRPr="00A802E7" w14:paraId="75375EA9" w14:textId="77777777" w:rsidTr="000F23DB">
        <w:tc>
          <w:tcPr>
            <w:tcW w:w="916" w:type="pct"/>
          </w:tcPr>
          <w:p w14:paraId="3AC63FFA" w14:textId="149B20B1" w:rsidR="00EE25B8" w:rsidRPr="000D590C" w:rsidRDefault="00EE25B8" w:rsidP="000038F8">
            <w:r w:rsidRPr="000D590C">
              <w:t xml:space="preserve">Fahey et al </w:t>
            </w:r>
            <w:r w:rsidR="00413121">
              <w:t>(</w:t>
            </w:r>
            <w:r w:rsidRPr="000D590C">
              <w:t>2010</w:t>
            </w:r>
            <w:r w:rsidR="00413121">
              <w:t>)</w:t>
            </w:r>
          </w:p>
          <w:p w14:paraId="6291318F" w14:textId="77777777" w:rsidR="00EE25B8" w:rsidRPr="000D590C" w:rsidRDefault="00EE25B8" w:rsidP="000038F8">
            <w:pPr>
              <w:rPr>
                <w:highlight w:val="yellow"/>
              </w:rPr>
            </w:pPr>
          </w:p>
        </w:tc>
        <w:tc>
          <w:tcPr>
            <w:tcW w:w="916" w:type="pct"/>
          </w:tcPr>
          <w:p w14:paraId="355D4CA1" w14:textId="77777777" w:rsidR="00EE25B8" w:rsidRPr="00862001" w:rsidRDefault="00EE25B8" w:rsidP="000038F8">
            <w:pPr>
              <w:rPr>
                <w:b/>
                <w:bCs/>
              </w:rPr>
            </w:pPr>
            <w:r w:rsidRPr="00862001">
              <w:rPr>
                <w:b/>
                <w:bCs/>
              </w:rPr>
              <w:t>ABS</w:t>
            </w:r>
          </w:p>
          <w:p w14:paraId="5751804C" w14:textId="2247F29C" w:rsidR="00EE25B8" w:rsidRPr="00E71DE3" w:rsidRDefault="00EE25B8" w:rsidP="000038F8">
            <w:r w:rsidRPr="00E71DE3">
              <w:t>Adaptive Behavio</w:t>
            </w:r>
            <w:r w:rsidR="005256BE">
              <w:t>u</w:t>
            </w:r>
            <w:r w:rsidRPr="00E71DE3">
              <w:t>r Scale-Residential and Community</w:t>
            </w:r>
          </w:p>
        </w:tc>
        <w:tc>
          <w:tcPr>
            <w:tcW w:w="986" w:type="pct"/>
          </w:tcPr>
          <w:p w14:paraId="6CB3CC35" w14:textId="77777777" w:rsidR="00EE25B8" w:rsidRPr="00744525" w:rsidRDefault="00EE25B8" w:rsidP="000038F8">
            <w:r w:rsidRPr="00CF1F06">
              <w:t>Cross sectional design</w:t>
            </w:r>
          </w:p>
        </w:tc>
        <w:tc>
          <w:tcPr>
            <w:tcW w:w="1127" w:type="pct"/>
          </w:tcPr>
          <w:p w14:paraId="48ADFCF9" w14:textId="77777777" w:rsidR="00EE25B8" w:rsidRPr="002F25E7" w:rsidRDefault="00EE25B8" w:rsidP="000038F8">
            <w:r>
              <w:t>Higher adaptive scores reported for Camphill residents.</w:t>
            </w:r>
          </w:p>
        </w:tc>
        <w:tc>
          <w:tcPr>
            <w:tcW w:w="1056" w:type="pct"/>
          </w:tcPr>
          <w:p w14:paraId="55CEAFB4" w14:textId="0D6E5A71" w:rsidR="00EE25B8" w:rsidRPr="00B936B8" w:rsidRDefault="00EE25B8" w:rsidP="000038F8">
            <w:r w:rsidRPr="0015334E">
              <w:t>Cross sectional design limits inferences about longitudinal change</w:t>
            </w:r>
          </w:p>
        </w:tc>
      </w:tr>
      <w:tr w:rsidR="00EE25B8" w:rsidRPr="00A802E7" w14:paraId="0AD5527F" w14:textId="77777777" w:rsidTr="000F23DB">
        <w:tc>
          <w:tcPr>
            <w:tcW w:w="916" w:type="pct"/>
          </w:tcPr>
          <w:p w14:paraId="300A9951" w14:textId="61DEBB59" w:rsidR="00EE25B8" w:rsidRPr="000D590C" w:rsidRDefault="00EE25B8" w:rsidP="000038F8">
            <w:r w:rsidRPr="000D590C">
              <w:t xml:space="preserve">Fahey et al </w:t>
            </w:r>
            <w:r w:rsidR="00413121">
              <w:t>(</w:t>
            </w:r>
            <w:r w:rsidRPr="000D590C">
              <w:t>2010</w:t>
            </w:r>
            <w:r w:rsidR="00413121">
              <w:t>)</w:t>
            </w:r>
          </w:p>
          <w:p w14:paraId="21A88E25" w14:textId="77777777" w:rsidR="00EE25B8" w:rsidRPr="000D590C" w:rsidRDefault="00EE25B8" w:rsidP="000038F8"/>
        </w:tc>
        <w:tc>
          <w:tcPr>
            <w:tcW w:w="916" w:type="pct"/>
          </w:tcPr>
          <w:p w14:paraId="7AC6D846" w14:textId="77777777" w:rsidR="00EE25B8" w:rsidRPr="00E71DE3" w:rsidRDefault="00EE25B8" w:rsidP="000038F8">
            <w:pPr>
              <w:rPr>
                <w:b/>
                <w:bCs/>
              </w:rPr>
            </w:pPr>
            <w:r w:rsidRPr="00E71DE3">
              <w:rPr>
                <w:b/>
                <w:bCs/>
              </w:rPr>
              <w:t>ABC</w:t>
            </w:r>
          </w:p>
          <w:p w14:paraId="3963FBC7" w14:textId="6368C360" w:rsidR="00EE25B8" w:rsidRPr="00FA5402" w:rsidRDefault="00EE25B8" w:rsidP="000038F8">
            <w:r w:rsidRPr="00E71DE3">
              <w:t>Aberrant Behavio</w:t>
            </w:r>
            <w:r w:rsidR="005256BE">
              <w:t>u</w:t>
            </w:r>
            <w:r w:rsidRPr="00E71DE3">
              <w:t>r Checklist</w:t>
            </w:r>
          </w:p>
        </w:tc>
        <w:tc>
          <w:tcPr>
            <w:tcW w:w="986" w:type="pct"/>
            <w:shd w:val="clear" w:color="auto" w:fill="auto"/>
          </w:tcPr>
          <w:p w14:paraId="4BBECEFE" w14:textId="3F6C5E31" w:rsidR="00EE25B8" w:rsidRPr="00744525" w:rsidRDefault="00D5067A" w:rsidP="000038F8">
            <w:r w:rsidRPr="00CF1F06">
              <w:t>Cross sectional design</w:t>
            </w:r>
          </w:p>
        </w:tc>
        <w:tc>
          <w:tcPr>
            <w:tcW w:w="1127" w:type="pct"/>
            <w:shd w:val="clear" w:color="auto" w:fill="auto"/>
          </w:tcPr>
          <w:p w14:paraId="7217CDF9" w14:textId="77777777" w:rsidR="00EE25B8" w:rsidRDefault="00EE25B8" w:rsidP="000038F8">
            <w:r>
              <w:t>Camphill residents reported more challenging behaviours compared to group home residents.</w:t>
            </w:r>
          </w:p>
        </w:tc>
        <w:tc>
          <w:tcPr>
            <w:tcW w:w="1056" w:type="pct"/>
          </w:tcPr>
          <w:p w14:paraId="1645B249" w14:textId="5D90666F" w:rsidR="00EE25B8" w:rsidRPr="00B936B8" w:rsidRDefault="00EE25B8" w:rsidP="000038F8">
            <w:r w:rsidRPr="0015334E">
              <w:t>Cross sectional design limits inferences about longitudinal change</w:t>
            </w:r>
          </w:p>
        </w:tc>
      </w:tr>
      <w:tr w:rsidR="00EE25B8" w:rsidRPr="00A802E7" w14:paraId="48F9A972" w14:textId="77777777" w:rsidTr="000F23DB">
        <w:tc>
          <w:tcPr>
            <w:tcW w:w="916" w:type="pct"/>
          </w:tcPr>
          <w:p w14:paraId="56A5DE87" w14:textId="25E2B2EC" w:rsidR="00EE25B8" w:rsidRPr="000D590C" w:rsidRDefault="00EE25B8" w:rsidP="000038F8">
            <w:r w:rsidRPr="000D590C">
              <w:t xml:space="preserve">Fahey et al </w:t>
            </w:r>
            <w:r w:rsidR="00413121">
              <w:t>(</w:t>
            </w:r>
            <w:r w:rsidRPr="000D590C">
              <w:t>2010</w:t>
            </w:r>
            <w:r w:rsidR="00413121">
              <w:t>)</w:t>
            </w:r>
          </w:p>
        </w:tc>
        <w:tc>
          <w:tcPr>
            <w:tcW w:w="916" w:type="pct"/>
          </w:tcPr>
          <w:p w14:paraId="7FED0F04" w14:textId="77777777" w:rsidR="00EE25B8" w:rsidRPr="00E71DE3" w:rsidRDefault="00EE25B8" w:rsidP="000038F8">
            <w:r w:rsidRPr="00E71DE3">
              <w:t>Health Survey for England</w:t>
            </w:r>
          </w:p>
        </w:tc>
        <w:tc>
          <w:tcPr>
            <w:tcW w:w="986" w:type="pct"/>
            <w:shd w:val="clear" w:color="auto" w:fill="auto"/>
          </w:tcPr>
          <w:p w14:paraId="44661C77" w14:textId="3B6664D4" w:rsidR="00EE25B8" w:rsidRPr="00744525" w:rsidRDefault="00D5067A" w:rsidP="000038F8">
            <w:r w:rsidRPr="00CF1F06">
              <w:t>Cross sectional design</w:t>
            </w:r>
          </w:p>
        </w:tc>
        <w:tc>
          <w:tcPr>
            <w:tcW w:w="1127" w:type="pct"/>
            <w:shd w:val="clear" w:color="auto" w:fill="auto"/>
          </w:tcPr>
          <w:p w14:paraId="1C5EDF91" w14:textId="77777777" w:rsidR="00EE25B8" w:rsidRDefault="00EE25B8" w:rsidP="000038F8">
            <w:r>
              <w:t>Superior health reported for Camphill residents.</w:t>
            </w:r>
          </w:p>
        </w:tc>
        <w:tc>
          <w:tcPr>
            <w:tcW w:w="1056" w:type="pct"/>
          </w:tcPr>
          <w:p w14:paraId="7EB38B73" w14:textId="07B691CF" w:rsidR="00EE25B8" w:rsidRPr="00B936B8" w:rsidRDefault="00EE25B8" w:rsidP="000038F8">
            <w:r w:rsidRPr="0015334E">
              <w:t>Cross sectional design limits inferences about longitudinal change</w:t>
            </w:r>
          </w:p>
        </w:tc>
      </w:tr>
      <w:tr w:rsidR="00EE25B8" w:rsidRPr="00A802E7" w14:paraId="7545C482" w14:textId="77777777" w:rsidTr="000F23DB">
        <w:tc>
          <w:tcPr>
            <w:tcW w:w="916" w:type="pct"/>
          </w:tcPr>
          <w:p w14:paraId="1CDEC068" w14:textId="0BFC8FD0" w:rsidR="00EE25B8" w:rsidRPr="000D590C" w:rsidRDefault="00EE25B8" w:rsidP="000038F8">
            <w:r w:rsidRPr="000D590C">
              <w:t xml:space="preserve">Fahey et al </w:t>
            </w:r>
            <w:r w:rsidR="00413121">
              <w:t>(</w:t>
            </w:r>
            <w:r w:rsidRPr="000D590C">
              <w:t>2010</w:t>
            </w:r>
            <w:r w:rsidR="00413121">
              <w:t>)</w:t>
            </w:r>
          </w:p>
        </w:tc>
        <w:tc>
          <w:tcPr>
            <w:tcW w:w="916" w:type="pct"/>
          </w:tcPr>
          <w:p w14:paraId="0798667A" w14:textId="77777777" w:rsidR="00EE25B8" w:rsidRPr="00FA5402" w:rsidRDefault="00EE25B8" w:rsidP="000038F8">
            <w:r w:rsidRPr="00E71DE3">
              <w:t>Tameside and Glossop Health Needs Survey</w:t>
            </w:r>
          </w:p>
        </w:tc>
        <w:tc>
          <w:tcPr>
            <w:tcW w:w="986" w:type="pct"/>
            <w:shd w:val="clear" w:color="auto" w:fill="auto"/>
          </w:tcPr>
          <w:p w14:paraId="7CA012A2" w14:textId="6236E97D" w:rsidR="00EE25B8" w:rsidRPr="00744525" w:rsidRDefault="00D5067A" w:rsidP="000038F8">
            <w:r w:rsidRPr="00CF1F06">
              <w:t>Cross sectional design</w:t>
            </w:r>
          </w:p>
        </w:tc>
        <w:tc>
          <w:tcPr>
            <w:tcW w:w="1127" w:type="pct"/>
            <w:shd w:val="clear" w:color="auto" w:fill="auto"/>
          </w:tcPr>
          <w:p w14:paraId="23F7D986" w14:textId="77777777" w:rsidR="00EE25B8" w:rsidRDefault="00EE25B8" w:rsidP="000038F8">
            <w:r>
              <w:t>Superior health reported for Camphill residents.</w:t>
            </w:r>
          </w:p>
        </w:tc>
        <w:tc>
          <w:tcPr>
            <w:tcW w:w="1056" w:type="pct"/>
          </w:tcPr>
          <w:p w14:paraId="7660A924" w14:textId="020471BE" w:rsidR="00EE25B8" w:rsidRPr="00B936B8" w:rsidRDefault="00EE25B8" w:rsidP="000038F8">
            <w:r w:rsidRPr="0015334E">
              <w:t>Cross sectional design limits inferences about longitudinal change</w:t>
            </w:r>
          </w:p>
        </w:tc>
      </w:tr>
      <w:tr w:rsidR="00EE25B8" w:rsidRPr="00A802E7" w14:paraId="5DA853A4" w14:textId="77777777" w:rsidTr="000F23DB">
        <w:tc>
          <w:tcPr>
            <w:tcW w:w="916" w:type="pct"/>
          </w:tcPr>
          <w:p w14:paraId="18876DA5" w14:textId="0F112320" w:rsidR="00EE25B8" w:rsidRPr="000D590C" w:rsidRDefault="00EE25B8" w:rsidP="000038F8">
            <w:r w:rsidRPr="000D590C">
              <w:t xml:space="preserve">Farhall et al </w:t>
            </w:r>
            <w:r w:rsidR="00413121">
              <w:t>(</w:t>
            </w:r>
            <w:r w:rsidRPr="000D590C">
              <w:t>2003</w:t>
            </w:r>
            <w:r w:rsidR="00413121">
              <w:t>)</w:t>
            </w:r>
          </w:p>
          <w:p w14:paraId="1E86030C" w14:textId="77777777" w:rsidR="00EE25B8" w:rsidRPr="000D590C" w:rsidRDefault="00EE25B8" w:rsidP="000038F8"/>
        </w:tc>
        <w:tc>
          <w:tcPr>
            <w:tcW w:w="916" w:type="pct"/>
          </w:tcPr>
          <w:p w14:paraId="3E40F8CE" w14:textId="77777777" w:rsidR="00EE25B8" w:rsidRPr="00180F30" w:rsidRDefault="00EE25B8" w:rsidP="000038F8">
            <w:pPr>
              <w:rPr>
                <w:b/>
                <w:bCs/>
              </w:rPr>
            </w:pPr>
            <w:r w:rsidRPr="00180F30">
              <w:rPr>
                <w:b/>
                <w:bCs/>
              </w:rPr>
              <w:t>SOAS</w:t>
            </w:r>
          </w:p>
          <w:p w14:paraId="5D95DA90" w14:textId="77777777" w:rsidR="00EE25B8" w:rsidRPr="00E71DE3" w:rsidRDefault="00EE25B8" w:rsidP="000038F8">
            <w:r w:rsidRPr="00E71DE3">
              <w:t>Observation Aggression Scale</w:t>
            </w:r>
          </w:p>
        </w:tc>
        <w:tc>
          <w:tcPr>
            <w:tcW w:w="986" w:type="pct"/>
          </w:tcPr>
          <w:p w14:paraId="58EEBD73" w14:textId="77777777" w:rsidR="00EE25B8" w:rsidRPr="00744525" w:rsidRDefault="00EE25B8" w:rsidP="000038F8">
            <w:r w:rsidRPr="00180F30">
              <w:t>Pre</w:t>
            </w:r>
            <w:r>
              <w:t xml:space="preserve"> (baseline) </w:t>
            </w:r>
            <w:r w:rsidRPr="00180F30">
              <w:t xml:space="preserve">/post </w:t>
            </w:r>
            <w:r>
              <w:t xml:space="preserve">(four week) </w:t>
            </w:r>
            <w:r w:rsidRPr="00180F30">
              <w:t>design</w:t>
            </w:r>
          </w:p>
        </w:tc>
        <w:tc>
          <w:tcPr>
            <w:tcW w:w="1127" w:type="pct"/>
          </w:tcPr>
          <w:p w14:paraId="59E6B746" w14:textId="77777777" w:rsidR="00EE25B8" w:rsidRDefault="00EE25B8" w:rsidP="000038F8">
            <w:r>
              <w:t xml:space="preserve">SOAS was used to assess relocation trauma behaviours following transition and concluded that about 12% met criterion but comparably 10% improved significantly on the SOAS score post move. </w:t>
            </w:r>
          </w:p>
        </w:tc>
        <w:tc>
          <w:tcPr>
            <w:tcW w:w="1056" w:type="pct"/>
          </w:tcPr>
          <w:p w14:paraId="0311D1C0" w14:textId="6084E58C" w:rsidR="00EE25B8" w:rsidRPr="00B936B8" w:rsidRDefault="00EE25B8" w:rsidP="000038F8">
            <w:r>
              <w:t>No comparison control group</w:t>
            </w:r>
          </w:p>
        </w:tc>
      </w:tr>
      <w:tr w:rsidR="00EE25B8" w:rsidRPr="00A802E7" w14:paraId="0C788F69" w14:textId="77777777" w:rsidTr="000F23DB">
        <w:tc>
          <w:tcPr>
            <w:tcW w:w="916" w:type="pct"/>
          </w:tcPr>
          <w:p w14:paraId="45952488" w14:textId="21019B96" w:rsidR="00EE25B8" w:rsidRPr="000D590C" w:rsidRDefault="00EE25B8" w:rsidP="000038F8">
            <w:r w:rsidRPr="000D590C">
              <w:t xml:space="preserve">Marlow &amp; Walker </w:t>
            </w:r>
            <w:r w:rsidR="00413121">
              <w:t>(</w:t>
            </w:r>
            <w:r w:rsidRPr="000D590C">
              <w:t>2015</w:t>
            </w:r>
            <w:r w:rsidR="00413121">
              <w:t>)</w:t>
            </w:r>
          </w:p>
          <w:p w14:paraId="05A750BF" w14:textId="77777777" w:rsidR="00EE25B8" w:rsidRPr="000D590C" w:rsidRDefault="00EE25B8" w:rsidP="000038F8"/>
        </w:tc>
        <w:tc>
          <w:tcPr>
            <w:tcW w:w="916" w:type="pct"/>
          </w:tcPr>
          <w:p w14:paraId="44348E27" w14:textId="77777777" w:rsidR="00EE25B8" w:rsidRPr="00756202" w:rsidRDefault="00EE25B8" w:rsidP="000038F8">
            <w:pPr>
              <w:rPr>
                <w:b/>
                <w:bCs/>
              </w:rPr>
            </w:pPr>
            <w:r w:rsidRPr="00756202">
              <w:rPr>
                <w:b/>
                <w:bCs/>
              </w:rPr>
              <w:t>ABAS</w:t>
            </w:r>
          </w:p>
          <w:p w14:paraId="2F3E43F6" w14:textId="77777777" w:rsidR="00EE25B8" w:rsidRDefault="00EE25B8" w:rsidP="000038F8">
            <w:r w:rsidRPr="00756202">
              <w:t>Adaptive Behaviour Assessment Scale</w:t>
            </w:r>
          </w:p>
        </w:tc>
        <w:tc>
          <w:tcPr>
            <w:tcW w:w="986" w:type="pct"/>
          </w:tcPr>
          <w:p w14:paraId="02C20D63" w14:textId="77777777" w:rsidR="00EE25B8" w:rsidRPr="00744525" w:rsidRDefault="00EE25B8" w:rsidP="000038F8">
            <w:r w:rsidRPr="00D911E0">
              <w:t>Repeated measures design/baseline/1-month post move/6-month post-move</w:t>
            </w:r>
          </w:p>
        </w:tc>
        <w:tc>
          <w:tcPr>
            <w:tcW w:w="1127" w:type="pct"/>
          </w:tcPr>
          <w:p w14:paraId="69883A59" w14:textId="77777777" w:rsidR="00EE25B8" w:rsidRDefault="00EE25B8" w:rsidP="000038F8">
            <w:r>
              <w:t>Limited activity involvement outside the home.</w:t>
            </w:r>
          </w:p>
        </w:tc>
        <w:tc>
          <w:tcPr>
            <w:tcW w:w="1056" w:type="pct"/>
          </w:tcPr>
          <w:p w14:paraId="2A3348B2" w14:textId="30F42C80" w:rsidR="00EE25B8" w:rsidRPr="00B936B8" w:rsidRDefault="00EE25B8" w:rsidP="000038F8">
            <w:r>
              <w:t>Very small sample size (N=6)</w:t>
            </w:r>
          </w:p>
        </w:tc>
      </w:tr>
      <w:tr w:rsidR="00EE25B8" w:rsidRPr="00A802E7" w14:paraId="4F220733" w14:textId="77777777" w:rsidTr="000F23DB">
        <w:tc>
          <w:tcPr>
            <w:tcW w:w="916" w:type="pct"/>
          </w:tcPr>
          <w:p w14:paraId="2C842489" w14:textId="7069EFF8" w:rsidR="00EE25B8" w:rsidRPr="000D590C" w:rsidRDefault="00EE25B8" w:rsidP="000038F8">
            <w:r w:rsidRPr="000D590C">
              <w:t xml:space="preserve">Mathews </w:t>
            </w:r>
            <w:r w:rsidR="00413121">
              <w:t>(</w:t>
            </w:r>
            <w:r w:rsidRPr="000D590C">
              <w:t>2015</w:t>
            </w:r>
            <w:r w:rsidR="00413121">
              <w:t>)</w:t>
            </w:r>
          </w:p>
          <w:p w14:paraId="647A67F8" w14:textId="77777777" w:rsidR="00EE25B8" w:rsidRPr="000D590C" w:rsidRDefault="00EE25B8" w:rsidP="000038F8"/>
        </w:tc>
        <w:tc>
          <w:tcPr>
            <w:tcW w:w="916" w:type="pct"/>
          </w:tcPr>
          <w:p w14:paraId="0823C843" w14:textId="77777777" w:rsidR="00EE25B8" w:rsidRDefault="00EE25B8" w:rsidP="000038F8">
            <w:pPr>
              <w:rPr>
                <w:b/>
                <w:bCs/>
              </w:rPr>
            </w:pPr>
            <w:r w:rsidRPr="0075701D">
              <w:rPr>
                <w:b/>
                <w:bCs/>
              </w:rPr>
              <w:t>WSDSHS</w:t>
            </w:r>
          </w:p>
          <w:p w14:paraId="5FC662BE" w14:textId="77777777" w:rsidR="00EE25B8" w:rsidRPr="0075701D" w:rsidRDefault="00EE25B8" w:rsidP="000038F8">
            <w:r w:rsidRPr="0075701D">
              <w:t>Life Skills Inventory Independent Living Skills Assessment Tool</w:t>
            </w:r>
          </w:p>
        </w:tc>
        <w:tc>
          <w:tcPr>
            <w:tcW w:w="986" w:type="pct"/>
          </w:tcPr>
          <w:p w14:paraId="58C6F9E6" w14:textId="77777777" w:rsidR="00EE25B8" w:rsidRPr="00744525" w:rsidRDefault="00EE25B8" w:rsidP="000038F8">
            <w:r>
              <w:t>Programme evaluation</w:t>
            </w:r>
          </w:p>
        </w:tc>
        <w:tc>
          <w:tcPr>
            <w:tcW w:w="1127" w:type="pct"/>
          </w:tcPr>
          <w:p w14:paraId="646DD574" w14:textId="77777777" w:rsidR="00EE25B8" w:rsidRDefault="00EE25B8" w:rsidP="000038F8">
            <w:r>
              <w:t>Evaluation of the LSP programme showed improvements in some living skills categories.</w:t>
            </w:r>
          </w:p>
        </w:tc>
        <w:tc>
          <w:tcPr>
            <w:tcW w:w="1056" w:type="pct"/>
          </w:tcPr>
          <w:p w14:paraId="64A2A85E" w14:textId="77777777" w:rsidR="00EE25B8" w:rsidRPr="00B936B8" w:rsidRDefault="00EE25B8" w:rsidP="000038F8">
            <w:r>
              <w:t>Very small sample size (N=6) limits generalizability of the findings.</w:t>
            </w:r>
          </w:p>
        </w:tc>
      </w:tr>
      <w:tr w:rsidR="00EE25B8" w:rsidRPr="00A802E7" w14:paraId="39FB7D02" w14:textId="77777777" w:rsidTr="000F23DB">
        <w:tc>
          <w:tcPr>
            <w:tcW w:w="916" w:type="pct"/>
          </w:tcPr>
          <w:p w14:paraId="742F0352" w14:textId="33B511D4" w:rsidR="00EE25B8" w:rsidRPr="000D590C" w:rsidRDefault="00EE25B8" w:rsidP="000038F8">
            <w:r w:rsidRPr="000D590C">
              <w:lastRenderedPageBreak/>
              <w:t xml:space="preserve">Stancliffe &amp; Keane </w:t>
            </w:r>
            <w:r w:rsidR="00413121">
              <w:t>(</w:t>
            </w:r>
            <w:r w:rsidRPr="000D590C">
              <w:t>2000</w:t>
            </w:r>
            <w:r w:rsidR="00413121">
              <w:t>)</w:t>
            </w:r>
          </w:p>
          <w:p w14:paraId="4A9F54B4" w14:textId="77777777" w:rsidR="00EE25B8" w:rsidRPr="000D590C" w:rsidRDefault="00EE25B8" w:rsidP="000038F8"/>
        </w:tc>
        <w:tc>
          <w:tcPr>
            <w:tcW w:w="916" w:type="pct"/>
          </w:tcPr>
          <w:p w14:paraId="45FC441B" w14:textId="77777777" w:rsidR="00EE25B8" w:rsidRDefault="00EE25B8" w:rsidP="000038F8">
            <w:pPr>
              <w:rPr>
                <w:b/>
                <w:bCs/>
              </w:rPr>
            </w:pPr>
            <w:r w:rsidRPr="00ED18E0">
              <w:rPr>
                <w:b/>
                <w:bCs/>
              </w:rPr>
              <w:t>IPDL</w:t>
            </w:r>
          </w:p>
          <w:p w14:paraId="79CD9932" w14:textId="77777777" w:rsidR="00EE25B8" w:rsidRPr="00ED18E0" w:rsidRDefault="00EE25B8" w:rsidP="000038F8">
            <w:r w:rsidRPr="00ED18E0">
              <w:t xml:space="preserve">Index of Participation in Domestic Life </w:t>
            </w:r>
          </w:p>
        </w:tc>
        <w:tc>
          <w:tcPr>
            <w:tcW w:w="986" w:type="pct"/>
          </w:tcPr>
          <w:p w14:paraId="5F7B07C0" w14:textId="77777777" w:rsidR="00EE25B8" w:rsidRPr="00744525" w:rsidRDefault="00EE25B8" w:rsidP="000038F8">
            <w:r w:rsidRPr="00A65BC9">
              <w:t>Cross sectional design</w:t>
            </w:r>
          </w:p>
        </w:tc>
        <w:tc>
          <w:tcPr>
            <w:tcW w:w="1127" w:type="pct"/>
          </w:tcPr>
          <w:p w14:paraId="0DE542DF" w14:textId="77777777" w:rsidR="00EE25B8" w:rsidRDefault="00EE25B8" w:rsidP="000038F8">
            <w:r>
              <w:t>Increased domestic life participation for residents in supported living.</w:t>
            </w:r>
          </w:p>
        </w:tc>
        <w:tc>
          <w:tcPr>
            <w:tcW w:w="1056" w:type="pct"/>
          </w:tcPr>
          <w:p w14:paraId="2F430AA1" w14:textId="6571C956" w:rsidR="00EE25B8" w:rsidRPr="00B936B8" w:rsidRDefault="00EE25B8" w:rsidP="000038F8">
            <w:r w:rsidRPr="0015334E">
              <w:t>Cross sectional design limits inferences about longitudinal change</w:t>
            </w:r>
          </w:p>
        </w:tc>
      </w:tr>
      <w:tr w:rsidR="00EE25B8" w:rsidRPr="00A802E7" w14:paraId="154CAE9D" w14:textId="77777777" w:rsidTr="000F23DB">
        <w:tc>
          <w:tcPr>
            <w:tcW w:w="916" w:type="pct"/>
          </w:tcPr>
          <w:p w14:paraId="567F6887" w14:textId="0F1E4747" w:rsidR="00EE25B8" w:rsidRPr="000D590C" w:rsidRDefault="00EE25B8" w:rsidP="000038F8">
            <w:r w:rsidRPr="000D590C">
              <w:t xml:space="preserve">Winkler et al </w:t>
            </w:r>
            <w:r w:rsidR="00413121">
              <w:t>(</w:t>
            </w:r>
            <w:r w:rsidRPr="000D590C">
              <w:t>2015</w:t>
            </w:r>
            <w:r w:rsidR="00413121">
              <w:t>)</w:t>
            </w:r>
          </w:p>
          <w:p w14:paraId="70D9F48F" w14:textId="77777777" w:rsidR="00EE25B8" w:rsidRPr="000D590C" w:rsidRDefault="00EE25B8" w:rsidP="000038F8"/>
        </w:tc>
        <w:tc>
          <w:tcPr>
            <w:tcW w:w="916" w:type="pct"/>
          </w:tcPr>
          <w:p w14:paraId="1E7E89EC" w14:textId="77777777" w:rsidR="00EE25B8" w:rsidRPr="00DB4B9C" w:rsidRDefault="00EE25B8" w:rsidP="000038F8">
            <w:pPr>
              <w:rPr>
                <w:b/>
                <w:bCs/>
              </w:rPr>
            </w:pPr>
            <w:r w:rsidRPr="00DB4B9C">
              <w:rPr>
                <w:b/>
                <w:bCs/>
              </w:rPr>
              <w:t>CANS</w:t>
            </w:r>
          </w:p>
          <w:p w14:paraId="777DDBE7" w14:textId="77777777" w:rsidR="00EE25B8" w:rsidRPr="00ED18E0" w:rsidRDefault="00EE25B8" w:rsidP="000038F8">
            <w:pPr>
              <w:rPr>
                <w:b/>
                <w:bCs/>
              </w:rPr>
            </w:pPr>
            <w:r w:rsidRPr="00B453A7">
              <w:t>Care and Needs Scale</w:t>
            </w:r>
          </w:p>
        </w:tc>
        <w:tc>
          <w:tcPr>
            <w:tcW w:w="986" w:type="pct"/>
          </w:tcPr>
          <w:p w14:paraId="326A1D76" w14:textId="77777777" w:rsidR="00EE25B8" w:rsidRPr="00744525" w:rsidRDefault="00EE25B8" w:rsidP="000038F8">
            <w:r w:rsidRPr="009A4D8F">
              <w:t>Cross sectional design</w:t>
            </w:r>
          </w:p>
        </w:tc>
        <w:tc>
          <w:tcPr>
            <w:tcW w:w="1127" w:type="pct"/>
          </w:tcPr>
          <w:p w14:paraId="2BF90B1D" w14:textId="77777777" w:rsidR="00EE25B8" w:rsidRDefault="00EE25B8" w:rsidP="000038F8">
            <w:r w:rsidRPr="009A4D8F">
              <w:t>Community-based, age-appropriate and small-scale supported accommodation provides people with ABI more opportunities for everyday choice making than RAC</w:t>
            </w:r>
          </w:p>
        </w:tc>
        <w:tc>
          <w:tcPr>
            <w:tcW w:w="1056" w:type="pct"/>
          </w:tcPr>
          <w:p w14:paraId="0C2C29CF" w14:textId="5945C8F9" w:rsidR="00EE25B8" w:rsidRPr="00B936B8" w:rsidRDefault="00EE25B8" w:rsidP="000038F8">
            <w:r w:rsidRPr="0015334E">
              <w:t>Cross sectional design limits inferences about longitudinal change</w:t>
            </w:r>
          </w:p>
        </w:tc>
      </w:tr>
      <w:tr w:rsidR="00EE25B8" w:rsidRPr="00A802E7" w14:paraId="3B32F03B" w14:textId="77777777" w:rsidTr="000F23DB">
        <w:tc>
          <w:tcPr>
            <w:tcW w:w="916" w:type="pct"/>
          </w:tcPr>
          <w:p w14:paraId="7EA18DFE" w14:textId="6DBA913E" w:rsidR="00EE25B8" w:rsidRPr="000D590C" w:rsidRDefault="00EE25B8" w:rsidP="000038F8">
            <w:r w:rsidRPr="000D590C">
              <w:t xml:space="preserve">Woodman et al </w:t>
            </w:r>
            <w:r>
              <w:t>(</w:t>
            </w:r>
            <w:r w:rsidRPr="000D590C">
              <w:t>2014</w:t>
            </w:r>
            <w:r>
              <w:t>)</w:t>
            </w:r>
          </w:p>
          <w:p w14:paraId="16D145CF" w14:textId="77777777" w:rsidR="00EE25B8" w:rsidRPr="000D590C" w:rsidRDefault="00EE25B8" w:rsidP="000038F8"/>
        </w:tc>
        <w:tc>
          <w:tcPr>
            <w:tcW w:w="916" w:type="pct"/>
          </w:tcPr>
          <w:p w14:paraId="5BF7CAC3" w14:textId="77777777" w:rsidR="00EE25B8" w:rsidRDefault="00EE25B8" w:rsidP="000038F8">
            <w:r w:rsidRPr="00B453A7">
              <w:t>Waisman Activities of Daily Living Scale</w:t>
            </w:r>
          </w:p>
          <w:p w14:paraId="4C2A74FA" w14:textId="77777777" w:rsidR="00EE25B8" w:rsidRPr="00DB4B9C" w:rsidRDefault="00EE25B8" w:rsidP="000038F8">
            <w:pPr>
              <w:rPr>
                <w:b/>
                <w:bCs/>
              </w:rPr>
            </w:pPr>
          </w:p>
        </w:tc>
        <w:tc>
          <w:tcPr>
            <w:tcW w:w="986" w:type="pct"/>
            <w:shd w:val="clear" w:color="auto" w:fill="auto"/>
          </w:tcPr>
          <w:p w14:paraId="13D6885E" w14:textId="77777777" w:rsidR="00EE25B8" w:rsidRPr="00744525" w:rsidRDefault="00EE25B8" w:rsidP="000038F8">
            <w:r w:rsidRPr="009A4D8F">
              <w:t>Repeated measures design</w:t>
            </w:r>
          </w:p>
        </w:tc>
        <w:tc>
          <w:tcPr>
            <w:tcW w:w="1127" w:type="pct"/>
            <w:shd w:val="clear" w:color="auto" w:fill="auto"/>
          </w:tcPr>
          <w:p w14:paraId="283A470E" w14:textId="47FB4F74" w:rsidR="00EE25B8" w:rsidRDefault="00EE25B8" w:rsidP="000038F8">
            <w:r w:rsidRPr="009A4D8F">
              <w:t>Among adults with intellectual disability, those who moved into community settings showed greater improvement in adaptive behavio</w:t>
            </w:r>
            <w:r w:rsidR="001175C0">
              <w:t>u</w:t>
            </w:r>
            <w:r w:rsidRPr="009A4D8F">
              <w:t>r over 10 years than did adults living with relatives</w:t>
            </w:r>
          </w:p>
        </w:tc>
        <w:tc>
          <w:tcPr>
            <w:tcW w:w="1056" w:type="pct"/>
            <w:shd w:val="clear" w:color="auto" w:fill="auto"/>
          </w:tcPr>
          <w:p w14:paraId="5EC4B3CF" w14:textId="7ED1F38B" w:rsidR="00EE25B8" w:rsidRPr="00B936B8" w:rsidRDefault="00D5067A" w:rsidP="000038F8">
            <w:r w:rsidRPr="00D5067A">
              <w:t>Sample did not include a mix of racial/ethnic groups limiting generalisation of study results.</w:t>
            </w:r>
          </w:p>
        </w:tc>
      </w:tr>
      <w:tr w:rsidR="00EE25B8" w:rsidRPr="00A802E7" w14:paraId="04166BC7" w14:textId="77777777" w:rsidTr="000F23DB">
        <w:tc>
          <w:tcPr>
            <w:tcW w:w="916" w:type="pct"/>
          </w:tcPr>
          <w:p w14:paraId="4D7ECDDB" w14:textId="12FCA020" w:rsidR="00EE25B8" w:rsidRPr="000D590C" w:rsidRDefault="00EE25B8" w:rsidP="000038F8">
            <w:r w:rsidRPr="000D590C">
              <w:t xml:space="preserve">Woodman et al </w:t>
            </w:r>
            <w:r>
              <w:t>(</w:t>
            </w:r>
            <w:r w:rsidRPr="000D590C">
              <w:t>2014</w:t>
            </w:r>
            <w:r>
              <w:t>)</w:t>
            </w:r>
          </w:p>
          <w:p w14:paraId="14AC2560" w14:textId="77777777" w:rsidR="00EE25B8" w:rsidRPr="000D590C" w:rsidRDefault="00EE25B8" w:rsidP="000038F8"/>
        </w:tc>
        <w:tc>
          <w:tcPr>
            <w:tcW w:w="916" w:type="pct"/>
          </w:tcPr>
          <w:p w14:paraId="6789CF89" w14:textId="77777777" w:rsidR="00EE25B8" w:rsidRPr="00941DDF" w:rsidRDefault="00EE25B8" w:rsidP="000038F8">
            <w:pPr>
              <w:rPr>
                <w:b/>
                <w:bCs/>
              </w:rPr>
            </w:pPr>
            <w:r w:rsidRPr="00941DDF">
              <w:rPr>
                <w:b/>
                <w:bCs/>
              </w:rPr>
              <w:t>SIB-R</w:t>
            </w:r>
          </w:p>
          <w:p w14:paraId="2CEBB43B" w14:textId="77777777" w:rsidR="00EE25B8" w:rsidRPr="00B453A7" w:rsidRDefault="00EE25B8" w:rsidP="000038F8">
            <w:r w:rsidRPr="00B453A7">
              <w:t>Scales of Independent Behaviour-Revised</w:t>
            </w:r>
          </w:p>
        </w:tc>
        <w:tc>
          <w:tcPr>
            <w:tcW w:w="986" w:type="pct"/>
            <w:shd w:val="clear" w:color="auto" w:fill="auto"/>
          </w:tcPr>
          <w:p w14:paraId="696DFFC4" w14:textId="420D5762" w:rsidR="00EE25B8" w:rsidRPr="00744525" w:rsidRDefault="00D5067A" w:rsidP="000038F8">
            <w:r w:rsidRPr="009A4D8F">
              <w:t>Repeated measures design</w:t>
            </w:r>
          </w:p>
        </w:tc>
        <w:tc>
          <w:tcPr>
            <w:tcW w:w="1127" w:type="pct"/>
            <w:shd w:val="clear" w:color="auto" w:fill="auto"/>
          </w:tcPr>
          <w:p w14:paraId="3BF9F538" w14:textId="000EB8D5" w:rsidR="00EE25B8" w:rsidRDefault="00EE25B8" w:rsidP="000038F8">
            <w:r w:rsidRPr="009A4D8F">
              <w:t>Adults living in semi- or fully-independent settings showed higher levels of adaptive behavio</w:t>
            </w:r>
            <w:r w:rsidR="001175C0">
              <w:t>u</w:t>
            </w:r>
            <w:r w:rsidRPr="009A4D8F">
              <w:t>r</w:t>
            </w:r>
          </w:p>
        </w:tc>
        <w:tc>
          <w:tcPr>
            <w:tcW w:w="1056" w:type="pct"/>
            <w:shd w:val="clear" w:color="auto" w:fill="auto"/>
          </w:tcPr>
          <w:p w14:paraId="7F413836" w14:textId="57790ECF" w:rsidR="00EE25B8" w:rsidRPr="00B936B8" w:rsidRDefault="00D5067A" w:rsidP="000038F8">
            <w:r>
              <w:rPr>
                <w:sz w:val="20"/>
                <w:szCs w:val="20"/>
              </w:rPr>
              <w:t>Sample did not include a mix of racial/ethnic groups limiting generalisation of study results.</w:t>
            </w:r>
          </w:p>
        </w:tc>
      </w:tr>
      <w:tr w:rsidR="00EE25B8" w:rsidRPr="00A802E7" w14:paraId="001F05A8" w14:textId="77777777" w:rsidTr="000F23DB">
        <w:tc>
          <w:tcPr>
            <w:tcW w:w="916" w:type="pct"/>
          </w:tcPr>
          <w:p w14:paraId="60D6EC88" w14:textId="77777777" w:rsidR="00EE25B8" w:rsidRPr="00B453A7" w:rsidRDefault="00EE25B8" w:rsidP="000F23DB">
            <w:pPr>
              <w:keepNext/>
              <w:rPr>
                <w:b/>
                <w:bCs/>
              </w:rPr>
            </w:pPr>
            <w:r>
              <w:lastRenderedPageBreak/>
              <w:t>Norris et al (2014)</w:t>
            </w:r>
          </w:p>
        </w:tc>
        <w:tc>
          <w:tcPr>
            <w:tcW w:w="916" w:type="pct"/>
          </w:tcPr>
          <w:p w14:paraId="2E41F96C" w14:textId="77777777" w:rsidR="00EE25B8" w:rsidRDefault="00EE25B8" w:rsidP="000F23DB">
            <w:pPr>
              <w:keepNext/>
            </w:pPr>
            <w:r>
              <w:t>Health Risk Screening Tool (HRST) of health level and assessment of health risk for people with disabilities</w:t>
            </w:r>
          </w:p>
          <w:p w14:paraId="340A6CD7" w14:textId="77777777" w:rsidR="00EE25B8" w:rsidRDefault="00EE25B8" w:rsidP="000F23DB">
            <w:pPr>
              <w:keepNext/>
            </w:pPr>
          </w:p>
          <w:p w14:paraId="0EFE4E53" w14:textId="77777777" w:rsidR="00EE25B8" w:rsidRDefault="00EE25B8" w:rsidP="000F23DB">
            <w:pPr>
              <w:keepNext/>
            </w:pPr>
          </w:p>
          <w:p w14:paraId="4D0F6DF0" w14:textId="77777777" w:rsidR="00EE25B8" w:rsidRDefault="00EE25B8" w:rsidP="000F23DB">
            <w:pPr>
              <w:keepNext/>
            </w:pPr>
            <w:r>
              <w:t xml:space="preserve">Inventory for Client and Agency Planning (ICAP) service level score is a combination of adaptive and maladaptive behaviour scores adaptive </w:t>
            </w:r>
          </w:p>
          <w:p w14:paraId="63F97B55" w14:textId="77777777" w:rsidR="00EE25B8" w:rsidRPr="00941DDF" w:rsidRDefault="00EE25B8" w:rsidP="000F23DB">
            <w:pPr>
              <w:keepNext/>
              <w:rPr>
                <w:b/>
                <w:bCs/>
              </w:rPr>
            </w:pPr>
          </w:p>
        </w:tc>
        <w:tc>
          <w:tcPr>
            <w:tcW w:w="986" w:type="pct"/>
          </w:tcPr>
          <w:p w14:paraId="74FD6256" w14:textId="77777777" w:rsidR="00EE25B8" w:rsidRPr="00744525" w:rsidRDefault="00EE25B8" w:rsidP="000F23DB">
            <w:pPr>
              <w:keepNext/>
            </w:pPr>
            <w:r>
              <w:t xml:space="preserve">Pre and post </w:t>
            </w:r>
          </w:p>
        </w:tc>
        <w:tc>
          <w:tcPr>
            <w:tcW w:w="1127" w:type="pct"/>
          </w:tcPr>
          <w:p w14:paraId="37B2841D" w14:textId="77777777" w:rsidR="00EE25B8" w:rsidRPr="009A4D8F" w:rsidRDefault="00EE25B8" w:rsidP="000F23DB">
            <w:pPr>
              <w:keepNext/>
            </w:pPr>
            <w:r>
              <w:t xml:space="preserve">There was no significant difference found in ICAP service level scores and HRST with regard to transition status. </w:t>
            </w:r>
          </w:p>
        </w:tc>
        <w:tc>
          <w:tcPr>
            <w:tcW w:w="1056" w:type="pct"/>
          </w:tcPr>
          <w:p w14:paraId="56832493" w14:textId="77777777" w:rsidR="00EE25B8" w:rsidRPr="00B936B8" w:rsidRDefault="00EE25B8" w:rsidP="000F23DB">
            <w:pPr>
              <w:keepNext/>
            </w:pPr>
            <w:r>
              <w:t>Inconsistency in reporting and access of maladaptive behaviour scores reported by the researcher</w:t>
            </w:r>
          </w:p>
        </w:tc>
      </w:tr>
      <w:tr w:rsidR="00EE25B8" w:rsidRPr="00A802E7" w14:paraId="776E7E11" w14:textId="77777777" w:rsidTr="000F23DB">
        <w:tc>
          <w:tcPr>
            <w:tcW w:w="916" w:type="pct"/>
          </w:tcPr>
          <w:p w14:paraId="4EB0769C" w14:textId="77777777" w:rsidR="00EE25B8" w:rsidRDefault="00EE25B8" w:rsidP="000038F8">
            <w:r>
              <w:t>Cocks et al (2016)</w:t>
            </w:r>
          </w:p>
        </w:tc>
        <w:tc>
          <w:tcPr>
            <w:tcW w:w="916" w:type="pct"/>
          </w:tcPr>
          <w:p w14:paraId="72C69D4B" w14:textId="77777777" w:rsidR="00EE25B8" w:rsidRDefault="00EE25B8" w:rsidP="000038F8">
            <w:r>
              <w:t>Assessment of level of support a 12-item measure of supports in daily living</w:t>
            </w:r>
          </w:p>
        </w:tc>
        <w:tc>
          <w:tcPr>
            <w:tcW w:w="986" w:type="pct"/>
          </w:tcPr>
          <w:p w14:paraId="488D2EEC" w14:textId="77777777" w:rsidR="00EE25B8" w:rsidRDefault="00EE25B8" w:rsidP="000038F8">
            <w:r>
              <w:t xml:space="preserve">one </w:t>
            </w:r>
          </w:p>
        </w:tc>
        <w:tc>
          <w:tcPr>
            <w:tcW w:w="1127" w:type="pct"/>
          </w:tcPr>
          <w:p w14:paraId="6B4DE421" w14:textId="77777777" w:rsidR="00EE25B8" w:rsidRDefault="00EE25B8" w:rsidP="000038F8">
            <w:r>
              <w:t>People in ISL arrangements access a mix of formal and informal supports. The number of hours of support weekly varying widely</w:t>
            </w:r>
          </w:p>
        </w:tc>
        <w:tc>
          <w:tcPr>
            <w:tcW w:w="1056" w:type="pct"/>
          </w:tcPr>
          <w:p w14:paraId="2635C25F" w14:textId="77777777" w:rsidR="00EE25B8" w:rsidRDefault="00EE25B8" w:rsidP="000038F8">
            <w:r>
              <w:t xml:space="preserve">Level of support received captured at one point in time but no data reported on changes in support needs or functioning over time </w:t>
            </w:r>
          </w:p>
        </w:tc>
      </w:tr>
      <w:tr w:rsidR="00EE25B8" w:rsidRPr="00A802E7" w14:paraId="2B3AE3D9" w14:textId="77777777" w:rsidTr="000F23DB">
        <w:tc>
          <w:tcPr>
            <w:tcW w:w="916" w:type="pct"/>
          </w:tcPr>
          <w:p w14:paraId="163F685E" w14:textId="77777777" w:rsidR="00EE25B8" w:rsidRDefault="00EE25B8" w:rsidP="000038F8">
            <w:r>
              <w:t>Summer Foundation (2020)</w:t>
            </w:r>
          </w:p>
        </w:tc>
        <w:tc>
          <w:tcPr>
            <w:tcW w:w="916" w:type="pct"/>
          </w:tcPr>
          <w:p w14:paraId="512BEBEC" w14:textId="77777777" w:rsidR="00EE25B8" w:rsidRDefault="00EE25B8" w:rsidP="000038F8">
            <w:r>
              <w:t>Mayo Portland Adaptability Index;</w:t>
            </w:r>
          </w:p>
          <w:p w14:paraId="1D068B90" w14:textId="77777777" w:rsidR="00EE25B8" w:rsidRDefault="00EE25B8" w:rsidP="000038F8">
            <w:r>
              <w:t>Functional independence Measure (FIM);</w:t>
            </w:r>
          </w:p>
          <w:p w14:paraId="1F24CA16" w14:textId="77777777" w:rsidR="00EE25B8" w:rsidRDefault="00EE25B8" w:rsidP="000038F8">
            <w:r>
              <w:t>Health of the Nations Outcomes (HNOS)</w:t>
            </w:r>
          </w:p>
        </w:tc>
        <w:tc>
          <w:tcPr>
            <w:tcW w:w="986" w:type="pct"/>
          </w:tcPr>
          <w:p w14:paraId="61697F5D" w14:textId="77777777" w:rsidR="00EE25B8" w:rsidRDefault="00EE25B8" w:rsidP="000038F8">
            <w:r>
              <w:t>n/a</w:t>
            </w:r>
          </w:p>
        </w:tc>
        <w:tc>
          <w:tcPr>
            <w:tcW w:w="1127" w:type="pct"/>
          </w:tcPr>
          <w:p w14:paraId="2747F6AB" w14:textId="77777777" w:rsidR="00EE25B8" w:rsidRDefault="00EE25B8" w:rsidP="000038F8">
            <w:r>
              <w:t xml:space="preserve">n/a </w:t>
            </w:r>
          </w:p>
        </w:tc>
        <w:tc>
          <w:tcPr>
            <w:tcW w:w="1056" w:type="pct"/>
          </w:tcPr>
          <w:p w14:paraId="0ECEB678" w14:textId="77777777" w:rsidR="00EE25B8" w:rsidRDefault="00EE25B8" w:rsidP="000038F8">
            <w:r>
              <w:t>Measures used in relation to specific transition support and housing models are mentioned but data not presented.</w:t>
            </w:r>
          </w:p>
        </w:tc>
      </w:tr>
    </w:tbl>
    <w:p w14:paraId="6EC71DAA" w14:textId="77777777" w:rsidR="000A6DC4" w:rsidRDefault="000A6DC4" w:rsidP="00DB06D4"/>
    <w:p w14:paraId="4A6AB9ED" w14:textId="77777777" w:rsidR="000A6DC4" w:rsidRDefault="000A6DC4" w:rsidP="00DB06D4"/>
    <w:p w14:paraId="4B78647F" w14:textId="67C9F938" w:rsidR="000A6DC4" w:rsidRDefault="000A6DC4" w:rsidP="00DB06D4">
      <w:pPr>
        <w:sectPr w:rsidR="000A6DC4" w:rsidSect="000A6DC4">
          <w:pgSz w:w="15840" w:h="12240" w:orient="landscape"/>
          <w:pgMar w:top="1440" w:right="1440" w:bottom="1440" w:left="1440" w:header="720" w:footer="720" w:gutter="0"/>
          <w:cols w:space="720"/>
          <w:docGrid w:linePitch="360"/>
        </w:sectPr>
      </w:pPr>
    </w:p>
    <w:p w14:paraId="562660E1" w14:textId="285C1E8C" w:rsidR="00DB06D4" w:rsidRDefault="00DB06D4" w:rsidP="00B5199A">
      <w:pPr>
        <w:pStyle w:val="Heading3"/>
      </w:pPr>
      <w:bookmarkStart w:id="37" w:name="_Toc73535955"/>
      <w:r>
        <w:lastRenderedPageBreak/>
        <w:t>Cost benefit</w:t>
      </w:r>
      <w:bookmarkEnd w:id="37"/>
    </w:p>
    <w:p w14:paraId="158A6FBF" w14:textId="5172017E" w:rsidR="006F71C4" w:rsidRDefault="00B66E05" w:rsidP="00111762">
      <w:pPr>
        <w:spacing w:before="120" w:line="360" w:lineRule="auto"/>
      </w:pPr>
      <w:r>
        <w:t xml:space="preserve">There was limited evidence about cost-benefit related to transition. </w:t>
      </w:r>
      <w:r w:rsidR="006F71C4">
        <w:t xml:space="preserve">Five studies reported cost data. Three </w:t>
      </w:r>
      <w:r w:rsidR="006F71C4" w:rsidRPr="00401958">
        <w:t xml:space="preserve">studies provided cost data comparing </w:t>
      </w:r>
      <w:r w:rsidR="006F71C4">
        <w:t>(</w:t>
      </w:r>
      <w:r w:rsidR="006F71C4" w:rsidRPr="00401958">
        <w:t>semi-</w:t>
      </w:r>
      <w:r w:rsidR="006F71C4">
        <w:t>)</w:t>
      </w:r>
      <w:r w:rsidR="006F71C4" w:rsidRPr="00401958">
        <w:t xml:space="preserve">independent living arrangements </w:t>
      </w:r>
      <w:r w:rsidR="006F71C4">
        <w:t xml:space="preserve">(Bigby, 2018, Stancliffe &amp; Keane, 2000) or </w:t>
      </w:r>
      <w:r w:rsidR="006F71C4" w:rsidRPr="00401958">
        <w:t>dispersed housing</w:t>
      </w:r>
      <w:r w:rsidR="006F71C4">
        <w:t xml:space="preserve"> (Emerson, 2000) </w:t>
      </w:r>
      <w:r w:rsidR="006F71C4" w:rsidRPr="00401958">
        <w:t>to more congregated settings</w:t>
      </w:r>
      <w:r w:rsidR="006F71C4">
        <w:t xml:space="preserve"> with overall </w:t>
      </w:r>
      <w:r w:rsidR="004E70E9">
        <w:t>reduced</w:t>
      </w:r>
      <w:r w:rsidR="006F71C4">
        <w:t xml:space="preserve"> cost</w:t>
      </w:r>
      <w:r w:rsidR="004E70E9">
        <w:t>s</w:t>
      </w:r>
      <w:r w:rsidR="006F71C4">
        <w:t xml:space="preserve"> for independent living.  One study proposed lower costs across six case study sites which consisted of more independent supported settings than with group homes (Fisher et al, 2008).  McCarron et al (2018) identified two cost studies in their systematic review of transition from congregate settings for people with intellectual disability, with conflicting results in terms of cost effectiveness found.</w:t>
      </w:r>
    </w:p>
    <w:p w14:paraId="0A12202F" w14:textId="034EB894" w:rsidR="006F71C4" w:rsidRDefault="006F71C4" w:rsidP="00B924A2">
      <w:pPr>
        <w:spacing w:line="360" w:lineRule="auto"/>
      </w:pPr>
      <w:r>
        <w:t xml:space="preserve">Emerson (2000) reported marginally (but statistically significant) higher cost for dispersed housing compared to a much larger setting of a residential campus but not compared to village communities. In contrast, Bigby (2018) and Stancliffe and Keane (2000) reported lower costs for independent living compared to group homes. Given other literature findings (Bigby, 2018) that residents in group homes have adaptive capacity for independent living it highlights the importance of careful assessment and transition to more appropriate accommodation for individuals </w:t>
      </w:r>
      <w:r w:rsidR="00021924">
        <w:t>which are</w:t>
      </w:r>
      <w:r>
        <w:t xml:space="preserve"> likely more costly housing models.</w:t>
      </w:r>
    </w:p>
    <w:p w14:paraId="2512F713" w14:textId="65324A01" w:rsidR="00C93C59" w:rsidRDefault="00C93C59" w:rsidP="00C93C59">
      <w:pPr>
        <w:spacing w:line="360" w:lineRule="auto"/>
      </w:pPr>
      <w:r>
        <w:t xml:space="preserve">Discussion of cost and cost effectiveness of housing models and transition were identified in two additional grey literature papers. Bostock et al (2001) state that individual houses or units are more costly than group homes, but no data were provided. Woolrych et al (2000) note that upon </w:t>
      </w:r>
      <w:r w:rsidRPr="00D55719">
        <w:t>disaggregating service needs and costs</w:t>
      </w:r>
      <w:r>
        <w:t xml:space="preserve"> it was found that supported accommodation was less costly. However, detailed cost information is not provided to support this. Overall r</w:t>
      </w:r>
      <w:r w:rsidDel="00925921">
        <w:t>esults</w:t>
      </w:r>
      <w:r>
        <w:t xml:space="preserve"> regarding cost effectiveness</w:t>
      </w:r>
      <w:r w:rsidDel="00925921">
        <w:t xml:space="preserve"> were inconsistent and no</w:t>
      </w:r>
      <w:r>
        <w:t xml:space="preserve"> strong</w:t>
      </w:r>
      <w:r w:rsidDel="00925921">
        <w:t xml:space="preserve"> conclusions can be drawn from the current evidence.</w:t>
      </w:r>
      <w:r>
        <w:t xml:space="preserve"> Availability of cost data which includes complete costs of current and new settings and supports, as well as the cost of transition are lacking. </w:t>
      </w:r>
    </w:p>
    <w:p w14:paraId="7E0BC860" w14:textId="77777777" w:rsidR="00C93C59" w:rsidRDefault="00C93C59" w:rsidP="00B924A2">
      <w:pPr>
        <w:spacing w:line="360" w:lineRule="auto"/>
      </w:pPr>
    </w:p>
    <w:p w14:paraId="054086AD" w14:textId="77777777" w:rsidR="000A6DC4" w:rsidRDefault="000A6DC4" w:rsidP="00B924A2">
      <w:pPr>
        <w:spacing w:line="360" w:lineRule="auto"/>
        <w:sectPr w:rsidR="000A6DC4" w:rsidSect="000A6DC4">
          <w:headerReference w:type="default" r:id="rId30"/>
          <w:footerReference w:type="default" r:id="rId31"/>
          <w:pgSz w:w="12240" w:h="15840"/>
          <w:pgMar w:top="1440" w:right="1440" w:bottom="1440" w:left="1440" w:header="720" w:footer="720" w:gutter="0"/>
          <w:cols w:space="720"/>
          <w:docGrid w:linePitch="360"/>
        </w:sectPr>
      </w:pPr>
    </w:p>
    <w:p w14:paraId="195F7F4B" w14:textId="26431087" w:rsidR="00DB06D4" w:rsidRPr="00317BA9" w:rsidRDefault="000A6DC4" w:rsidP="000A6DC4">
      <w:pPr>
        <w:pStyle w:val="Caption"/>
        <w:rPr>
          <w:b/>
          <w:bCs/>
        </w:rPr>
      </w:pPr>
      <w:bookmarkStart w:id="38" w:name="_Toc66355184"/>
      <w:r>
        <w:lastRenderedPageBreak/>
        <w:t xml:space="preserve">Table </w:t>
      </w:r>
      <w:r>
        <w:fldChar w:fldCharType="begin"/>
      </w:r>
      <w:r>
        <w:instrText>SEQ Table \* ARABIC</w:instrText>
      </w:r>
      <w:r>
        <w:fldChar w:fldCharType="separate"/>
      </w:r>
      <w:r w:rsidR="000E7FFE">
        <w:rPr>
          <w:noProof/>
        </w:rPr>
        <w:t>5</w:t>
      </w:r>
      <w:r>
        <w:fldChar w:fldCharType="end"/>
      </w:r>
      <w:r w:rsidR="00EF7EFA" w:rsidRPr="00317BA9">
        <w:rPr>
          <w:b/>
          <w:bCs/>
        </w:rPr>
        <w:t xml:space="preserve"> Cost benefit measures</w:t>
      </w:r>
      <w:bookmarkEnd w:id="38"/>
      <w:r w:rsidR="00EF7EFA" w:rsidRPr="00317BA9">
        <w:rPr>
          <w:b/>
          <w:bCs/>
        </w:rPr>
        <w:t xml:space="preserve"> </w:t>
      </w:r>
      <w:r w:rsidR="00171A95" w:rsidRPr="00317BA9">
        <w:rPr>
          <w:b/>
          <w:bCs/>
        </w:rPr>
        <w:t xml:space="preserve"> </w:t>
      </w:r>
    </w:p>
    <w:tbl>
      <w:tblPr>
        <w:tblStyle w:val="TableGrid"/>
        <w:tblW w:w="5000" w:type="pct"/>
        <w:tblLook w:val="04A0" w:firstRow="1" w:lastRow="0" w:firstColumn="1" w:lastColumn="0" w:noHBand="0" w:noVBand="1"/>
      </w:tblPr>
      <w:tblGrid>
        <w:gridCol w:w="2155"/>
        <w:gridCol w:w="2442"/>
        <w:gridCol w:w="2155"/>
        <w:gridCol w:w="2497"/>
        <w:gridCol w:w="3701"/>
      </w:tblGrid>
      <w:tr w:rsidR="00C93C59" w:rsidRPr="00A802E7" w14:paraId="63A3D4F1" w14:textId="77777777" w:rsidTr="000F23DB">
        <w:trPr>
          <w:tblHeader/>
        </w:trPr>
        <w:tc>
          <w:tcPr>
            <w:tcW w:w="832" w:type="pct"/>
            <w:shd w:val="clear" w:color="auto" w:fill="FFFF00"/>
          </w:tcPr>
          <w:p w14:paraId="2E60B012" w14:textId="4CBEA6A8" w:rsidR="00C93C59" w:rsidRPr="00A802E7" w:rsidRDefault="00C93C59" w:rsidP="000038F8">
            <w:pPr>
              <w:rPr>
                <w:b/>
                <w:bCs/>
              </w:rPr>
            </w:pPr>
            <w:r w:rsidRPr="00A802E7">
              <w:rPr>
                <w:b/>
                <w:bCs/>
              </w:rPr>
              <w:t>Author</w:t>
            </w:r>
            <w:r>
              <w:rPr>
                <w:b/>
                <w:bCs/>
              </w:rPr>
              <w:t xml:space="preserve"> (</w:t>
            </w:r>
            <w:r w:rsidRPr="00A802E7">
              <w:rPr>
                <w:b/>
                <w:bCs/>
              </w:rPr>
              <w:t>Year</w:t>
            </w:r>
            <w:r>
              <w:rPr>
                <w:b/>
                <w:bCs/>
              </w:rPr>
              <w:t>)</w:t>
            </w:r>
          </w:p>
        </w:tc>
        <w:tc>
          <w:tcPr>
            <w:tcW w:w="943" w:type="pct"/>
            <w:shd w:val="clear" w:color="auto" w:fill="FFFF00"/>
          </w:tcPr>
          <w:p w14:paraId="576C890D" w14:textId="77777777" w:rsidR="00C93C59" w:rsidRDefault="00C93C59" w:rsidP="000038F8">
            <w:pPr>
              <w:rPr>
                <w:b/>
                <w:bCs/>
              </w:rPr>
            </w:pPr>
            <w:r>
              <w:rPr>
                <w:b/>
                <w:bCs/>
              </w:rPr>
              <w:t xml:space="preserve">Measure used or described </w:t>
            </w:r>
          </w:p>
        </w:tc>
        <w:tc>
          <w:tcPr>
            <w:tcW w:w="832" w:type="pct"/>
            <w:shd w:val="clear" w:color="auto" w:fill="FFFF00"/>
          </w:tcPr>
          <w:p w14:paraId="79D29EE5" w14:textId="77777777" w:rsidR="00C93C59" w:rsidRDefault="00C93C59" w:rsidP="000038F8">
            <w:pPr>
              <w:rPr>
                <w:b/>
                <w:bCs/>
              </w:rPr>
            </w:pPr>
            <w:r>
              <w:rPr>
                <w:b/>
                <w:bCs/>
              </w:rPr>
              <w:t>Number of time points</w:t>
            </w:r>
          </w:p>
          <w:p w14:paraId="2026BBF7" w14:textId="77777777" w:rsidR="00C93C59" w:rsidRPr="00A802E7" w:rsidRDefault="00C93C59" w:rsidP="000038F8">
            <w:pPr>
              <w:rPr>
                <w:b/>
                <w:bCs/>
              </w:rPr>
            </w:pPr>
            <w:r>
              <w:rPr>
                <w:b/>
                <w:bCs/>
              </w:rPr>
              <w:t>(n/a, one, two multiple)</w:t>
            </w:r>
          </w:p>
        </w:tc>
        <w:tc>
          <w:tcPr>
            <w:tcW w:w="964" w:type="pct"/>
            <w:shd w:val="clear" w:color="auto" w:fill="FFFF00"/>
          </w:tcPr>
          <w:p w14:paraId="0905C77A" w14:textId="77777777" w:rsidR="00C93C59" w:rsidRPr="00A802E7" w:rsidRDefault="00C93C59" w:rsidP="000038F8">
            <w:pPr>
              <w:rPr>
                <w:b/>
                <w:bCs/>
              </w:rPr>
            </w:pPr>
            <w:r>
              <w:rPr>
                <w:b/>
                <w:bCs/>
              </w:rPr>
              <w:t>Conclusion</w:t>
            </w:r>
          </w:p>
        </w:tc>
        <w:tc>
          <w:tcPr>
            <w:tcW w:w="1429" w:type="pct"/>
            <w:shd w:val="clear" w:color="auto" w:fill="FFFF00"/>
          </w:tcPr>
          <w:p w14:paraId="3DC25781" w14:textId="77777777" w:rsidR="00C93C59" w:rsidRPr="00A802E7" w:rsidRDefault="00C93C59" w:rsidP="000038F8">
            <w:pPr>
              <w:rPr>
                <w:b/>
                <w:bCs/>
              </w:rPr>
            </w:pPr>
            <w:r>
              <w:rPr>
                <w:b/>
                <w:bCs/>
              </w:rPr>
              <w:t xml:space="preserve">Limitations </w:t>
            </w:r>
          </w:p>
        </w:tc>
      </w:tr>
      <w:tr w:rsidR="00C93C59" w:rsidRPr="00A802E7" w14:paraId="1A3D0897" w14:textId="77777777" w:rsidTr="00396EAA">
        <w:tc>
          <w:tcPr>
            <w:tcW w:w="832" w:type="pct"/>
          </w:tcPr>
          <w:p w14:paraId="1BE5DACE" w14:textId="2E3A8D42" w:rsidR="00C93C59" w:rsidRPr="000D590C" w:rsidRDefault="00C93C59" w:rsidP="000038F8">
            <w:r w:rsidRPr="000D590C">
              <w:t xml:space="preserve">Bigby </w:t>
            </w:r>
            <w:r w:rsidR="00413121">
              <w:t>(</w:t>
            </w:r>
            <w:r w:rsidRPr="000D590C">
              <w:t>2018</w:t>
            </w:r>
            <w:r w:rsidR="00413121">
              <w:t>)</w:t>
            </w:r>
          </w:p>
        </w:tc>
        <w:tc>
          <w:tcPr>
            <w:tcW w:w="943" w:type="pct"/>
            <w:shd w:val="clear" w:color="auto" w:fill="auto"/>
          </w:tcPr>
          <w:p w14:paraId="31F19800" w14:textId="1A8674DB" w:rsidR="00C93C59" w:rsidRPr="001175C0" w:rsidRDefault="007848FB" w:rsidP="000038F8">
            <w:pPr>
              <w:rPr>
                <w:bCs/>
              </w:rPr>
            </w:pPr>
            <w:r w:rsidRPr="001175C0">
              <w:rPr>
                <w:bCs/>
              </w:rPr>
              <w:t>None</w:t>
            </w:r>
            <w:r w:rsidR="007B274C" w:rsidRPr="001175C0">
              <w:rPr>
                <w:bCs/>
              </w:rPr>
              <w:t xml:space="preserve"> -survey </w:t>
            </w:r>
          </w:p>
        </w:tc>
        <w:tc>
          <w:tcPr>
            <w:tcW w:w="832" w:type="pct"/>
            <w:shd w:val="clear" w:color="auto" w:fill="auto"/>
          </w:tcPr>
          <w:p w14:paraId="1C61149D" w14:textId="11ADE19A" w:rsidR="00C93C59" w:rsidRPr="001175C0" w:rsidRDefault="007848FB" w:rsidP="000038F8">
            <w:pPr>
              <w:rPr>
                <w:bCs/>
              </w:rPr>
            </w:pPr>
            <w:r w:rsidRPr="001175C0">
              <w:rPr>
                <w:bCs/>
              </w:rPr>
              <w:t xml:space="preserve">Cross sectional </w:t>
            </w:r>
          </w:p>
        </w:tc>
        <w:tc>
          <w:tcPr>
            <w:tcW w:w="964" w:type="pct"/>
          </w:tcPr>
          <w:p w14:paraId="536091FE" w14:textId="77777777" w:rsidR="00C93C59" w:rsidRPr="000F23DB" w:rsidRDefault="00C93C59" w:rsidP="000038F8">
            <w:pPr>
              <w:rPr>
                <w:sz w:val="21"/>
                <w:szCs w:val="21"/>
              </w:rPr>
            </w:pPr>
            <w:r w:rsidRPr="000F23DB">
              <w:rPr>
                <w:sz w:val="21"/>
                <w:szCs w:val="21"/>
              </w:rPr>
              <w:t>Mean weekly cost of disability support: supported arrangements A$585 and ranged from a low of $213 a week to a high of $1,877.</w:t>
            </w:r>
          </w:p>
          <w:p w14:paraId="3ACD97A3" w14:textId="77777777" w:rsidR="00C93C59" w:rsidRPr="000F23DB" w:rsidRDefault="00C93C59" w:rsidP="000038F8">
            <w:pPr>
              <w:rPr>
                <w:sz w:val="21"/>
                <w:szCs w:val="21"/>
              </w:rPr>
            </w:pPr>
          </w:p>
          <w:p w14:paraId="7C3F244C" w14:textId="77777777" w:rsidR="00C93C59" w:rsidRPr="000F23DB" w:rsidRDefault="00C93C59" w:rsidP="000038F8">
            <w:pPr>
              <w:rPr>
                <w:b/>
                <w:bCs/>
                <w:sz w:val="21"/>
                <w:szCs w:val="21"/>
              </w:rPr>
            </w:pPr>
            <w:r w:rsidRPr="000F23DB">
              <w:rPr>
                <w:sz w:val="21"/>
                <w:szCs w:val="21"/>
              </w:rPr>
              <w:t>Estimated average annual cost for supported living, including day support, was $30,435 compared to the estimate of at least $80,000 per person, plus day program support, of approximately $19,000 for group homes</w:t>
            </w:r>
            <w:r w:rsidRPr="000F23DB">
              <w:rPr>
                <w:b/>
                <w:bCs/>
                <w:sz w:val="21"/>
                <w:szCs w:val="21"/>
              </w:rPr>
              <w:t>.</w:t>
            </w:r>
          </w:p>
        </w:tc>
        <w:tc>
          <w:tcPr>
            <w:tcW w:w="1429" w:type="pct"/>
          </w:tcPr>
          <w:p w14:paraId="1D6080E1" w14:textId="343D51CA" w:rsidR="00C93C59" w:rsidRPr="008D4C64" w:rsidRDefault="00C93C59" w:rsidP="000038F8">
            <w:r w:rsidRPr="008D4C64">
              <w:t>Small scale design representing only one state (Victoria)</w:t>
            </w:r>
          </w:p>
        </w:tc>
      </w:tr>
      <w:tr w:rsidR="00C93C59" w:rsidRPr="00A802E7" w14:paraId="25A3BBD3" w14:textId="77777777" w:rsidTr="00396EAA">
        <w:tc>
          <w:tcPr>
            <w:tcW w:w="832" w:type="pct"/>
          </w:tcPr>
          <w:p w14:paraId="562BFB32" w14:textId="44C70E4F" w:rsidR="00C93C59" w:rsidRPr="000D590C" w:rsidRDefault="00C93C59" w:rsidP="000038F8">
            <w:r w:rsidRPr="000D590C">
              <w:t xml:space="preserve">Emerson </w:t>
            </w:r>
            <w:r>
              <w:t xml:space="preserve">et al </w:t>
            </w:r>
            <w:r w:rsidR="00413121">
              <w:t>(</w:t>
            </w:r>
            <w:r w:rsidRPr="000D590C">
              <w:t>2000</w:t>
            </w:r>
            <w:r w:rsidR="00413121">
              <w:t>)</w:t>
            </w:r>
          </w:p>
          <w:p w14:paraId="70509B28" w14:textId="77777777" w:rsidR="00C93C59" w:rsidRPr="000D590C" w:rsidRDefault="00C93C59" w:rsidP="000038F8"/>
        </w:tc>
        <w:tc>
          <w:tcPr>
            <w:tcW w:w="943" w:type="pct"/>
            <w:shd w:val="clear" w:color="auto" w:fill="auto"/>
          </w:tcPr>
          <w:p w14:paraId="17768E53" w14:textId="4E7AEE2C" w:rsidR="00C93C59" w:rsidRDefault="001175C0" w:rsidP="000038F8">
            <w:r>
              <w:t>C</w:t>
            </w:r>
            <w:r w:rsidR="00E07919" w:rsidRPr="00E07919">
              <w:t>osts, nature, and benefits of residential supports</w:t>
            </w:r>
            <w:r w:rsidR="00E07919" w:rsidRPr="00E07919" w:rsidDel="007B274C">
              <w:t xml:space="preserve"> </w:t>
            </w:r>
          </w:p>
        </w:tc>
        <w:tc>
          <w:tcPr>
            <w:tcW w:w="832" w:type="pct"/>
            <w:shd w:val="clear" w:color="auto" w:fill="auto"/>
          </w:tcPr>
          <w:p w14:paraId="3A3ECD09" w14:textId="692261AF" w:rsidR="00C93C59" w:rsidRPr="00B936B8" w:rsidRDefault="007848FB" w:rsidP="000038F8">
            <w:r>
              <w:t xml:space="preserve">Cross sectional </w:t>
            </w:r>
          </w:p>
        </w:tc>
        <w:tc>
          <w:tcPr>
            <w:tcW w:w="964" w:type="pct"/>
          </w:tcPr>
          <w:p w14:paraId="164CA5AB" w14:textId="77777777" w:rsidR="00C93C59" w:rsidRPr="000F23DB" w:rsidRDefault="00C93C59" w:rsidP="000038F8">
            <w:pPr>
              <w:rPr>
                <w:sz w:val="21"/>
                <w:szCs w:val="21"/>
              </w:rPr>
            </w:pPr>
            <w:r w:rsidRPr="000F23DB">
              <w:rPr>
                <w:sz w:val="21"/>
                <w:szCs w:val="21"/>
              </w:rPr>
              <w:t xml:space="preserve">Significantly higher costs in dispersed housing ($1,795) compared to residential campus ($1,588). </w:t>
            </w:r>
          </w:p>
          <w:p w14:paraId="157C4AF8" w14:textId="77777777" w:rsidR="00C93C59" w:rsidRPr="000F23DB" w:rsidRDefault="00C93C59" w:rsidP="000038F8">
            <w:pPr>
              <w:rPr>
                <w:sz w:val="21"/>
                <w:szCs w:val="21"/>
              </w:rPr>
            </w:pPr>
            <w:r w:rsidRPr="000F23DB">
              <w:rPr>
                <w:sz w:val="21"/>
                <w:szCs w:val="21"/>
              </w:rPr>
              <w:t>No significant differences between dispersed housing ($1,227) and village communities ($1,013) or between dispersed housing ($1,583) and residential campus ($1,455).</w:t>
            </w:r>
          </w:p>
          <w:p w14:paraId="5C54C843" w14:textId="77777777" w:rsidR="00C93C59" w:rsidRPr="000F23DB" w:rsidRDefault="00C93C59" w:rsidP="000038F8">
            <w:pPr>
              <w:rPr>
                <w:sz w:val="21"/>
                <w:szCs w:val="21"/>
              </w:rPr>
            </w:pPr>
          </w:p>
        </w:tc>
        <w:tc>
          <w:tcPr>
            <w:tcW w:w="1429" w:type="pct"/>
          </w:tcPr>
          <w:p w14:paraId="3B9386B6" w14:textId="24856A55" w:rsidR="00C93C59" w:rsidRPr="00B936B8" w:rsidRDefault="00C93C59" w:rsidP="000038F8">
            <w:r>
              <w:t>N/A</w:t>
            </w:r>
          </w:p>
        </w:tc>
      </w:tr>
      <w:tr w:rsidR="00C93C59" w:rsidRPr="00A802E7" w14:paraId="49E31241" w14:textId="77777777" w:rsidTr="00396EAA">
        <w:tc>
          <w:tcPr>
            <w:tcW w:w="832" w:type="pct"/>
          </w:tcPr>
          <w:p w14:paraId="06BA09B3" w14:textId="0488F16E" w:rsidR="00C93C59" w:rsidRPr="000D590C" w:rsidRDefault="00C93C59" w:rsidP="000038F8">
            <w:r w:rsidRPr="000D590C">
              <w:lastRenderedPageBreak/>
              <w:t xml:space="preserve">Stancliffe &amp; Keane </w:t>
            </w:r>
            <w:r w:rsidR="00413121">
              <w:t>(</w:t>
            </w:r>
            <w:r w:rsidRPr="000D590C">
              <w:t>2000</w:t>
            </w:r>
            <w:r w:rsidR="00413121">
              <w:t>)</w:t>
            </w:r>
          </w:p>
          <w:p w14:paraId="2A12D851" w14:textId="77777777" w:rsidR="00C93C59" w:rsidRPr="000D590C" w:rsidRDefault="00C93C59" w:rsidP="000038F8"/>
        </w:tc>
        <w:tc>
          <w:tcPr>
            <w:tcW w:w="943" w:type="pct"/>
            <w:shd w:val="clear" w:color="auto" w:fill="auto"/>
          </w:tcPr>
          <w:p w14:paraId="421C4D76" w14:textId="36C9C896" w:rsidR="00C93C59" w:rsidRPr="00B936B8" w:rsidRDefault="00AE2061" w:rsidP="000038F8">
            <w:r w:rsidRPr="00AE2061">
              <w:t>Consumer outcomes and recurrent (non-capital) service costs</w:t>
            </w:r>
          </w:p>
        </w:tc>
        <w:tc>
          <w:tcPr>
            <w:tcW w:w="832" w:type="pct"/>
            <w:shd w:val="clear" w:color="auto" w:fill="auto"/>
          </w:tcPr>
          <w:p w14:paraId="52D48FCB" w14:textId="38FD4065" w:rsidR="00C93C59" w:rsidRPr="00B936B8" w:rsidRDefault="00AE2061" w:rsidP="000038F8">
            <w:r>
              <w:t>One</w:t>
            </w:r>
          </w:p>
        </w:tc>
        <w:tc>
          <w:tcPr>
            <w:tcW w:w="964" w:type="pct"/>
            <w:shd w:val="clear" w:color="auto" w:fill="auto"/>
          </w:tcPr>
          <w:p w14:paraId="3F9D361D" w14:textId="77777777" w:rsidR="00C93C59" w:rsidRPr="00B936B8" w:rsidRDefault="00C93C59" w:rsidP="000038F8">
            <w:r>
              <w:t>Group homes had significantly higher annual costs for direct resident support ($53,318) compared to semi-independent living arrangements ($10,366).</w:t>
            </w:r>
          </w:p>
        </w:tc>
        <w:tc>
          <w:tcPr>
            <w:tcW w:w="1429" w:type="pct"/>
          </w:tcPr>
          <w:p w14:paraId="0D31C86F" w14:textId="394F5ACA" w:rsidR="00C93C59" w:rsidRPr="00B936B8" w:rsidRDefault="00C93C59" w:rsidP="000038F8">
            <w:r>
              <w:t>No breakdown of costs between government and non-government providers. No individualised breakdown of costs.</w:t>
            </w:r>
          </w:p>
        </w:tc>
      </w:tr>
      <w:tr w:rsidR="00C93C59" w:rsidRPr="00A802E7" w14:paraId="76476928" w14:textId="77777777" w:rsidTr="00396EAA">
        <w:tc>
          <w:tcPr>
            <w:tcW w:w="832" w:type="pct"/>
          </w:tcPr>
          <w:p w14:paraId="647817FB" w14:textId="77777777" w:rsidR="00C93C59" w:rsidRPr="000D590C" w:rsidRDefault="00C93C59" w:rsidP="000038F8">
            <w:r w:rsidRPr="000D590C">
              <w:t>Fisher et al (2008)</w:t>
            </w:r>
          </w:p>
        </w:tc>
        <w:tc>
          <w:tcPr>
            <w:tcW w:w="943" w:type="pct"/>
            <w:shd w:val="clear" w:color="auto" w:fill="auto"/>
          </w:tcPr>
          <w:p w14:paraId="3068A9CC" w14:textId="77777777" w:rsidR="00C93C59" w:rsidRPr="00B936B8" w:rsidRDefault="00C93C59" w:rsidP="000038F8">
            <w:r>
              <w:t>Accommodation, support hours, management and overhead costs of 6 case study sites are compared to previous cost analysis performed by Stancliffe &amp; Keane (2000)</w:t>
            </w:r>
          </w:p>
        </w:tc>
        <w:tc>
          <w:tcPr>
            <w:tcW w:w="832" w:type="pct"/>
            <w:shd w:val="clear" w:color="auto" w:fill="auto"/>
          </w:tcPr>
          <w:p w14:paraId="3A46D140" w14:textId="77777777" w:rsidR="00C93C59" w:rsidRPr="00B936B8" w:rsidRDefault="00C93C59" w:rsidP="000038F8">
            <w:r>
              <w:t xml:space="preserve">One </w:t>
            </w:r>
          </w:p>
        </w:tc>
        <w:tc>
          <w:tcPr>
            <w:tcW w:w="964" w:type="pct"/>
            <w:shd w:val="clear" w:color="auto" w:fill="auto"/>
          </w:tcPr>
          <w:p w14:paraId="49D64B6E" w14:textId="77777777" w:rsidR="00C93C59" w:rsidRDefault="00C93C59" w:rsidP="000038F8">
            <w:r>
              <w:t xml:space="preserve">Direct housing costs, accommodation and management costs are reported as lower than with group homes. </w:t>
            </w:r>
          </w:p>
        </w:tc>
        <w:tc>
          <w:tcPr>
            <w:tcW w:w="1429" w:type="pct"/>
          </w:tcPr>
          <w:p w14:paraId="3D18AA3B" w14:textId="77777777" w:rsidR="00C93C59" w:rsidRPr="00B936B8" w:rsidRDefault="00C93C59" w:rsidP="000038F8">
            <w:r>
              <w:t>Some costs are not included such as the cost of transition, future costs, costs of accessing generic community services More complete cost analysis required to account for additional costs.</w:t>
            </w:r>
          </w:p>
        </w:tc>
      </w:tr>
      <w:tr w:rsidR="00C93C59" w:rsidRPr="00A802E7" w14:paraId="00D95B11" w14:textId="77777777" w:rsidTr="00396EAA">
        <w:tc>
          <w:tcPr>
            <w:tcW w:w="832" w:type="pct"/>
          </w:tcPr>
          <w:p w14:paraId="5F5708D8" w14:textId="5A63DA26" w:rsidR="00C93C59" w:rsidRPr="000D590C" w:rsidRDefault="00C93C59" w:rsidP="000038F8">
            <w:r>
              <w:t>McCarron et al (2018)</w:t>
            </w:r>
          </w:p>
        </w:tc>
        <w:tc>
          <w:tcPr>
            <w:tcW w:w="943" w:type="pct"/>
            <w:shd w:val="clear" w:color="auto" w:fill="auto"/>
          </w:tcPr>
          <w:p w14:paraId="49DEB126" w14:textId="4E55F521" w:rsidR="00C93C59" w:rsidRDefault="00C93C59" w:rsidP="000038F8">
            <w:r>
              <w:t>Comparison of congregate and non-congregate settings</w:t>
            </w:r>
          </w:p>
        </w:tc>
        <w:tc>
          <w:tcPr>
            <w:tcW w:w="832" w:type="pct"/>
            <w:shd w:val="clear" w:color="auto" w:fill="auto"/>
          </w:tcPr>
          <w:p w14:paraId="7F3EDD36" w14:textId="6BF33941" w:rsidR="00C93C59" w:rsidRDefault="00AE2061" w:rsidP="000038F8">
            <w:r>
              <w:t>N/A</w:t>
            </w:r>
            <w:r w:rsidR="00F75B6C">
              <w:t xml:space="preserve"> - review</w:t>
            </w:r>
          </w:p>
        </w:tc>
        <w:tc>
          <w:tcPr>
            <w:tcW w:w="964" w:type="pct"/>
            <w:shd w:val="clear" w:color="auto" w:fill="auto"/>
          </w:tcPr>
          <w:p w14:paraId="29B95BBA" w14:textId="2C51C52F" w:rsidR="00C93C59" w:rsidRDefault="00AE2061" w:rsidP="000038F8">
            <w:r>
              <w:t>M</w:t>
            </w:r>
            <w:r w:rsidRPr="00AE2061">
              <w:t>oving to the community was associated with improved QoL compared with the institution</w:t>
            </w:r>
            <w:r w:rsidR="00396EAA">
              <w:t>.</w:t>
            </w:r>
          </w:p>
        </w:tc>
        <w:tc>
          <w:tcPr>
            <w:tcW w:w="1429" w:type="pct"/>
          </w:tcPr>
          <w:p w14:paraId="4700B2D4" w14:textId="3C1A502D" w:rsidR="00C93C59" w:rsidRDefault="00C93C59" w:rsidP="000038F8">
            <w:r>
              <w:t>Conflicting results from the two papers examined.</w:t>
            </w:r>
          </w:p>
        </w:tc>
      </w:tr>
    </w:tbl>
    <w:p w14:paraId="1083AC9A" w14:textId="71CB57C4" w:rsidR="00DB06D4" w:rsidRDefault="00DB06D4" w:rsidP="00B924A2">
      <w:pPr>
        <w:spacing w:line="360" w:lineRule="auto"/>
      </w:pPr>
    </w:p>
    <w:p w14:paraId="18700C6C" w14:textId="77777777" w:rsidR="000A6DC4" w:rsidRDefault="000A6DC4" w:rsidP="00B924A2">
      <w:pPr>
        <w:spacing w:line="360" w:lineRule="auto"/>
      </w:pPr>
    </w:p>
    <w:p w14:paraId="22E636A9" w14:textId="5FC80B8D" w:rsidR="000F23DB" w:rsidRDefault="000F23DB" w:rsidP="00B924A2">
      <w:pPr>
        <w:spacing w:line="360" w:lineRule="auto"/>
        <w:sectPr w:rsidR="000F23DB" w:rsidSect="000A6DC4">
          <w:headerReference w:type="default" r:id="rId32"/>
          <w:footerReference w:type="default" r:id="rId33"/>
          <w:pgSz w:w="15840" w:h="12240" w:orient="landscape"/>
          <w:pgMar w:top="1440" w:right="1440" w:bottom="1440" w:left="1440" w:header="720" w:footer="720" w:gutter="0"/>
          <w:cols w:space="720"/>
          <w:docGrid w:linePitch="360"/>
        </w:sectPr>
      </w:pPr>
    </w:p>
    <w:p w14:paraId="42AB1B3C" w14:textId="6196433C" w:rsidR="00DB06D4" w:rsidRDefault="00DB06D4" w:rsidP="00B5199A">
      <w:pPr>
        <w:pStyle w:val="Heading3"/>
      </w:pPr>
      <w:bookmarkStart w:id="39" w:name="_Toc73535956"/>
      <w:r>
        <w:lastRenderedPageBreak/>
        <w:t>Social inclusion and participation</w:t>
      </w:r>
      <w:bookmarkEnd w:id="39"/>
    </w:p>
    <w:p w14:paraId="5C5D1AC3" w14:textId="7F376607" w:rsidR="006F71C4" w:rsidRDefault="006979A9" w:rsidP="006F71C4">
      <w:pPr>
        <w:spacing w:before="120" w:line="360" w:lineRule="auto"/>
        <w:jc w:val="both"/>
      </w:pPr>
      <w:r>
        <w:t xml:space="preserve">Though explored qualitatively </w:t>
      </w:r>
      <w:r w:rsidR="00B8041E">
        <w:t>in the literature</w:t>
      </w:r>
      <w:r>
        <w:t>, there was only o</w:t>
      </w:r>
      <w:r w:rsidR="006F71C4">
        <w:t xml:space="preserve">ne standardized measure of inclusion identified and this </w:t>
      </w:r>
      <w:r w:rsidR="004E70E9">
        <w:t xml:space="preserve">study was </w:t>
      </w:r>
      <w:r w:rsidR="006F71C4">
        <w:t>in the grey literature</w:t>
      </w:r>
      <w:r w:rsidR="00B8041E">
        <w:t xml:space="preserve"> (see Table </w:t>
      </w:r>
      <w:r w:rsidR="009032CD">
        <w:t>6</w:t>
      </w:r>
      <w:r w:rsidR="00B8041E">
        <w:t>).</w:t>
      </w:r>
      <w:r w:rsidR="006F71C4">
        <w:t xml:space="preserve"> Cocks et al (2016) applied the community involvement index to people living in individual supported accommodation and found that people in </w:t>
      </w:r>
      <w:r w:rsidR="00111762">
        <w:t>individual supported living (</w:t>
      </w:r>
      <w:r w:rsidR="006F71C4">
        <w:t>ISL</w:t>
      </w:r>
      <w:r w:rsidR="00111762">
        <w:t>)</w:t>
      </w:r>
      <w:r w:rsidR="006F71C4">
        <w:t xml:space="preserve"> were engaging in community activities, with some people reporting up to 14 different activities. Attainment of specific social roles, such as employment and university education, were identified as an indicator of participation and inclusion by Stancliffe (2014) and Wiesel (2015), though Wiesel </w:t>
      </w:r>
      <w:r w:rsidR="004E70E9">
        <w:t xml:space="preserve">argued </w:t>
      </w:r>
      <w:r w:rsidR="006F71C4">
        <w:t xml:space="preserve">that there </w:t>
      </w:r>
      <w:r w:rsidR="004E70E9">
        <w:t>wa</w:t>
      </w:r>
      <w:r w:rsidR="006F71C4">
        <w:t xml:space="preserve">s no evidence of a positive impact of moving to independent setting on employment. Neither </w:t>
      </w:r>
      <w:r w:rsidR="004E70E9">
        <w:t>study presented data to support the conclusions</w:t>
      </w:r>
      <w:r w:rsidR="006F71C4">
        <w:t xml:space="preserve">. Carnemolla (2020) </w:t>
      </w:r>
      <w:r w:rsidR="00C77D73">
        <w:t>discussed</w:t>
      </w:r>
      <w:r w:rsidR="006F71C4">
        <w:t xml:space="preserve"> employment outcomes</w:t>
      </w:r>
      <w:r w:rsidR="00C77D73">
        <w:t xml:space="preserve">, while </w:t>
      </w:r>
      <w:r w:rsidR="006F71C4">
        <w:t xml:space="preserve">in </w:t>
      </w:r>
      <w:r w:rsidR="00C77D73">
        <w:t xml:space="preserve">the </w:t>
      </w:r>
      <w:r w:rsidR="006F71C4">
        <w:t xml:space="preserve">Mental Health weekly (2011) report, the author indicates satisfaction with services and questions around getting people jobs and keeping people out of crisis </w:t>
      </w:r>
      <w:r w:rsidR="00C77D73">
        <w:t xml:space="preserve">as being </w:t>
      </w:r>
      <w:r w:rsidR="006F71C4">
        <w:t xml:space="preserve">important indicators.  Access to community services for example, access to transport was another indicator proposed by Stancliffe (2014). </w:t>
      </w:r>
    </w:p>
    <w:p w14:paraId="3940B480" w14:textId="0785F840" w:rsidR="00DB06D4" w:rsidRPr="00317BA9" w:rsidRDefault="000A6DC4" w:rsidP="000A6DC4">
      <w:pPr>
        <w:pStyle w:val="Caption"/>
        <w:rPr>
          <w:b/>
          <w:bCs/>
        </w:rPr>
      </w:pPr>
      <w:bookmarkStart w:id="40" w:name="_Toc66355185"/>
      <w:r>
        <w:t xml:space="preserve">Table </w:t>
      </w:r>
      <w:r>
        <w:fldChar w:fldCharType="begin"/>
      </w:r>
      <w:r>
        <w:instrText>SEQ Table \* ARABIC</w:instrText>
      </w:r>
      <w:r>
        <w:fldChar w:fldCharType="separate"/>
      </w:r>
      <w:r w:rsidR="000E7FFE">
        <w:rPr>
          <w:noProof/>
        </w:rPr>
        <w:t>6</w:t>
      </w:r>
      <w:r>
        <w:fldChar w:fldCharType="end"/>
      </w:r>
      <w:r>
        <w:t xml:space="preserve"> </w:t>
      </w:r>
      <w:r w:rsidR="005C586D" w:rsidRPr="00317BA9">
        <w:rPr>
          <w:b/>
          <w:bCs/>
        </w:rPr>
        <w:t>Social inclusion and participation measures</w:t>
      </w:r>
      <w:bookmarkEnd w:id="40"/>
      <w:r w:rsidR="005C586D" w:rsidRPr="00317BA9">
        <w:rPr>
          <w:b/>
          <w:bCs/>
        </w:rPr>
        <w:t xml:space="preserve"> </w:t>
      </w:r>
      <w:r w:rsidR="00A01722" w:rsidRPr="00317BA9">
        <w:rPr>
          <w:b/>
          <w:bCs/>
        </w:rPr>
        <w:t xml:space="preserve"> </w:t>
      </w:r>
    </w:p>
    <w:tbl>
      <w:tblPr>
        <w:tblStyle w:val="TableGrid"/>
        <w:tblW w:w="5000" w:type="pct"/>
        <w:tblLook w:val="04A0" w:firstRow="1" w:lastRow="0" w:firstColumn="1" w:lastColumn="0" w:noHBand="0" w:noVBand="1"/>
      </w:tblPr>
      <w:tblGrid>
        <w:gridCol w:w="1516"/>
        <w:gridCol w:w="1902"/>
        <w:gridCol w:w="1515"/>
        <w:gridCol w:w="2272"/>
        <w:gridCol w:w="2145"/>
      </w:tblGrid>
      <w:tr w:rsidR="00A66EFF" w:rsidRPr="00A802E7" w14:paraId="305A7A7F" w14:textId="77777777" w:rsidTr="00102D5F">
        <w:tc>
          <w:tcPr>
            <w:tcW w:w="810" w:type="pct"/>
            <w:shd w:val="clear" w:color="auto" w:fill="FFFF00"/>
          </w:tcPr>
          <w:p w14:paraId="381D3FA1" w14:textId="77777777" w:rsidR="00A66EFF" w:rsidRPr="00A802E7" w:rsidRDefault="00A66EFF" w:rsidP="000038F8">
            <w:pPr>
              <w:rPr>
                <w:b/>
                <w:bCs/>
              </w:rPr>
            </w:pPr>
            <w:r w:rsidRPr="00A802E7">
              <w:rPr>
                <w:b/>
                <w:bCs/>
              </w:rPr>
              <w:t>Author, Year, Title</w:t>
            </w:r>
          </w:p>
        </w:tc>
        <w:tc>
          <w:tcPr>
            <w:tcW w:w="1017" w:type="pct"/>
            <w:shd w:val="clear" w:color="auto" w:fill="FFFF00"/>
          </w:tcPr>
          <w:p w14:paraId="1943A90B" w14:textId="77777777" w:rsidR="00A66EFF" w:rsidRDefault="00A66EFF" w:rsidP="000038F8">
            <w:pPr>
              <w:rPr>
                <w:b/>
                <w:bCs/>
              </w:rPr>
            </w:pPr>
            <w:r>
              <w:rPr>
                <w:b/>
                <w:bCs/>
              </w:rPr>
              <w:t xml:space="preserve">Measure used or described </w:t>
            </w:r>
          </w:p>
        </w:tc>
        <w:tc>
          <w:tcPr>
            <w:tcW w:w="810" w:type="pct"/>
            <w:shd w:val="clear" w:color="auto" w:fill="FFFF00"/>
          </w:tcPr>
          <w:p w14:paraId="53B8BFE5" w14:textId="77777777" w:rsidR="00A66EFF" w:rsidRDefault="00A66EFF" w:rsidP="000038F8">
            <w:pPr>
              <w:rPr>
                <w:b/>
                <w:bCs/>
              </w:rPr>
            </w:pPr>
            <w:r>
              <w:rPr>
                <w:b/>
                <w:bCs/>
              </w:rPr>
              <w:t>Number of time points</w:t>
            </w:r>
          </w:p>
          <w:p w14:paraId="71A6972B" w14:textId="77777777" w:rsidR="00A66EFF" w:rsidRPr="00A802E7" w:rsidRDefault="00A66EFF" w:rsidP="000038F8">
            <w:pPr>
              <w:rPr>
                <w:b/>
                <w:bCs/>
              </w:rPr>
            </w:pPr>
            <w:r>
              <w:rPr>
                <w:b/>
                <w:bCs/>
              </w:rPr>
              <w:t>(n/a, one, two multiple)</w:t>
            </w:r>
          </w:p>
        </w:tc>
        <w:tc>
          <w:tcPr>
            <w:tcW w:w="1215" w:type="pct"/>
            <w:shd w:val="clear" w:color="auto" w:fill="FFFF00"/>
          </w:tcPr>
          <w:p w14:paraId="1F024ACD" w14:textId="77777777" w:rsidR="00A66EFF" w:rsidRPr="00A802E7" w:rsidRDefault="00A66EFF" w:rsidP="000038F8">
            <w:pPr>
              <w:rPr>
                <w:b/>
                <w:bCs/>
              </w:rPr>
            </w:pPr>
            <w:r>
              <w:rPr>
                <w:b/>
                <w:bCs/>
              </w:rPr>
              <w:t>Conclusion</w:t>
            </w:r>
          </w:p>
        </w:tc>
        <w:tc>
          <w:tcPr>
            <w:tcW w:w="1147" w:type="pct"/>
            <w:shd w:val="clear" w:color="auto" w:fill="FFFF00"/>
          </w:tcPr>
          <w:p w14:paraId="35FC6FD1" w14:textId="77777777" w:rsidR="00A66EFF" w:rsidRPr="00A802E7" w:rsidRDefault="00A66EFF" w:rsidP="000038F8">
            <w:pPr>
              <w:rPr>
                <w:b/>
                <w:bCs/>
              </w:rPr>
            </w:pPr>
            <w:r>
              <w:rPr>
                <w:b/>
                <w:bCs/>
              </w:rPr>
              <w:t xml:space="preserve">Limitations </w:t>
            </w:r>
          </w:p>
        </w:tc>
      </w:tr>
      <w:tr w:rsidR="00A66EFF" w:rsidRPr="00B936B8" w14:paraId="19FF8A96" w14:textId="77777777" w:rsidTr="00102D5F">
        <w:tc>
          <w:tcPr>
            <w:tcW w:w="810" w:type="pct"/>
          </w:tcPr>
          <w:p w14:paraId="770734FE" w14:textId="77777777" w:rsidR="00A66EFF" w:rsidRPr="00B936B8" w:rsidRDefault="00A66EFF" w:rsidP="000038F8">
            <w:r>
              <w:t>Cocks et al (2016)</w:t>
            </w:r>
          </w:p>
        </w:tc>
        <w:tc>
          <w:tcPr>
            <w:tcW w:w="1017" w:type="pct"/>
          </w:tcPr>
          <w:p w14:paraId="23E6B4C2" w14:textId="77777777" w:rsidR="00A66EFF" w:rsidRDefault="00A66EFF" w:rsidP="000038F8">
            <w:r>
              <w:t>Community involvement index</w:t>
            </w:r>
          </w:p>
        </w:tc>
        <w:tc>
          <w:tcPr>
            <w:tcW w:w="810" w:type="pct"/>
          </w:tcPr>
          <w:p w14:paraId="64B13AA9" w14:textId="77777777" w:rsidR="00A66EFF" w:rsidRPr="00B936B8" w:rsidRDefault="00A66EFF" w:rsidP="000038F8">
            <w:r>
              <w:t>One</w:t>
            </w:r>
          </w:p>
        </w:tc>
        <w:tc>
          <w:tcPr>
            <w:tcW w:w="1215" w:type="pct"/>
          </w:tcPr>
          <w:p w14:paraId="7E244A78" w14:textId="77777777" w:rsidR="00A66EFF" w:rsidRPr="00B936B8" w:rsidRDefault="00A66EFF" w:rsidP="000038F8">
            <w:r>
              <w:t>Community involvement index shows that people in ISL arrangements accessed a range of activities in community venues, with some reporting up to 14 community based activities over previous month</w:t>
            </w:r>
          </w:p>
        </w:tc>
        <w:tc>
          <w:tcPr>
            <w:tcW w:w="1147" w:type="pct"/>
          </w:tcPr>
          <w:p w14:paraId="5149DF12" w14:textId="77777777" w:rsidR="00A66EFF" w:rsidRPr="00B936B8" w:rsidRDefault="00A66EFF" w:rsidP="000038F8">
            <w:r>
              <w:t>Data presented at one point in time. Changes over time not reported</w:t>
            </w:r>
          </w:p>
        </w:tc>
      </w:tr>
    </w:tbl>
    <w:p w14:paraId="7B74562F" w14:textId="77777777" w:rsidR="00DB06D4" w:rsidRDefault="00DB06D4" w:rsidP="00DB06D4"/>
    <w:p w14:paraId="4F6CFB10" w14:textId="77777777" w:rsidR="000A6DC4" w:rsidRDefault="000A6DC4">
      <w:pPr>
        <w:rPr>
          <w:rFonts w:eastAsia="Times New Roman"/>
        </w:rPr>
      </w:pPr>
      <w:r>
        <w:rPr>
          <w:rFonts w:eastAsia="Times New Roman"/>
        </w:rPr>
        <w:br w:type="page"/>
      </w:r>
    </w:p>
    <w:p w14:paraId="05E29DB0" w14:textId="05880D25" w:rsidR="00DB06D4" w:rsidRDefault="00D45D90" w:rsidP="005C586D">
      <w:pPr>
        <w:spacing w:line="360" w:lineRule="auto"/>
      </w:pPr>
      <w:r w:rsidRPr="00C052E8">
        <w:rPr>
          <w:rFonts w:eastAsia="Times New Roman"/>
        </w:rPr>
        <w:lastRenderedPageBreak/>
        <w:t>Two qualitative studies reported in</w:t>
      </w:r>
      <w:r w:rsidRPr="00C052E8">
        <w:rPr>
          <w:rFonts w:eastAsia="Times New Roman"/>
          <w:lang w:val="en-AU"/>
        </w:rPr>
        <w:t>creased contact with family members and involvement in family activities, expanded involvement in community activities, and increased privacy, self-determination, and self-expression</w:t>
      </w:r>
      <w:r w:rsidRPr="00C052E8">
        <w:rPr>
          <w:rFonts w:eastAsia="Times New Roman"/>
        </w:rPr>
        <w:t xml:space="preserve"> </w:t>
      </w:r>
      <w:r w:rsidRPr="00C052E8">
        <w:rPr>
          <w:rFonts w:eastAsia="Times New Roman"/>
          <w:lang w:val="en-AU"/>
        </w:rPr>
        <w:fldChar w:fldCharType="begin">
          <w:fldData xml:space="preserve">PEVuZE5vdGU+PENpdGU+PEF1dGhvcj5Pd2VuPC9BdXRob3I+PFllYXI+MjAxNTwvWWVhcj48UmVj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</w:fldData>
        </w:fldChar>
      </w:r>
      <w:r w:rsidR="0062163C">
        <w:rPr>
          <w:rFonts w:eastAsia="Times New Roman"/>
          <w:lang w:val="en-AU"/>
        </w:rPr>
        <w:instrText xml:space="preserve"> ADDIN EN.CITE </w:instrText>
      </w:r>
      <w:r w:rsidR="0062163C">
        <w:rPr>
          <w:rFonts w:eastAsia="Times New Roman"/>
          <w:lang w:val="en-AU"/>
        </w:rPr>
        <w:fldChar w:fldCharType="begin">
          <w:fldData xml:space="preserve">PEVuZE5vdGU+PENpdGU+PEF1dGhvcj5Pd2VuPC9BdXRob3I+PFllYXI+MjAxNTwvWWVhcj48UmVj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</w:fldData>
        </w:fldChar>
      </w:r>
      <w:r w:rsidR="0062163C">
        <w:rPr>
          <w:rFonts w:eastAsia="Times New Roman"/>
          <w:lang w:val="en-AU"/>
        </w:rPr>
        <w:instrText xml:space="preserve"> ADDIN EN.CITE.DATA </w:instrText>
      </w:r>
      <w:r w:rsidR="0062163C">
        <w:rPr>
          <w:rFonts w:eastAsia="Times New Roman"/>
          <w:lang w:val="en-AU"/>
        </w:rPr>
      </w:r>
      <w:r w:rsidR="0062163C">
        <w:rPr>
          <w:rFonts w:eastAsia="Times New Roman"/>
          <w:lang w:val="en-AU"/>
        </w:rPr>
        <w:fldChar w:fldCharType="end"/>
      </w:r>
      <w:r w:rsidRPr="00C052E8">
        <w:rPr>
          <w:rFonts w:eastAsia="Times New Roman"/>
          <w:lang w:val="en-AU"/>
        </w:rPr>
      </w:r>
      <w:r w:rsidRPr="00C052E8">
        <w:rPr>
          <w:rFonts w:eastAsia="Times New Roman"/>
          <w:lang w:val="en-AU"/>
        </w:rPr>
        <w:fldChar w:fldCharType="separate"/>
      </w:r>
      <w:r w:rsidR="0062163C">
        <w:rPr>
          <w:rFonts w:eastAsia="Times New Roman"/>
          <w:noProof/>
          <w:lang w:val="en-AU"/>
        </w:rPr>
        <w:t>(Condillac, Griffiths, &amp; Owen, 2012; Owen, Griffiths, &amp; Condillac, 2015)</w:t>
      </w:r>
      <w:r w:rsidRPr="00C052E8">
        <w:rPr>
          <w:rFonts w:eastAsia="Times New Roman"/>
          <w:lang w:val="en-AU"/>
        </w:rPr>
        <w:fldChar w:fldCharType="end"/>
      </w:r>
      <w:r w:rsidRPr="00C052E8">
        <w:rPr>
          <w:rFonts w:eastAsia="Times New Roman"/>
        </w:rPr>
        <w:t>.</w:t>
      </w:r>
      <w:r w:rsidR="00590C83">
        <w:rPr>
          <w:rFonts w:eastAsia="Times New Roman"/>
        </w:rPr>
        <w:t xml:space="preserve"> </w:t>
      </w:r>
      <w:r w:rsidR="00C77D73">
        <w:rPr>
          <w:rFonts w:eastAsia="Times New Roman"/>
        </w:rPr>
        <w:t>P</w:t>
      </w:r>
      <w:r w:rsidR="00917DC5">
        <w:rPr>
          <w:rFonts w:eastAsia="Times New Roman"/>
        </w:rPr>
        <w:t xml:space="preserve">iat </w:t>
      </w:r>
      <w:r w:rsidR="00C77D73">
        <w:rPr>
          <w:rFonts w:eastAsia="Times New Roman"/>
        </w:rPr>
        <w:t>and colleagues</w:t>
      </w:r>
      <w:r w:rsidR="00590C83">
        <w:rPr>
          <w:rFonts w:eastAsia="Times New Roman"/>
        </w:rPr>
        <w:t xml:space="preserve"> (2018) used loneliness as an indicator </w:t>
      </w:r>
      <w:r w:rsidR="00C77D73">
        <w:rPr>
          <w:rFonts w:eastAsia="Times New Roman"/>
        </w:rPr>
        <w:t xml:space="preserve">for social inclusion </w:t>
      </w:r>
      <w:r w:rsidR="00590C83">
        <w:rPr>
          <w:rFonts w:eastAsia="Times New Roman"/>
        </w:rPr>
        <w:t xml:space="preserve">and </w:t>
      </w:r>
      <w:r w:rsidR="00590C83" w:rsidRPr="00C052E8">
        <w:rPr>
          <w:rFonts w:eastAsia="Times New Roman"/>
        </w:rPr>
        <w:t xml:space="preserve">found that </w:t>
      </w:r>
      <w:r w:rsidR="00C77D73">
        <w:rPr>
          <w:rFonts w:eastAsia="Times New Roman"/>
        </w:rPr>
        <w:t xml:space="preserve">while </w:t>
      </w:r>
      <w:r w:rsidR="00590C83" w:rsidRPr="00C052E8">
        <w:rPr>
          <w:rFonts w:eastAsia="Times New Roman"/>
          <w:lang w:val="en-AU"/>
        </w:rPr>
        <w:t xml:space="preserve">loneliness occurred, for most tenants living in independent apartments with support, loneliness was not a serious problem </w:t>
      </w:r>
      <w:r w:rsidR="00C77D73">
        <w:rPr>
          <w:rFonts w:eastAsia="Times New Roman"/>
          <w:lang w:val="en-AU"/>
        </w:rPr>
        <w:t>n</w:t>
      </w:r>
      <w:r w:rsidR="00590C83" w:rsidRPr="00C052E8">
        <w:rPr>
          <w:rFonts w:eastAsia="Times New Roman"/>
          <w:lang w:val="en-AU"/>
        </w:rPr>
        <w:t xml:space="preserve">or was </w:t>
      </w:r>
      <w:r w:rsidR="00C77D73">
        <w:rPr>
          <w:rFonts w:eastAsia="Times New Roman"/>
          <w:lang w:val="en-AU"/>
        </w:rPr>
        <w:t xml:space="preserve">it </w:t>
      </w:r>
      <w:r w:rsidR="00590C83" w:rsidRPr="00C052E8">
        <w:rPr>
          <w:rFonts w:eastAsia="Times New Roman"/>
          <w:lang w:val="en-AU"/>
        </w:rPr>
        <w:t xml:space="preserve">an issue that could </w:t>
      </w:r>
      <w:r w:rsidR="00C77D73">
        <w:rPr>
          <w:rFonts w:eastAsia="Times New Roman"/>
          <w:lang w:val="en-AU"/>
        </w:rPr>
        <w:t xml:space="preserve">not </w:t>
      </w:r>
      <w:r w:rsidR="00590C83" w:rsidRPr="00C052E8">
        <w:rPr>
          <w:rFonts w:eastAsia="Times New Roman"/>
          <w:lang w:val="en-AU"/>
        </w:rPr>
        <w:t>be overcome. Most study participants viewed supported housing as preferable to custodial housing and as a normalising experience that facilitated community integration.</w:t>
      </w:r>
    </w:p>
    <w:p w14:paraId="516308D2" w14:textId="2E77F923" w:rsidR="00FD6FBF" w:rsidRDefault="00FD6FBF" w:rsidP="005C586D">
      <w:pPr>
        <w:spacing w:line="360" w:lineRule="auto"/>
        <w:jc w:val="both"/>
      </w:pPr>
      <w:r w:rsidRPr="00CC6BBA">
        <w:rPr>
          <w:rFonts w:eastAsia="Times New Roman" w:cstheme="minorHAnsi"/>
          <w:lang w:val="en-GB"/>
        </w:rPr>
        <w:t xml:space="preserve">Three </w:t>
      </w:r>
      <w:r>
        <w:rPr>
          <w:rFonts w:eastAsia="Times New Roman" w:cstheme="minorHAnsi"/>
          <w:lang w:val="en-GB"/>
        </w:rPr>
        <w:t xml:space="preserve">qualitative </w:t>
      </w:r>
      <w:r w:rsidRPr="00CC6BBA">
        <w:rPr>
          <w:rFonts w:eastAsia="Times New Roman" w:cstheme="minorHAnsi"/>
          <w:lang w:val="en-GB"/>
        </w:rPr>
        <w:t xml:space="preserve">studies evaluated community involvement measures (Chou, </w:t>
      </w:r>
      <w:r w:rsidR="00111762">
        <w:rPr>
          <w:rFonts w:eastAsia="Times New Roman" w:cstheme="minorHAnsi"/>
          <w:lang w:val="en-GB"/>
        </w:rPr>
        <w:t xml:space="preserve">et al </w:t>
      </w:r>
      <w:r w:rsidRPr="00CC6BBA">
        <w:rPr>
          <w:rFonts w:eastAsia="Times New Roman" w:cstheme="minorHAnsi"/>
          <w:lang w:val="en-GB"/>
        </w:rPr>
        <w:t xml:space="preserve">2008, 2011, Emerson, </w:t>
      </w:r>
      <w:r w:rsidR="00111762">
        <w:rPr>
          <w:rFonts w:eastAsia="Times New Roman" w:cstheme="minorHAnsi"/>
          <w:lang w:val="en-GB"/>
        </w:rPr>
        <w:t xml:space="preserve">et al </w:t>
      </w:r>
      <w:r w:rsidRPr="00CC6BBA">
        <w:rPr>
          <w:rFonts w:eastAsia="Times New Roman" w:cstheme="minorHAnsi"/>
          <w:lang w:val="en-GB"/>
        </w:rPr>
        <w:t xml:space="preserve">2004). </w:t>
      </w:r>
      <w:r w:rsidRPr="00290482">
        <w:rPr>
          <w:rFonts w:eastAsia="Times New Roman" w:cstheme="minorHAnsi"/>
          <w:lang w:val="en-GB"/>
        </w:rPr>
        <w:t xml:space="preserve">The studies by Chou </w:t>
      </w:r>
      <w:r w:rsidR="00111762">
        <w:rPr>
          <w:rFonts w:eastAsia="Times New Roman" w:cstheme="minorHAnsi"/>
          <w:lang w:val="en-GB"/>
        </w:rPr>
        <w:t xml:space="preserve">and associates </w:t>
      </w:r>
      <w:r w:rsidR="00C77D73">
        <w:rPr>
          <w:rFonts w:eastAsia="Times New Roman" w:cstheme="minorHAnsi"/>
          <w:lang w:val="en-GB"/>
        </w:rPr>
        <w:t>(</w:t>
      </w:r>
      <w:r w:rsidRPr="00290482">
        <w:rPr>
          <w:rFonts w:eastAsia="Times New Roman" w:cstheme="minorHAnsi"/>
          <w:lang w:val="en-GB"/>
        </w:rPr>
        <w:t>200</w:t>
      </w:r>
      <w:r w:rsidR="00C77D73">
        <w:rPr>
          <w:rFonts w:eastAsia="Times New Roman" w:cstheme="minorHAnsi"/>
          <w:lang w:val="en-GB"/>
        </w:rPr>
        <w:t xml:space="preserve">8, </w:t>
      </w:r>
      <w:r w:rsidRPr="00290482">
        <w:rPr>
          <w:rFonts w:eastAsia="Times New Roman" w:cstheme="minorHAnsi"/>
          <w:lang w:val="en-GB"/>
        </w:rPr>
        <w:t>2011</w:t>
      </w:r>
      <w:r w:rsidR="00C77D73">
        <w:rPr>
          <w:rFonts w:eastAsia="Times New Roman" w:cstheme="minorHAnsi"/>
          <w:lang w:val="en-GB"/>
        </w:rPr>
        <w:t>)</w:t>
      </w:r>
      <w:r w:rsidRPr="00290482">
        <w:rPr>
          <w:rFonts w:eastAsia="Times New Roman" w:cstheme="minorHAnsi"/>
          <w:lang w:val="en-GB"/>
        </w:rPr>
        <w:t xml:space="preserve"> showed community improvement initially but reversed following evaluation at a two</w:t>
      </w:r>
      <w:r>
        <w:rPr>
          <w:rFonts w:eastAsia="Times New Roman" w:cstheme="minorHAnsi"/>
          <w:lang w:val="en-GB"/>
        </w:rPr>
        <w:t>-</w:t>
      </w:r>
      <w:r w:rsidRPr="00290482">
        <w:rPr>
          <w:rFonts w:eastAsia="Times New Roman" w:cstheme="minorHAnsi"/>
          <w:lang w:val="en-GB"/>
        </w:rPr>
        <w:t xml:space="preserve">year follow-up. </w:t>
      </w:r>
      <w:r w:rsidR="007848FB">
        <w:rPr>
          <w:rFonts w:eastAsia="Times New Roman" w:cstheme="minorHAnsi"/>
          <w:lang w:val="en-GB"/>
        </w:rPr>
        <w:t xml:space="preserve">A </w:t>
      </w:r>
      <w:r w:rsidRPr="00290482">
        <w:rPr>
          <w:rFonts w:eastAsia="Times New Roman" w:cstheme="minorHAnsi"/>
          <w:lang w:val="en-GB"/>
        </w:rPr>
        <w:t xml:space="preserve">number of the participants </w:t>
      </w:r>
      <w:r w:rsidR="007848FB">
        <w:rPr>
          <w:rFonts w:eastAsia="Times New Roman" w:cstheme="minorHAnsi"/>
          <w:lang w:val="en-GB"/>
        </w:rPr>
        <w:t xml:space="preserve">were found to </w:t>
      </w:r>
      <w:r w:rsidRPr="00290482">
        <w:rPr>
          <w:rFonts w:eastAsia="Times New Roman" w:cstheme="minorHAnsi"/>
          <w:lang w:val="en-GB"/>
        </w:rPr>
        <w:t>return to an institutionalised setting.</w:t>
      </w:r>
      <w:r>
        <w:rPr>
          <w:rFonts w:eastAsia="Times New Roman" w:cstheme="minorHAnsi"/>
          <w:lang w:val="en-GB"/>
        </w:rPr>
        <w:t xml:space="preserve"> </w:t>
      </w:r>
      <w:r>
        <w:t>In a grey literature report, Cocks et al (2016) measured i</w:t>
      </w:r>
      <w:r w:rsidRPr="005E1C91">
        <w:t xml:space="preserve">nvolvement using </w:t>
      </w:r>
      <w:r>
        <w:t xml:space="preserve">the </w:t>
      </w:r>
      <w:r w:rsidRPr="005E1C91">
        <w:t>Community Involvement Index</w:t>
      </w:r>
      <w:r>
        <w:t xml:space="preserve"> (Cocks et al, 2016) and found that engagement and inclusion in</w:t>
      </w:r>
      <w:r w:rsidR="00C77D73">
        <w:t xml:space="preserve"> the</w:t>
      </w:r>
      <w:r>
        <w:t xml:space="preserve"> community continued to be a challenge for people in </w:t>
      </w:r>
      <w:r w:rsidR="00111762">
        <w:t>independent supported living (</w:t>
      </w:r>
      <w:r>
        <w:t>ISL</w:t>
      </w:r>
      <w:r w:rsidR="00111762">
        <w:t>)</w:t>
      </w:r>
      <w:r>
        <w:t xml:space="preserve"> arrangements. Felce (2006) use</w:t>
      </w:r>
      <w:r w:rsidR="00C77D73">
        <w:t>d</w:t>
      </w:r>
      <w:r>
        <w:t xml:space="preserve"> the language of community integration and ‘e</w:t>
      </w:r>
      <w:r w:rsidRPr="005E1C91">
        <w:t>nhanced community participation of consumers</w:t>
      </w:r>
      <w:r>
        <w:t>’</w:t>
      </w:r>
      <w:r w:rsidR="00C77D73">
        <w:t>,</w:t>
      </w:r>
      <w:r>
        <w:t xml:space="preserve"> </w:t>
      </w:r>
      <w:r w:rsidR="009744FE">
        <w:t>but</w:t>
      </w:r>
      <w:r>
        <w:t xml:space="preserve"> </w:t>
      </w:r>
      <w:r w:rsidR="009744FE">
        <w:t>n</w:t>
      </w:r>
      <w:r>
        <w:t xml:space="preserve">o index or indicator reported to measure </w:t>
      </w:r>
      <w:r w:rsidR="007F0072">
        <w:t>in this</w:t>
      </w:r>
      <w:r>
        <w:t xml:space="preserve"> paper. Dean (2003) d</w:t>
      </w:r>
      <w:r w:rsidR="00C77D73">
        <w:t>id</w:t>
      </w:r>
      <w:r>
        <w:t xml:space="preserve"> not report </w:t>
      </w:r>
      <w:r w:rsidRPr="005E1C91">
        <w:t xml:space="preserve">measured outcomes but </w:t>
      </w:r>
      <w:r w:rsidR="00C77D73">
        <w:t>reported</w:t>
      </w:r>
      <w:r>
        <w:t xml:space="preserve"> </w:t>
      </w:r>
      <w:r w:rsidRPr="005E1C91">
        <w:t xml:space="preserve">issues </w:t>
      </w:r>
      <w:r w:rsidR="00C77D73">
        <w:t xml:space="preserve">drawn from </w:t>
      </w:r>
      <w:r w:rsidRPr="005E1C91">
        <w:t xml:space="preserve">interviews </w:t>
      </w:r>
      <w:r w:rsidR="00C77D73">
        <w:t>with</w:t>
      </w:r>
      <w:r w:rsidRPr="005E1C91">
        <w:t xml:space="preserve"> young people </w:t>
      </w:r>
      <w:r w:rsidR="00C77D73">
        <w:t xml:space="preserve">who had </w:t>
      </w:r>
      <w:r w:rsidRPr="005E1C91">
        <w:t>disabilities</w:t>
      </w:r>
      <w:r w:rsidR="00C77D73">
        <w:t xml:space="preserve">. The interview included questions about </w:t>
      </w:r>
      <w:r w:rsidRPr="005E1C91">
        <w:t>what was important to them in relation to housing</w:t>
      </w:r>
      <w:r>
        <w:t>, which included “</w:t>
      </w:r>
      <w:r w:rsidRPr="005E1C91">
        <w:t>location/type of area</w:t>
      </w:r>
      <w:r>
        <w:t xml:space="preserve">, </w:t>
      </w:r>
      <w:r w:rsidRPr="005E1C91">
        <w:t>tenure/security</w:t>
      </w:r>
      <w:r>
        <w:t xml:space="preserve">, </w:t>
      </w:r>
      <w:r w:rsidRPr="005E1C91">
        <w:t>independence</w:t>
      </w:r>
      <w:r>
        <w:t xml:space="preserve">, </w:t>
      </w:r>
      <w:r w:rsidRPr="005E1C91">
        <w:t>property features</w:t>
      </w:r>
      <w:r>
        <w:t xml:space="preserve">, </w:t>
      </w:r>
      <w:r w:rsidRPr="005E1C91">
        <w:t>house contents</w:t>
      </w:r>
      <w:r>
        <w:t xml:space="preserve">, </w:t>
      </w:r>
      <w:r w:rsidRPr="005E1C91">
        <w:t>family relationships</w:t>
      </w:r>
      <w:r>
        <w:t xml:space="preserve">”. This list </w:t>
      </w:r>
      <w:r w:rsidR="00C77D73">
        <w:t xml:space="preserve">provided an </w:t>
      </w:r>
      <w:r>
        <w:t>illustrat</w:t>
      </w:r>
      <w:r w:rsidR="00C77D73">
        <w:t xml:space="preserve">ion of the intersection between </w:t>
      </w:r>
      <w:r>
        <w:t>the structural, community and relational aspects of housing.</w:t>
      </w:r>
    </w:p>
    <w:p w14:paraId="6182F2AA" w14:textId="77777777" w:rsidR="002E5EE2" w:rsidRDefault="002E5EE2" w:rsidP="002E5EE2">
      <w:pPr>
        <w:pStyle w:val="Heading2"/>
      </w:pPr>
      <w:bookmarkStart w:id="41" w:name="_Toc73535957"/>
      <w:r>
        <w:t>Validation of measurement</w:t>
      </w:r>
      <w:bookmarkEnd w:id="41"/>
    </w:p>
    <w:p w14:paraId="77A4575E" w14:textId="77777777" w:rsidR="002E5EE2" w:rsidRDefault="002E5EE2" w:rsidP="002E5EE2">
      <w:pPr>
        <w:spacing w:line="360" w:lineRule="auto"/>
      </w:pPr>
      <w:r>
        <w:t>N</w:t>
      </w:r>
      <w:r w:rsidDel="00925921">
        <w:t>o single standardi</w:t>
      </w:r>
      <w:r>
        <w:t>s</w:t>
      </w:r>
      <w:r w:rsidDel="00925921">
        <w:t>ed measure was used across studies and the range of measures</w:t>
      </w:r>
      <w:r>
        <w:t xml:space="preserve"> </w:t>
      </w:r>
      <w:r w:rsidDel="00925921">
        <w:t xml:space="preserve">employed to assess effectiveness also varied. The use of self-report, person-focused measures </w:t>
      </w:r>
      <w:r>
        <w:t>wa</w:t>
      </w:r>
      <w:r w:rsidDel="00925921">
        <w:t>s positive. The lack of consistency in the selection of measurement makes comparisons between studies and across time challenging.</w:t>
      </w:r>
    </w:p>
    <w:p w14:paraId="76B8BBC3" w14:textId="77777777" w:rsidR="002E5EE2" w:rsidRDefault="002E5EE2" w:rsidP="002E5EE2">
      <w:pPr>
        <w:spacing w:line="360" w:lineRule="auto"/>
        <w:jc w:val="both"/>
        <w:rPr>
          <w:rFonts w:eastAsia="Times New Roman" w:cstheme="minorHAnsi"/>
          <w:lang w:val="en-GB"/>
        </w:rPr>
      </w:pPr>
      <w:r w:rsidRPr="00CC6BBA">
        <w:rPr>
          <w:rFonts w:eastAsia="Times New Roman" w:cstheme="minorHAnsi"/>
          <w:lang w:val="en-GB"/>
        </w:rPr>
        <w:t xml:space="preserve">The two most widely used QoL questionnaires </w:t>
      </w:r>
      <w:r>
        <w:rPr>
          <w:rFonts w:eastAsia="Times New Roman" w:cstheme="minorHAnsi"/>
          <w:lang w:val="en-GB"/>
        </w:rPr>
        <w:t xml:space="preserve">in the quantitative studies </w:t>
      </w:r>
      <w:r w:rsidRPr="00CC6BBA">
        <w:rPr>
          <w:rFonts w:eastAsia="Times New Roman" w:cstheme="minorHAnsi"/>
          <w:lang w:val="en-GB"/>
        </w:rPr>
        <w:t>were the Quality of Life Questionnaire (QoL-Q) (Bhaumic et al, 2011, Chou et al, 2008, 2011, Fish and Lobley, 2001</w:t>
      </w:r>
      <w:r w:rsidRPr="00290482">
        <w:rPr>
          <w:rFonts w:eastAsia="Times New Roman" w:cstheme="minorHAnsi"/>
          <w:lang w:val="en-GB"/>
        </w:rPr>
        <w:t xml:space="preserve">, Stancliffe &amp; Keane 2000) and the World Health Organisation’s WHO Quality of Life (WHOQoL) (Lee et al, 2015, Padmakar et al, 2015, Umansky et al, 2003).  A number of studies reported outcomes based on study specific questionnaires (e.g. Sines et al, 2012).  </w:t>
      </w:r>
      <w:r w:rsidRPr="006C3323">
        <w:rPr>
          <w:rFonts w:eastAsia="Times New Roman" w:cstheme="minorHAnsi"/>
          <w:lang w:val="en-GB"/>
        </w:rPr>
        <w:t xml:space="preserve">As a result, the quality of rating scales varied with studies </w:t>
      </w:r>
      <w:r w:rsidRPr="006C3323">
        <w:rPr>
          <w:rFonts w:eastAsia="Times New Roman" w:cstheme="minorHAnsi"/>
          <w:lang w:val="en-GB"/>
        </w:rPr>
        <w:lastRenderedPageBreak/>
        <w:t>using established standardised rating scales reporting better psychometric properties whereas some of the study specific rating scales reported no psychometric properties</w:t>
      </w:r>
      <w:r w:rsidRPr="00290482">
        <w:rPr>
          <w:rFonts w:eastAsia="Times New Roman" w:cstheme="minorHAnsi"/>
          <w:lang w:val="en-GB"/>
        </w:rPr>
        <w:t>.</w:t>
      </w:r>
    </w:p>
    <w:p w14:paraId="2808298B" w14:textId="77777777" w:rsidR="002E5EE2" w:rsidRDefault="002E5EE2" w:rsidP="002E5EE2">
      <w:pPr>
        <w:spacing w:line="360" w:lineRule="auto"/>
        <w:jc w:val="both"/>
      </w:pPr>
      <w:r>
        <w:t>No one standard approach to measure quality of life was used or reported in the grey literature. Validated tools were used including QoL</w:t>
      </w:r>
      <w:r w:rsidRPr="005E1C91">
        <w:t xml:space="preserve"> </w:t>
      </w:r>
      <w:r>
        <w:t xml:space="preserve">measure </w:t>
      </w:r>
      <w:r w:rsidRPr="005E1C91">
        <w:t>based on University of Toronto Quality of Life Profile</w:t>
      </w:r>
      <w:r>
        <w:t xml:space="preserve"> (Fisher et al, 2008), the </w:t>
      </w:r>
      <w:r w:rsidRPr="005E1C91">
        <w:t>Qol.Q</w:t>
      </w:r>
      <w:r>
        <w:t xml:space="preserve"> (Cocks et al, 2016), the comprehensive Quality of Life scale (Cummins, 1997; cited in Noonan-Walsh et al, 2007) and the Quality of Life Questionnaire (Schalock and Keith, 1993; cited in Noonan-Walsh et al, 2007). In another instance QoL was mentioned as an outcome but no specific method capturing QoL was recorded. </w:t>
      </w:r>
    </w:p>
    <w:p w14:paraId="5C2E7D28" w14:textId="77777777" w:rsidR="002E5EE2" w:rsidRDefault="002E5EE2" w:rsidP="002E5EE2">
      <w:pPr>
        <w:spacing w:line="360" w:lineRule="auto"/>
        <w:jc w:val="both"/>
      </w:pPr>
      <w:r>
        <w:t>McCarron et al (2018) reviewed costs and QoL of de-instutitionalisation for people with intellectual disability. The study highlighted a number of QoL measures used, including the Quality of Life Questionnaire (QoL.Q), Life Circumstances Questionnaire (LCQ), and the Life Experiences Checklist (LEC). Quality of life was also reported qualitatively. As above, an improvement in QoL following a move was reported in the review by McCarron et al (2018).</w:t>
      </w:r>
    </w:p>
    <w:p w14:paraId="7E844231" w14:textId="77777777" w:rsidR="002E5EE2" w:rsidRDefault="002E5EE2" w:rsidP="002E5EE2">
      <w:pPr>
        <w:spacing w:line="360" w:lineRule="auto"/>
        <w:jc w:val="both"/>
      </w:pPr>
      <w:r w:rsidRPr="00327EF0">
        <w:t xml:space="preserve">One study sought to develop a quality framework for personalised residential supports for adults with developmental disabilities in order to evaluate and assess outcomes for people living with personalised residential supports (PRS). This study identified the characteristics of effective personalised residential supports via literature review and data collected from key stakeholder groups. The PRS framework codified many of the elements described above, and included nine themes with twenty eight attributes: Assumptions, Leadership, My Home, One Person at a Time, Planning, Control, Support, Thriving and Social Inclusion </w:t>
      </w:r>
      <w:r w:rsidRPr="00327EF0">
        <w:fldChar w:fldCharType="begin"/>
      </w:r>
      <w:r>
        <w:instrText xml:space="preserve"> ADDIN EN.CITE &lt;EndNote&gt;&lt;Cite&gt;&lt;Author&gt;Cocks&lt;/Author&gt;&lt;Year&gt;2011&lt;/Year&gt;&lt;RecNum&gt;23&lt;/RecNum&gt;&lt;DisplayText&gt;(Cocks &amp;amp; Boaden, 2011)&lt;/DisplayText&gt;&lt;record&gt;&lt;rec-number&gt;23&lt;/rec-number&gt;&lt;foreign-keys&gt;&lt;key app="EN" db-id="pzftf5vs8ps2wfe09ssv9t919wxpa2rzstf5" timestamp="1612501049"&gt;23&lt;/key&gt;&lt;/foreign-keys&gt;&lt;ref-type name="Journal Article"&gt;17&lt;/ref-type&gt;&lt;contributors&gt;&lt;authors&gt;&lt;author&gt;Cocks, Errol&lt;/author&gt;&lt;author&gt;Boaden, Ross&lt;/author&gt;&lt;/authors&gt;&lt;/contributors&gt;&lt;titles&gt;&lt;title&gt;A quality framework for personalised residential supports for adults with developmental disabilities&lt;/title&gt;&lt;secondary-title&gt;Journal of Intellectual Disability Research&lt;/secondary-title&gt;&lt;/titles&gt;&lt;periodical&gt;&lt;full-title&gt;Journal of Intellectual Disability Research&lt;/full-title&gt;&lt;/periodical&gt;&lt;pages&gt;720-731&lt;/pages&gt;&lt;volume&gt;55&lt;/volume&gt;&lt;number&gt;8&lt;/number&gt;&lt;dates&gt;&lt;year&gt;2011&lt;/year&gt;&lt;/dates&gt;&lt;isbn&gt;0964-2633&lt;/isbn&gt;&lt;urls&gt;&lt;related-urls&gt;&lt;url&gt;https://onlinelibrary.wiley.com/doi/abs/10.1111/j.1365-2788.2010.01296.x&lt;/url&gt;&lt;/related-urls&gt;&lt;/urls&gt;&lt;/record&gt;&lt;/Cite&gt;&lt;/EndNote&gt;</w:instrText>
      </w:r>
      <w:r w:rsidRPr="00327EF0">
        <w:fldChar w:fldCharType="separate"/>
      </w:r>
      <w:r w:rsidRPr="00327EF0">
        <w:rPr>
          <w:noProof/>
        </w:rPr>
        <w:t>(Cocks &amp; Boaden, 2011)</w:t>
      </w:r>
      <w:r w:rsidRPr="00327EF0">
        <w:fldChar w:fldCharType="end"/>
      </w:r>
      <w:r w:rsidRPr="00327EF0">
        <w:t>.</w:t>
      </w:r>
    </w:p>
    <w:p w14:paraId="177A2FCC" w14:textId="77777777" w:rsidR="00501E99" w:rsidRPr="00231888" w:rsidRDefault="00501E99" w:rsidP="00501E99">
      <w:pPr>
        <w:pStyle w:val="Heading2"/>
        <w:rPr>
          <w:rFonts w:eastAsia="Calibri"/>
          <w:lang w:val="en-AU"/>
        </w:rPr>
      </w:pPr>
      <w:bookmarkStart w:id="42" w:name="_Toc73535958"/>
      <w:r w:rsidRPr="00231888">
        <w:rPr>
          <w:rFonts w:eastAsia="Calibri"/>
          <w:lang w:val="en-AU"/>
        </w:rPr>
        <w:t>Meta-analysis of quantitative studies</w:t>
      </w:r>
      <w:bookmarkEnd w:id="42"/>
    </w:p>
    <w:p w14:paraId="458873DC" w14:textId="7FD35B58" w:rsidR="00501E99" w:rsidRPr="00231888" w:rsidRDefault="00501E99" w:rsidP="00111762">
      <w:pPr>
        <w:spacing w:before="120" w:after="160" w:line="360" w:lineRule="auto"/>
        <w:rPr>
          <w:rFonts w:ascii="Calibri" w:eastAsia="Calibri" w:hAnsi="Calibri" w:cs="Times New Roman"/>
          <w:lang w:val="en-AU"/>
        </w:rPr>
      </w:pPr>
      <w:r w:rsidRPr="00231888">
        <w:rPr>
          <w:rFonts w:ascii="Calibri" w:eastAsia="Calibri" w:hAnsi="Calibri" w:cs="Times New Roman"/>
          <w:lang w:val="en-AU"/>
        </w:rPr>
        <w:t>A number of meta-analyses were completed. The first meta-analysis examined whether there were differences in QoL in adults transitioning from an institution to community-based supported accommodation. Additional meta-analyses investigated whether there were differences in QoL, maladaptive behaviour, choice, and community integration between adults who lived in institution</w:t>
      </w:r>
      <w:r>
        <w:rPr>
          <w:rFonts w:ascii="Calibri" w:eastAsia="Calibri" w:hAnsi="Calibri" w:cs="Times New Roman"/>
          <w:lang w:val="en-AU"/>
        </w:rPr>
        <w:t>s</w:t>
      </w:r>
      <w:r w:rsidRPr="00231888">
        <w:rPr>
          <w:rFonts w:ascii="Calibri" w:eastAsia="Calibri" w:hAnsi="Calibri" w:cs="Times New Roman"/>
          <w:lang w:val="en-AU"/>
        </w:rPr>
        <w:t xml:space="preserve"> compared to de-congregated settings. Studies were excluded from the meta-analysis if they did not report sufficient information to permit the calculation of effect size measure (failed to report standard deviation, sample size or had unequal pre/post sample sizes). Due to the lack of consistency between studies</w:t>
      </w:r>
      <w:r>
        <w:rPr>
          <w:rFonts w:ascii="Calibri" w:eastAsia="Calibri" w:hAnsi="Calibri" w:cs="Times New Roman"/>
          <w:lang w:val="en-AU"/>
        </w:rPr>
        <w:t>,</w:t>
      </w:r>
      <w:r w:rsidRPr="00231888">
        <w:rPr>
          <w:rFonts w:ascii="Calibri" w:eastAsia="Calibri" w:hAnsi="Calibri" w:cs="Times New Roman"/>
          <w:lang w:val="en-AU"/>
        </w:rPr>
        <w:t xml:space="preserve"> only four studies (Cooper &amp; Picton 2000, Lee et al. 2015, Sines </w:t>
      </w:r>
      <w:r w:rsidR="00111762">
        <w:rPr>
          <w:rFonts w:ascii="Calibri" w:eastAsia="Calibri" w:hAnsi="Calibri" w:cs="Times New Roman"/>
          <w:lang w:val="en-AU"/>
        </w:rPr>
        <w:t xml:space="preserve">et al </w:t>
      </w:r>
      <w:r w:rsidRPr="00231888">
        <w:rPr>
          <w:rFonts w:ascii="Calibri" w:eastAsia="Calibri" w:hAnsi="Calibri" w:cs="Times New Roman"/>
          <w:lang w:val="en-AU"/>
        </w:rPr>
        <w:t xml:space="preserve">2012, Umansky et al 2003) were included in the first meta-analysis and a maximum of three studies </w:t>
      </w:r>
      <w:r>
        <w:rPr>
          <w:rFonts w:ascii="Calibri" w:eastAsia="Calibri" w:hAnsi="Calibri" w:cs="Times New Roman"/>
          <w:lang w:val="en-AU"/>
        </w:rPr>
        <w:t xml:space="preserve">were included </w:t>
      </w:r>
      <w:r w:rsidRPr="00231888">
        <w:rPr>
          <w:rFonts w:ascii="Calibri" w:eastAsia="Calibri" w:hAnsi="Calibri" w:cs="Times New Roman"/>
          <w:lang w:val="en-AU"/>
        </w:rPr>
        <w:t>in each of the additional meta-analyses.</w:t>
      </w:r>
    </w:p>
    <w:p w14:paraId="695168D9" w14:textId="77777777" w:rsidR="00501E99" w:rsidRPr="00231888" w:rsidRDefault="00501E99" w:rsidP="00501E99">
      <w:pPr>
        <w:spacing w:after="160" w:line="259" w:lineRule="auto"/>
        <w:rPr>
          <w:rFonts w:ascii="Calibri" w:eastAsia="Calibri" w:hAnsi="Calibri" w:cs="Times New Roman"/>
          <w:b/>
          <w:bCs/>
          <w:lang w:val="en-AU"/>
        </w:rPr>
      </w:pPr>
      <w:r w:rsidRPr="00231888">
        <w:rPr>
          <w:rFonts w:ascii="Calibri" w:eastAsia="Calibri" w:hAnsi="Calibri" w:cs="Times New Roman"/>
          <w:b/>
          <w:bCs/>
          <w:lang w:val="en-AU"/>
        </w:rPr>
        <w:lastRenderedPageBreak/>
        <w:t>Transition from institution to community-based accommodation-overall Quality of Life (QoL)</w:t>
      </w:r>
    </w:p>
    <w:p w14:paraId="73303056" w14:textId="52E86B04" w:rsidR="00501E99" w:rsidRPr="00231888" w:rsidRDefault="00501E99" w:rsidP="00501E99">
      <w:pPr>
        <w:spacing w:after="160" w:line="360" w:lineRule="auto"/>
        <w:rPr>
          <w:rFonts w:ascii="Calibri" w:eastAsia="Calibri" w:hAnsi="Calibri" w:cs="Times New Roman"/>
          <w:lang w:val="en-AU"/>
        </w:rPr>
      </w:pPr>
      <w:r w:rsidRPr="00231888">
        <w:rPr>
          <w:rFonts w:ascii="Calibri" w:eastAsia="Calibri" w:hAnsi="Calibri" w:cs="Times New Roman"/>
          <w:lang w:val="en-AU"/>
        </w:rPr>
        <w:t xml:space="preserve">Four studies (Cooper &amp; Picton 2000, Lee et al. 2015, Sines </w:t>
      </w:r>
      <w:r w:rsidR="00111762">
        <w:rPr>
          <w:rFonts w:ascii="Calibri" w:eastAsia="Calibri" w:hAnsi="Calibri" w:cs="Times New Roman"/>
          <w:lang w:val="en-AU"/>
        </w:rPr>
        <w:t xml:space="preserve">et al </w:t>
      </w:r>
      <w:r w:rsidRPr="00231888">
        <w:rPr>
          <w:rFonts w:ascii="Calibri" w:eastAsia="Calibri" w:hAnsi="Calibri" w:cs="Times New Roman"/>
          <w:lang w:val="en-AU"/>
        </w:rPr>
        <w:t>2012, Umansky et al 2003) evaluated QoL at six</w:t>
      </w:r>
      <w:r>
        <w:rPr>
          <w:rFonts w:ascii="Calibri" w:eastAsia="Calibri" w:hAnsi="Calibri" w:cs="Times New Roman"/>
          <w:lang w:val="en-AU"/>
        </w:rPr>
        <w:t>-</w:t>
      </w:r>
      <w:r w:rsidRPr="00231888">
        <w:rPr>
          <w:rFonts w:ascii="Calibri" w:eastAsia="Calibri" w:hAnsi="Calibri" w:cs="Times New Roman"/>
          <w:lang w:val="en-AU"/>
        </w:rPr>
        <w:t>month post transition. The results showed significant improvement on overall QoL for those individuals transitioning to community</w:t>
      </w:r>
      <w:r w:rsidR="00E83005">
        <w:rPr>
          <w:rFonts w:ascii="Calibri" w:eastAsia="Calibri" w:hAnsi="Calibri" w:cs="Times New Roman"/>
          <w:lang w:val="en-AU"/>
        </w:rPr>
        <w:t>-</w:t>
      </w:r>
      <w:r w:rsidRPr="00231888">
        <w:rPr>
          <w:rFonts w:ascii="Calibri" w:eastAsia="Calibri" w:hAnsi="Calibri" w:cs="Times New Roman"/>
          <w:lang w:val="en-AU"/>
        </w:rPr>
        <w:t>based accommodation. Comparatively, at one-year follow-up (Sines 2012, Lee et al. 2015) there were no further differences in QoL.</w:t>
      </w:r>
      <w:r>
        <w:rPr>
          <w:rFonts w:ascii="Calibri" w:eastAsia="Calibri" w:hAnsi="Calibri" w:cs="Times New Roman"/>
          <w:lang w:val="en-AU"/>
        </w:rPr>
        <w:t xml:space="preserve"> </w:t>
      </w:r>
    </w:p>
    <w:p w14:paraId="1ABB357A" w14:textId="77777777" w:rsidR="00501E99" w:rsidRPr="00501E99" w:rsidRDefault="00501E99" w:rsidP="00501E99">
      <w:pPr>
        <w:rPr>
          <w:b/>
          <w:bCs/>
          <w:lang w:val="en-AU"/>
        </w:rPr>
      </w:pPr>
      <w:r w:rsidRPr="00501E99">
        <w:rPr>
          <w:b/>
          <w:bCs/>
          <w:lang w:val="en-AU"/>
        </w:rPr>
        <w:t>Transition from institution to de-congregated setting (community or personalised living)-QoL, choice, community integration and maladaptive behaviours</w:t>
      </w:r>
    </w:p>
    <w:p w14:paraId="1AFF41E5" w14:textId="702F44FD" w:rsidR="00501E99" w:rsidRPr="00231888" w:rsidRDefault="00501E99" w:rsidP="00E83005">
      <w:pPr>
        <w:spacing w:before="120" w:after="160" w:line="360" w:lineRule="auto"/>
        <w:rPr>
          <w:rFonts w:ascii="Calibri" w:eastAsia="Calibri" w:hAnsi="Calibri" w:cs="Times New Roman"/>
          <w:lang w:val="en-AU"/>
        </w:rPr>
      </w:pPr>
      <w:r w:rsidRPr="00231888">
        <w:rPr>
          <w:rFonts w:ascii="Calibri" w:eastAsia="Calibri" w:hAnsi="Calibri" w:cs="Times New Roman"/>
          <w:lang w:val="en-AU"/>
        </w:rPr>
        <w:t>The additional meta-analyses showed that following transition there were significant improvements in each of the above outcomes. Residents in non-institutionalised settings were reporting higher QoL (Chou et al 2008, Cooper &amp; Picton 2000, Umansky et al, 2003) greater choice (Sheth et al 2019,</w:t>
      </w:r>
      <w:r w:rsidR="00E83005">
        <w:rPr>
          <w:rFonts w:ascii="Calibri" w:eastAsia="Calibri" w:hAnsi="Calibri" w:cs="Times New Roman"/>
          <w:lang w:val="en-AU"/>
        </w:rPr>
        <w:t xml:space="preserve"> </w:t>
      </w:r>
      <w:r w:rsidRPr="00231888">
        <w:rPr>
          <w:rFonts w:ascii="Calibri" w:eastAsia="Calibri" w:hAnsi="Calibri" w:cs="Times New Roman"/>
          <w:lang w:val="en-AU"/>
        </w:rPr>
        <w:t>Winkler et al, 2015) enhanced community integration (Chou et al 2008, Sheth et al, 2019) and a decrease in maladaptive behaviours (Chou et al 2008, Cooper &amp; Picton 2000).</w:t>
      </w:r>
    </w:p>
    <w:p w14:paraId="4D8FA6FD" w14:textId="77777777" w:rsidR="00501E99" w:rsidRPr="00231888" w:rsidRDefault="00501E99" w:rsidP="00501E99">
      <w:pPr>
        <w:spacing w:after="160" w:line="360" w:lineRule="auto"/>
        <w:rPr>
          <w:rFonts w:ascii="Calibri" w:eastAsia="Calibri" w:hAnsi="Calibri" w:cs="Times New Roman"/>
          <w:lang w:val="en-AU"/>
        </w:rPr>
      </w:pPr>
      <w:r w:rsidRPr="00231888">
        <w:rPr>
          <w:rFonts w:ascii="Calibri" w:eastAsia="Calibri" w:hAnsi="Calibri" w:cs="Times New Roman"/>
          <w:lang w:val="en-AU"/>
        </w:rPr>
        <w:t xml:space="preserve">The small number of studies that could be included in the meta-analysis limit generalisations. These findings however, are consistent with the broader literature findings of the systematic review where generally, significant improvements are observed across multiple outcomes following transition. </w:t>
      </w:r>
    </w:p>
    <w:p w14:paraId="425D520A" w14:textId="216BA04A" w:rsidR="00DF09CF" w:rsidRDefault="00DF09CF" w:rsidP="00DF09CF">
      <w:pPr>
        <w:pStyle w:val="Heading2"/>
      </w:pPr>
      <w:bookmarkStart w:id="43" w:name="_Toc73535959"/>
      <w:r>
        <w:t>Interventions that enable transition</w:t>
      </w:r>
      <w:bookmarkEnd w:id="43"/>
    </w:p>
    <w:p w14:paraId="5D15FDFE" w14:textId="16CB19A2" w:rsidR="00B43E51" w:rsidRDefault="00FF1AD9" w:rsidP="00E83005">
      <w:pPr>
        <w:spacing w:before="120" w:line="360" w:lineRule="auto"/>
        <w:rPr>
          <w:rFonts w:eastAsia="Times New Roman" w:cstheme="minorHAnsi"/>
          <w:lang w:val="en-GB"/>
        </w:rPr>
      </w:pPr>
      <w:r>
        <w:rPr>
          <w:rFonts w:eastAsia="Times New Roman" w:cstheme="minorHAnsi"/>
          <w:lang w:val="en-GB"/>
        </w:rPr>
        <w:t>F</w:t>
      </w:r>
      <w:r w:rsidR="00B43E51">
        <w:rPr>
          <w:rFonts w:eastAsia="Times New Roman" w:cstheme="minorHAnsi"/>
          <w:lang w:val="en-GB"/>
        </w:rPr>
        <w:t>indings</w:t>
      </w:r>
      <w:r w:rsidR="00B43E51" w:rsidRPr="00274C25">
        <w:rPr>
          <w:rFonts w:eastAsia="Times New Roman" w:cstheme="minorHAnsi"/>
          <w:lang w:val="en-GB"/>
        </w:rPr>
        <w:t xml:space="preserve"> </w:t>
      </w:r>
      <w:r w:rsidR="00B43E51">
        <w:rPr>
          <w:rFonts w:eastAsia="Times New Roman" w:cstheme="minorHAnsi"/>
          <w:lang w:val="en-GB"/>
        </w:rPr>
        <w:t xml:space="preserve">from all sources were </w:t>
      </w:r>
      <w:r w:rsidR="00B43E51" w:rsidRPr="00126E36">
        <w:rPr>
          <w:rFonts w:eastAsia="Times New Roman" w:cstheme="minorHAnsi"/>
          <w:lang w:val="en-GB"/>
        </w:rPr>
        <w:t>synthesised using a socio-ecological framework to illustrate interventions</w:t>
      </w:r>
      <w:r w:rsidR="00B43E51">
        <w:rPr>
          <w:rFonts w:eastAsia="Times New Roman" w:cstheme="minorHAnsi"/>
          <w:lang w:val="en-GB"/>
        </w:rPr>
        <w:t xml:space="preserve"> that enable transition at a policy, organisational, community and environmental, interpersonal and individual level.</w:t>
      </w:r>
      <w:r w:rsidR="00EE293F">
        <w:rPr>
          <w:rFonts w:eastAsia="Times New Roman" w:cstheme="minorHAnsi"/>
          <w:lang w:val="en-GB"/>
        </w:rPr>
        <w:t xml:space="preserve"> This model was chosen</w:t>
      </w:r>
      <w:r>
        <w:rPr>
          <w:rFonts w:eastAsia="Times New Roman" w:cstheme="minorHAnsi"/>
          <w:lang w:val="en-GB"/>
        </w:rPr>
        <w:t xml:space="preserve"> as </w:t>
      </w:r>
      <w:r w:rsidR="00EE293F">
        <w:rPr>
          <w:rFonts w:eastAsia="Times New Roman" w:cstheme="minorHAnsi"/>
          <w:lang w:val="en-GB"/>
        </w:rPr>
        <w:t xml:space="preserve">it </w:t>
      </w:r>
      <w:r w:rsidR="003833B8">
        <w:rPr>
          <w:rFonts w:eastAsia="Times New Roman" w:cstheme="minorHAnsi"/>
          <w:lang w:val="en-GB"/>
        </w:rPr>
        <w:t xml:space="preserve">facilitated the disaggregation of the multiple </w:t>
      </w:r>
      <w:r w:rsidR="005C1CB4">
        <w:rPr>
          <w:rFonts w:eastAsia="Times New Roman" w:cstheme="minorHAnsi"/>
          <w:lang w:val="en-GB"/>
        </w:rPr>
        <w:t>interconnected factors which support transition.</w:t>
      </w:r>
      <w:r w:rsidR="00B43E51">
        <w:rPr>
          <w:rFonts w:eastAsia="Times New Roman" w:cstheme="minorHAnsi"/>
          <w:lang w:val="en-GB"/>
        </w:rPr>
        <w:t xml:space="preserve"> Figure 2 provides an overview of the findings that are discussed for the remainder of this section.</w:t>
      </w:r>
      <w:r w:rsidR="00C34BFB">
        <w:rPr>
          <w:rFonts w:eastAsia="Times New Roman" w:cstheme="minorHAnsi"/>
          <w:lang w:val="en-GB"/>
        </w:rPr>
        <w:t xml:space="preserve"> </w:t>
      </w:r>
      <w:r w:rsidR="00C34BFB" w:rsidRPr="002D43D7">
        <w:rPr>
          <w:rFonts w:eastAsia="Times New Roman"/>
          <w:lang w:val="en-AU"/>
        </w:rPr>
        <w:t xml:space="preserve">No research papers were identified that specifically examined prevention of transition to congregate settings.  </w:t>
      </w:r>
    </w:p>
    <w:p w14:paraId="4837FBE2" w14:textId="77777777" w:rsidR="00B43E51" w:rsidRDefault="00B43E51" w:rsidP="00B43E51">
      <w:pPr>
        <w:rPr>
          <w:rFonts w:eastAsia="Times New Roman" w:cstheme="minorHAnsi"/>
          <w:lang w:val="en-GB"/>
        </w:rPr>
      </w:pPr>
    </w:p>
    <w:p w14:paraId="548829FC" w14:textId="77777777" w:rsidR="00FF1AD9" w:rsidRDefault="00FF1AD9" w:rsidP="00DC72A3">
      <w:pPr>
        <w:rPr>
          <w:rFonts w:eastAsia="Times New Roman" w:cstheme="minorHAnsi"/>
          <w:i/>
          <w:iCs/>
          <w:lang w:val="en-GB"/>
        </w:rPr>
      </w:pPr>
    </w:p>
    <w:p w14:paraId="718FFEBA" w14:textId="77777777" w:rsidR="00102D5F" w:rsidRDefault="00102D5F" w:rsidP="00DC72A3">
      <w:pPr>
        <w:rPr>
          <w:rFonts w:eastAsia="Times New Roman" w:cstheme="minorHAnsi"/>
          <w:i/>
          <w:iCs/>
          <w:lang w:val="en-GB"/>
        </w:rPr>
        <w:sectPr w:rsidR="00102D5F" w:rsidSect="000A6DC4">
          <w:headerReference w:type="default" r:id="rId34"/>
          <w:footerReference w:type="default" r:id="rId35"/>
          <w:pgSz w:w="12240" w:h="15840"/>
          <w:pgMar w:top="1440" w:right="1440" w:bottom="1440" w:left="1440" w:header="720" w:footer="720" w:gutter="0"/>
          <w:cols w:space="720"/>
          <w:docGrid w:linePitch="360"/>
        </w:sectPr>
      </w:pPr>
    </w:p>
    <w:p w14:paraId="09922991" w14:textId="3CC494EA" w:rsidR="006E2BBE" w:rsidRDefault="00262B95" w:rsidP="00102D5F">
      <w:pPr>
        <w:pStyle w:val="Caption"/>
        <w:rPr>
          <w:rFonts w:eastAsia="Times New Roman" w:cstheme="minorHAnsi"/>
          <w:i w:val="0"/>
          <w:iCs w:val="0"/>
          <w:lang w:val="en-GB"/>
        </w:rPr>
      </w:pPr>
      <w:bookmarkStart w:id="44" w:name="_Toc66355197"/>
      <w:r w:rsidRPr="00E94163">
        <w:rPr>
          <w:noProof/>
          <w:lang w:val="en-AU" w:eastAsia="en-AU"/>
        </w:rPr>
        <w:lastRenderedPageBreak/>
        <w:drawing>
          <wp:anchor distT="0" distB="0" distL="114300" distR="114300" simplePos="0" relativeHeight="251797504" behindDoc="1" locked="0" layoutInCell="1" allowOverlap="1" wp14:anchorId="3898CD72" wp14:editId="4F208195">
            <wp:simplePos x="0" y="0"/>
            <wp:positionH relativeFrom="margin">
              <wp:posOffset>-222637</wp:posOffset>
            </wp:positionH>
            <wp:positionV relativeFrom="paragraph">
              <wp:posOffset>866554</wp:posOffset>
            </wp:positionV>
            <wp:extent cx="6508115" cy="5661025"/>
            <wp:effectExtent l="0" t="0" r="0" b="0"/>
            <wp:wrapTight wrapText="bothSides">
              <wp:wrapPolygon edited="0">
                <wp:start x="8093" y="0"/>
                <wp:lineTo x="2276" y="1090"/>
                <wp:lineTo x="2150" y="1526"/>
                <wp:lineTo x="2023" y="2253"/>
                <wp:lineTo x="2023" y="16863"/>
                <wp:lineTo x="3288" y="17517"/>
                <wp:lineTo x="4236" y="17517"/>
                <wp:lineTo x="4426" y="18680"/>
                <wp:lineTo x="5437" y="19843"/>
                <wp:lineTo x="5501" y="19989"/>
                <wp:lineTo x="7840" y="21152"/>
                <wp:lineTo x="9674" y="21443"/>
                <wp:lineTo x="10306" y="21515"/>
                <wp:lineTo x="12582" y="21515"/>
                <wp:lineTo x="13151" y="21443"/>
                <wp:lineTo x="15111" y="21079"/>
                <wp:lineTo x="15364" y="21006"/>
                <wp:lineTo x="17450" y="19989"/>
                <wp:lineTo x="19726" y="17663"/>
                <wp:lineTo x="20422" y="16354"/>
                <wp:lineTo x="21244" y="15119"/>
                <wp:lineTo x="21181" y="14683"/>
                <wp:lineTo x="19474" y="11703"/>
                <wp:lineTo x="19537" y="5888"/>
                <wp:lineTo x="19853" y="5888"/>
                <wp:lineTo x="20612" y="5015"/>
                <wp:lineTo x="20548" y="4725"/>
                <wp:lineTo x="19157" y="2399"/>
                <wp:lineTo x="18652" y="1090"/>
                <wp:lineTo x="13024" y="0"/>
                <wp:lineTo x="8093"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08115" cy="566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F58">
        <w:t xml:space="preserve">Figure </w:t>
      </w:r>
      <w:r>
        <w:fldChar w:fldCharType="begin"/>
      </w:r>
      <w:r>
        <w:instrText>SEQ Figure \* ARABIC</w:instrText>
      </w:r>
      <w:r>
        <w:fldChar w:fldCharType="separate"/>
      </w:r>
      <w:r w:rsidR="000E7FFE">
        <w:rPr>
          <w:noProof/>
        </w:rPr>
        <w:t>2</w:t>
      </w:r>
      <w:r>
        <w:fldChar w:fldCharType="end"/>
      </w:r>
      <w:r w:rsidR="00296F58">
        <w:rPr>
          <w:rFonts w:eastAsia="Times New Roman" w:cstheme="minorHAnsi"/>
          <w:b/>
          <w:bCs/>
          <w:i w:val="0"/>
          <w:iCs w:val="0"/>
          <w:lang w:val="en-GB"/>
        </w:rPr>
        <w:t xml:space="preserve"> </w:t>
      </w:r>
      <w:r w:rsidR="000F0B20" w:rsidRPr="006C763F">
        <w:rPr>
          <w:rFonts w:eastAsia="Times New Roman" w:cstheme="minorHAnsi"/>
          <w:b/>
          <w:bCs/>
          <w:i w:val="0"/>
          <w:iCs w:val="0"/>
          <w:lang w:val="en-GB"/>
        </w:rPr>
        <w:t>Overview of findings</w:t>
      </w:r>
      <w:bookmarkEnd w:id="44"/>
      <w:r w:rsidR="00E663FF">
        <w:rPr>
          <w:rFonts w:eastAsia="Times New Roman" w:cstheme="minorHAnsi"/>
          <w:i w:val="0"/>
          <w:iCs w:val="0"/>
          <w:lang w:val="en-GB"/>
        </w:rPr>
        <w:br w:type="textWrapping" w:clear="all"/>
      </w:r>
    </w:p>
    <w:p w14:paraId="7F1E7404" w14:textId="77777777" w:rsidR="00102D5F" w:rsidRDefault="00102D5F" w:rsidP="00DC72A3">
      <w:pPr>
        <w:rPr>
          <w:rFonts w:eastAsia="Times New Roman" w:cstheme="minorHAnsi"/>
          <w:i/>
          <w:iCs/>
          <w:lang w:val="en-GB"/>
        </w:rPr>
        <w:sectPr w:rsidR="00102D5F" w:rsidSect="00B91306">
          <w:headerReference w:type="default" r:id="rId37"/>
          <w:footerReference w:type="default" r:id="rId38"/>
          <w:pgSz w:w="12240" w:h="15840"/>
          <w:pgMar w:top="1440" w:right="1440" w:bottom="1440" w:left="1440" w:header="720" w:footer="720" w:gutter="0"/>
          <w:cols w:space="720"/>
          <w:docGrid w:linePitch="360"/>
        </w:sectPr>
      </w:pPr>
    </w:p>
    <w:p w14:paraId="3D46E28E" w14:textId="10C50141" w:rsidR="00DF09CF" w:rsidRDefault="00DF09CF" w:rsidP="00B5199A">
      <w:pPr>
        <w:pStyle w:val="Heading3"/>
      </w:pPr>
      <w:bookmarkStart w:id="45" w:name="_Toc73535960"/>
      <w:r>
        <w:lastRenderedPageBreak/>
        <w:t>Policy</w:t>
      </w:r>
      <w:bookmarkEnd w:id="45"/>
    </w:p>
    <w:p w14:paraId="636E361A" w14:textId="30C152FD" w:rsidR="00DF09CF" w:rsidRDefault="00DF09CF" w:rsidP="00DF09CF">
      <w:pPr>
        <w:pStyle w:val="Heading4"/>
      </w:pPr>
      <w:r>
        <w:t>Funding</w:t>
      </w:r>
    </w:p>
    <w:p w14:paraId="4C2DF3C7" w14:textId="68182049" w:rsidR="0024333A" w:rsidRPr="00C05E5C" w:rsidRDefault="00F5342A" w:rsidP="009744FE">
      <w:pPr>
        <w:spacing w:line="360" w:lineRule="auto"/>
        <w:rPr>
          <w:lang w:val="en-AU"/>
        </w:rPr>
      </w:pPr>
      <w:r>
        <w:t>A number of funding models were identified to support transition to independent living. The funding models are described in Table</w:t>
      </w:r>
      <w:r w:rsidR="00411436">
        <w:t xml:space="preserve"> </w:t>
      </w:r>
      <w:r w:rsidR="009032CD">
        <w:t>7</w:t>
      </w:r>
      <w:r>
        <w:t>.</w:t>
      </w:r>
      <w:r w:rsidR="00411436">
        <w:t xml:space="preserve"> </w:t>
      </w:r>
      <w:r w:rsidR="0024333A" w:rsidRPr="00C05E5C">
        <w:rPr>
          <w:lang w:val="en-AU"/>
        </w:rPr>
        <w:t xml:space="preserve">Flexible funding models have largely been discussed and evaluated within the Australian context. The evaluation of this funding framework is, however, largely interpretive and qualitative in nature. Reports and interpretations from these studies are mixed and do not provide strong </w:t>
      </w:r>
      <w:r w:rsidR="00411436">
        <w:rPr>
          <w:lang w:val="en-AU"/>
        </w:rPr>
        <w:t xml:space="preserve">evidence </w:t>
      </w:r>
      <w:r w:rsidR="0024333A" w:rsidRPr="00C05E5C">
        <w:rPr>
          <w:lang w:val="en-AU"/>
        </w:rPr>
        <w:t xml:space="preserve">to support the framework. In additional there is a lack of large systematic data driven evaluations to provide evidence on the strategies that enable transition to individualised programs. The largest and highest quality study of a funding framework was provided by Hoffman and colleagues undertaken in the US. This large pragmatic, clustered randomised trial evaluated the use of a voucher to increase funding for renting </w:t>
      </w:r>
      <w:r w:rsidR="0024333A" w:rsidRPr="00C05E5C">
        <w:rPr>
          <w:lang w:val="en-AU"/>
        </w:rPr>
        <w:fldChar w:fldCharType="begin"/>
      </w:r>
      <w:r w:rsidR="0062163C">
        <w:rPr>
          <w:lang w:val="en-AU"/>
        </w:rPr>
        <w:instrText xml:space="preserve"> ADDIN EN.CITE &lt;EndNote&gt;&lt;Cite&gt;&lt;Author&gt;Hoffman&lt;/Author&gt;&lt;Year&gt;2017&lt;/Year&gt;&lt;RecNum&gt;69&lt;/RecNum&gt;&lt;DisplayText&gt;(Hoffman, Kehn, &amp;amp; Lipson, 2017)&lt;/DisplayText&gt;&lt;record&gt;&lt;rec-number&gt;69&lt;/rec-number&gt;&lt;foreign-keys&gt;&lt;key app="EN" db-id="rt2vtarv2tdva3ee25d52s9wfpz92t02p2sr" timestamp="1606339932" guid="a0234db2-e515-46f3-bc25-6aa326774097"&gt;69&lt;/key&gt;&lt;/foreign-keys&gt;&lt;ref-type name="Journal Article"&gt;17&lt;/ref-type&gt;&lt;contributors&gt;&lt;authors&gt;&lt;author&gt;Hoffman, Denise&lt;/author&gt;&lt;author&gt;Kehn, Matthew E.&lt;/author&gt;&lt;author&gt;Lipson, Debra J.&lt;/author&gt;&lt;/authors&gt;&lt;/contributors&gt;&lt;titles&gt;&lt;title&gt;The Missing Link: Examining the Impact of Housing Vouchers and Community-Based Services and Supports on Transitions From Nursing Facilities to the Community&lt;/title&gt;&lt;secondary-title&gt;Journal of Disability Policy Studies&lt;/secondary-title&gt;&lt;/titles&gt;&lt;periodical&gt;&lt;full-title&gt;Journal of Disability Policy Studies&lt;/full-title&gt;&lt;/periodical&gt;&lt;pages&gt;243-251&lt;/pages&gt;&lt;volume&gt;27&lt;/volume&gt;&lt;number&gt;4&lt;/number&gt;&lt;dates&gt;&lt;year&gt;2017&lt;/year&gt;&lt;/dates&gt;&lt;pub-location&gt;Austin&lt;/pub-location&gt;&lt;publisher&gt;SAGE PUBLICATIONS, INC.&lt;/publisher&gt;&lt;accession-num&gt;1873914833&lt;/accession-num&gt;&lt;urls&gt;&lt;related-urls&gt;&lt;url&gt;http://ezproxy.library.usyd.edu.au/login?url=https://www.proquest.com/docview/1873914833?accountid=14757&lt;/url&gt;&lt;url&gt;https://journals.sagepub.com/doi/pdf/10.1177/1044207317694847&lt;/url&gt;&lt;/related-urls&gt;&lt;/urls&gt;&lt;electronic-resource-num&gt;http://dx.doi.org/10.1177/1044207317694847&lt;/electronic-resource-num&gt;&lt;/record&gt;&lt;/Cite&gt;&lt;/EndNote&gt;</w:instrText>
      </w:r>
      <w:r w:rsidR="0024333A" w:rsidRPr="00C05E5C">
        <w:rPr>
          <w:lang w:val="en-AU"/>
        </w:rPr>
        <w:fldChar w:fldCharType="separate"/>
      </w:r>
      <w:r w:rsidR="0062163C">
        <w:rPr>
          <w:noProof/>
          <w:lang w:val="en-AU"/>
        </w:rPr>
        <w:t>(Hoffman, Kehn, &amp; Lipson, 2017)</w:t>
      </w:r>
      <w:r w:rsidR="0024333A" w:rsidRPr="00C05E5C">
        <w:rPr>
          <w:lang w:val="en-AU"/>
        </w:rPr>
        <w:fldChar w:fldCharType="end"/>
      </w:r>
      <w:r w:rsidR="0024333A" w:rsidRPr="00C05E5C">
        <w:rPr>
          <w:lang w:val="en-AU"/>
        </w:rPr>
        <w:t xml:space="preserve">. With very poor uptake by the community and significant qualitative differences in those who accessed the vouchers against those </w:t>
      </w:r>
      <w:r w:rsidR="00E83005">
        <w:rPr>
          <w:lang w:val="en-AU"/>
        </w:rPr>
        <w:t>who</w:t>
      </w:r>
      <w:r w:rsidR="00E83005" w:rsidRPr="00C05E5C">
        <w:rPr>
          <w:lang w:val="en-AU"/>
        </w:rPr>
        <w:t xml:space="preserve"> </w:t>
      </w:r>
      <w:r w:rsidR="0024333A" w:rsidRPr="00C05E5C">
        <w:rPr>
          <w:lang w:val="en-AU"/>
        </w:rPr>
        <w:t xml:space="preserve">did not, it is difficult to interpret the actual effect of the voucher system. The failure to show improvements in transition from voucher availability was partially attributed to the unique circumstances of the American medical and social support systems, suggesting that further evaluation in the Australian context may be required. </w:t>
      </w:r>
    </w:p>
    <w:p w14:paraId="0107C57C" w14:textId="3E4FA1E2" w:rsidR="0024333A" w:rsidRDefault="001E4606" w:rsidP="009744FE">
      <w:pPr>
        <w:spacing w:line="360" w:lineRule="auto"/>
      </w:pPr>
      <w:r>
        <w:rPr>
          <w:lang w:val="en-AU"/>
        </w:rPr>
        <w:t>Descriptively t</w:t>
      </w:r>
      <w:r w:rsidR="00723939">
        <w:rPr>
          <w:lang w:val="en-AU"/>
        </w:rPr>
        <w:t xml:space="preserve">he grey literature </w:t>
      </w:r>
      <w:r w:rsidR="00A17017">
        <w:rPr>
          <w:lang w:val="en-AU"/>
        </w:rPr>
        <w:t xml:space="preserve">speaks to the benefits of flexible funding models (Wiesel et al, 2015; Bigby, 2008, Cocks et al, 2016), </w:t>
      </w:r>
      <w:r w:rsidR="00E74F7D">
        <w:rPr>
          <w:lang w:val="en-AU"/>
        </w:rPr>
        <w:t xml:space="preserve">to </w:t>
      </w:r>
      <w:r w:rsidR="00A17017">
        <w:rPr>
          <w:lang w:val="en-AU"/>
        </w:rPr>
        <w:t xml:space="preserve">support transition to independent living. </w:t>
      </w:r>
      <w:r w:rsidR="00A17017" w:rsidRPr="005E1C91">
        <w:rPr>
          <w:lang w:val="en-AU"/>
        </w:rPr>
        <w:t>A model of funding which gave a cash amount to the individual</w:t>
      </w:r>
      <w:r w:rsidR="00A17017">
        <w:rPr>
          <w:lang w:val="en-AU"/>
        </w:rPr>
        <w:t xml:space="preserve">, such as direct payments </w:t>
      </w:r>
      <w:r w:rsidR="00A17017" w:rsidRPr="00223389">
        <w:rPr>
          <w:lang w:val="en-AU"/>
        </w:rPr>
        <w:t>(Bostock et al, 20</w:t>
      </w:r>
      <w:r w:rsidR="00223389">
        <w:rPr>
          <w:lang w:val="en-AU"/>
        </w:rPr>
        <w:t>04</w:t>
      </w:r>
      <w:r w:rsidR="00A17017" w:rsidRPr="00223389">
        <w:rPr>
          <w:lang w:val="en-AU"/>
        </w:rPr>
        <w:t>)</w:t>
      </w:r>
      <w:r w:rsidR="00A17017" w:rsidRPr="005E1C91">
        <w:rPr>
          <w:lang w:val="en-AU"/>
        </w:rPr>
        <w:t xml:space="preserve"> in the open market</w:t>
      </w:r>
      <w:r w:rsidR="00A17017">
        <w:rPr>
          <w:lang w:val="en-AU"/>
        </w:rPr>
        <w:t>, and to move easily between providers (</w:t>
      </w:r>
      <w:r w:rsidR="00A17017" w:rsidRPr="00223389">
        <w:rPr>
          <w:lang w:val="en-AU"/>
        </w:rPr>
        <w:t>Bostock et al, 200</w:t>
      </w:r>
      <w:r w:rsidR="00223389" w:rsidRPr="00223389">
        <w:rPr>
          <w:lang w:val="en-AU"/>
        </w:rPr>
        <w:t>4</w:t>
      </w:r>
      <w:r w:rsidR="00A17017" w:rsidRPr="00223389">
        <w:rPr>
          <w:lang w:val="en-AU"/>
        </w:rPr>
        <w:t>)</w:t>
      </w:r>
      <w:r w:rsidR="00A17017">
        <w:rPr>
          <w:lang w:val="en-AU"/>
        </w:rPr>
        <w:t xml:space="preserve"> </w:t>
      </w:r>
      <w:r w:rsidR="00A17017" w:rsidRPr="005E1C91">
        <w:rPr>
          <w:lang w:val="en-AU"/>
        </w:rPr>
        <w:t>and one where the person can choose to ‘bank’ some of the cash for future plans (</w:t>
      </w:r>
      <w:r w:rsidR="00A17017">
        <w:rPr>
          <w:lang w:val="en-AU"/>
        </w:rPr>
        <w:t>Wiesel, 2015</w:t>
      </w:r>
      <w:r w:rsidR="00A17017" w:rsidRPr="005E1C91">
        <w:rPr>
          <w:lang w:val="en-AU"/>
        </w:rPr>
        <w:t xml:space="preserve">) </w:t>
      </w:r>
      <w:r w:rsidR="00571003">
        <w:rPr>
          <w:lang w:val="en-AU"/>
        </w:rPr>
        <w:t xml:space="preserve">could </w:t>
      </w:r>
      <w:r w:rsidR="00A17017">
        <w:rPr>
          <w:lang w:val="en-AU"/>
        </w:rPr>
        <w:t>support choice and enabling transition</w:t>
      </w:r>
      <w:r w:rsidR="00A17017" w:rsidRPr="005E1C91">
        <w:rPr>
          <w:lang w:val="en-AU"/>
        </w:rPr>
        <w:t>.</w:t>
      </w:r>
      <w:r w:rsidR="00571003">
        <w:rPr>
          <w:lang w:val="en-AU"/>
        </w:rPr>
        <w:t xml:space="preserve"> </w:t>
      </w:r>
      <w:r w:rsidR="0024333A">
        <w:t xml:space="preserve">The qualitative literature reported funding models incidentally to the main focus of the study. As such there is no evaluation data available for any of these funding models. </w:t>
      </w:r>
    </w:p>
    <w:p w14:paraId="21338C58" w14:textId="517449A1" w:rsidR="00296F58" w:rsidRDefault="00296F58" w:rsidP="009744FE">
      <w:pPr>
        <w:spacing w:line="360" w:lineRule="auto"/>
      </w:pPr>
    </w:p>
    <w:p w14:paraId="545DC565" w14:textId="77777777" w:rsidR="00296F58" w:rsidRDefault="00296F58" w:rsidP="009744FE">
      <w:pPr>
        <w:spacing w:line="360" w:lineRule="auto"/>
        <w:rPr>
          <w:lang w:val="en-AU"/>
        </w:rPr>
        <w:sectPr w:rsidR="00296F58" w:rsidSect="000A6DC4">
          <w:headerReference w:type="default" r:id="rId39"/>
          <w:footerReference w:type="default" r:id="rId40"/>
          <w:pgSz w:w="12240" w:h="15840"/>
          <w:pgMar w:top="1440" w:right="1440" w:bottom="1440" w:left="1440" w:header="720" w:footer="720" w:gutter="0"/>
          <w:cols w:space="720"/>
          <w:docGrid w:linePitch="360"/>
        </w:sectPr>
      </w:pPr>
    </w:p>
    <w:p w14:paraId="659B97DA" w14:textId="42DFFA39" w:rsidR="005D72C6" w:rsidRPr="006C763F" w:rsidRDefault="00296F58" w:rsidP="00296F58">
      <w:pPr>
        <w:pStyle w:val="Caption"/>
        <w:rPr>
          <w:b/>
          <w:bCs/>
        </w:rPr>
      </w:pPr>
      <w:bookmarkStart w:id="46" w:name="_Toc66355186"/>
      <w:r>
        <w:lastRenderedPageBreak/>
        <w:t xml:space="preserve">Table </w:t>
      </w:r>
      <w:r>
        <w:fldChar w:fldCharType="begin"/>
      </w:r>
      <w:r>
        <w:instrText>SEQ Table \* ARABIC</w:instrText>
      </w:r>
      <w:r>
        <w:fldChar w:fldCharType="separate"/>
      </w:r>
      <w:r w:rsidR="000E7FFE">
        <w:rPr>
          <w:noProof/>
        </w:rPr>
        <w:t>7</w:t>
      </w:r>
      <w:r>
        <w:fldChar w:fldCharType="end"/>
      </w:r>
      <w:r>
        <w:rPr>
          <w:b/>
          <w:bCs/>
        </w:rPr>
        <w:t xml:space="preserve"> </w:t>
      </w:r>
      <w:r w:rsidR="000F0B20" w:rsidRPr="006C763F">
        <w:rPr>
          <w:b/>
          <w:bCs/>
        </w:rPr>
        <w:t>Funding models</w:t>
      </w:r>
      <w:bookmarkEnd w:id="46"/>
    </w:p>
    <w:tbl>
      <w:tblPr>
        <w:tblStyle w:val="TableGrid"/>
        <w:tblW w:w="5000" w:type="pct"/>
        <w:tblLook w:val="04A0" w:firstRow="1" w:lastRow="0" w:firstColumn="1" w:lastColumn="0" w:noHBand="0" w:noVBand="1"/>
      </w:tblPr>
      <w:tblGrid>
        <w:gridCol w:w="2163"/>
        <w:gridCol w:w="1450"/>
        <w:gridCol w:w="1481"/>
        <w:gridCol w:w="1481"/>
        <w:gridCol w:w="1658"/>
        <w:gridCol w:w="2422"/>
        <w:gridCol w:w="2295"/>
      </w:tblGrid>
      <w:tr w:rsidR="001246BE" w:rsidRPr="00A802E7" w14:paraId="1FCE105F" w14:textId="77777777" w:rsidTr="00296F58">
        <w:trPr>
          <w:tblHeader/>
        </w:trPr>
        <w:tc>
          <w:tcPr>
            <w:tcW w:w="835" w:type="pct"/>
            <w:shd w:val="clear" w:color="auto" w:fill="FFFF00"/>
          </w:tcPr>
          <w:p w14:paraId="51EC8094" w14:textId="77777777" w:rsidR="001246BE" w:rsidRPr="00A802E7" w:rsidRDefault="001246BE" w:rsidP="000038F8">
            <w:pPr>
              <w:rPr>
                <w:b/>
                <w:bCs/>
              </w:rPr>
            </w:pPr>
            <w:r w:rsidRPr="00A802E7">
              <w:rPr>
                <w:b/>
                <w:bCs/>
              </w:rPr>
              <w:t>Characteristics of funding model</w:t>
            </w:r>
            <w:r>
              <w:rPr>
                <w:b/>
                <w:bCs/>
              </w:rPr>
              <w:t>s</w:t>
            </w:r>
          </w:p>
        </w:tc>
        <w:tc>
          <w:tcPr>
            <w:tcW w:w="560" w:type="pct"/>
            <w:shd w:val="clear" w:color="auto" w:fill="FFFF00"/>
          </w:tcPr>
          <w:p w14:paraId="790D9C95" w14:textId="77777777" w:rsidR="001246BE" w:rsidRPr="00A802E7" w:rsidRDefault="001246BE" w:rsidP="000038F8">
            <w:pPr>
              <w:rPr>
                <w:b/>
                <w:bCs/>
              </w:rPr>
            </w:pPr>
            <w:r w:rsidRPr="00A802E7">
              <w:rPr>
                <w:b/>
                <w:bCs/>
              </w:rPr>
              <w:t>Countries this approach has been implemented</w:t>
            </w:r>
          </w:p>
        </w:tc>
        <w:tc>
          <w:tcPr>
            <w:tcW w:w="572" w:type="pct"/>
            <w:shd w:val="clear" w:color="auto" w:fill="FFFF00"/>
          </w:tcPr>
          <w:p w14:paraId="1A3CF2C6" w14:textId="77777777" w:rsidR="001246BE" w:rsidRPr="00A802E7" w:rsidRDefault="001246BE" w:rsidP="000038F8">
            <w:pPr>
              <w:rPr>
                <w:b/>
                <w:bCs/>
              </w:rPr>
            </w:pPr>
            <w:r w:rsidRPr="00A802E7">
              <w:rPr>
                <w:b/>
                <w:bCs/>
              </w:rPr>
              <w:t>Author</w:t>
            </w:r>
            <w:r>
              <w:rPr>
                <w:b/>
                <w:bCs/>
              </w:rPr>
              <w:t xml:space="preserve"> (</w:t>
            </w:r>
            <w:r w:rsidRPr="00A802E7">
              <w:rPr>
                <w:b/>
                <w:bCs/>
              </w:rPr>
              <w:t>Year</w:t>
            </w:r>
            <w:r>
              <w:rPr>
                <w:b/>
                <w:bCs/>
              </w:rPr>
              <w:t>)</w:t>
            </w:r>
          </w:p>
        </w:tc>
        <w:tc>
          <w:tcPr>
            <w:tcW w:w="572" w:type="pct"/>
            <w:shd w:val="clear" w:color="auto" w:fill="FFFF00"/>
          </w:tcPr>
          <w:p w14:paraId="2F3A461C" w14:textId="77777777" w:rsidR="001246BE" w:rsidRPr="00A802E7" w:rsidRDefault="001246BE" w:rsidP="000038F8">
            <w:pPr>
              <w:rPr>
                <w:b/>
                <w:bCs/>
              </w:rPr>
            </w:pPr>
            <w:r w:rsidRPr="00A802E7">
              <w:rPr>
                <w:b/>
                <w:bCs/>
              </w:rPr>
              <w:t>Participants</w:t>
            </w:r>
          </w:p>
        </w:tc>
        <w:tc>
          <w:tcPr>
            <w:tcW w:w="640" w:type="pct"/>
            <w:shd w:val="clear" w:color="auto" w:fill="FFFF00"/>
          </w:tcPr>
          <w:p w14:paraId="69A07224" w14:textId="77777777" w:rsidR="001246BE" w:rsidRPr="00A802E7" w:rsidRDefault="001246BE" w:rsidP="000038F8">
            <w:pPr>
              <w:rPr>
                <w:b/>
                <w:bCs/>
              </w:rPr>
            </w:pPr>
            <w:r w:rsidRPr="00A802E7">
              <w:rPr>
                <w:b/>
                <w:bCs/>
              </w:rPr>
              <w:t>Type of study</w:t>
            </w:r>
          </w:p>
        </w:tc>
        <w:tc>
          <w:tcPr>
            <w:tcW w:w="935" w:type="pct"/>
            <w:shd w:val="clear" w:color="auto" w:fill="FFFF00"/>
          </w:tcPr>
          <w:p w14:paraId="4B47C457" w14:textId="36979D50" w:rsidR="001246BE" w:rsidRPr="00A802E7" w:rsidRDefault="001246BE" w:rsidP="000038F8">
            <w:pPr>
              <w:rPr>
                <w:b/>
                <w:bCs/>
              </w:rPr>
            </w:pPr>
            <w:r w:rsidRPr="00A802E7">
              <w:rPr>
                <w:b/>
                <w:bCs/>
              </w:rPr>
              <w:t>Quality</w:t>
            </w:r>
            <w:r w:rsidR="00E01F76">
              <w:rPr>
                <w:b/>
                <w:bCs/>
              </w:rPr>
              <w:t>*</w:t>
            </w:r>
          </w:p>
        </w:tc>
        <w:tc>
          <w:tcPr>
            <w:tcW w:w="886" w:type="pct"/>
            <w:shd w:val="clear" w:color="auto" w:fill="FFFF00"/>
          </w:tcPr>
          <w:p w14:paraId="1B4421B6" w14:textId="77777777" w:rsidR="001246BE" w:rsidRPr="00A802E7" w:rsidRDefault="001246BE" w:rsidP="000038F8">
            <w:pPr>
              <w:rPr>
                <w:b/>
                <w:bCs/>
              </w:rPr>
            </w:pPr>
            <w:r w:rsidRPr="00A802E7">
              <w:rPr>
                <w:b/>
                <w:bCs/>
              </w:rPr>
              <w:t>Findings</w:t>
            </w:r>
          </w:p>
        </w:tc>
      </w:tr>
      <w:tr w:rsidR="001246BE" w:rsidRPr="00B936B8" w14:paraId="6B21BB3B" w14:textId="77777777" w:rsidTr="00296F58">
        <w:tc>
          <w:tcPr>
            <w:tcW w:w="835" w:type="pct"/>
          </w:tcPr>
          <w:p w14:paraId="3F56CA67" w14:textId="77777777" w:rsidR="001246BE" w:rsidRPr="00B936B8" w:rsidRDefault="001246BE" w:rsidP="000038F8">
            <w:r w:rsidRPr="00B936B8">
              <w:t>Direct payments</w:t>
            </w:r>
            <w:r>
              <w:t xml:space="preserve">: recipient receives cash payments to purchase supports and these can be purchased on open market, not provider specific  </w:t>
            </w:r>
          </w:p>
        </w:tc>
        <w:tc>
          <w:tcPr>
            <w:tcW w:w="560" w:type="pct"/>
          </w:tcPr>
          <w:p w14:paraId="7F9FAC9A" w14:textId="77777777" w:rsidR="001246BE" w:rsidRDefault="001246BE" w:rsidP="000038F8">
            <w:r w:rsidRPr="00B936B8">
              <w:t>UK</w:t>
            </w:r>
          </w:p>
          <w:p w14:paraId="2BAD9252" w14:textId="77777777" w:rsidR="001246BE" w:rsidRDefault="001246BE" w:rsidP="000038F8"/>
          <w:p w14:paraId="3CD32FBA" w14:textId="77777777" w:rsidR="001246BE" w:rsidRDefault="001246BE" w:rsidP="000038F8"/>
          <w:p w14:paraId="0CDAC78B" w14:textId="77777777" w:rsidR="001246BE" w:rsidRDefault="001246BE" w:rsidP="000038F8"/>
          <w:p w14:paraId="4025D239" w14:textId="77777777" w:rsidR="001246BE" w:rsidRDefault="001246BE" w:rsidP="000038F8"/>
          <w:p w14:paraId="05FEAD6D" w14:textId="77777777" w:rsidR="001246BE" w:rsidRDefault="001246BE" w:rsidP="000038F8"/>
          <w:p w14:paraId="164FE479" w14:textId="77777777" w:rsidR="001246BE" w:rsidRPr="00B936B8" w:rsidRDefault="001246BE" w:rsidP="000038F8"/>
          <w:p w14:paraId="11FCC070" w14:textId="77777777" w:rsidR="001246BE" w:rsidRDefault="001246BE" w:rsidP="000038F8">
            <w:r>
              <w:t>Italy</w:t>
            </w:r>
          </w:p>
          <w:p w14:paraId="286F514B" w14:textId="77777777" w:rsidR="001246BE" w:rsidRDefault="001246BE" w:rsidP="000038F8"/>
          <w:p w14:paraId="518E8476" w14:textId="77777777" w:rsidR="001246BE" w:rsidRDefault="001246BE" w:rsidP="000038F8"/>
          <w:p w14:paraId="637C7104" w14:textId="77777777" w:rsidR="001246BE" w:rsidRDefault="001246BE" w:rsidP="000038F8"/>
          <w:p w14:paraId="3808919A" w14:textId="77777777" w:rsidR="001246BE" w:rsidRDefault="001246BE" w:rsidP="000038F8"/>
          <w:p w14:paraId="3BC6910B" w14:textId="77777777" w:rsidR="001246BE" w:rsidRDefault="001246BE" w:rsidP="000038F8"/>
          <w:p w14:paraId="4BB73381" w14:textId="77777777" w:rsidR="001246BE" w:rsidRDefault="001246BE" w:rsidP="000038F8"/>
          <w:p w14:paraId="4E3FB3E7" w14:textId="77777777" w:rsidR="001246BE" w:rsidRPr="00B936B8" w:rsidRDefault="001246BE" w:rsidP="000038F8"/>
          <w:p w14:paraId="7CE58F2A" w14:textId="77777777" w:rsidR="001246BE" w:rsidRPr="00B936B8" w:rsidRDefault="001246BE" w:rsidP="000038F8">
            <w:r w:rsidRPr="00B936B8">
              <w:t>Netherlands</w:t>
            </w:r>
          </w:p>
        </w:tc>
        <w:tc>
          <w:tcPr>
            <w:tcW w:w="572" w:type="pct"/>
          </w:tcPr>
          <w:p w14:paraId="0DB22DD4" w14:textId="59C62205" w:rsidR="001246BE" w:rsidRDefault="001246BE" w:rsidP="000038F8">
            <w:r w:rsidRPr="00B936B8">
              <w:t xml:space="preserve">Fisher </w:t>
            </w:r>
            <w:r>
              <w:t xml:space="preserve">et al </w:t>
            </w:r>
            <w:r w:rsidRPr="00B936B8">
              <w:t>(200</w:t>
            </w:r>
            <w:r w:rsidR="00830CB0">
              <w:t>8)</w:t>
            </w:r>
          </w:p>
          <w:p w14:paraId="0794E354" w14:textId="77777777" w:rsidR="001246BE" w:rsidRDefault="001246BE" w:rsidP="000038F8"/>
          <w:p w14:paraId="75E1C1AA" w14:textId="77777777" w:rsidR="001246BE" w:rsidRDefault="001246BE" w:rsidP="000038F8"/>
          <w:p w14:paraId="70CF80C7" w14:textId="77777777" w:rsidR="001246BE" w:rsidRDefault="001246BE" w:rsidP="000038F8"/>
          <w:p w14:paraId="638C5364" w14:textId="77777777" w:rsidR="001246BE" w:rsidRDefault="001246BE" w:rsidP="000038F8"/>
          <w:p w14:paraId="19682256" w14:textId="77777777" w:rsidR="001246BE" w:rsidRDefault="001246BE" w:rsidP="000038F8"/>
          <w:p w14:paraId="4AF9EC26" w14:textId="77777777" w:rsidR="001246BE" w:rsidRDefault="001246BE" w:rsidP="000038F8"/>
          <w:p w14:paraId="70E53C67" w14:textId="77777777" w:rsidR="001246BE" w:rsidRDefault="001246BE" w:rsidP="000038F8"/>
          <w:p w14:paraId="254B2A04" w14:textId="77777777" w:rsidR="001246BE" w:rsidRDefault="001246BE" w:rsidP="000038F8"/>
          <w:p w14:paraId="4F9792D3" w14:textId="77777777" w:rsidR="001246BE" w:rsidRDefault="001246BE" w:rsidP="000038F8"/>
          <w:p w14:paraId="04E88B69" w14:textId="77777777" w:rsidR="001246BE" w:rsidRDefault="001246BE" w:rsidP="000038F8"/>
          <w:p w14:paraId="6838FE0E" w14:textId="77777777" w:rsidR="001246BE" w:rsidRDefault="001246BE" w:rsidP="000038F8"/>
          <w:p w14:paraId="6D7740CA" w14:textId="77777777" w:rsidR="001246BE" w:rsidRDefault="001246BE" w:rsidP="000038F8"/>
          <w:p w14:paraId="12FD8032" w14:textId="77777777" w:rsidR="001246BE" w:rsidRDefault="001246BE" w:rsidP="000038F8"/>
          <w:p w14:paraId="222BA68D" w14:textId="77777777" w:rsidR="001246BE" w:rsidRDefault="001246BE" w:rsidP="000038F8"/>
          <w:p w14:paraId="7FA14563" w14:textId="77777777" w:rsidR="001246BE" w:rsidRDefault="001246BE" w:rsidP="000038F8"/>
          <w:p w14:paraId="68EFE2D2" w14:textId="77777777" w:rsidR="001246BE" w:rsidRDefault="001246BE" w:rsidP="000038F8"/>
          <w:p w14:paraId="55DD75DE" w14:textId="77777777" w:rsidR="001246BE" w:rsidRDefault="001246BE" w:rsidP="000038F8"/>
          <w:p w14:paraId="2BFFAED9" w14:textId="77777777" w:rsidR="001246BE" w:rsidRDefault="001246BE" w:rsidP="000038F8"/>
          <w:p w14:paraId="0AE39593" w14:textId="77777777" w:rsidR="001246BE" w:rsidRDefault="001246BE" w:rsidP="000038F8"/>
          <w:p w14:paraId="57EDDA9A" w14:textId="77777777" w:rsidR="001246BE" w:rsidRDefault="001246BE" w:rsidP="000038F8"/>
          <w:p w14:paraId="5AE83A9B" w14:textId="77777777" w:rsidR="001246BE" w:rsidRDefault="001246BE" w:rsidP="000038F8"/>
          <w:p w14:paraId="1A1D4565" w14:textId="77777777" w:rsidR="001246BE" w:rsidRDefault="001246BE" w:rsidP="000038F8"/>
          <w:p w14:paraId="6FFBFB8C" w14:textId="77777777" w:rsidR="001246BE" w:rsidRDefault="001246BE" w:rsidP="000038F8"/>
          <w:p w14:paraId="30EE0B1E" w14:textId="77777777" w:rsidR="001246BE" w:rsidRDefault="001246BE" w:rsidP="000038F8"/>
          <w:p w14:paraId="372D4F0C" w14:textId="77777777" w:rsidR="001246BE" w:rsidRDefault="001246BE" w:rsidP="000038F8"/>
          <w:p w14:paraId="603E4E55" w14:textId="77777777" w:rsidR="001246BE" w:rsidRDefault="001246BE" w:rsidP="000038F8"/>
          <w:p w14:paraId="514FFDF3" w14:textId="77777777" w:rsidR="001246BE" w:rsidRDefault="001246BE" w:rsidP="000038F8"/>
          <w:p w14:paraId="04CE42C6" w14:textId="77777777" w:rsidR="001246BE" w:rsidRDefault="001246BE" w:rsidP="000038F8"/>
          <w:p w14:paraId="77E46431" w14:textId="77777777" w:rsidR="001246BE" w:rsidRPr="00B936B8" w:rsidRDefault="001246BE" w:rsidP="000038F8">
            <w:r w:rsidRPr="002729FA">
              <w:t>Wiesel et al</w:t>
            </w:r>
            <w:r>
              <w:t xml:space="preserve"> (</w:t>
            </w:r>
            <w:r w:rsidRPr="002729FA">
              <w:t>2015)</w:t>
            </w:r>
          </w:p>
        </w:tc>
        <w:tc>
          <w:tcPr>
            <w:tcW w:w="572" w:type="pct"/>
          </w:tcPr>
          <w:p w14:paraId="0FE4A9D5" w14:textId="77777777" w:rsidR="001246BE" w:rsidRPr="00B936B8" w:rsidRDefault="001246BE" w:rsidP="000038F8">
            <w:r w:rsidRPr="00B936B8">
              <w:lastRenderedPageBreak/>
              <w:t>People with disabilities</w:t>
            </w:r>
          </w:p>
        </w:tc>
        <w:tc>
          <w:tcPr>
            <w:tcW w:w="640" w:type="pct"/>
          </w:tcPr>
          <w:p w14:paraId="525417EF" w14:textId="77777777" w:rsidR="001246BE" w:rsidRPr="00B936B8" w:rsidRDefault="001246BE" w:rsidP="000038F8">
            <w:r>
              <w:t xml:space="preserve">Mixed methods. </w:t>
            </w:r>
            <w:r w:rsidRPr="00B936B8">
              <w:t>Commissioned research report</w:t>
            </w:r>
            <w:r>
              <w:t xml:space="preserve">. Grey literature. </w:t>
            </w:r>
          </w:p>
        </w:tc>
        <w:tc>
          <w:tcPr>
            <w:tcW w:w="935" w:type="pct"/>
          </w:tcPr>
          <w:p w14:paraId="2241F9D5" w14:textId="0D924776" w:rsidR="001246BE" w:rsidRDefault="00022A89" w:rsidP="000038F8">
            <w:r>
              <w:t>N/A</w:t>
            </w:r>
          </w:p>
          <w:p w14:paraId="581A1A39" w14:textId="77777777" w:rsidR="001246BE" w:rsidRDefault="001246BE" w:rsidP="000038F8"/>
          <w:p w14:paraId="7C6CDF3C" w14:textId="77777777" w:rsidR="001246BE" w:rsidRDefault="001246BE" w:rsidP="000038F8"/>
          <w:p w14:paraId="77BCFB87" w14:textId="77777777" w:rsidR="001246BE" w:rsidRPr="00B936B8" w:rsidRDefault="001246BE" w:rsidP="000038F8"/>
        </w:tc>
        <w:tc>
          <w:tcPr>
            <w:tcW w:w="886" w:type="pct"/>
          </w:tcPr>
          <w:p w14:paraId="280A5844" w14:textId="77777777" w:rsidR="001246BE" w:rsidRDefault="001246BE" w:rsidP="000038F8">
            <w:r>
              <w:t>States that model has been focus of research which shows increased quality of life and satisfaction but raises issues of equity.</w:t>
            </w:r>
          </w:p>
          <w:p w14:paraId="2FE8E3AC" w14:textId="77777777" w:rsidR="001246BE" w:rsidRDefault="001246BE" w:rsidP="000038F8"/>
          <w:p w14:paraId="14731574" w14:textId="77777777" w:rsidR="001246BE" w:rsidRDefault="001246BE" w:rsidP="000038F8">
            <w:r w:rsidRPr="00CB71E6">
              <w:t>I</w:t>
            </w:r>
            <w:r>
              <w:t>n Italy, d</w:t>
            </w:r>
            <w:r w:rsidRPr="00CB71E6">
              <w:t>irect payments have led to formalisation of informal support networks due to no restrictions in how money can be spent</w:t>
            </w:r>
          </w:p>
          <w:p w14:paraId="1E0AC00F" w14:textId="77777777" w:rsidR="001246BE" w:rsidRDefault="001246BE" w:rsidP="000038F8"/>
          <w:p w14:paraId="1D76CCC7" w14:textId="77777777" w:rsidR="001246BE" w:rsidRDefault="001246BE" w:rsidP="000038F8"/>
          <w:p w14:paraId="719AB326" w14:textId="77777777" w:rsidR="001246BE" w:rsidRDefault="001246BE" w:rsidP="000038F8">
            <w:r>
              <w:t xml:space="preserve">In the Netherlands, similar to UK model studies have shown greater quality of life. However, market has not developed to meet need and choice can be restricted. Thus, </w:t>
            </w:r>
            <w:r w:rsidRPr="00CB71E6">
              <w:t xml:space="preserve">some research and evaluation </w:t>
            </w:r>
            <w:r>
              <w:t>has shown f</w:t>
            </w:r>
            <w:r w:rsidRPr="00CB71E6">
              <w:t xml:space="preserve">ocus on satisfaction, </w:t>
            </w:r>
            <w:r w:rsidRPr="00CB71E6">
              <w:lastRenderedPageBreak/>
              <w:t xml:space="preserve">quality of life and choice </w:t>
            </w:r>
            <w:r>
              <w:t xml:space="preserve">with an improvement in </w:t>
            </w:r>
            <w:r w:rsidRPr="00CB71E6">
              <w:t>first two but not necessarily with choice</w:t>
            </w:r>
            <w:r>
              <w:t>.</w:t>
            </w:r>
          </w:p>
          <w:p w14:paraId="56D7B63C" w14:textId="77777777" w:rsidR="001246BE" w:rsidRDefault="001246BE" w:rsidP="000038F8">
            <w:r w:rsidRPr="002729FA">
              <w:t>Descriptive report describing potential benefits of direct payment models.</w:t>
            </w:r>
          </w:p>
          <w:p w14:paraId="2C76F856" w14:textId="77777777" w:rsidR="001246BE" w:rsidRPr="00B936B8" w:rsidRDefault="001246BE" w:rsidP="000038F8"/>
        </w:tc>
      </w:tr>
      <w:tr w:rsidR="001246BE" w:rsidRPr="000C254D" w14:paraId="1F4E6E68" w14:textId="77777777" w:rsidTr="00296F58">
        <w:tc>
          <w:tcPr>
            <w:tcW w:w="835" w:type="pct"/>
          </w:tcPr>
          <w:p w14:paraId="0818A4EC" w14:textId="77777777" w:rsidR="001246BE" w:rsidRPr="000C254D" w:rsidRDefault="001246BE" w:rsidP="000038F8">
            <w:r w:rsidRPr="000C254D">
              <w:lastRenderedPageBreak/>
              <w:t>Home based support services programme: similar to direct payments above in that individual receives cash payments in lieu of services</w:t>
            </w:r>
          </w:p>
        </w:tc>
        <w:tc>
          <w:tcPr>
            <w:tcW w:w="560" w:type="pct"/>
            <w:tcBorders>
              <w:bottom w:val="single" w:sz="4" w:space="0" w:color="auto"/>
            </w:tcBorders>
          </w:tcPr>
          <w:p w14:paraId="347BA729" w14:textId="77777777" w:rsidR="001246BE" w:rsidRPr="000C254D" w:rsidRDefault="001246BE" w:rsidP="000038F8">
            <w:r w:rsidRPr="000C254D">
              <w:t>United States</w:t>
            </w:r>
          </w:p>
        </w:tc>
        <w:tc>
          <w:tcPr>
            <w:tcW w:w="572" w:type="pct"/>
            <w:tcBorders>
              <w:bottom w:val="single" w:sz="4" w:space="0" w:color="auto"/>
            </w:tcBorders>
          </w:tcPr>
          <w:p w14:paraId="06C896EE" w14:textId="77777777" w:rsidR="001246BE" w:rsidRPr="000C254D" w:rsidRDefault="001246BE" w:rsidP="000038F8">
            <w:r w:rsidRPr="000C254D">
              <w:t>Fisher et al (2008)</w:t>
            </w:r>
          </w:p>
        </w:tc>
        <w:tc>
          <w:tcPr>
            <w:tcW w:w="572" w:type="pct"/>
            <w:tcBorders>
              <w:bottom w:val="single" w:sz="4" w:space="0" w:color="auto"/>
            </w:tcBorders>
          </w:tcPr>
          <w:p w14:paraId="5852E36E" w14:textId="77777777" w:rsidR="001246BE" w:rsidRPr="000C254D" w:rsidRDefault="001246BE" w:rsidP="000038F8">
            <w:r w:rsidRPr="000C254D">
              <w:t>People with intellectual disability</w:t>
            </w:r>
          </w:p>
        </w:tc>
        <w:tc>
          <w:tcPr>
            <w:tcW w:w="640" w:type="pct"/>
            <w:tcBorders>
              <w:bottom w:val="single" w:sz="4" w:space="0" w:color="auto"/>
            </w:tcBorders>
          </w:tcPr>
          <w:p w14:paraId="7EEBCAEC" w14:textId="77777777" w:rsidR="001246BE" w:rsidRPr="000C254D" w:rsidRDefault="001246BE" w:rsidP="000038F8">
            <w:r>
              <w:t xml:space="preserve">Mixed methods. </w:t>
            </w:r>
            <w:r w:rsidRPr="00B936B8">
              <w:t>Commissioned research report</w:t>
            </w:r>
            <w:r>
              <w:t>. Grey literature.</w:t>
            </w:r>
          </w:p>
        </w:tc>
        <w:tc>
          <w:tcPr>
            <w:tcW w:w="935" w:type="pct"/>
            <w:tcBorders>
              <w:bottom w:val="single" w:sz="4" w:space="0" w:color="auto"/>
            </w:tcBorders>
          </w:tcPr>
          <w:p w14:paraId="0E2349F8" w14:textId="16F45AA5" w:rsidR="001246BE" w:rsidRDefault="001246BE" w:rsidP="000038F8"/>
          <w:p w14:paraId="36D4C961" w14:textId="32AD2D7C" w:rsidR="00022A89" w:rsidRPr="000C254D" w:rsidRDefault="00022A89" w:rsidP="000038F8">
            <w:r>
              <w:t>N/A</w:t>
            </w:r>
          </w:p>
        </w:tc>
        <w:tc>
          <w:tcPr>
            <w:tcW w:w="886" w:type="pct"/>
            <w:tcBorders>
              <w:bottom w:val="single" w:sz="4" w:space="0" w:color="auto"/>
            </w:tcBorders>
          </w:tcPr>
          <w:p w14:paraId="1C3E5BA4" w14:textId="7E253FFC" w:rsidR="001246BE" w:rsidRPr="000C254D" w:rsidRDefault="00022A89" w:rsidP="000038F8">
            <w:r w:rsidRPr="000C254D">
              <w:t xml:space="preserve">Reports on an evaluation of the programme by Caldwell (2006) which found increase in out of home placements and greater satisfaction among people with disabilities and their families </w:t>
            </w:r>
            <w:r w:rsidR="001246BE" w:rsidRPr="000C254D">
              <w:t xml:space="preserve">Encourages community living for people with intellectual disability. High demand </w:t>
            </w:r>
            <w:r w:rsidR="001246BE">
              <w:t xml:space="preserve">and long waiting lists </w:t>
            </w:r>
            <w:r w:rsidR="001246BE" w:rsidRPr="000C254D">
              <w:t>for the programme noted.</w:t>
            </w:r>
          </w:p>
        </w:tc>
      </w:tr>
      <w:tr w:rsidR="001246BE" w14:paraId="432139B0" w14:textId="77777777" w:rsidTr="00296F58">
        <w:trPr>
          <w:trHeight w:val="1084"/>
        </w:trPr>
        <w:tc>
          <w:tcPr>
            <w:tcW w:w="835" w:type="pct"/>
            <w:vMerge w:val="restart"/>
          </w:tcPr>
          <w:p w14:paraId="1EEE5EBB" w14:textId="77777777" w:rsidR="001246BE" w:rsidRDefault="001246BE" w:rsidP="000038F8">
            <w:r>
              <w:lastRenderedPageBreak/>
              <w:t xml:space="preserve">Flexible funding models: Flexible packages developed for individuals based on needs and degree of disability. These models often categorise needs based on degree of disability and provide a mix of supports to address the needs, ambitions and </w:t>
            </w:r>
          </w:p>
          <w:p w14:paraId="39B4E255" w14:textId="77777777" w:rsidR="001246BE" w:rsidRDefault="001246BE" w:rsidP="000038F8">
            <w:r>
              <w:t>capacities of the person.</w:t>
            </w:r>
          </w:p>
        </w:tc>
        <w:tc>
          <w:tcPr>
            <w:tcW w:w="560" w:type="pct"/>
            <w:tcBorders>
              <w:bottom w:val="nil"/>
            </w:tcBorders>
          </w:tcPr>
          <w:p w14:paraId="6B5BABC5" w14:textId="77777777" w:rsidR="001246BE" w:rsidRDefault="001246BE" w:rsidP="000038F8">
            <w:r>
              <w:t>Australia</w:t>
            </w:r>
          </w:p>
          <w:p w14:paraId="36D99D0D" w14:textId="77777777" w:rsidR="001246BE" w:rsidRDefault="001246BE" w:rsidP="000038F8"/>
        </w:tc>
        <w:tc>
          <w:tcPr>
            <w:tcW w:w="572" w:type="pct"/>
            <w:tcBorders>
              <w:bottom w:val="nil"/>
            </w:tcBorders>
          </w:tcPr>
          <w:p w14:paraId="556AD88F" w14:textId="09E2CC91" w:rsidR="001246BE" w:rsidRDefault="001246BE" w:rsidP="000038F8">
            <w:r>
              <w:fldChar w:fldCharType="begin"/>
            </w:r>
            <w:r w:rsidR="00B17725">
              <w:instrText xml:space="preserve"> ADDIN EN.CITE &lt;EndNote&gt;&lt;Cite&gt;&lt;Author&gt;Wiesel&lt;/Author&gt;&lt;Year&gt;2015&lt;/Year&gt;&lt;RecNum&gt;72&lt;/RecNum&gt;&lt;DisplayText&gt;(Wiesel, 2015)&lt;/DisplayText&gt;&lt;record&gt;&lt;rec-number&gt;72&lt;/rec-number&gt;&lt;foreign-keys&gt;&lt;key app="EN" db-id="rt2vtarv2tdva3ee25d52s9wfpz92t02p2sr" timestamp="1606339932" guid="20fbb6d0-2175-4510-b6fe-729537249e49"&gt;72&lt;/key&gt;&lt;/foreign-keys&gt;&lt;ref-type name="Journal Article"&gt;17&lt;/ref-type&gt;&lt;contributors&gt;&lt;authors&gt;&lt;author&gt;Wiesel, I.&lt;/author&gt;&lt;/authors&gt;&lt;/contributors&gt;&lt;titles&gt;&lt;title&gt;Housing for People with Intellectual Disabilities and the National Disability Insurance Scheme Reforms&lt;/title&gt;&lt;secondary-title&gt;Research and Practice in Intellectual and Developmental Disabilities&lt;/secondary-title&gt;&lt;/titles&gt;&lt;periodical&gt;&lt;full-title&gt;Research and Practice in Intellectual and Developmental Disabilities&lt;/full-title&gt;&lt;/periodical&gt;&lt;pages&gt;45-55&lt;/pages&gt;&lt;volume&gt;2&lt;/volume&gt;&lt;number&gt;1&lt;/number&gt;&lt;dates&gt;&lt;year&gt;2015&lt;/year&gt;&lt;/dates&gt;&lt;accession-num&gt;WOS:000437130400006&lt;/accession-num&gt;&lt;urls&gt;&lt;related-urls&gt;&lt;url&gt;&amp;lt;Go to ISI&amp;gt;://WOS:000437130400006&lt;/url&gt;&lt;url&gt;https://www.tandfonline.com/doi/pdf/10.1080/23297018.2014.992037?needAccess=true&lt;/url&gt;&lt;/related-urls&gt;&lt;/urls&gt;&lt;electronic-resource-num&gt;10.1080/23297018.2014.992037&lt;/electronic-resource-num&gt;&lt;/record&gt;&lt;/Cite&gt;&lt;/EndNote&gt;</w:instrText>
            </w:r>
            <w:r>
              <w:fldChar w:fldCharType="separate"/>
            </w:r>
            <w:r w:rsidR="00B17725">
              <w:rPr>
                <w:noProof/>
              </w:rPr>
              <w:t>(Wiesel, 2015)</w:t>
            </w:r>
            <w:r>
              <w:fldChar w:fldCharType="end"/>
            </w:r>
          </w:p>
          <w:p w14:paraId="7F02C1CF" w14:textId="77777777" w:rsidR="001246BE" w:rsidRDefault="001246BE" w:rsidP="000038F8"/>
        </w:tc>
        <w:tc>
          <w:tcPr>
            <w:tcW w:w="572" w:type="pct"/>
            <w:tcBorders>
              <w:bottom w:val="nil"/>
            </w:tcBorders>
          </w:tcPr>
          <w:p w14:paraId="27D21691" w14:textId="77777777" w:rsidR="001246BE" w:rsidRDefault="001246BE" w:rsidP="000038F8">
            <w:r>
              <w:t>All of disability</w:t>
            </w:r>
          </w:p>
        </w:tc>
        <w:tc>
          <w:tcPr>
            <w:tcW w:w="640" w:type="pct"/>
            <w:tcBorders>
              <w:bottom w:val="nil"/>
            </w:tcBorders>
          </w:tcPr>
          <w:p w14:paraId="41B86F99" w14:textId="77777777" w:rsidR="001246BE" w:rsidRDefault="001246BE" w:rsidP="000038F8">
            <w:r>
              <w:t>Policy Document</w:t>
            </w:r>
          </w:p>
        </w:tc>
        <w:tc>
          <w:tcPr>
            <w:tcW w:w="935" w:type="pct"/>
            <w:tcBorders>
              <w:bottom w:val="nil"/>
            </w:tcBorders>
          </w:tcPr>
          <w:p w14:paraId="5B9E1FE4" w14:textId="77777777" w:rsidR="001246BE" w:rsidRDefault="001246BE" w:rsidP="000038F8">
            <w:r>
              <w:t>No collected data</w:t>
            </w:r>
          </w:p>
        </w:tc>
        <w:tc>
          <w:tcPr>
            <w:tcW w:w="886" w:type="pct"/>
            <w:tcBorders>
              <w:bottom w:val="nil"/>
            </w:tcBorders>
          </w:tcPr>
          <w:p w14:paraId="5C3A4977" w14:textId="77777777" w:rsidR="001246BE" w:rsidRDefault="001246BE" w:rsidP="000038F8">
            <w:r>
              <w:t>Describing potential benefits of transitioning to NDIS flexible packages</w:t>
            </w:r>
            <w:r w:rsidDel="00A802E7">
              <w:t xml:space="preserve"> </w:t>
            </w:r>
          </w:p>
        </w:tc>
      </w:tr>
      <w:tr w:rsidR="001246BE" w14:paraId="7D36A952" w14:textId="77777777" w:rsidTr="00296F58">
        <w:tc>
          <w:tcPr>
            <w:tcW w:w="835" w:type="pct"/>
            <w:vMerge/>
          </w:tcPr>
          <w:p w14:paraId="6CAEFE82" w14:textId="77777777" w:rsidR="001246BE" w:rsidRDefault="001246BE" w:rsidP="000038F8"/>
        </w:tc>
        <w:tc>
          <w:tcPr>
            <w:tcW w:w="560" w:type="pct"/>
            <w:tcBorders>
              <w:top w:val="nil"/>
            </w:tcBorders>
          </w:tcPr>
          <w:p w14:paraId="1066BECF" w14:textId="77777777" w:rsidR="001246BE" w:rsidRDefault="001246BE" w:rsidP="000038F8">
            <w:r>
              <w:t>Australia</w:t>
            </w:r>
          </w:p>
        </w:tc>
        <w:tc>
          <w:tcPr>
            <w:tcW w:w="572" w:type="pct"/>
            <w:tcBorders>
              <w:top w:val="nil"/>
            </w:tcBorders>
          </w:tcPr>
          <w:p w14:paraId="50B2CF29" w14:textId="7EC5159D" w:rsidR="001246BE" w:rsidRDefault="001246BE" w:rsidP="000038F8">
            <w:r>
              <w:fldChar w:fldCharType="begin"/>
            </w:r>
            <w:r w:rsidR="00B17725">
              <w:instrText xml:space="preserve"> ADDIN EN.CITE &lt;EndNote&gt;&lt;Cite&gt;&lt;Author&gt;Bigby&lt;/Author&gt;&lt;Year&gt;2008&lt;/Year&gt;&lt;RecNum&gt;52&lt;/RecNum&gt;&lt;DisplayText&gt;(Bigby, 2008)&lt;/DisplayText&gt;&lt;record&gt;&lt;rec-number&gt;52&lt;/rec-number&gt;&lt;foreign-keys&gt;&lt;key app="EN" db-id="rt2vtarv2tdva3ee25d52s9wfpz92t02p2sr" timestamp="1606339932" guid="c31e1ec9-a4fa-43ad-8f99-95f54458d21d"&gt;52&lt;/key&gt;&lt;/foreign-keys&gt;&lt;ref-type name="Journal Article"&gt;17&lt;/ref-type&gt;&lt;contributors&gt;&lt;authors&gt;&lt;author&gt;Bigby, Christine&lt;/author&gt;&lt;/authors&gt;&lt;/contributors&gt;&lt;titles&gt;&lt;title&gt;Known well by no-one: Trends in the informal social networks of middle-aged and older people with intellectual disability five years after moving to the community&lt;/title&gt;&lt;secondary-title&gt;Journal of Intellectual &amp;amp; Developmental Disability&lt;/secondary-title&gt;&lt;/titles&gt;&lt;periodical&gt;&lt;full-title&gt;Journal of Intellectual &amp;amp; Developmental Disability&lt;/full-title&gt;&lt;/periodical&gt;&lt;pages&gt;148-157&lt;/pages&gt;&lt;volume&gt;33&lt;/volume&gt;&lt;number&gt;2&lt;/number&gt;&lt;dates&gt;&lt;year&gt;2008&lt;/year&gt;&lt;/dates&gt;&lt;publisher&gt;Taylor &amp;amp; Francis Ltd&lt;/publisher&gt;&lt;accession-num&gt;34478495&lt;/accession-num&gt;&lt;urls&gt;&lt;related-urls&gt;&lt;url&gt;http://ezproxy.library.usyd.edu.au/login?url=http://search.ebscohost.com/login.aspx?direct=true&amp;amp;db=asn&amp;amp;AN=34478495&amp;amp;site=ehost-live&lt;/url&gt;&lt;url&gt;https://www.tandfonline.com/doi/pdf/10.1080/13668250802094141?needAccess=true&lt;/url&gt;&lt;/related-urls&gt;&lt;/urls&gt;&lt;electronic-resource-num&gt;10.1080/13668250802094141&lt;/electronic-resource-num&gt;&lt;/record&gt;&lt;/Cite&gt;&lt;/EndNote&gt;</w:instrText>
            </w:r>
            <w:r>
              <w:fldChar w:fldCharType="separate"/>
            </w:r>
            <w:r w:rsidR="00B17725">
              <w:rPr>
                <w:noProof/>
              </w:rPr>
              <w:t>(Bigby, 2008)</w:t>
            </w:r>
            <w:r>
              <w:fldChar w:fldCharType="end"/>
            </w:r>
          </w:p>
        </w:tc>
        <w:tc>
          <w:tcPr>
            <w:tcW w:w="572" w:type="pct"/>
            <w:tcBorders>
              <w:top w:val="nil"/>
            </w:tcBorders>
          </w:tcPr>
          <w:p w14:paraId="76C22811" w14:textId="77777777" w:rsidR="001246BE" w:rsidRDefault="001246BE" w:rsidP="000038F8">
            <w:r>
              <w:t>Intellectual Disability</w:t>
            </w:r>
          </w:p>
        </w:tc>
        <w:tc>
          <w:tcPr>
            <w:tcW w:w="640" w:type="pct"/>
            <w:tcBorders>
              <w:top w:val="nil"/>
            </w:tcBorders>
          </w:tcPr>
          <w:p w14:paraId="1187FBA8" w14:textId="77777777" w:rsidR="001246BE" w:rsidRDefault="001246BE" w:rsidP="000038F8">
            <w:r>
              <w:t>Qualitative</w:t>
            </w:r>
          </w:p>
        </w:tc>
        <w:tc>
          <w:tcPr>
            <w:tcW w:w="935" w:type="pct"/>
            <w:tcBorders>
              <w:top w:val="nil"/>
            </w:tcBorders>
          </w:tcPr>
          <w:p w14:paraId="28CE09AA" w14:textId="77777777" w:rsidR="001246BE" w:rsidRDefault="001246BE" w:rsidP="000038F8">
            <w:r>
              <w:t>Fair</w:t>
            </w:r>
          </w:p>
          <w:p w14:paraId="035589FD" w14:textId="77777777" w:rsidR="001246BE" w:rsidRDefault="001246BE" w:rsidP="000038F8"/>
        </w:tc>
        <w:tc>
          <w:tcPr>
            <w:tcW w:w="886" w:type="pct"/>
            <w:tcBorders>
              <w:top w:val="nil"/>
            </w:tcBorders>
          </w:tcPr>
          <w:p w14:paraId="039B707A" w14:textId="77777777" w:rsidR="001246BE" w:rsidRDefault="001246BE" w:rsidP="000038F8">
            <w:r>
              <w:t xml:space="preserve">Association of slightly reduced social relationships in some residents over 5 years for those that transitioned </w:t>
            </w:r>
          </w:p>
        </w:tc>
      </w:tr>
      <w:tr w:rsidR="001246BE" w:rsidRPr="002729FA" w14:paraId="6FF4E453" w14:textId="77777777" w:rsidTr="00296F58">
        <w:tc>
          <w:tcPr>
            <w:tcW w:w="835" w:type="pct"/>
            <w:tcBorders>
              <w:bottom w:val="single" w:sz="4" w:space="0" w:color="auto"/>
            </w:tcBorders>
          </w:tcPr>
          <w:p w14:paraId="350AA70D" w14:textId="77777777" w:rsidR="001246BE" w:rsidRPr="002729FA" w:rsidRDefault="001246BE" w:rsidP="000038F8"/>
        </w:tc>
        <w:tc>
          <w:tcPr>
            <w:tcW w:w="560" w:type="pct"/>
            <w:tcBorders>
              <w:bottom w:val="single" w:sz="4" w:space="0" w:color="auto"/>
            </w:tcBorders>
          </w:tcPr>
          <w:p w14:paraId="74B765BA" w14:textId="77777777" w:rsidR="001246BE" w:rsidRPr="002729FA" w:rsidRDefault="001246BE" w:rsidP="000038F8">
            <w:r w:rsidRPr="002729FA">
              <w:t>Australia</w:t>
            </w:r>
          </w:p>
        </w:tc>
        <w:tc>
          <w:tcPr>
            <w:tcW w:w="572" w:type="pct"/>
            <w:tcBorders>
              <w:bottom w:val="single" w:sz="4" w:space="0" w:color="auto"/>
            </w:tcBorders>
          </w:tcPr>
          <w:p w14:paraId="3AC67FC4" w14:textId="13104FC0" w:rsidR="001246BE" w:rsidRPr="002729FA" w:rsidRDefault="001246BE" w:rsidP="000038F8">
            <w:r w:rsidRPr="002729FA">
              <w:fldChar w:fldCharType="begin"/>
            </w:r>
            <w:r w:rsidR="00B17725">
              <w:instrText xml:space="preserve"> ADDIN EN.CITE &lt;EndNote&gt;&lt;Cite&gt;&lt;Author&gt;Cocks&lt;/Author&gt;&lt;Year&gt;2016&lt;/Year&gt;&lt;RecNum&gt;156&lt;/RecNum&gt;&lt;DisplayText&gt;(Cocks et al., 2016)&lt;/DisplayText&gt;&lt;record&gt;&lt;rec-number&gt;156&lt;/rec-number&gt;&lt;foreign-keys&gt;&lt;key app="EN" db-id="p59pdtxvez0ttgerr96p5f2efzpv0p02zvpe" timestamp="1612505269"&gt;156&lt;/key&gt;&lt;/foreign-keys&gt;&lt;ref-type name="Journal Article"&gt;17&lt;/ref-type&gt;&lt;contributors&gt;&lt;authors&gt;&lt;author&gt;Cocks, Errol&lt;/author&gt;&lt;author&gt;Thoresen, Stian H.&lt;/author&gt;&lt;author&gt;O’Brien, Patricia&lt;/author&gt;&lt;author&gt;McVilly, Keith&lt;/author&gt;&lt;author&gt;Thomson, Allyson&lt;/author&gt;&lt;author&gt;Gadow, Friederike&lt;/author&gt;&lt;author&gt;Crosbie, Jenny&lt;/author&gt;&lt;author&gt;Prain, Meredith&lt;/author&gt;&lt;/authors&gt;&lt;/contributors&gt;&lt;titles&gt;&lt;title&gt;Examples of individual supported living for adults with intellectual disability&lt;/title&gt;&lt;secondary-title&gt;Journal of Intellectual Disabilities&lt;/secondary-title&gt;&lt;/titles&gt;&lt;periodical&gt;&lt;full-title&gt;Journal of Intellectual Disabilities&lt;/full-title&gt;&lt;/periodical&gt;&lt;pages&gt;100-108&lt;/pages&gt;&lt;volume&gt;20&lt;/volume&gt;&lt;number&gt;2&lt;/number&gt;&lt;dates&gt;&lt;year&gt;2016&lt;/year&gt;&lt;pub-dates&gt;&lt;date&gt;2016/06/01&lt;/date&gt;&lt;/pub-dates&gt;&lt;/dates&gt;&lt;publisher&gt;SAGE Publications Ltd&lt;/publisher&gt;&lt;isbn&gt;1744-6295&lt;/isbn&gt;&lt;urls&gt;&lt;related-urls&gt;&lt;url&gt;https://doi.org/10.1177/1744629516629854&lt;/url&gt;&lt;/related-urls&gt;&lt;/urls&gt;&lt;electronic-resource-num&gt;10.1177/1744629516629854&lt;/electronic-resource-num&gt;&lt;access-date&gt;2021/02/04&lt;/access-date&gt;&lt;/record&gt;&lt;/Cite&gt;&lt;/EndNote&gt;</w:instrText>
            </w:r>
            <w:r w:rsidRPr="002729FA">
              <w:fldChar w:fldCharType="separate"/>
            </w:r>
            <w:r w:rsidR="00B17725">
              <w:rPr>
                <w:noProof/>
              </w:rPr>
              <w:t>(Cocks et al., 2016)</w:t>
            </w:r>
            <w:r w:rsidRPr="002729FA">
              <w:fldChar w:fldCharType="end"/>
            </w:r>
          </w:p>
        </w:tc>
        <w:tc>
          <w:tcPr>
            <w:tcW w:w="572" w:type="pct"/>
            <w:tcBorders>
              <w:bottom w:val="single" w:sz="4" w:space="0" w:color="auto"/>
            </w:tcBorders>
          </w:tcPr>
          <w:p w14:paraId="6C204AF5" w14:textId="77777777" w:rsidR="001246BE" w:rsidRPr="002729FA" w:rsidRDefault="001246BE" w:rsidP="000038F8">
            <w:r w:rsidRPr="002729FA">
              <w:t>Intellectual Disability</w:t>
            </w:r>
          </w:p>
        </w:tc>
        <w:tc>
          <w:tcPr>
            <w:tcW w:w="640" w:type="pct"/>
            <w:tcBorders>
              <w:bottom w:val="single" w:sz="4" w:space="0" w:color="auto"/>
            </w:tcBorders>
          </w:tcPr>
          <w:p w14:paraId="2DE88128" w14:textId="77777777" w:rsidR="001246BE" w:rsidRPr="002729FA" w:rsidRDefault="001246BE" w:rsidP="000038F8">
            <w:r w:rsidRPr="002729FA">
              <w:t>Qualitative</w:t>
            </w:r>
          </w:p>
        </w:tc>
        <w:tc>
          <w:tcPr>
            <w:tcW w:w="935" w:type="pct"/>
            <w:tcBorders>
              <w:bottom w:val="single" w:sz="4" w:space="0" w:color="auto"/>
            </w:tcBorders>
          </w:tcPr>
          <w:p w14:paraId="4BAFA197" w14:textId="77777777" w:rsidR="001246BE" w:rsidRPr="002729FA" w:rsidDel="00A802E7" w:rsidRDefault="001246BE" w:rsidP="000038F8">
            <w:r w:rsidRPr="002729FA">
              <w:t>Poor</w:t>
            </w:r>
          </w:p>
        </w:tc>
        <w:tc>
          <w:tcPr>
            <w:tcW w:w="886" w:type="pct"/>
            <w:tcBorders>
              <w:bottom w:val="single" w:sz="4" w:space="0" w:color="auto"/>
            </w:tcBorders>
          </w:tcPr>
          <w:p w14:paraId="2BD6F154" w14:textId="77777777" w:rsidR="001246BE" w:rsidRPr="002729FA" w:rsidRDefault="001246BE" w:rsidP="000038F8">
            <w:r w:rsidRPr="002729FA">
              <w:t>Descriptive information with no broad evaluation of outcomes for transition.</w:t>
            </w:r>
          </w:p>
        </w:tc>
      </w:tr>
      <w:tr w:rsidR="001246BE" w:rsidRPr="002729FA" w14:paraId="5D52122E" w14:textId="77777777" w:rsidTr="00296F58">
        <w:tc>
          <w:tcPr>
            <w:tcW w:w="835" w:type="pct"/>
            <w:tcBorders>
              <w:bottom w:val="nil"/>
            </w:tcBorders>
          </w:tcPr>
          <w:p w14:paraId="20E848ED" w14:textId="77777777" w:rsidR="001246BE" w:rsidRPr="002729FA" w:rsidRDefault="001246BE" w:rsidP="000038F8"/>
        </w:tc>
        <w:tc>
          <w:tcPr>
            <w:tcW w:w="560" w:type="pct"/>
            <w:tcBorders>
              <w:bottom w:val="nil"/>
            </w:tcBorders>
          </w:tcPr>
          <w:p w14:paraId="0A4280D8" w14:textId="77777777" w:rsidR="001246BE" w:rsidRPr="002729FA" w:rsidRDefault="001246BE" w:rsidP="000038F8">
            <w:r w:rsidRPr="002729FA">
              <w:t>Australia</w:t>
            </w:r>
          </w:p>
        </w:tc>
        <w:tc>
          <w:tcPr>
            <w:tcW w:w="572" w:type="pct"/>
            <w:tcBorders>
              <w:bottom w:val="nil"/>
            </w:tcBorders>
          </w:tcPr>
          <w:p w14:paraId="3455A2A8" w14:textId="152F68F0" w:rsidR="001246BE" w:rsidRPr="002729FA" w:rsidRDefault="001246BE" w:rsidP="000038F8">
            <w:r w:rsidRPr="002729FA">
              <w:t>Bostock et al</w:t>
            </w:r>
            <w:r>
              <w:t>(</w:t>
            </w:r>
            <w:r w:rsidRPr="002729FA">
              <w:t>200</w:t>
            </w:r>
            <w:r w:rsidR="00223389">
              <w:t>4</w:t>
            </w:r>
            <w:r w:rsidRPr="002729FA">
              <w:t>)</w:t>
            </w:r>
          </w:p>
        </w:tc>
        <w:tc>
          <w:tcPr>
            <w:tcW w:w="572" w:type="pct"/>
            <w:tcBorders>
              <w:bottom w:val="nil"/>
            </w:tcBorders>
          </w:tcPr>
          <w:p w14:paraId="544DC5BF" w14:textId="286D68E5" w:rsidR="001246BE" w:rsidRPr="002729FA" w:rsidRDefault="001246BE" w:rsidP="000038F8">
            <w:r w:rsidRPr="002729FA">
              <w:t>All of disability</w:t>
            </w:r>
          </w:p>
        </w:tc>
        <w:tc>
          <w:tcPr>
            <w:tcW w:w="640" w:type="pct"/>
            <w:tcBorders>
              <w:bottom w:val="nil"/>
            </w:tcBorders>
          </w:tcPr>
          <w:p w14:paraId="46A80B80" w14:textId="77777777" w:rsidR="001246BE" w:rsidRPr="002729FA" w:rsidRDefault="001246BE" w:rsidP="000038F8">
            <w:r w:rsidRPr="002729FA">
              <w:t>Policy Document</w:t>
            </w:r>
          </w:p>
        </w:tc>
        <w:tc>
          <w:tcPr>
            <w:tcW w:w="935" w:type="pct"/>
            <w:tcBorders>
              <w:bottom w:val="nil"/>
            </w:tcBorders>
          </w:tcPr>
          <w:p w14:paraId="37CE028B" w14:textId="77777777" w:rsidR="001246BE" w:rsidRPr="002729FA" w:rsidRDefault="001246BE" w:rsidP="000038F8">
            <w:r w:rsidRPr="002729FA">
              <w:t xml:space="preserve">No Collected Data </w:t>
            </w:r>
          </w:p>
        </w:tc>
        <w:tc>
          <w:tcPr>
            <w:tcW w:w="886" w:type="pct"/>
            <w:tcBorders>
              <w:bottom w:val="nil"/>
            </w:tcBorders>
          </w:tcPr>
          <w:p w14:paraId="75446E8D" w14:textId="77777777" w:rsidR="001246BE" w:rsidRPr="002729FA" w:rsidRDefault="001246BE" w:rsidP="000038F8">
            <w:r w:rsidRPr="002729FA">
              <w:t>Largely supportive of transitioning to individualised funding models without evaluating its potential</w:t>
            </w:r>
          </w:p>
        </w:tc>
      </w:tr>
      <w:tr w:rsidR="001246BE" w:rsidRPr="002729FA" w14:paraId="5BFD4F0C" w14:textId="77777777" w:rsidTr="00296F58">
        <w:tc>
          <w:tcPr>
            <w:tcW w:w="835" w:type="pct"/>
            <w:tcBorders>
              <w:top w:val="nil"/>
              <w:bottom w:val="nil"/>
            </w:tcBorders>
          </w:tcPr>
          <w:p w14:paraId="30904B66" w14:textId="77777777" w:rsidR="001246BE" w:rsidRPr="002729FA" w:rsidRDefault="001246BE" w:rsidP="000038F8"/>
        </w:tc>
        <w:tc>
          <w:tcPr>
            <w:tcW w:w="560" w:type="pct"/>
            <w:tcBorders>
              <w:top w:val="nil"/>
              <w:bottom w:val="nil"/>
            </w:tcBorders>
          </w:tcPr>
          <w:p w14:paraId="2AA955FB" w14:textId="77777777" w:rsidR="001246BE" w:rsidRPr="002729FA" w:rsidRDefault="001246BE" w:rsidP="000038F8">
            <w:r w:rsidRPr="002729FA">
              <w:t>Australia</w:t>
            </w:r>
          </w:p>
        </w:tc>
        <w:tc>
          <w:tcPr>
            <w:tcW w:w="572" w:type="pct"/>
            <w:tcBorders>
              <w:top w:val="nil"/>
              <w:bottom w:val="nil"/>
            </w:tcBorders>
          </w:tcPr>
          <w:p w14:paraId="3D54546D" w14:textId="77777777" w:rsidR="001246BE" w:rsidRPr="002729FA" w:rsidRDefault="001246BE" w:rsidP="000038F8">
            <w:r w:rsidRPr="002729FA">
              <w:t xml:space="preserve">Fisher et al (2008) </w:t>
            </w:r>
          </w:p>
        </w:tc>
        <w:tc>
          <w:tcPr>
            <w:tcW w:w="572" w:type="pct"/>
            <w:tcBorders>
              <w:top w:val="nil"/>
              <w:bottom w:val="nil"/>
            </w:tcBorders>
          </w:tcPr>
          <w:p w14:paraId="6737B60F" w14:textId="77777777" w:rsidR="001246BE" w:rsidRPr="002729FA" w:rsidRDefault="001246BE" w:rsidP="000038F8">
            <w:r w:rsidRPr="002729FA">
              <w:t>All of disability</w:t>
            </w:r>
          </w:p>
        </w:tc>
        <w:tc>
          <w:tcPr>
            <w:tcW w:w="640" w:type="pct"/>
            <w:tcBorders>
              <w:top w:val="nil"/>
              <w:bottom w:val="nil"/>
            </w:tcBorders>
          </w:tcPr>
          <w:p w14:paraId="5F503CD5" w14:textId="77777777" w:rsidR="001246BE" w:rsidRPr="002729FA" w:rsidRDefault="001246BE" w:rsidP="000038F8">
            <w:r w:rsidRPr="002729FA">
              <w:t>Policy Document</w:t>
            </w:r>
          </w:p>
        </w:tc>
        <w:tc>
          <w:tcPr>
            <w:tcW w:w="935" w:type="pct"/>
            <w:tcBorders>
              <w:top w:val="nil"/>
              <w:bottom w:val="nil"/>
            </w:tcBorders>
          </w:tcPr>
          <w:p w14:paraId="243A99FD" w14:textId="77777777" w:rsidR="001246BE" w:rsidRPr="002729FA" w:rsidRDefault="001246BE" w:rsidP="000038F8">
            <w:r w:rsidRPr="002729FA">
              <w:t>No Collected Data</w:t>
            </w:r>
          </w:p>
        </w:tc>
        <w:tc>
          <w:tcPr>
            <w:tcW w:w="886" w:type="pct"/>
            <w:tcBorders>
              <w:top w:val="nil"/>
              <w:bottom w:val="nil"/>
            </w:tcBorders>
          </w:tcPr>
          <w:p w14:paraId="773233E2" w14:textId="4B9D913A" w:rsidR="001246BE" w:rsidRPr="002729FA" w:rsidRDefault="001246BE" w:rsidP="000038F8">
            <w:r w:rsidRPr="002729FA">
              <w:t xml:space="preserve">Descriptive data Emphasizing benefits of flexible funding models and proposes </w:t>
            </w:r>
            <w:r w:rsidRPr="002729FA">
              <w:lastRenderedPageBreak/>
              <w:t xml:space="preserve">potential of link, family and individual support packages for housing. </w:t>
            </w:r>
          </w:p>
        </w:tc>
      </w:tr>
      <w:tr w:rsidR="001246BE" w:rsidRPr="002729FA" w14:paraId="12580A60" w14:textId="77777777" w:rsidTr="00296F58">
        <w:tc>
          <w:tcPr>
            <w:tcW w:w="835" w:type="pct"/>
            <w:tcBorders>
              <w:top w:val="nil"/>
              <w:bottom w:val="nil"/>
            </w:tcBorders>
          </w:tcPr>
          <w:p w14:paraId="1FCE7992" w14:textId="77777777" w:rsidR="001246BE" w:rsidRPr="002729FA" w:rsidRDefault="001246BE" w:rsidP="000038F8"/>
        </w:tc>
        <w:tc>
          <w:tcPr>
            <w:tcW w:w="560" w:type="pct"/>
            <w:tcBorders>
              <w:top w:val="nil"/>
              <w:bottom w:val="nil"/>
            </w:tcBorders>
          </w:tcPr>
          <w:p w14:paraId="4F1A9354" w14:textId="77777777" w:rsidR="001246BE" w:rsidRPr="002729FA" w:rsidRDefault="001246BE" w:rsidP="000038F8">
            <w:r w:rsidRPr="002729FA">
              <w:t>Australia</w:t>
            </w:r>
          </w:p>
        </w:tc>
        <w:tc>
          <w:tcPr>
            <w:tcW w:w="572" w:type="pct"/>
            <w:tcBorders>
              <w:top w:val="nil"/>
              <w:bottom w:val="nil"/>
            </w:tcBorders>
          </w:tcPr>
          <w:p w14:paraId="4992EDAF" w14:textId="77777777" w:rsidR="001246BE" w:rsidRPr="002729FA" w:rsidRDefault="001246BE" w:rsidP="000038F8">
            <w:r w:rsidRPr="002729FA">
              <w:t xml:space="preserve">Borbasi et al </w:t>
            </w:r>
            <w:r>
              <w:t>(</w:t>
            </w:r>
            <w:r w:rsidRPr="002729FA">
              <w:t>2007</w:t>
            </w:r>
            <w:r>
              <w:t>)</w:t>
            </w:r>
          </w:p>
        </w:tc>
        <w:tc>
          <w:tcPr>
            <w:tcW w:w="572" w:type="pct"/>
            <w:tcBorders>
              <w:top w:val="nil"/>
              <w:bottom w:val="nil"/>
            </w:tcBorders>
          </w:tcPr>
          <w:p w14:paraId="24B52931" w14:textId="77777777" w:rsidR="001246BE" w:rsidRPr="002729FA" w:rsidRDefault="001246BE" w:rsidP="000038F8">
            <w:r w:rsidRPr="002729FA">
              <w:t xml:space="preserve">Intellectual disability </w:t>
            </w:r>
          </w:p>
        </w:tc>
        <w:tc>
          <w:tcPr>
            <w:tcW w:w="640" w:type="pct"/>
            <w:tcBorders>
              <w:top w:val="nil"/>
              <w:bottom w:val="nil"/>
            </w:tcBorders>
          </w:tcPr>
          <w:p w14:paraId="54FA15BD" w14:textId="77777777" w:rsidR="001246BE" w:rsidRPr="002729FA" w:rsidRDefault="001246BE" w:rsidP="000038F8">
            <w:r w:rsidRPr="002729FA">
              <w:t>Qualitative</w:t>
            </w:r>
          </w:p>
        </w:tc>
        <w:tc>
          <w:tcPr>
            <w:tcW w:w="935" w:type="pct"/>
            <w:tcBorders>
              <w:top w:val="nil"/>
              <w:bottom w:val="nil"/>
            </w:tcBorders>
          </w:tcPr>
          <w:p w14:paraId="1920E4CE" w14:textId="77777777" w:rsidR="001246BE" w:rsidRPr="002729FA" w:rsidRDefault="001246BE" w:rsidP="000038F8">
            <w:r w:rsidRPr="002729FA">
              <w:t>Fair</w:t>
            </w:r>
          </w:p>
        </w:tc>
        <w:tc>
          <w:tcPr>
            <w:tcW w:w="886" w:type="pct"/>
            <w:tcBorders>
              <w:top w:val="nil"/>
              <w:bottom w:val="nil"/>
            </w:tcBorders>
          </w:tcPr>
          <w:p w14:paraId="1DF670F4" w14:textId="77777777" w:rsidR="001246BE" w:rsidRPr="002729FA" w:rsidRDefault="001246BE" w:rsidP="000038F8">
            <w:r w:rsidRPr="002729FA">
              <w:t>Reported on successful transition and QoL of participants, but no focus on funding model</w:t>
            </w:r>
          </w:p>
        </w:tc>
      </w:tr>
      <w:tr w:rsidR="001246BE" w:rsidRPr="002729FA" w14:paraId="718EF50F" w14:textId="77777777" w:rsidTr="00296F58">
        <w:tc>
          <w:tcPr>
            <w:tcW w:w="835" w:type="pct"/>
            <w:tcBorders>
              <w:top w:val="nil"/>
            </w:tcBorders>
          </w:tcPr>
          <w:p w14:paraId="5692AE29" w14:textId="77777777" w:rsidR="001246BE" w:rsidRPr="002729FA" w:rsidRDefault="001246BE" w:rsidP="000038F8"/>
        </w:tc>
        <w:tc>
          <w:tcPr>
            <w:tcW w:w="560" w:type="pct"/>
            <w:tcBorders>
              <w:top w:val="nil"/>
            </w:tcBorders>
          </w:tcPr>
          <w:p w14:paraId="543037F4" w14:textId="77777777" w:rsidR="001246BE" w:rsidRPr="002729FA" w:rsidRDefault="001246BE" w:rsidP="000038F8">
            <w:r w:rsidRPr="002729FA">
              <w:t>Australia</w:t>
            </w:r>
          </w:p>
        </w:tc>
        <w:tc>
          <w:tcPr>
            <w:tcW w:w="572" w:type="pct"/>
            <w:tcBorders>
              <w:top w:val="nil"/>
            </w:tcBorders>
          </w:tcPr>
          <w:p w14:paraId="58DF7C68" w14:textId="77777777" w:rsidR="001246BE" w:rsidRPr="002729FA" w:rsidRDefault="001246BE" w:rsidP="000038F8">
            <w:r w:rsidRPr="002729FA">
              <w:t xml:space="preserve">McIntyre et al </w:t>
            </w:r>
            <w:r>
              <w:t>(</w:t>
            </w:r>
            <w:r w:rsidRPr="002729FA">
              <w:t>2019</w:t>
            </w:r>
            <w:r>
              <w:t>)</w:t>
            </w:r>
          </w:p>
        </w:tc>
        <w:tc>
          <w:tcPr>
            <w:tcW w:w="572" w:type="pct"/>
            <w:tcBorders>
              <w:top w:val="nil"/>
            </w:tcBorders>
          </w:tcPr>
          <w:p w14:paraId="10B489C9" w14:textId="77777777" w:rsidR="001246BE" w:rsidRPr="002729FA" w:rsidRDefault="001246BE" w:rsidP="000038F8">
            <w:r w:rsidRPr="002729FA">
              <w:t xml:space="preserve">Intellectual disability </w:t>
            </w:r>
          </w:p>
        </w:tc>
        <w:tc>
          <w:tcPr>
            <w:tcW w:w="640" w:type="pct"/>
            <w:tcBorders>
              <w:top w:val="nil"/>
            </w:tcBorders>
          </w:tcPr>
          <w:p w14:paraId="79169BFD" w14:textId="77777777" w:rsidR="001246BE" w:rsidRPr="002729FA" w:rsidRDefault="001246BE" w:rsidP="000038F8">
            <w:r w:rsidRPr="002729FA">
              <w:t>Qualitative</w:t>
            </w:r>
          </w:p>
        </w:tc>
        <w:tc>
          <w:tcPr>
            <w:tcW w:w="935" w:type="pct"/>
            <w:tcBorders>
              <w:top w:val="nil"/>
            </w:tcBorders>
          </w:tcPr>
          <w:p w14:paraId="736B2D0C" w14:textId="77777777" w:rsidR="001246BE" w:rsidRPr="002729FA" w:rsidRDefault="001246BE" w:rsidP="000038F8">
            <w:r w:rsidRPr="002729FA">
              <w:t xml:space="preserve">Fair </w:t>
            </w:r>
          </w:p>
        </w:tc>
        <w:tc>
          <w:tcPr>
            <w:tcW w:w="886" w:type="pct"/>
            <w:tcBorders>
              <w:top w:val="nil"/>
            </w:tcBorders>
          </w:tcPr>
          <w:p w14:paraId="71AC142D" w14:textId="77777777" w:rsidR="001246BE" w:rsidRPr="002729FA" w:rsidRDefault="001246BE" w:rsidP="000038F8">
            <w:r w:rsidRPr="002729FA">
              <w:t xml:space="preserve">Current packages are inadequate to meet the needs of people with disability, and improved access to flexible funding is required </w:t>
            </w:r>
          </w:p>
        </w:tc>
      </w:tr>
      <w:tr w:rsidR="001246BE" w:rsidRPr="002729FA" w14:paraId="1DFA3092" w14:textId="77777777" w:rsidTr="00E01F76">
        <w:tc>
          <w:tcPr>
            <w:tcW w:w="835" w:type="pct"/>
          </w:tcPr>
          <w:p w14:paraId="145C4440" w14:textId="77777777" w:rsidR="001246BE" w:rsidRPr="002729FA" w:rsidRDefault="001246BE" w:rsidP="000038F8">
            <w:r w:rsidRPr="002729FA">
              <w:t>User led personal assistance</w:t>
            </w:r>
          </w:p>
        </w:tc>
        <w:tc>
          <w:tcPr>
            <w:tcW w:w="560" w:type="pct"/>
          </w:tcPr>
          <w:p w14:paraId="32B31235" w14:textId="77777777" w:rsidR="001246BE" w:rsidRPr="002729FA" w:rsidRDefault="001246BE" w:rsidP="000038F8">
            <w:r w:rsidRPr="002729FA">
              <w:t xml:space="preserve">Sweden &amp; Norway </w:t>
            </w:r>
          </w:p>
        </w:tc>
        <w:tc>
          <w:tcPr>
            <w:tcW w:w="572" w:type="pct"/>
          </w:tcPr>
          <w:p w14:paraId="1ACE559F" w14:textId="77777777" w:rsidR="001246BE" w:rsidRPr="002729FA" w:rsidRDefault="001246BE" w:rsidP="000038F8">
            <w:r w:rsidRPr="002729FA">
              <w:t xml:space="preserve">Brennan et al </w:t>
            </w:r>
            <w:r>
              <w:t>(</w:t>
            </w:r>
            <w:r w:rsidRPr="002729FA">
              <w:t>2016</w:t>
            </w:r>
            <w:r>
              <w:t>)</w:t>
            </w:r>
          </w:p>
        </w:tc>
        <w:tc>
          <w:tcPr>
            <w:tcW w:w="572" w:type="pct"/>
          </w:tcPr>
          <w:p w14:paraId="78B76A7B" w14:textId="77777777" w:rsidR="001246BE" w:rsidRPr="002729FA" w:rsidRDefault="001246BE" w:rsidP="000038F8">
            <w:r w:rsidRPr="002729FA">
              <w:t>Complex needs</w:t>
            </w:r>
          </w:p>
        </w:tc>
        <w:tc>
          <w:tcPr>
            <w:tcW w:w="640" w:type="pct"/>
          </w:tcPr>
          <w:p w14:paraId="2F7CF9F4" w14:textId="77777777" w:rsidR="001246BE" w:rsidRPr="002729FA" w:rsidRDefault="001246BE" w:rsidP="000038F8">
            <w:r w:rsidRPr="002729FA">
              <w:t>Qualitative</w:t>
            </w:r>
          </w:p>
        </w:tc>
        <w:tc>
          <w:tcPr>
            <w:tcW w:w="935" w:type="pct"/>
            <w:shd w:val="clear" w:color="auto" w:fill="auto"/>
          </w:tcPr>
          <w:p w14:paraId="688DD67C" w14:textId="36951B76" w:rsidR="001246BE" w:rsidRPr="002729FA" w:rsidRDefault="00A663B3" w:rsidP="000038F8">
            <w:r>
              <w:t>Poor</w:t>
            </w:r>
          </w:p>
        </w:tc>
        <w:tc>
          <w:tcPr>
            <w:tcW w:w="886" w:type="pct"/>
          </w:tcPr>
          <w:p w14:paraId="246A52E0" w14:textId="77777777" w:rsidR="001246BE" w:rsidRPr="002729FA" w:rsidRDefault="001246BE" w:rsidP="000038F8">
            <w:r w:rsidRPr="002729FA">
              <w:t>Reported on parental involvement in coordination of assistance</w:t>
            </w:r>
          </w:p>
        </w:tc>
      </w:tr>
      <w:tr w:rsidR="001246BE" w:rsidRPr="002729FA" w14:paraId="174B1538" w14:textId="77777777" w:rsidTr="00296F58">
        <w:tc>
          <w:tcPr>
            <w:tcW w:w="835" w:type="pct"/>
          </w:tcPr>
          <w:p w14:paraId="222618AC" w14:textId="77777777" w:rsidR="001246BE" w:rsidRPr="002729FA" w:rsidRDefault="001246BE" w:rsidP="000038F8">
            <w:r w:rsidRPr="002729FA">
              <w:t>Self-directed funding: self-directed services is a process</w:t>
            </w:r>
          </w:p>
          <w:p w14:paraId="2A8D4AD7" w14:textId="77777777" w:rsidR="001246BE" w:rsidRPr="002729FA" w:rsidRDefault="001246BE" w:rsidP="000038F8">
            <w:r w:rsidRPr="002729FA">
              <w:t>wherein support is planned, supervised and paid for</w:t>
            </w:r>
          </w:p>
          <w:p w14:paraId="097CD11B" w14:textId="77777777" w:rsidR="001246BE" w:rsidRPr="002729FA" w:rsidRDefault="001246BE" w:rsidP="000038F8">
            <w:r w:rsidRPr="002729FA">
              <w:t>by the self-advocate (i.e., the person with a disability)</w:t>
            </w:r>
          </w:p>
        </w:tc>
        <w:tc>
          <w:tcPr>
            <w:tcW w:w="560" w:type="pct"/>
          </w:tcPr>
          <w:p w14:paraId="146EB8BA" w14:textId="77777777" w:rsidR="001246BE" w:rsidRPr="002729FA" w:rsidRDefault="001246BE" w:rsidP="000038F8">
            <w:r w:rsidRPr="002729FA">
              <w:t>United States of America</w:t>
            </w:r>
          </w:p>
        </w:tc>
        <w:tc>
          <w:tcPr>
            <w:tcW w:w="572" w:type="pct"/>
          </w:tcPr>
          <w:p w14:paraId="76B168B8" w14:textId="77777777" w:rsidR="001246BE" w:rsidRPr="002729FA" w:rsidRDefault="001246BE" w:rsidP="000038F8">
            <w:r w:rsidRPr="002729FA">
              <w:t>Blumberg et al</w:t>
            </w:r>
            <w:r>
              <w:t xml:space="preserve"> (</w:t>
            </w:r>
            <w:r w:rsidRPr="002729FA">
              <w:t>2000</w:t>
            </w:r>
            <w:r>
              <w:t>)</w:t>
            </w:r>
          </w:p>
        </w:tc>
        <w:tc>
          <w:tcPr>
            <w:tcW w:w="572" w:type="pct"/>
          </w:tcPr>
          <w:p w14:paraId="0F0B610B" w14:textId="77777777" w:rsidR="001246BE" w:rsidRPr="002729FA" w:rsidRDefault="001246BE" w:rsidP="000038F8">
            <w:r w:rsidRPr="002729FA">
              <w:t xml:space="preserve">All disability </w:t>
            </w:r>
          </w:p>
        </w:tc>
        <w:tc>
          <w:tcPr>
            <w:tcW w:w="640" w:type="pct"/>
          </w:tcPr>
          <w:p w14:paraId="4296A2C3" w14:textId="77777777" w:rsidR="001246BE" w:rsidRPr="002729FA" w:rsidRDefault="001246BE" w:rsidP="000038F8">
            <w:r w:rsidRPr="002729FA">
              <w:t xml:space="preserve">Qualitative </w:t>
            </w:r>
          </w:p>
        </w:tc>
        <w:tc>
          <w:tcPr>
            <w:tcW w:w="935" w:type="pct"/>
          </w:tcPr>
          <w:p w14:paraId="27EEDC6C" w14:textId="77777777" w:rsidR="001246BE" w:rsidRPr="002729FA" w:rsidRDefault="001246BE" w:rsidP="000038F8">
            <w:r w:rsidRPr="002729FA">
              <w:t>Fair</w:t>
            </w:r>
          </w:p>
        </w:tc>
        <w:tc>
          <w:tcPr>
            <w:tcW w:w="886" w:type="pct"/>
          </w:tcPr>
          <w:p w14:paraId="118ADCF3" w14:textId="77777777" w:rsidR="001246BE" w:rsidRPr="002729FA" w:rsidRDefault="001246BE" w:rsidP="000038F8">
            <w:r w:rsidRPr="002729FA">
              <w:t xml:space="preserve">Reports on successful transition of one case study; focus on independent living rather than funding model </w:t>
            </w:r>
          </w:p>
        </w:tc>
      </w:tr>
      <w:tr w:rsidR="001246BE" w:rsidRPr="002729FA" w14:paraId="3FCC77B3" w14:textId="77777777" w:rsidTr="00296F58">
        <w:tc>
          <w:tcPr>
            <w:tcW w:w="835" w:type="pct"/>
          </w:tcPr>
          <w:p w14:paraId="3679CF00" w14:textId="5E0CE695" w:rsidR="001246BE" w:rsidRPr="002729FA" w:rsidRDefault="001246BE" w:rsidP="000038F8">
            <w:r w:rsidRPr="002729FA">
              <w:lastRenderedPageBreak/>
              <w:t>Voucher program: Provided housing vouchers that subsidized rental costs along with access to home and community-based services to nonelderly institutionali</w:t>
            </w:r>
            <w:r w:rsidR="0057259E">
              <w:t>s</w:t>
            </w:r>
            <w:r w:rsidRPr="002729FA">
              <w:t>ed residents with a disability</w:t>
            </w:r>
          </w:p>
        </w:tc>
        <w:tc>
          <w:tcPr>
            <w:tcW w:w="560" w:type="pct"/>
          </w:tcPr>
          <w:p w14:paraId="7A06FBAD" w14:textId="77777777" w:rsidR="001246BE" w:rsidRPr="002729FA" w:rsidRDefault="001246BE" w:rsidP="000038F8">
            <w:r w:rsidRPr="002729FA">
              <w:t>United States of America</w:t>
            </w:r>
          </w:p>
        </w:tc>
        <w:tc>
          <w:tcPr>
            <w:tcW w:w="572" w:type="pct"/>
          </w:tcPr>
          <w:p w14:paraId="78F22364" w14:textId="0BF1CAA2" w:rsidR="001246BE" w:rsidRPr="002729FA" w:rsidRDefault="001246BE" w:rsidP="000038F8">
            <w:r>
              <w:t>Hoffman</w:t>
            </w:r>
            <w:r w:rsidR="00A16415">
              <w:t xml:space="preserve"> et al</w:t>
            </w:r>
            <w:r>
              <w:t>(2017)</w:t>
            </w:r>
          </w:p>
        </w:tc>
        <w:tc>
          <w:tcPr>
            <w:tcW w:w="572" w:type="pct"/>
          </w:tcPr>
          <w:p w14:paraId="7C44A3CB" w14:textId="77777777" w:rsidR="001246BE" w:rsidRPr="002729FA" w:rsidRDefault="001246BE" w:rsidP="000038F8">
            <w:r w:rsidRPr="002729FA">
              <w:t>Nursing home residents who are adults under the age of 62 with a broad range of disabilities and lower financial</w:t>
            </w:r>
          </w:p>
          <w:p w14:paraId="704C954F" w14:textId="77777777" w:rsidR="001246BE" w:rsidRPr="002729FA" w:rsidRDefault="001246BE" w:rsidP="000038F8">
            <w:r w:rsidRPr="002729FA">
              <w:t xml:space="preserve"> income</w:t>
            </w:r>
          </w:p>
        </w:tc>
        <w:tc>
          <w:tcPr>
            <w:tcW w:w="640" w:type="pct"/>
          </w:tcPr>
          <w:p w14:paraId="4508ED90" w14:textId="77777777" w:rsidR="001246BE" w:rsidRPr="002729FA" w:rsidRDefault="001246BE" w:rsidP="000038F8">
            <w:r w:rsidRPr="002729FA">
              <w:t>Pragmatic and clustered randomized trial</w:t>
            </w:r>
          </w:p>
        </w:tc>
        <w:tc>
          <w:tcPr>
            <w:tcW w:w="935" w:type="pct"/>
          </w:tcPr>
          <w:p w14:paraId="028E7C84" w14:textId="58C305E9" w:rsidR="001246BE" w:rsidRPr="002729FA" w:rsidRDefault="001246BE" w:rsidP="000038F8">
            <w:r w:rsidRPr="002729FA">
              <w:t xml:space="preserve">Good </w:t>
            </w:r>
          </w:p>
        </w:tc>
        <w:tc>
          <w:tcPr>
            <w:tcW w:w="886" w:type="pct"/>
          </w:tcPr>
          <w:p w14:paraId="2F4B8735" w14:textId="0B543CF7" w:rsidR="001246BE" w:rsidRPr="002729FA" w:rsidRDefault="00A16415" w:rsidP="000038F8">
            <w:r w:rsidRPr="002729FA">
              <w:t>116 adults who received vouchers against those who did not. Groups were, however, not well matched.</w:t>
            </w:r>
            <w:r w:rsidR="00396EAA">
              <w:t xml:space="preserve"> </w:t>
            </w:r>
            <w:r w:rsidR="001246BE" w:rsidRPr="002729FA">
              <w:t xml:space="preserve">Overall poor uptake of vouchers across localities. Voucher users had higher functional status than non-voucher users and also stayed in nursing homes longer than non-voucher users. </w:t>
            </w:r>
          </w:p>
          <w:p w14:paraId="7F8EB905" w14:textId="77777777" w:rsidR="001246BE" w:rsidRPr="002729FA" w:rsidRDefault="001246BE" w:rsidP="000038F8"/>
          <w:p w14:paraId="215CF193" w14:textId="77777777" w:rsidR="001246BE" w:rsidRPr="002729FA" w:rsidRDefault="001246BE" w:rsidP="000038F8"/>
          <w:p w14:paraId="05AC5884" w14:textId="77777777" w:rsidR="001246BE" w:rsidRPr="002729FA" w:rsidRDefault="001246BE" w:rsidP="000038F8"/>
        </w:tc>
      </w:tr>
      <w:tr w:rsidR="001246BE" w:rsidRPr="002729FA" w14:paraId="6EF15714" w14:textId="77777777" w:rsidTr="00296F58">
        <w:tc>
          <w:tcPr>
            <w:tcW w:w="835" w:type="pct"/>
          </w:tcPr>
          <w:p w14:paraId="2218ED43" w14:textId="77777777" w:rsidR="001246BE" w:rsidRPr="002729FA" w:rsidRDefault="001246BE" w:rsidP="000038F8">
            <w:r w:rsidRPr="002729FA">
              <w:t>HCBS Waiver</w:t>
            </w:r>
          </w:p>
        </w:tc>
        <w:tc>
          <w:tcPr>
            <w:tcW w:w="560" w:type="pct"/>
          </w:tcPr>
          <w:p w14:paraId="3152F803" w14:textId="77777777" w:rsidR="001246BE" w:rsidRPr="002729FA" w:rsidRDefault="001246BE" w:rsidP="000038F8">
            <w:r w:rsidRPr="002729FA">
              <w:t>United States of America</w:t>
            </w:r>
          </w:p>
        </w:tc>
        <w:tc>
          <w:tcPr>
            <w:tcW w:w="572" w:type="pct"/>
          </w:tcPr>
          <w:p w14:paraId="5701484E" w14:textId="4CC69B2D" w:rsidR="001246BE" w:rsidRPr="002729FA" w:rsidRDefault="001246BE" w:rsidP="000038F8">
            <w:r w:rsidRPr="002729FA">
              <w:t>Jones &amp; Gallus</w:t>
            </w:r>
            <w:r>
              <w:t>(</w:t>
            </w:r>
            <w:r w:rsidRPr="002729FA">
              <w:t>2016</w:t>
            </w:r>
            <w:r>
              <w:t>)</w:t>
            </w:r>
          </w:p>
        </w:tc>
        <w:tc>
          <w:tcPr>
            <w:tcW w:w="572" w:type="pct"/>
          </w:tcPr>
          <w:p w14:paraId="673FC188" w14:textId="77777777" w:rsidR="001246BE" w:rsidRPr="002729FA" w:rsidRDefault="001246BE" w:rsidP="000038F8">
            <w:r w:rsidRPr="002729FA">
              <w:t>Not specified</w:t>
            </w:r>
          </w:p>
        </w:tc>
        <w:tc>
          <w:tcPr>
            <w:tcW w:w="640" w:type="pct"/>
          </w:tcPr>
          <w:p w14:paraId="13F07F83" w14:textId="77777777" w:rsidR="001246BE" w:rsidRPr="002729FA" w:rsidRDefault="001246BE" w:rsidP="000038F8">
            <w:r w:rsidRPr="002729FA">
              <w:t>Qualitative</w:t>
            </w:r>
          </w:p>
        </w:tc>
        <w:tc>
          <w:tcPr>
            <w:tcW w:w="935" w:type="pct"/>
          </w:tcPr>
          <w:p w14:paraId="0C5876CC" w14:textId="77777777" w:rsidR="001246BE" w:rsidRPr="002729FA" w:rsidRDefault="001246BE" w:rsidP="000038F8">
            <w:r w:rsidRPr="002729FA">
              <w:t>Fair</w:t>
            </w:r>
          </w:p>
        </w:tc>
        <w:tc>
          <w:tcPr>
            <w:tcW w:w="886" w:type="pct"/>
          </w:tcPr>
          <w:p w14:paraId="38D2180C" w14:textId="524227C5" w:rsidR="001246BE" w:rsidRPr="002729FA" w:rsidRDefault="001246BE" w:rsidP="000038F8">
            <w:r w:rsidRPr="002729FA">
              <w:t>Focus on the process of deinstitutionali</w:t>
            </w:r>
            <w:r w:rsidR="007848FB">
              <w:t>s</w:t>
            </w:r>
            <w:r w:rsidRPr="002729FA">
              <w:t xml:space="preserve">ation rather than effectiveness of funding models </w:t>
            </w:r>
          </w:p>
        </w:tc>
      </w:tr>
      <w:tr w:rsidR="001246BE" w:rsidRPr="002729FA" w14:paraId="705BB437" w14:textId="77777777" w:rsidTr="00E01F76">
        <w:tc>
          <w:tcPr>
            <w:tcW w:w="835" w:type="pct"/>
            <w:shd w:val="clear" w:color="auto" w:fill="auto"/>
          </w:tcPr>
          <w:p w14:paraId="3BA6887C" w14:textId="77777777" w:rsidR="001246BE" w:rsidRDefault="001246BE" w:rsidP="000038F8">
            <w:pPr>
              <w:rPr>
                <w:rFonts w:ascii="Calibri" w:hAnsi="Calibri" w:cs="Calibri"/>
                <w:color w:val="000000"/>
                <w:lang w:val="en-GB"/>
              </w:rPr>
            </w:pPr>
            <w:r>
              <w:rPr>
                <w:rFonts w:ascii="Calibri" w:hAnsi="Calibri" w:cs="Calibri"/>
                <w:color w:val="000000"/>
              </w:rPr>
              <w:t>Individualised personalised packages of support</w:t>
            </w:r>
          </w:p>
          <w:p w14:paraId="7ECEDE60" w14:textId="77777777" w:rsidR="001246BE" w:rsidRPr="002729FA" w:rsidRDefault="001246BE" w:rsidP="000038F8"/>
        </w:tc>
        <w:tc>
          <w:tcPr>
            <w:tcW w:w="560" w:type="pct"/>
            <w:shd w:val="clear" w:color="auto" w:fill="auto"/>
          </w:tcPr>
          <w:p w14:paraId="61360734" w14:textId="77777777" w:rsidR="001246BE" w:rsidRPr="002729FA" w:rsidRDefault="001246BE" w:rsidP="000038F8">
            <w:r>
              <w:t>UK</w:t>
            </w:r>
          </w:p>
        </w:tc>
        <w:tc>
          <w:tcPr>
            <w:tcW w:w="572" w:type="pct"/>
            <w:shd w:val="clear" w:color="auto" w:fill="auto"/>
          </w:tcPr>
          <w:p w14:paraId="70BF3951" w14:textId="0E054F89" w:rsidR="001246BE" w:rsidRDefault="001246BE" w:rsidP="000038F8">
            <w:pPr>
              <w:rPr>
                <w:rFonts w:ascii="Calibri" w:hAnsi="Calibri" w:cs="Calibri"/>
                <w:color w:val="000000"/>
                <w:lang w:val="en-GB"/>
              </w:rPr>
            </w:pPr>
            <w:r>
              <w:rPr>
                <w:rFonts w:ascii="Calibri" w:hAnsi="Calibri" w:cs="Calibri"/>
                <w:color w:val="000000"/>
              </w:rPr>
              <w:t>Head</w:t>
            </w:r>
            <w:r w:rsidR="00A16415">
              <w:rPr>
                <w:rFonts w:ascii="Calibri" w:hAnsi="Calibri" w:cs="Calibri"/>
                <w:color w:val="000000"/>
              </w:rPr>
              <w:t xml:space="preserve"> et al </w:t>
            </w:r>
          </w:p>
          <w:p w14:paraId="7306DA0D" w14:textId="77777777" w:rsidR="001246BE" w:rsidRDefault="001246BE" w:rsidP="000038F8">
            <w:r>
              <w:t>(2018)</w:t>
            </w:r>
          </w:p>
        </w:tc>
        <w:tc>
          <w:tcPr>
            <w:tcW w:w="572" w:type="pct"/>
            <w:shd w:val="clear" w:color="auto" w:fill="auto"/>
          </w:tcPr>
          <w:p w14:paraId="68E807DA" w14:textId="77777777" w:rsidR="001246BE" w:rsidRPr="002729FA" w:rsidRDefault="001246BE" w:rsidP="000038F8">
            <w:r>
              <w:t xml:space="preserve">Intellectual disability </w:t>
            </w:r>
          </w:p>
        </w:tc>
        <w:tc>
          <w:tcPr>
            <w:tcW w:w="640" w:type="pct"/>
            <w:shd w:val="clear" w:color="auto" w:fill="auto"/>
          </w:tcPr>
          <w:p w14:paraId="28821C06" w14:textId="77777777" w:rsidR="001246BE" w:rsidRPr="002729FA" w:rsidRDefault="001246BE" w:rsidP="000038F8">
            <w:r>
              <w:t xml:space="preserve">Qualitative </w:t>
            </w:r>
          </w:p>
        </w:tc>
        <w:tc>
          <w:tcPr>
            <w:tcW w:w="935" w:type="pct"/>
            <w:shd w:val="clear" w:color="auto" w:fill="auto"/>
          </w:tcPr>
          <w:p w14:paraId="2279E640" w14:textId="77777777" w:rsidR="001246BE" w:rsidRPr="002729FA" w:rsidRDefault="001246BE" w:rsidP="000038F8">
            <w:r>
              <w:t>Fair</w:t>
            </w:r>
          </w:p>
        </w:tc>
        <w:tc>
          <w:tcPr>
            <w:tcW w:w="886" w:type="pct"/>
            <w:shd w:val="clear" w:color="auto" w:fill="auto"/>
          </w:tcPr>
          <w:p w14:paraId="3982F772" w14:textId="7CC8F2E3" w:rsidR="001246BE" w:rsidRPr="002729FA" w:rsidRDefault="00635D93" w:rsidP="000038F8">
            <w:r>
              <w:t xml:space="preserve"> Findings from the study indicate that moving out of hospital as part of Transforming Care was </w:t>
            </w:r>
            <w:r>
              <w:lastRenderedPageBreak/>
              <w:t>a complex process of adjustment and adaptation</w:t>
            </w:r>
            <w:r w:rsidR="001F4D2F">
              <w:t>. The research showed that when given the opportunity with the right package of support in place, people with complex needs and learning disabilities can successfully transition to community settings.</w:t>
            </w:r>
          </w:p>
        </w:tc>
      </w:tr>
    </w:tbl>
    <w:p w14:paraId="747623F5" w14:textId="77777777" w:rsidR="005D72C6" w:rsidRDefault="005D72C6" w:rsidP="00F5342A"/>
    <w:p w14:paraId="0FDB8A64" w14:textId="670D1352" w:rsidR="00E01F76" w:rsidRPr="00E94D61" w:rsidRDefault="00E01F76" w:rsidP="00E01F76">
      <w:pPr>
        <w:pStyle w:val="ListParagraph"/>
        <w:spacing w:line="360" w:lineRule="auto"/>
        <w:jc w:val="both"/>
        <w:rPr>
          <w:sz w:val="20"/>
          <w:szCs w:val="20"/>
        </w:rPr>
      </w:pPr>
      <w:r>
        <w:t>*</w:t>
      </w:r>
      <w:r>
        <w:rPr>
          <w:sz w:val="20"/>
          <w:szCs w:val="20"/>
        </w:rPr>
        <w:t>*Quality was assessed using the Joanna Briggs Instrument with, poor &lt;=50%, fair&lt;=76%, good&gt;75%, of criteria met. N/A means not applicable and refers to documents that were not quality assessed (grey literature)</w:t>
      </w:r>
    </w:p>
    <w:p w14:paraId="5A55869C" w14:textId="77777777" w:rsidR="00296F58" w:rsidRDefault="00296F58" w:rsidP="00F5342A"/>
    <w:p w14:paraId="2A588A60" w14:textId="5CCDB2E9" w:rsidR="00BF0543" w:rsidRDefault="00BF0543" w:rsidP="00F5342A">
      <w:pPr>
        <w:sectPr w:rsidR="00BF0543" w:rsidSect="00296F58">
          <w:headerReference w:type="default" r:id="rId41"/>
          <w:footerReference w:type="default" r:id="rId42"/>
          <w:pgSz w:w="15840" w:h="12240" w:orient="landscape"/>
          <w:pgMar w:top="1440" w:right="1440" w:bottom="1440" w:left="1440" w:header="720" w:footer="720" w:gutter="0"/>
          <w:cols w:space="720"/>
          <w:docGrid w:linePitch="360"/>
        </w:sectPr>
      </w:pPr>
    </w:p>
    <w:p w14:paraId="100E5397" w14:textId="08F47970" w:rsidR="001662E5" w:rsidRDefault="001662E5" w:rsidP="001662E5">
      <w:pPr>
        <w:pStyle w:val="Heading4"/>
      </w:pPr>
      <w:r>
        <w:lastRenderedPageBreak/>
        <w:t>Housing stock</w:t>
      </w:r>
    </w:p>
    <w:p w14:paraId="6C614E61" w14:textId="3B1628A9" w:rsidR="00784036" w:rsidRDefault="004C6A11" w:rsidP="00784036">
      <w:pPr>
        <w:spacing w:line="360" w:lineRule="auto"/>
        <w:jc w:val="both"/>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The importance of sufficient housing stock was addressed in two grey literature reports. </w:t>
      </w:r>
      <w:r w:rsidR="00D27F81">
        <w:rPr>
          <w:rFonts w:ascii="Calibri" w:eastAsia="Times New Roman" w:hAnsi="Calibri" w:cs="Calibri"/>
          <w:color w:val="000000"/>
          <w:lang w:val="en-AU" w:eastAsia="en-AU"/>
        </w:rPr>
        <w:t xml:space="preserve">Sharam et al (2018) recommend Government mandated reporting </w:t>
      </w:r>
      <w:r w:rsidR="00D27F81" w:rsidRPr="00ED3310">
        <w:rPr>
          <w:rFonts w:ascii="Calibri" w:eastAsia="Times New Roman" w:hAnsi="Calibri" w:cs="Calibri"/>
          <w:color w:val="000000"/>
          <w:lang w:val="en-AU" w:eastAsia="en-AU"/>
        </w:rPr>
        <w:t>of accessible properties</w:t>
      </w:r>
      <w:r w:rsidR="00D27F81">
        <w:rPr>
          <w:rFonts w:ascii="Calibri" w:eastAsia="Times New Roman" w:hAnsi="Calibri" w:cs="Calibri"/>
          <w:color w:val="000000"/>
          <w:lang w:val="en-AU" w:eastAsia="en-AU"/>
        </w:rPr>
        <w:t xml:space="preserve"> with a </w:t>
      </w:r>
      <w:r w:rsidR="00D27F81" w:rsidRPr="00ED3310">
        <w:rPr>
          <w:rFonts w:ascii="Calibri" w:eastAsia="Times New Roman" w:hAnsi="Calibri" w:cs="Calibri"/>
          <w:color w:val="000000"/>
          <w:lang w:val="en-AU" w:eastAsia="en-AU"/>
        </w:rPr>
        <w:t>national record maintained</w:t>
      </w:r>
      <w:r w:rsidR="006D6076">
        <w:rPr>
          <w:rFonts w:ascii="Calibri" w:eastAsia="Times New Roman" w:hAnsi="Calibri" w:cs="Calibri"/>
          <w:color w:val="000000"/>
          <w:lang w:val="en-AU" w:eastAsia="en-AU"/>
        </w:rPr>
        <w:t>, that is searchable and</w:t>
      </w:r>
      <w:r w:rsidR="00D27F81">
        <w:rPr>
          <w:rFonts w:ascii="Calibri" w:eastAsia="Times New Roman" w:hAnsi="Calibri" w:cs="Calibri"/>
          <w:color w:val="000000"/>
          <w:lang w:val="en-AU" w:eastAsia="en-AU"/>
        </w:rPr>
        <w:t xml:space="preserve"> which w</w:t>
      </w:r>
      <w:r w:rsidR="00D27F81" w:rsidRPr="00ED3310">
        <w:rPr>
          <w:rFonts w:ascii="Calibri" w:eastAsia="Times New Roman" w:hAnsi="Calibri" w:cs="Calibri"/>
          <w:color w:val="000000"/>
          <w:lang w:val="en-AU" w:eastAsia="en-AU"/>
        </w:rPr>
        <w:t>ill help people to find current</w:t>
      </w:r>
      <w:r w:rsidR="00D27F81">
        <w:rPr>
          <w:rFonts w:ascii="Calibri" w:eastAsia="Times New Roman" w:hAnsi="Calibri" w:cs="Calibri"/>
          <w:color w:val="000000"/>
          <w:lang w:val="en-AU" w:eastAsia="en-AU"/>
        </w:rPr>
        <w:t xml:space="preserve"> accessible</w:t>
      </w:r>
      <w:r w:rsidR="00D27F81" w:rsidRPr="00ED3310">
        <w:rPr>
          <w:rFonts w:ascii="Calibri" w:eastAsia="Times New Roman" w:hAnsi="Calibri" w:cs="Calibri"/>
          <w:color w:val="000000"/>
          <w:lang w:val="en-AU" w:eastAsia="en-AU"/>
        </w:rPr>
        <w:t xml:space="preserve"> offerings </w:t>
      </w:r>
      <w:r w:rsidR="00D27F81">
        <w:rPr>
          <w:rFonts w:ascii="Calibri" w:eastAsia="Times New Roman" w:hAnsi="Calibri" w:cs="Calibri"/>
          <w:color w:val="000000"/>
          <w:lang w:val="en-AU" w:eastAsia="en-AU"/>
        </w:rPr>
        <w:t xml:space="preserve">and </w:t>
      </w:r>
      <w:r w:rsidR="00D27F81" w:rsidRPr="00ED3310">
        <w:rPr>
          <w:rFonts w:ascii="Calibri" w:eastAsia="Times New Roman" w:hAnsi="Calibri" w:cs="Calibri"/>
          <w:color w:val="000000"/>
          <w:lang w:val="en-AU" w:eastAsia="en-AU"/>
        </w:rPr>
        <w:t xml:space="preserve">also </w:t>
      </w:r>
      <w:r w:rsidR="006D6076">
        <w:rPr>
          <w:rFonts w:ascii="Calibri" w:eastAsia="Times New Roman" w:hAnsi="Calibri" w:cs="Calibri"/>
          <w:color w:val="000000"/>
          <w:lang w:val="en-AU" w:eastAsia="en-AU"/>
        </w:rPr>
        <w:t xml:space="preserve">to </w:t>
      </w:r>
      <w:r w:rsidR="00D27F81" w:rsidRPr="00ED3310">
        <w:rPr>
          <w:rFonts w:ascii="Calibri" w:eastAsia="Times New Roman" w:hAnsi="Calibri" w:cs="Calibri"/>
          <w:color w:val="000000"/>
          <w:lang w:val="en-AU" w:eastAsia="en-AU"/>
        </w:rPr>
        <w:t>estimate gap and future need for accessible housing</w:t>
      </w:r>
      <w:r w:rsidR="00D27F81">
        <w:rPr>
          <w:rFonts w:ascii="Calibri" w:eastAsia="Times New Roman" w:hAnsi="Calibri" w:cs="Calibri"/>
          <w:color w:val="000000"/>
          <w:lang w:val="en-AU" w:eastAsia="en-AU"/>
        </w:rPr>
        <w:t>.</w:t>
      </w:r>
      <w:r w:rsidR="001C6E6D">
        <w:rPr>
          <w:rFonts w:ascii="Calibri" w:eastAsia="Times New Roman" w:hAnsi="Calibri" w:cs="Calibri"/>
          <w:color w:val="000000"/>
          <w:lang w:val="en-AU" w:eastAsia="en-AU"/>
        </w:rPr>
        <w:t xml:space="preserve"> </w:t>
      </w:r>
      <w:r w:rsidR="00D45056">
        <w:rPr>
          <w:rFonts w:ascii="Calibri" w:eastAsia="Times New Roman" w:hAnsi="Calibri" w:cs="Calibri"/>
          <w:color w:val="000000"/>
          <w:lang w:val="en-AU" w:eastAsia="en-AU"/>
        </w:rPr>
        <w:t>Access to housing sepa</w:t>
      </w:r>
      <w:r w:rsidR="00784036">
        <w:rPr>
          <w:rFonts w:ascii="Calibri" w:eastAsia="Times New Roman" w:hAnsi="Calibri" w:cs="Calibri"/>
          <w:color w:val="000000"/>
          <w:lang w:val="en-AU" w:eastAsia="en-AU"/>
        </w:rPr>
        <w:t>r</w:t>
      </w:r>
      <w:r w:rsidR="00D45056">
        <w:rPr>
          <w:rFonts w:ascii="Calibri" w:eastAsia="Times New Roman" w:hAnsi="Calibri" w:cs="Calibri"/>
          <w:color w:val="000000"/>
          <w:lang w:val="en-AU" w:eastAsia="en-AU"/>
        </w:rPr>
        <w:t>ate</w:t>
      </w:r>
      <w:r w:rsidR="00784036">
        <w:rPr>
          <w:rFonts w:ascii="Calibri" w:eastAsia="Times New Roman" w:hAnsi="Calibri" w:cs="Calibri"/>
          <w:color w:val="000000"/>
          <w:lang w:val="en-AU" w:eastAsia="en-AU"/>
        </w:rPr>
        <w:t>ly</w:t>
      </w:r>
      <w:r w:rsidR="00D45056">
        <w:rPr>
          <w:rFonts w:ascii="Calibri" w:eastAsia="Times New Roman" w:hAnsi="Calibri" w:cs="Calibri"/>
          <w:color w:val="000000"/>
          <w:lang w:val="en-AU" w:eastAsia="en-AU"/>
        </w:rPr>
        <w:t xml:space="preserve"> to and prior to </w:t>
      </w:r>
      <w:r w:rsidR="00166A1B">
        <w:rPr>
          <w:rFonts w:ascii="Calibri" w:eastAsia="Times New Roman" w:hAnsi="Calibri" w:cs="Calibri"/>
          <w:color w:val="000000"/>
          <w:lang w:val="en-AU" w:eastAsia="en-AU"/>
        </w:rPr>
        <w:t xml:space="preserve">other supports was also </w:t>
      </w:r>
      <w:r w:rsidR="00E6689F">
        <w:rPr>
          <w:rFonts w:ascii="Calibri" w:eastAsia="Times New Roman" w:hAnsi="Calibri" w:cs="Calibri"/>
          <w:color w:val="000000"/>
          <w:lang w:val="en-AU" w:eastAsia="en-AU"/>
        </w:rPr>
        <w:t xml:space="preserve">reported </w:t>
      </w:r>
      <w:r w:rsidR="00166A1B">
        <w:rPr>
          <w:rFonts w:ascii="Calibri" w:eastAsia="Times New Roman" w:hAnsi="Calibri" w:cs="Calibri"/>
          <w:color w:val="000000"/>
          <w:lang w:val="en-AU" w:eastAsia="en-AU"/>
        </w:rPr>
        <w:t xml:space="preserve">as an enabler. </w:t>
      </w:r>
      <w:r w:rsidR="001C6E6D">
        <w:rPr>
          <w:rFonts w:ascii="Calibri" w:eastAsia="Times New Roman" w:hAnsi="Calibri" w:cs="Calibri"/>
          <w:color w:val="000000"/>
          <w:lang w:val="en-AU" w:eastAsia="en-AU"/>
        </w:rPr>
        <w:t>Referring to previous studies</w:t>
      </w:r>
      <w:r w:rsidR="00412C38">
        <w:rPr>
          <w:rFonts w:ascii="Calibri" w:eastAsia="Times New Roman" w:hAnsi="Calibri" w:cs="Calibri"/>
          <w:color w:val="000000"/>
          <w:lang w:val="en-AU" w:eastAsia="en-AU"/>
        </w:rPr>
        <w:t xml:space="preserve"> Fisher et al (2008)</w:t>
      </w:r>
      <w:r w:rsidR="001C6E6D">
        <w:rPr>
          <w:rFonts w:ascii="Calibri" w:eastAsia="Times New Roman" w:hAnsi="Calibri" w:cs="Calibri"/>
          <w:color w:val="000000"/>
          <w:lang w:val="en-AU" w:eastAsia="en-AU"/>
        </w:rPr>
        <w:t xml:space="preserve"> contend that from a policy perspective separation of housing and supports provides a model that fulfills </w:t>
      </w:r>
      <w:r w:rsidR="00412C38">
        <w:rPr>
          <w:rFonts w:ascii="Calibri" w:eastAsia="Times New Roman" w:hAnsi="Calibri" w:cs="Calibri"/>
          <w:color w:val="000000"/>
          <w:lang w:val="en-AU" w:eastAsia="en-AU"/>
        </w:rPr>
        <w:t xml:space="preserve">the needs of </w:t>
      </w:r>
      <w:r w:rsidR="00E63A6E">
        <w:rPr>
          <w:rFonts w:ascii="Calibri" w:eastAsia="Times New Roman" w:hAnsi="Calibri" w:cs="Calibri"/>
          <w:color w:val="000000"/>
          <w:lang w:val="en-AU" w:eastAsia="en-AU"/>
        </w:rPr>
        <w:t xml:space="preserve">people with disabilities who </w:t>
      </w:r>
      <w:r w:rsidR="00F53AE5">
        <w:rPr>
          <w:rFonts w:ascii="Calibri" w:eastAsia="Times New Roman" w:hAnsi="Calibri" w:cs="Calibri"/>
          <w:color w:val="000000"/>
          <w:lang w:val="en-AU" w:eastAsia="en-AU"/>
        </w:rPr>
        <w:t xml:space="preserve">are content to </w:t>
      </w:r>
      <w:r w:rsidR="0096684F">
        <w:rPr>
          <w:rFonts w:ascii="Calibri" w:eastAsia="Times New Roman" w:hAnsi="Calibri" w:cs="Calibri"/>
          <w:color w:val="000000"/>
          <w:lang w:val="en-AU" w:eastAsia="en-AU"/>
        </w:rPr>
        <w:t>manag</w:t>
      </w:r>
      <w:r w:rsidR="00F53AE5">
        <w:rPr>
          <w:rFonts w:ascii="Calibri" w:eastAsia="Times New Roman" w:hAnsi="Calibri" w:cs="Calibri"/>
          <w:color w:val="000000"/>
          <w:lang w:val="en-AU" w:eastAsia="en-AU"/>
        </w:rPr>
        <w:t>e</w:t>
      </w:r>
      <w:r w:rsidR="0096684F">
        <w:rPr>
          <w:rFonts w:ascii="Calibri" w:eastAsia="Times New Roman" w:hAnsi="Calibri" w:cs="Calibri"/>
          <w:color w:val="000000"/>
          <w:lang w:val="en-AU" w:eastAsia="en-AU"/>
        </w:rPr>
        <w:t xml:space="preserve"> supports and housing separately, and those that do not.</w:t>
      </w:r>
      <w:r w:rsidR="00784036">
        <w:rPr>
          <w:rFonts w:ascii="Calibri" w:eastAsia="Times New Roman" w:hAnsi="Calibri" w:cs="Calibri"/>
          <w:color w:val="000000"/>
          <w:lang w:val="en-AU" w:eastAsia="en-AU"/>
        </w:rPr>
        <w:t xml:space="preserve"> </w:t>
      </w:r>
    </w:p>
    <w:p w14:paraId="5369203E" w14:textId="77777777" w:rsidR="00296F58" w:rsidRDefault="00296F58" w:rsidP="00784036">
      <w:pPr>
        <w:spacing w:line="360" w:lineRule="auto"/>
        <w:jc w:val="both"/>
        <w:rPr>
          <w:rFonts w:ascii="Calibri" w:eastAsia="Times New Roman" w:hAnsi="Calibri" w:cs="Calibri"/>
          <w:color w:val="000000"/>
          <w:lang w:val="en-AU" w:eastAsia="en-AU"/>
        </w:rPr>
        <w:sectPr w:rsidR="00296F58" w:rsidSect="00296F58">
          <w:headerReference w:type="default" r:id="rId43"/>
          <w:footerReference w:type="default" r:id="rId44"/>
          <w:pgSz w:w="12240" w:h="15840"/>
          <w:pgMar w:top="1440" w:right="1440" w:bottom="1440" w:left="1440" w:header="720" w:footer="720" w:gutter="0"/>
          <w:cols w:space="720"/>
          <w:docGrid w:linePitch="360"/>
        </w:sectPr>
      </w:pPr>
    </w:p>
    <w:p w14:paraId="25E3761C" w14:textId="07DE222C" w:rsidR="0060663C" w:rsidRPr="006C763F" w:rsidRDefault="00296F58" w:rsidP="00296F58">
      <w:pPr>
        <w:pStyle w:val="Caption"/>
        <w:rPr>
          <w:b/>
          <w:bCs/>
        </w:rPr>
      </w:pPr>
      <w:bookmarkStart w:id="47" w:name="_Toc66355187"/>
      <w:r>
        <w:lastRenderedPageBreak/>
        <w:t xml:space="preserve">Table </w:t>
      </w:r>
      <w:r>
        <w:fldChar w:fldCharType="begin"/>
      </w:r>
      <w:r>
        <w:instrText>SEQ Table \* ARABIC</w:instrText>
      </w:r>
      <w:r>
        <w:fldChar w:fldCharType="separate"/>
      </w:r>
      <w:r w:rsidR="000E7FFE">
        <w:rPr>
          <w:noProof/>
        </w:rPr>
        <w:t>8</w:t>
      </w:r>
      <w:r>
        <w:fldChar w:fldCharType="end"/>
      </w:r>
      <w:r>
        <w:rPr>
          <w:b/>
          <w:bCs/>
        </w:rPr>
        <w:t xml:space="preserve"> </w:t>
      </w:r>
      <w:r w:rsidR="009744FE" w:rsidRPr="006C763F">
        <w:rPr>
          <w:b/>
          <w:bCs/>
        </w:rPr>
        <w:t>Housing stock</w:t>
      </w:r>
      <w:bookmarkEnd w:id="47"/>
    </w:p>
    <w:tbl>
      <w:tblPr>
        <w:tblStyle w:val="TableGrid"/>
        <w:tblW w:w="5000" w:type="pct"/>
        <w:tblLook w:val="04A0" w:firstRow="1" w:lastRow="0" w:firstColumn="1" w:lastColumn="0" w:noHBand="0" w:noVBand="1"/>
      </w:tblPr>
      <w:tblGrid>
        <w:gridCol w:w="2163"/>
        <w:gridCol w:w="1450"/>
        <w:gridCol w:w="1481"/>
        <w:gridCol w:w="1481"/>
        <w:gridCol w:w="1658"/>
        <w:gridCol w:w="2422"/>
        <w:gridCol w:w="2295"/>
      </w:tblGrid>
      <w:tr w:rsidR="00CD68E2" w:rsidRPr="00BF0543" w14:paraId="0A43D7EB" w14:textId="77777777" w:rsidTr="00296F58">
        <w:tc>
          <w:tcPr>
            <w:tcW w:w="835" w:type="pct"/>
            <w:shd w:val="clear" w:color="auto" w:fill="FFFF00"/>
          </w:tcPr>
          <w:p w14:paraId="6B4535FB" w14:textId="77777777" w:rsidR="00CD68E2" w:rsidRPr="00BF0543" w:rsidRDefault="00CD68E2" w:rsidP="000038F8">
            <w:pPr>
              <w:rPr>
                <w:b/>
                <w:bCs/>
                <w:sz w:val="21"/>
                <w:szCs w:val="21"/>
              </w:rPr>
            </w:pPr>
            <w:r w:rsidRPr="00BF0543">
              <w:rPr>
                <w:b/>
                <w:bCs/>
                <w:sz w:val="21"/>
                <w:szCs w:val="21"/>
              </w:rPr>
              <w:t>Description - Housing stock</w:t>
            </w:r>
          </w:p>
        </w:tc>
        <w:tc>
          <w:tcPr>
            <w:tcW w:w="560" w:type="pct"/>
            <w:shd w:val="clear" w:color="auto" w:fill="FFFF00"/>
          </w:tcPr>
          <w:p w14:paraId="5934CFEC" w14:textId="77777777" w:rsidR="00CD68E2" w:rsidRPr="00BF0543" w:rsidRDefault="00CD68E2" w:rsidP="000038F8">
            <w:pPr>
              <w:rPr>
                <w:b/>
                <w:bCs/>
                <w:sz w:val="21"/>
                <w:szCs w:val="21"/>
              </w:rPr>
            </w:pPr>
            <w:r w:rsidRPr="00BF0543">
              <w:rPr>
                <w:b/>
                <w:bCs/>
                <w:sz w:val="21"/>
                <w:szCs w:val="21"/>
              </w:rPr>
              <w:t>Countries this approach has been implemented</w:t>
            </w:r>
          </w:p>
        </w:tc>
        <w:tc>
          <w:tcPr>
            <w:tcW w:w="572" w:type="pct"/>
            <w:shd w:val="clear" w:color="auto" w:fill="FFFF00"/>
          </w:tcPr>
          <w:p w14:paraId="5A1986BF" w14:textId="77777777" w:rsidR="00CD68E2" w:rsidRPr="00BF0543" w:rsidRDefault="00CD68E2" w:rsidP="000038F8">
            <w:pPr>
              <w:rPr>
                <w:b/>
                <w:bCs/>
                <w:sz w:val="21"/>
                <w:szCs w:val="21"/>
              </w:rPr>
            </w:pPr>
            <w:r w:rsidRPr="00BF0543">
              <w:rPr>
                <w:b/>
                <w:bCs/>
                <w:sz w:val="21"/>
                <w:szCs w:val="21"/>
              </w:rPr>
              <w:t>Author (Year)</w:t>
            </w:r>
          </w:p>
        </w:tc>
        <w:tc>
          <w:tcPr>
            <w:tcW w:w="572" w:type="pct"/>
            <w:shd w:val="clear" w:color="auto" w:fill="FFFF00"/>
          </w:tcPr>
          <w:p w14:paraId="20532A73" w14:textId="77777777" w:rsidR="00CD68E2" w:rsidRPr="00BF0543" w:rsidRDefault="00CD68E2" w:rsidP="000038F8">
            <w:pPr>
              <w:rPr>
                <w:b/>
                <w:bCs/>
                <w:sz w:val="21"/>
                <w:szCs w:val="21"/>
              </w:rPr>
            </w:pPr>
            <w:r w:rsidRPr="00BF0543">
              <w:rPr>
                <w:b/>
                <w:bCs/>
                <w:sz w:val="21"/>
                <w:szCs w:val="21"/>
              </w:rPr>
              <w:t>Participants</w:t>
            </w:r>
          </w:p>
        </w:tc>
        <w:tc>
          <w:tcPr>
            <w:tcW w:w="640" w:type="pct"/>
            <w:shd w:val="clear" w:color="auto" w:fill="FFFF00"/>
          </w:tcPr>
          <w:p w14:paraId="3190482F" w14:textId="77777777" w:rsidR="00CD68E2" w:rsidRPr="00BF0543" w:rsidRDefault="00CD68E2" w:rsidP="000038F8">
            <w:pPr>
              <w:rPr>
                <w:b/>
                <w:bCs/>
                <w:sz w:val="21"/>
                <w:szCs w:val="21"/>
              </w:rPr>
            </w:pPr>
            <w:r w:rsidRPr="00BF0543">
              <w:rPr>
                <w:b/>
                <w:bCs/>
                <w:sz w:val="21"/>
                <w:szCs w:val="21"/>
              </w:rPr>
              <w:t>Type of study</w:t>
            </w:r>
          </w:p>
        </w:tc>
        <w:tc>
          <w:tcPr>
            <w:tcW w:w="935" w:type="pct"/>
            <w:shd w:val="clear" w:color="auto" w:fill="FFFF00"/>
          </w:tcPr>
          <w:p w14:paraId="072DF4B7" w14:textId="7BAB2B38" w:rsidR="00CD68E2" w:rsidRPr="00BF0543" w:rsidRDefault="00CD68E2" w:rsidP="000038F8">
            <w:pPr>
              <w:rPr>
                <w:b/>
                <w:bCs/>
                <w:sz w:val="21"/>
                <w:szCs w:val="21"/>
              </w:rPr>
            </w:pPr>
            <w:r w:rsidRPr="00BF0543">
              <w:rPr>
                <w:b/>
                <w:bCs/>
                <w:sz w:val="21"/>
                <w:szCs w:val="21"/>
              </w:rPr>
              <w:t>Quality</w:t>
            </w:r>
            <w:r w:rsidR="00E01F76" w:rsidRPr="00BF0543">
              <w:rPr>
                <w:b/>
                <w:bCs/>
                <w:sz w:val="21"/>
                <w:szCs w:val="21"/>
              </w:rPr>
              <w:t>*</w:t>
            </w:r>
          </w:p>
        </w:tc>
        <w:tc>
          <w:tcPr>
            <w:tcW w:w="886" w:type="pct"/>
            <w:shd w:val="clear" w:color="auto" w:fill="FFFF00"/>
          </w:tcPr>
          <w:p w14:paraId="0911C875" w14:textId="77777777" w:rsidR="00CD68E2" w:rsidRPr="00BF0543" w:rsidRDefault="00CD68E2" w:rsidP="000038F8">
            <w:pPr>
              <w:rPr>
                <w:b/>
                <w:bCs/>
                <w:sz w:val="21"/>
                <w:szCs w:val="21"/>
              </w:rPr>
            </w:pPr>
            <w:r w:rsidRPr="00BF0543">
              <w:rPr>
                <w:b/>
                <w:bCs/>
                <w:sz w:val="21"/>
                <w:szCs w:val="21"/>
              </w:rPr>
              <w:t>Findings</w:t>
            </w:r>
          </w:p>
        </w:tc>
      </w:tr>
      <w:tr w:rsidR="00CD68E2" w:rsidRPr="00BF0543" w14:paraId="26A013E0" w14:textId="77777777" w:rsidTr="00296F58">
        <w:tc>
          <w:tcPr>
            <w:tcW w:w="835" w:type="pct"/>
          </w:tcPr>
          <w:p w14:paraId="67BF1AAD" w14:textId="77777777" w:rsidR="00CD68E2" w:rsidRPr="00BF0543" w:rsidRDefault="00CD68E2" w:rsidP="000038F8">
            <w:pPr>
              <w:rPr>
                <w:sz w:val="21"/>
                <w:szCs w:val="21"/>
              </w:rPr>
            </w:pPr>
            <w:r w:rsidRPr="00BF0543">
              <w:rPr>
                <w:sz w:val="21"/>
                <w:szCs w:val="21"/>
              </w:rPr>
              <w:t>National searchable database ‘Hub’ of accessible/modified housing. Based on The Housing Hub model in Victoria established by the Summer Foundation which enables people looking to sell or rent accessible properties to be linked with buyers/renters with disabilities.</w:t>
            </w:r>
          </w:p>
        </w:tc>
        <w:tc>
          <w:tcPr>
            <w:tcW w:w="560" w:type="pct"/>
          </w:tcPr>
          <w:p w14:paraId="296F438E" w14:textId="77777777" w:rsidR="00CD68E2" w:rsidRPr="00BF0543" w:rsidRDefault="00CD68E2" w:rsidP="000038F8">
            <w:pPr>
              <w:rPr>
                <w:sz w:val="21"/>
                <w:szCs w:val="21"/>
              </w:rPr>
            </w:pPr>
            <w:r w:rsidRPr="00BF0543">
              <w:rPr>
                <w:sz w:val="21"/>
                <w:szCs w:val="21"/>
              </w:rPr>
              <w:t>Australia</w:t>
            </w:r>
          </w:p>
        </w:tc>
        <w:tc>
          <w:tcPr>
            <w:tcW w:w="572" w:type="pct"/>
          </w:tcPr>
          <w:p w14:paraId="2C7F56DC" w14:textId="77777777" w:rsidR="00CD68E2" w:rsidRPr="00BF0543" w:rsidRDefault="00CD68E2" w:rsidP="000038F8">
            <w:pPr>
              <w:rPr>
                <w:sz w:val="21"/>
                <w:szCs w:val="21"/>
              </w:rPr>
            </w:pPr>
            <w:r w:rsidRPr="00BF0543">
              <w:rPr>
                <w:sz w:val="21"/>
                <w:szCs w:val="21"/>
              </w:rPr>
              <w:t>Sharam et al (2018)</w:t>
            </w:r>
          </w:p>
        </w:tc>
        <w:tc>
          <w:tcPr>
            <w:tcW w:w="572" w:type="pct"/>
          </w:tcPr>
          <w:p w14:paraId="2C33F936" w14:textId="77777777" w:rsidR="00CD68E2" w:rsidRPr="00BF0543" w:rsidRDefault="00CD68E2" w:rsidP="000038F8">
            <w:pPr>
              <w:rPr>
                <w:sz w:val="21"/>
                <w:szCs w:val="21"/>
              </w:rPr>
            </w:pPr>
            <w:r w:rsidRPr="00BF0543">
              <w:rPr>
                <w:sz w:val="21"/>
                <w:szCs w:val="21"/>
              </w:rPr>
              <w:t>People with disabilities</w:t>
            </w:r>
          </w:p>
        </w:tc>
        <w:tc>
          <w:tcPr>
            <w:tcW w:w="640" w:type="pct"/>
          </w:tcPr>
          <w:p w14:paraId="60EC4470" w14:textId="77777777" w:rsidR="00CD68E2" w:rsidRPr="00BF0543" w:rsidRDefault="00CD68E2" w:rsidP="000038F8">
            <w:pPr>
              <w:rPr>
                <w:sz w:val="21"/>
                <w:szCs w:val="21"/>
              </w:rPr>
            </w:pPr>
            <w:r w:rsidRPr="00BF0543">
              <w:rPr>
                <w:sz w:val="21"/>
                <w:szCs w:val="21"/>
              </w:rPr>
              <w:t xml:space="preserve">Exploratory design. Commissioned research report. Grey literature. </w:t>
            </w:r>
          </w:p>
        </w:tc>
        <w:tc>
          <w:tcPr>
            <w:tcW w:w="935" w:type="pct"/>
          </w:tcPr>
          <w:p w14:paraId="630A62E3" w14:textId="17FC682E" w:rsidR="00CD68E2" w:rsidRPr="00BF0543" w:rsidRDefault="008F4DA8" w:rsidP="000038F8">
            <w:pPr>
              <w:rPr>
                <w:sz w:val="21"/>
                <w:szCs w:val="21"/>
              </w:rPr>
            </w:pPr>
            <w:r w:rsidRPr="00BF0543">
              <w:rPr>
                <w:sz w:val="21"/>
                <w:szCs w:val="21"/>
              </w:rPr>
              <w:t xml:space="preserve"> N/A</w:t>
            </w:r>
          </w:p>
          <w:p w14:paraId="20809561" w14:textId="77777777" w:rsidR="00CD68E2" w:rsidRPr="00BF0543" w:rsidRDefault="00CD68E2" w:rsidP="000038F8">
            <w:pPr>
              <w:rPr>
                <w:sz w:val="21"/>
                <w:szCs w:val="21"/>
              </w:rPr>
            </w:pPr>
          </w:p>
          <w:p w14:paraId="7FEF67D3" w14:textId="77777777" w:rsidR="00CD68E2" w:rsidRPr="00BF0543" w:rsidRDefault="00CD68E2" w:rsidP="000038F8">
            <w:pPr>
              <w:rPr>
                <w:sz w:val="21"/>
                <w:szCs w:val="21"/>
              </w:rPr>
            </w:pPr>
          </w:p>
        </w:tc>
        <w:tc>
          <w:tcPr>
            <w:tcW w:w="886" w:type="pct"/>
          </w:tcPr>
          <w:p w14:paraId="1E6F15B2" w14:textId="77777777" w:rsidR="00CD68E2" w:rsidRPr="00BF0543" w:rsidRDefault="00CD68E2" w:rsidP="000038F8">
            <w:pPr>
              <w:rPr>
                <w:sz w:val="21"/>
                <w:szCs w:val="21"/>
              </w:rPr>
            </w:pPr>
            <w:r w:rsidRPr="00BF0543">
              <w:rPr>
                <w:sz w:val="21"/>
                <w:szCs w:val="21"/>
              </w:rPr>
              <w:t>Proposition made to have searchable database for accessible properties to buy or rent. National hub proposal based on already State level housing hub in Victoria</w:t>
            </w:r>
          </w:p>
        </w:tc>
      </w:tr>
      <w:tr w:rsidR="00CD68E2" w:rsidRPr="00BF0543" w14:paraId="492A95CD" w14:textId="77777777" w:rsidTr="00296F58">
        <w:tc>
          <w:tcPr>
            <w:tcW w:w="835" w:type="pct"/>
          </w:tcPr>
          <w:p w14:paraId="6627336B" w14:textId="77777777" w:rsidR="00CD68E2" w:rsidRPr="00BF0543" w:rsidRDefault="00CD68E2" w:rsidP="000038F8">
            <w:pPr>
              <w:rPr>
                <w:sz w:val="21"/>
                <w:szCs w:val="21"/>
              </w:rPr>
            </w:pPr>
            <w:r w:rsidRPr="00BF0543">
              <w:rPr>
                <w:sz w:val="21"/>
                <w:szCs w:val="21"/>
              </w:rPr>
              <w:t>Separation of provision of housing and supports</w:t>
            </w:r>
          </w:p>
        </w:tc>
        <w:tc>
          <w:tcPr>
            <w:tcW w:w="560" w:type="pct"/>
          </w:tcPr>
          <w:p w14:paraId="08EC6ECF" w14:textId="77777777" w:rsidR="00CD68E2" w:rsidRPr="00BF0543" w:rsidRDefault="00CD68E2" w:rsidP="000038F8">
            <w:pPr>
              <w:rPr>
                <w:sz w:val="21"/>
                <w:szCs w:val="21"/>
              </w:rPr>
            </w:pPr>
            <w:r w:rsidRPr="00BF0543">
              <w:rPr>
                <w:sz w:val="21"/>
                <w:szCs w:val="21"/>
              </w:rPr>
              <w:t>Australia</w:t>
            </w:r>
          </w:p>
        </w:tc>
        <w:tc>
          <w:tcPr>
            <w:tcW w:w="572" w:type="pct"/>
          </w:tcPr>
          <w:p w14:paraId="7163B3FE" w14:textId="77777777" w:rsidR="00CD68E2" w:rsidRPr="00BF0543" w:rsidRDefault="00CD68E2" w:rsidP="000038F8">
            <w:pPr>
              <w:rPr>
                <w:sz w:val="21"/>
                <w:szCs w:val="21"/>
              </w:rPr>
            </w:pPr>
            <w:r w:rsidRPr="00BF0543">
              <w:rPr>
                <w:sz w:val="21"/>
                <w:szCs w:val="21"/>
              </w:rPr>
              <w:t>Fisher et al (2008)</w:t>
            </w:r>
          </w:p>
        </w:tc>
        <w:tc>
          <w:tcPr>
            <w:tcW w:w="572" w:type="pct"/>
          </w:tcPr>
          <w:p w14:paraId="18FD0B57" w14:textId="77777777" w:rsidR="00CD68E2" w:rsidRPr="00BF0543" w:rsidRDefault="00CD68E2" w:rsidP="000038F8">
            <w:pPr>
              <w:rPr>
                <w:sz w:val="21"/>
                <w:szCs w:val="21"/>
              </w:rPr>
            </w:pPr>
            <w:r w:rsidRPr="00BF0543">
              <w:rPr>
                <w:sz w:val="21"/>
                <w:szCs w:val="21"/>
              </w:rPr>
              <w:t xml:space="preserve">People with disabilities </w:t>
            </w:r>
          </w:p>
        </w:tc>
        <w:tc>
          <w:tcPr>
            <w:tcW w:w="640" w:type="pct"/>
          </w:tcPr>
          <w:p w14:paraId="3EA8CA05" w14:textId="77777777" w:rsidR="00CD68E2" w:rsidRPr="00BF0543" w:rsidRDefault="00CD68E2" w:rsidP="000038F8">
            <w:pPr>
              <w:rPr>
                <w:sz w:val="21"/>
                <w:szCs w:val="21"/>
              </w:rPr>
            </w:pPr>
            <w:r w:rsidRPr="00BF0543">
              <w:rPr>
                <w:sz w:val="21"/>
                <w:szCs w:val="21"/>
              </w:rPr>
              <w:t>Mixed methods. Commissioned research report. Grey literature.</w:t>
            </w:r>
          </w:p>
        </w:tc>
        <w:tc>
          <w:tcPr>
            <w:tcW w:w="935" w:type="pct"/>
          </w:tcPr>
          <w:p w14:paraId="6C5AEB3E" w14:textId="3E724E94" w:rsidR="00CD68E2" w:rsidRPr="00BF0543" w:rsidRDefault="008F4DA8" w:rsidP="000038F8">
            <w:pPr>
              <w:rPr>
                <w:sz w:val="21"/>
                <w:szCs w:val="21"/>
              </w:rPr>
            </w:pPr>
            <w:r w:rsidRPr="00BF0543">
              <w:rPr>
                <w:sz w:val="21"/>
                <w:szCs w:val="21"/>
              </w:rPr>
              <w:t>N/A</w:t>
            </w:r>
          </w:p>
        </w:tc>
        <w:tc>
          <w:tcPr>
            <w:tcW w:w="886" w:type="pct"/>
          </w:tcPr>
          <w:p w14:paraId="76FFAA06" w14:textId="2F46A8E8" w:rsidR="00CD68E2" w:rsidRPr="00BF0543" w:rsidRDefault="008F4DA8" w:rsidP="000038F8">
            <w:pPr>
              <w:rPr>
                <w:sz w:val="21"/>
                <w:szCs w:val="21"/>
              </w:rPr>
            </w:pPr>
            <w:r w:rsidRPr="00BF0543">
              <w:rPr>
                <w:sz w:val="21"/>
                <w:szCs w:val="21"/>
              </w:rPr>
              <w:t xml:space="preserve">Refers to previous studies but no empirical evidence on separation of housing and supports. </w:t>
            </w:r>
            <w:r w:rsidR="00CD68E2" w:rsidRPr="00BF0543">
              <w:rPr>
                <w:sz w:val="21"/>
                <w:szCs w:val="21"/>
              </w:rPr>
              <w:t>The preference of people with disability for separation of housing and supports is not clear from the research undertaken as noted by the authors.</w:t>
            </w:r>
          </w:p>
        </w:tc>
      </w:tr>
    </w:tbl>
    <w:p w14:paraId="67872853" w14:textId="77777777" w:rsidR="001662E5" w:rsidRPr="00F5342A" w:rsidRDefault="001662E5" w:rsidP="00F5342A"/>
    <w:p w14:paraId="2ABDB0CD" w14:textId="57264A43" w:rsidR="00E01F76" w:rsidRPr="00E94D61" w:rsidRDefault="00E01F76" w:rsidP="00E01F76">
      <w:pPr>
        <w:pStyle w:val="ListParagraph"/>
        <w:spacing w:line="360" w:lineRule="auto"/>
        <w:jc w:val="both"/>
        <w:rPr>
          <w:sz w:val="20"/>
          <w:szCs w:val="20"/>
        </w:rPr>
      </w:pPr>
      <w:r>
        <w:t>*</w:t>
      </w:r>
      <w:r>
        <w:rPr>
          <w:sz w:val="20"/>
          <w:szCs w:val="20"/>
        </w:rPr>
        <w:t>Quality was assessed using the Joanna Briggs Instrument with, poor &lt;=50%, fair&lt;=76%, good&gt;75%, of criteria met. N/A means not applicable and refers to documents that were not quality assessed (grey literature)</w:t>
      </w:r>
    </w:p>
    <w:p w14:paraId="1836E867" w14:textId="4A3460E5" w:rsidR="00296F58" w:rsidRDefault="00296F58" w:rsidP="00DF09CF">
      <w:pPr>
        <w:sectPr w:rsidR="00296F58" w:rsidSect="00296F58">
          <w:headerReference w:type="default" r:id="rId45"/>
          <w:pgSz w:w="15840" w:h="12240" w:orient="landscape"/>
          <w:pgMar w:top="1440" w:right="1440" w:bottom="1440" w:left="1440" w:header="720" w:footer="720" w:gutter="0"/>
          <w:cols w:space="720"/>
          <w:docGrid w:linePitch="360"/>
        </w:sectPr>
      </w:pPr>
    </w:p>
    <w:p w14:paraId="6A630293" w14:textId="55C5ED2B" w:rsidR="00DF09CF" w:rsidRDefault="00DF09CF" w:rsidP="00B5199A">
      <w:pPr>
        <w:pStyle w:val="Heading3"/>
      </w:pPr>
      <w:bookmarkStart w:id="48" w:name="_Toc73535961"/>
      <w:r>
        <w:lastRenderedPageBreak/>
        <w:t>Organisational</w:t>
      </w:r>
      <w:bookmarkEnd w:id="48"/>
    </w:p>
    <w:p w14:paraId="7366AB20" w14:textId="683350B3" w:rsidR="00DF09CF" w:rsidRDefault="001662E5" w:rsidP="00DF09CF">
      <w:pPr>
        <w:pStyle w:val="Heading4"/>
      </w:pPr>
      <w:r>
        <w:t>Transition</w:t>
      </w:r>
      <w:r w:rsidR="00091A27">
        <w:t xml:space="preserve"> program</w:t>
      </w:r>
      <w:r w:rsidR="00DB1525">
        <w:t>s</w:t>
      </w:r>
      <w:r w:rsidR="00091A27">
        <w:t xml:space="preserve"> and supports</w:t>
      </w:r>
    </w:p>
    <w:p w14:paraId="6104CF43" w14:textId="7A3BFDE3" w:rsidR="00FF1AD9" w:rsidRPr="00296F58" w:rsidRDefault="00DD5CAB" w:rsidP="000F0B20">
      <w:pPr>
        <w:spacing w:line="360" w:lineRule="auto"/>
        <w:jc w:val="both"/>
        <w:rPr>
          <w:sz w:val="21"/>
          <w:szCs w:val="21"/>
          <w:lang w:val="en-AU"/>
        </w:rPr>
      </w:pPr>
      <w:r w:rsidRPr="00296F58">
        <w:rPr>
          <w:sz w:val="21"/>
          <w:szCs w:val="21"/>
          <w:lang w:val="en-AU"/>
        </w:rPr>
        <w:t>Eight quantitative</w:t>
      </w:r>
      <w:r w:rsidR="0076760B" w:rsidRPr="00296F58">
        <w:rPr>
          <w:sz w:val="21"/>
          <w:szCs w:val="21"/>
          <w:lang w:val="en-AU"/>
        </w:rPr>
        <w:t xml:space="preserve"> studies summarised programmes of support designed to facilitate transition from congregated settings or homelessness to de-congregated setting or independent living. </w:t>
      </w:r>
      <w:r w:rsidR="007C4236" w:rsidRPr="00296F58">
        <w:rPr>
          <w:sz w:val="21"/>
          <w:szCs w:val="21"/>
          <w:lang w:val="en-AU"/>
        </w:rPr>
        <w:t>All program</w:t>
      </w:r>
      <w:r w:rsidR="00FF1AD9" w:rsidRPr="00296F58">
        <w:rPr>
          <w:sz w:val="21"/>
          <w:szCs w:val="21"/>
          <w:lang w:val="en-AU"/>
        </w:rPr>
        <w:t>s</w:t>
      </w:r>
      <w:r w:rsidR="007C4236" w:rsidRPr="00296F58">
        <w:rPr>
          <w:sz w:val="21"/>
          <w:szCs w:val="21"/>
          <w:lang w:val="en-AU"/>
        </w:rPr>
        <w:t xml:space="preserve"> were multidisciplinary in nature and included components on housing as well as clinical support. </w:t>
      </w:r>
      <w:r w:rsidR="0076024B" w:rsidRPr="00296F58">
        <w:rPr>
          <w:sz w:val="21"/>
          <w:szCs w:val="21"/>
          <w:lang w:val="en-AU"/>
        </w:rPr>
        <w:t xml:space="preserve">The quality of the studies varied with most rated as </w:t>
      </w:r>
      <w:r w:rsidR="004F175A" w:rsidRPr="00296F58">
        <w:rPr>
          <w:sz w:val="21"/>
          <w:szCs w:val="21"/>
          <w:lang w:val="en-AU"/>
        </w:rPr>
        <w:t>fair</w:t>
      </w:r>
      <w:r w:rsidR="004F175A">
        <w:rPr>
          <w:sz w:val="21"/>
          <w:szCs w:val="21"/>
          <w:lang w:val="en-AU"/>
        </w:rPr>
        <w:t>. Six</w:t>
      </w:r>
      <w:r w:rsidR="007C4236" w:rsidRPr="00296F58">
        <w:rPr>
          <w:sz w:val="21"/>
          <w:szCs w:val="21"/>
          <w:lang w:val="en-AU"/>
        </w:rPr>
        <w:t xml:space="preserve"> studies focused on </w:t>
      </w:r>
      <w:r w:rsidR="00EF03C8" w:rsidRPr="00296F58">
        <w:rPr>
          <w:sz w:val="21"/>
          <w:szCs w:val="21"/>
          <w:lang w:val="en-AU"/>
        </w:rPr>
        <w:t xml:space="preserve">specialist support for </w:t>
      </w:r>
      <w:r w:rsidR="007C4236" w:rsidRPr="00296F58">
        <w:rPr>
          <w:sz w:val="21"/>
          <w:szCs w:val="21"/>
          <w:lang w:val="en-AU"/>
        </w:rPr>
        <w:t>people with psychiatric diagnoses (Aubry</w:t>
      </w:r>
      <w:r w:rsidR="0076024B" w:rsidRPr="00296F58">
        <w:rPr>
          <w:sz w:val="21"/>
          <w:szCs w:val="21"/>
          <w:lang w:val="en-AU"/>
        </w:rPr>
        <w:t xml:space="preserve"> et al, 2015;</w:t>
      </w:r>
      <w:r w:rsidR="007C4236" w:rsidRPr="00296F58">
        <w:rPr>
          <w:sz w:val="21"/>
          <w:szCs w:val="21"/>
          <w:lang w:val="en-AU"/>
        </w:rPr>
        <w:t xml:space="preserve"> Chan</w:t>
      </w:r>
      <w:r w:rsidR="0076024B" w:rsidRPr="00296F58">
        <w:rPr>
          <w:sz w:val="21"/>
          <w:szCs w:val="21"/>
          <w:lang w:val="en-AU"/>
        </w:rPr>
        <w:t xml:space="preserve"> et al, 2021</w:t>
      </w:r>
      <w:r w:rsidR="007C4236" w:rsidRPr="00296F58">
        <w:rPr>
          <w:sz w:val="21"/>
          <w:szCs w:val="21"/>
          <w:lang w:val="en-AU"/>
        </w:rPr>
        <w:t xml:space="preserve">, </w:t>
      </w:r>
      <w:r w:rsidR="0076024B" w:rsidRPr="00296F58">
        <w:rPr>
          <w:sz w:val="21"/>
          <w:szCs w:val="21"/>
          <w:lang w:val="en-AU"/>
        </w:rPr>
        <w:t>Gutman and Raphael-Greenfield, 2017;</w:t>
      </w:r>
      <w:r w:rsidR="007C4236" w:rsidRPr="00296F58">
        <w:rPr>
          <w:sz w:val="21"/>
          <w:szCs w:val="21"/>
          <w:lang w:val="en-AU"/>
        </w:rPr>
        <w:t xml:space="preserve"> Lee</w:t>
      </w:r>
      <w:r w:rsidR="0076024B" w:rsidRPr="00296F58">
        <w:rPr>
          <w:sz w:val="21"/>
          <w:szCs w:val="21"/>
          <w:lang w:val="en-AU"/>
        </w:rPr>
        <w:t xml:space="preserve"> et al, 2015; </w:t>
      </w:r>
      <w:r w:rsidR="007C4236" w:rsidRPr="00296F58">
        <w:rPr>
          <w:sz w:val="21"/>
          <w:szCs w:val="21"/>
          <w:lang w:val="en-AU"/>
        </w:rPr>
        <w:t>Sato</w:t>
      </w:r>
      <w:r w:rsidR="0076024B" w:rsidRPr="00296F58">
        <w:rPr>
          <w:sz w:val="21"/>
          <w:szCs w:val="21"/>
          <w:lang w:val="en-AU"/>
        </w:rPr>
        <w:t xml:space="preserve"> et al, 2012</w:t>
      </w:r>
      <w:r w:rsidR="007C4236" w:rsidRPr="00296F58">
        <w:rPr>
          <w:sz w:val="21"/>
          <w:szCs w:val="21"/>
          <w:lang w:val="en-AU"/>
        </w:rPr>
        <w:t>, Styron</w:t>
      </w:r>
      <w:r w:rsidR="0076024B" w:rsidRPr="00296F58">
        <w:rPr>
          <w:sz w:val="21"/>
          <w:szCs w:val="21"/>
          <w:lang w:val="en-AU"/>
        </w:rPr>
        <w:t xml:space="preserve"> et al, 2006</w:t>
      </w:r>
      <w:r w:rsidR="007C4236" w:rsidRPr="00296F58">
        <w:rPr>
          <w:sz w:val="21"/>
          <w:szCs w:val="21"/>
          <w:lang w:val="en-AU"/>
        </w:rPr>
        <w:t xml:space="preserve">) and of these </w:t>
      </w:r>
      <w:r w:rsidR="0076024B" w:rsidRPr="00296F58">
        <w:rPr>
          <w:sz w:val="21"/>
          <w:szCs w:val="21"/>
          <w:lang w:val="en-AU"/>
        </w:rPr>
        <w:t xml:space="preserve">two (Aubry et al, 2015; Gutman and Raphael-Greenfield, 2017) </w:t>
      </w:r>
      <w:r w:rsidR="007C4236" w:rsidRPr="00296F58">
        <w:rPr>
          <w:sz w:val="21"/>
          <w:szCs w:val="21"/>
          <w:lang w:val="en-AU"/>
        </w:rPr>
        <w:t xml:space="preserve">were specifically </w:t>
      </w:r>
      <w:r w:rsidR="0076024B" w:rsidRPr="00296F58">
        <w:rPr>
          <w:sz w:val="21"/>
          <w:szCs w:val="21"/>
          <w:lang w:val="en-AU"/>
        </w:rPr>
        <w:t>focused for</w:t>
      </w:r>
      <w:r w:rsidR="007C4236" w:rsidRPr="00296F58">
        <w:rPr>
          <w:sz w:val="21"/>
          <w:szCs w:val="21"/>
          <w:lang w:val="en-AU"/>
        </w:rPr>
        <w:t xml:space="preserve"> people experiencing homelessness</w:t>
      </w:r>
      <w:r w:rsidR="0076024B" w:rsidRPr="00296F58">
        <w:rPr>
          <w:sz w:val="21"/>
          <w:szCs w:val="21"/>
          <w:lang w:val="en-AU"/>
        </w:rPr>
        <w:t>. The other two studies addressed the needs of a forensic population with intel</w:t>
      </w:r>
      <w:r w:rsidR="00EF03C8" w:rsidRPr="00296F58">
        <w:rPr>
          <w:sz w:val="21"/>
          <w:szCs w:val="21"/>
          <w:lang w:val="en-AU"/>
        </w:rPr>
        <w:t>lec</w:t>
      </w:r>
      <w:r w:rsidR="0076024B" w:rsidRPr="00296F58">
        <w:rPr>
          <w:sz w:val="21"/>
          <w:szCs w:val="21"/>
          <w:lang w:val="en-AU"/>
        </w:rPr>
        <w:t>tual disability (Browning, 2016) and deafness (</w:t>
      </w:r>
      <w:r w:rsidR="00EF03C8" w:rsidRPr="00296F58">
        <w:rPr>
          <w:sz w:val="21"/>
          <w:szCs w:val="21"/>
          <w:lang w:val="en-AU"/>
        </w:rPr>
        <w:t xml:space="preserve">Matthews, 2015). </w:t>
      </w:r>
      <w:r w:rsidR="0076760B" w:rsidRPr="00296F58">
        <w:rPr>
          <w:sz w:val="21"/>
          <w:szCs w:val="21"/>
          <w:lang w:val="en-AU"/>
        </w:rPr>
        <w:t xml:space="preserve">All studies </w:t>
      </w:r>
      <w:r w:rsidR="00FF1AD9" w:rsidRPr="00296F58">
        <w:rPr>
          <w:sz w:val="21"/>
          <w:szCs w:val="21"/>
          <w:lang w:val="en-AU"/>
        </w:rPr>
        <w:t>found</w:t>
      </w:r>
      <w:r w:rsidR="0076760B" w:rsidRPr="00296F58">
        <w:rPr>
          <w:sz w:val="21"/>
          <w:szCs w:val="21"/>
          <w:lang w:val="en-AU"/>
        </w:rPr>
        <w:t xml:space="preserve"> </w:t>
      </w:r>
      <w:r w:rsidRPr="00296F58">
        <w:rPr>
          <w:sz w:val="21"/>
          <w:szCs w:val="21"/>
          <w:lang w:val="en-AU"/>
        </w:rPr>
        <w:t xml:space="preserve">that participants </w:t>
      </w:r>
      <w:r w:rsidR="00EF03C8" w:rsidRPr="00296F58">
        <w:rPr>
          <w:sz w:val="21"/>
          <w:szCs w:val="21"/>
          <w:lang w:val="en-AU"/>
        </w:rPr>
        <w:t>in</w:t>
      </w:r>
      <w:r w:rsidRPr="00296F58">
        <w:rPr>
          <w:sz w:val="21"/>
          <w:szCs w:val="21"/>
          <w:lang w:val="en-AU"/>
        </w:rPr>
        <w:t xml:space="preserve"> the intervention groups reported improvements across </w:t>
      </w:r>
      <w:r w:rsidR="00EF03C8" w:rsidRPr="00296F58">
        <w:rPr>
          <w:sz w:val="21"/>
          <w:szCs w:val="21"/>
          <w:lang w:val="en-AU"/>
        </w:rPr>
        <w:t>mo</w:t>
      </w:r>
      <w:r w:rsidR="00FF1AD9" w:rsidRPr="00296F58">
        <w:rPr>
          <w:sz w:val="21"/>
          <w:szCs w:val="21"/>
          <w:lang w:val="en-AU"/>
        </w:rPr>
        <w:t>s</w:t>
      </w:r>
      <w:r w:rsidR="00EF03C8" w:rsidRPr="00296F58">
        <w:rPr>
          <w:sz w:val="21"/>
          <w:szCs w:val="21"/>
          <w:lang w:val="en-AU"/>
        </w:rPr>
        <w:t xml:space="preserve">t </w:t>
      </w:r>
      <w:r w:rsidRPr="00296F58">
        <w:rPr>
          <w:sz w:val="21"/>
          <w:szCs w:val="21"/>
          <w:lang w:val="en-AU"/>
        </w:rPr>
        <w:t>outcomes</w:t>
      </w:r>
      <w:r w:rsidR="00FF1AD9" w:rsidRPr="00296F58">
        <w:rPr>
          <w:sz w:val="21"/>
          <w:szCs w:val="21"/>
          <w:lang w:val="en-AU"/>
        </w:rPr>
        <w:t>,</w:t>
      </w:r>
      <w:r w:rsidRPr="00296F58">
        <w:rPr>
          <w:sz w:val="21"/>
          <w:szCs w:val="21"/>
          <w:lang w:val="en-AU"/>
        </w:rPr>
        <w:t xml:space="preserve"> </w:t>
      </w:r>
      <w:r w:rsidR="0076760B" w:rsidRPr="00296F58">
        <w:rPr>
          <w:sz w:val="21"/>
          <w:szCs w:val="21"/>
          <w:lang w:val="en-AU"/>
        </w:rPr>
        <w:t xml:space="preserve">including </w:t>
      </w:r>
      <w:r w:rsidR="00FF1AD9" w:rsidRPr="00296F58">
        <w:rPr>
          <w:sz w:val="21"/>
          <w:szCs w:val="21"/>
          <w:lang w:val="en-AU"/>
        </w:rPr>
        <w:t>QoL</w:t>
      </w:r>
      <w:r w:rsidR="0076760B" w:rsidRPr="00296F58">
        <w:rPr>
          <w:sz w:val="21"/>
          <w:szCs w:val="21"/>
          <w:lang w:val="en-AU"/>
        </w:rPr>
        <w:t xml:space="preserve">. Only two studies </w:t>
      </w:r>
      <w:r w:rsidR="00EF03C8" w:rsidRPr="00296F58">
        <w:rPr>
          <w:sz w:val="21"/>
          <w:szCs w:val="21"/>
          <w:lang w:val="en-AU"/>
        </w:rPr>
        <w:t xml:space="preserve">(Aubry et al, 2015, Sato et al, 2012) </w:t>
      </w:r>
      <w:r w:rsidR="0076760B" w:rsidRPr="00296F58">
        <w:rPr>
          <w:sz w:val="21"/>
          <w:szCs w:val="21"/>
          <w:lang w:val="en-AU"/>
        </w:rPr>
        <w:t>were randomi</w:t>
      </w:r>
      <w:r w:rsidR="00407B61">
        <w:rPr>
          <w:sz w:val="21"/>
          <w:szCs w:val="21"/>
          <w:lang w:val="en-AU"/>
        </w:rPr>
        <w:t>s</w:t>
      </w:r>
      <w:r w:rsidR="0076760B" w:rsidRPr="00296F58">
        <w:rPr>
          <w:sz w:val="21"/>
          <w:szCs w:val="21"/>
          <w:lang w:val="en-AU"/>
        </w:rPr>
        <w:t xml:space="preserve">ed controlled trials. </w:t>
      </w:r>
    </w:p>
    <w:p w14:paraId="6DCFE48C" w14:textId="778737B4" w:rsidR="00FF1AD9" w:rsidRPr="00296F58" w:rsidRDefault="00407B61" w:rsidP="000F0B20">
      <w:pPr>
        <w:spacing w:line="360" w:lineRule="auto"/>
        <w:jc w:val="both"/>
        <w:rPr>
          <w:sz w:val="21"/>
          <w:szCs w:val="21"/>
        </w:rPr>
      </w:pPr>
      <w:r>
        <w:rPr>
          <w:sz w:val="21"/>
          <w:szCs w:val="21"/>
          <w:lang w:val="en-AU"/>
        </w:rPr>
        <w:t xml:space="preserve">One study reported that specialised </w:t>
      </w:r>
      <w:r w:rsidR="00830CB0">
        <w:rPr>
          <w:sz w:val="21"/>
          <w:szCs w:val="21"/>
          <w:lang w:val="en-AU"/>
        </w:rPr>
        <w:t>s</w:t>
      </w:r>
      <w:r w:rsidR="0076760B" w:rsidRPr="00296F58">
        <w:rPr>
          <w:sz w:val="21"/>
          <w:szCs w:val="21"/>
        </w:rPr>
        <w:t xml:space="preserve">upport programs </w:t>
      </w:r>
      <w:r w:rsidR="00EF03C8" w:rsidRPr="00296F58">
        <w:rPr>
          <w:sz w:val="21"/>
          <w:szCs w:val="21"/>
        </w:rPr>
        <w:t>for</w:t>
      </w:r>
      <w:r w:rsidR="0076760B" w:rsidRPr="00296F58">
        <w:rPr>
          <w:sz w:val="21"/>
          <w:szCs w:val="21"/>
        </w:rPr>
        <w:t xml:space="preserve"> people with mental health needs may be associated with reduced admission rates</w:t>
      </w:r>
      <w:r w:rsidR="00FF1AD9" w:rsidRPr="00296F58">
        <w:rPr>
          <w:sz w:val="21"/>
          <w:szCs w:val="21"/>
        </w:rPr>
        <w:t>,</w:t>
      </w:r>
      <w:r w:rsidR="0076760B" w:rsidRPr="00296F58">
        <w:rPr>
          <w:sz w:val="21"/>
          <w:szCs w:val="21"/>
        </w:rPr>
        <w:t xml:space="preserve"> length of hospital stay and fewer mental health symptoms</w:t>
      </w:r>
      <w:r w:rsidR="00EF03C8" w:rsidRPr="00296F58">
        <w:rPr>
          <w:sz w:val="21"/>
          <w:szCs w:val="21"/>
        </w:rPr>
        <w:t xml:space="preserve"> (Lee et al, 2015)</w:t>
      </w:r>
      <w:r w:rsidR="0076760B" w:rsidRPr="00296F58">
        <w:rPr>
          <w:sz w:val="21"/>
          <w:szCs w:val="21"/>
        </w:rPr>
        <w:t xml:space="preserve">. One study </w:t>
      </w:r>
      <w:r w:rsidR="00EF03C8" w:rsidRPr="00296F58">
        <w:rPr>
          <w:sz w:val="21"/>
          <w:szCs w:val="21"/>
        </w:rPr>
        <w:t xml:space="preserve">(Chan et al, 2021) </w:t>
      </w:r>
      <w:r w:rsidR="0076760B" w:rsidRPr="00296F58">
        <w:rPr>
          <w:sz w:val="21"/>
          <w:szCs w:val="21"/>
        </w:rPr>
        <w:t>found that specialist support did not help two thirds of people move into more independent living</w:t>
      </w:r>
      <w:r w:rsidR="00EF03C8" w:rsidRPr="00296F58">
        <w:rPr>
          <w:sz w:val="21"/>
          <w:szCs w:val="21"/>
        </w:rPr>
        <w:t>. The study reported</w:t>
      </w:r>
      <w:r w:rsidR="00FF1AD9" w:rsidRPr="00296F58">
        <w:rPr>
          <w:sz w:val="21"/>
          <w:szCs w:val="21"/>
        </w:rPr>
        <w:t>,</w:t>
      </w:r>
      <w:r w:rsidR="00EF03C8" w:rsidRPr="00296F58">
        <w:rPr>
          <w:sz w:val="21"/>
          <w:szCs w:val="21"/>
        </w:rPr>
        <w:t xml:space="preserve"> however</w:t>
      </w:r>
      <w:r w:rsidR="00FF1AD9" w:rsidRPr="00296F58">
        <w:rPr>
          <w:sz w:val="21"/>
          <w:szCs w:val="21"/>
        </w:rPr>
        <w:t>,</w:t>
      </w:r>
      <w:r w:rsidR="00EF03C8" w:rsidRPr="00296F58">
        <w:rPr>
          <w:sz w:val="21"/>
          <w:szCs w:val="21"/>
        </w:rPr>
        <w:t xml:space="preserve"> that </w:t>
      </w:r>
      <w:r w:rsidR="0076760B" w:rsidRPr="00296F58">
        <w:rPr>
          <w:rStyle w:val="CommentReference"/>
          <w:sz w:val="21"/>
          <w:szCs w:val="21"/>
        </w:rPr>
        <w:t>predictors of</w:t>
      </w:r>
      <w:r w:rsidR="00FF1AD9" w:rsidRPr="00296F58">
        <w:rPr>
          <w:rStyle w:val="CommentReference"/>
          <w:sz w:val="21"/>
          <w:szCs w:val="21"/>
        </w:rPr>
        <w:t xml:space="preserve"> a </w:t>
      </w:r>
      <w:r w:rsidR="0076760B" w:rsidRPr="00296F58">
        <w:rPr>
          <w:sz w:val="21"/>
          <w:szCs w:val="21"/>
        </w:rPr>
        <w:t xml:space="preserve">successful move included residing in more supported accommodation, less physical health problems and better adaptive living. </w:t>
      </w:r>
      <w:r w:rsidR="001D192C">
        <w:rPr>
          <w:sz w:val="21"/>
          <w:szCs w:val="21"/>
        </w:rPr>
        <w:t xml:space="preserve">A study </w:t>
      </w:r>
      <w:r w:rsidR="00FF1AD9" w:rsidRPr="00296F58">
        <w:rPr>
          <w:sz w:val="21"/>
          <w:szCs w:val="21"/>
        </w:rPr>
        <w:t xml:space="preserve">reporting on </w:t>
      </w:r>
      <w:r w:rsidR="00EF03C8" w:rsidRPr="00296F58">
        <w:rPr>
          <w:sz w:val="21"/>
          <w:szCs w:val="21"/>
        </w:rPr>
        <w:t xml:space="preserve">individuals </w:t>
      </w:r>
      <w:r w:rsidR="0076760B" w:rsidRPr="00296F58">
        <w:rPr>
          <w:sz w:val="21"/>
          <w:szCs w:val="21"/>
        </w:rPr>
        <w:t>in a forensic setting with an intellectual disability</w:t>
      </w:r>
      <w:r w:rsidR="00EF03C8" w:rsidRPr="00296F58">
        <w:rPr>
          <w:sz w:val="21"/>
          <w:szCs w:val="21"/>
        </w:rPr>
        <w:t xml:space="preserve"> (Browining, 2016) </w:t>
      </w:r>
      <w:r w:rsidR="0076760B" w:rsidRPr="00296F58">
        <w:rPr>
          <w:sz w:val="21"/>
          <w:szCs w:val="21"/>
        </w:rPr>
        <w:t xml:space="preserve">showed specialist support reduced the use of secure accommodation and improved community engagement. One </w:t>
      </w:r>
      <w:r w:rsidR="00DF1934">
        <w:rPr>
          <w:sz w:val="21"/>
          <w:szCs w:val="21"/>
        </w:rPr>
        <w:t xml:space="preserve">randomised </w:t>
      </w:r>
      <w:r w:rsidR="0076760B" w:rsidRPr="00296F58">
        <w:rPr>
          <w:sz w:val="21"/>
          <w:szCs w:val="21"/>
        </w:rPr>
        <w:t xml:space="preserve">controlled trial of multi-disciplinary support </w:t>
      </w:r>
      <w:r w:rsidR="00EF03C8" w:rsidRPr="00296F58">
        <w:rPr>
          <w:sz w:val="21"/>
          <w:szCs w:val="21"/>
        </w:rPr>
        <w:t xml:space="preserve">(Aubry et al, 2015) </w:t>
      </w:r>
      <w:r>
        <w:rPr>
          <w:sz w:val="21"/>
          <w:szCs w:val="21"/>
        </w:rPr>
        <w:t>reported</w:t>
      </w:r>
      <w:r w:rsidRPr="00296F58">
        <w:rPr>
          <w:sz w:val="21"/>
          <w:szCs w:val="21"/>
        </w:rPr>
        <w:t xml:space="preserve"> </w:t>
      </w:r>
      <w:r w:rsidR="0076760B" w:rsidRPr="00296F58">
        <w:rPr>
          <w:sz w:val="21"/>
          <w:szCs w:val="21"/>
        </w:rPr>
        <w:t xml:space="preserve">that support almost doubled the rate of transition into stable housing. The </w:t>
      </w:r>
      <w:r w:rsidR="00EF03C8" w:rsidRPr="00296F58">
        <w:rPr>
          <w:sz w:val="21"/>
          <w:szCs w:val="21"/>
        </w:rPr>
        <w:t>second</w:t>
      </w:r>
      <w:r w:rsidR="0076760B" w:rsidRPr="00296F58">
        <w:rPr>
          <w:sz w:val="21"/>
          <w:szCs w:val="21"/>
        </w:rPr>
        <w:t xml:space="preserve"> longitudinal study </w:t>
      </w:r>
      <w:r w:rsidR="00EF03C8" w:rsidRPr="00296F58">
        <w:rPr>
          <w:sz w:val="21"/>
          <w:szCs w:val="21"/>
        </w:rPr>
        <w:t xml:space="preserve">(Sato et al, 2012) </w:t>
      </w:r>
      <w:r>
        <w:rPr>
          <w:sz w:val="21"/>
          <w:szCs w:val="21"/>
        </w:rPr>
        <w:t>reported</w:t>
      </w:r>
      <w:r w:rsidR="0076760B" w:rsidRPr="00296F58">
        <w:rPr>
          <w:sz w:val="21"/>
          <w:szCs w:val="21"/>
        </w:rPr>
        <w:t xml:space="preserve"> a reduction in psychiatric symptoms and improvement in </w:t>
      </w:r>
      <w:r w:rsidR="00FF1AD9" w:rsidRPr="00296F58">
        <w:rPr>
          <w:sz w:val="21"/>
          <w:szCs w:val="21"/>
        </w:rPr>
        <w:t>QoL</w:t>
      </w:r>
      <w:r w:rsidR="0076760B" w:rsidRPr="00296F58">
        <w:rPr>
          <w:sz w:val="21"/>
          <w:szCs w:val="21"/>
        </w:rPr>
        <w:t xml:space="preserve">. One of these studies </w:t>
      </w:r>
      <w:r w:rsidR="00562DFE" w:rsidRPr="00296F58">
        <w:rPr>
          <w:sz w:val="21"/>
          <w:szCs w:val="21"/>
        </w:rPr>
        <w:t xml:space="preserve">(Styron et al, 2006) </w:t>
      </w:r>
      <w:r w:rsidR="0076760B" w:rsidRPr="00296F58">
        <w:rPr>
          <w:sz w:val="21"/>
          <w:szCs w:val="21"/>
        </w:rPr>
        <w:t xml:space="preserve">even suggested the program may have resulted in fewer arrests. Interestingly, there was no cost-evaluation across any </w:t>
      </w:r>
      <w:r w:rsidR="00EF03C8" w:rsidRPr="00296F58">
        <w:rPr>
          <w:sz w:val="21"/>
          <w:szCs w:val="21"/>
        </w:rPr>
        <w:t xml:space="preserve">of the </w:t>
      </w:r>
      <w:r w:rsidR="0076760B" w:rsidRPr="00296F58">
        <w:rPr>
          <w:sz w:val="21"/>
          <w:szCs w:val="21"/>
        </w:rPr>
        <w:t>reported stud</w:t>
      </w:r>
      <w:r w:rsidR="00EF03C8" w:rsidRPr="00296F58">
        <w:rPr>
          <w:sz w:val="21"/>
          <w:szCs w:val="21"/>
        </w:rPr>
        <w:t>ies</w:t>
      </w:r>
      <w:r w:rsidR="0076760B" w:rsidRPr="00296F58">
        <w:rPr>
          <w:sz w:val="21"/>
          <w:szCs w:val="21"/>
        </w:rPr>
        <w:t>.</w:t>
      </w:r>
    </w:p>
    <w:p w14:paraId="4B7045C7" w14:textId="3043CCC7" w:rsidR="00230EED" w:rsidRDefault="00230EED" w:rsidP="000F0B20">
      <w:pPr>
        <w:spacing w:line="360" w:lineRule="auto"/>
        <w:jc w:val="both"/>
        <w:rPr>
          <w:rFonts w:eastAsia="Times New Roman"/>
          <w:sz w:val="21"/>
          <w:szCs w:val="21"/>
          <w:lang w:val="en-AU"/>
        </w:rPr>
      </w:pPr>
      <w:r w:rsidRPr="00296F58">
        <w:rPr>
          <w:sz w:val="21"/>
          <w:szCs w:val="21"/>
        </w:rPr>
        <w:t xml:space="preserve">The provision of in-home supports such as personal assistance supports were found to </w:t>
      </w:r>
      <w:r w:rsidR="00FF1AD9" w:rsidRPr="00296F58">
        <w:rPr>
          <w:sz w:val="21"/>
          <w:szCs w:val="21"/>
        </w:rPr>
        <w:t>help</w:t>
      </w:r>
      <w:r w:rsidRPr="00296F58">
        <w:rPr>
          <w:sz w:val="21"/>
          <w:szCs w:val="21"/>
        </w:rPr>
        <w:t xml:space="preserve"> people with disabilities to maintain independent living setting </w:t>
      </w:r>
      <w:r w:rsidRPr="00296F58">
        <w:rPr>
          <w:sz w:val="21"/>
          <w:szCs w:val="21"/>
          <w:lang w:val="en-AU"/>
        </w:rPr>
        <w:t>(Wiesel, et al</w:t>
      </w:r>
      <w:r w:rsidR="00BB032C">
        <w:rPr>
          <w:sz w:val="21"/>
          <w:szCs w:val="21"/>
          <w:lang w:val="en-AU"/>
        </w:rPr>
        <w:t>,</w:t>
      </w:r>
      <w:r w:rsidRPr="00296F58">
        <w:rPr>
          <w:sz w:val="21"/>
          <w:szCs w:val="21"/>
          <w:lang w:val="en-AU"/>
        </w:rPr>
        <w:t xml:space="preserve"> 2015, Murray, 2012)</w:t>
      </w:r>
      <w:r w:rsidRPr="00296F58">
        <w:rPr>
          <w:sz w:val="21"/>
          <w:szCs w:val="21"/>
        </w:rPr>
        <w:t xml:space="preserve">. Access to 24-hour supports </w:t>
      </w:r>
      <w:r w:rsidR="00FF1AD9" w:rsidRPr="00296F58">
        <w:rPr>
          <w:sz w:val="21"/>
          <w:szCs w:val="21"/>
        </w:rPr>
        <w:t xml:space="preserve">was reported to be </w:t>
      </w:r>
      <w:r w:rsidRPr="00296F58">
        <w:rPr>
          <w:sz w:val="21"/>
          <w:szCs w:val="21"/>
        </w:rPr>
        <w:t>essential</w:t>
      </w:r>
      <w:r w:rsidR="00FF1AD9" w:rsidRPr="00296F58">
        <w:rPr>
          <w:sz w:val="21"/>
          <w:szCs w:val="21"/>
        </w:rPr>
        <w:t xml:space="preserve"> for some</w:t>
      </w:r>
      <w:r w:rsidRPr="00296F58">
        <w:rPr>
          <w:sz w:val="21"/>
          <w:szCs w:val="21"/>
        </w:rPr>
        <w:t xml:space="preserve"> (Fisher et al, 2008)</w:t>
      </w:r>
      <w:r w:rsidR="00FF1AD9" w:rsidRPr="00296F58">
        <w:rPr>
          <w:sz w:val="21"/>
          <w:szCs w:val="21"/>
        </w:rPr>
        <w:t>,</w:t>
      </w:r>
      <w:r w:rsidRPr="00296F58">
        <w:rPr>
          <w:sz w:val="21"/>
          <w:szCs w:val="21"/>
        </w:rPr>
        <w:t xml:space="preserve"> to support independen</w:t>
      </w:r>
      <w:r w:rsidR="00FF1AD9" w:rsidRPr="00296F58">
        <w:rPr>
          <w:sz w:val="21"/>
          <w:szCs w:val="21"/>
        </w:rPr>
        <w:t>ce</w:t>
      </w:r>
      <w:r w:rsidRPr="00296F58">
        <w:rPr>
          <w:sz w:val="21"/>
          <w:szCs w:val="21"/>
        </w:rPr>
        <w:t xml:space="preserve">. </w:t>
      </w:r>
      <w:r w:rsidRPr="00296F58">
        <w:rPr>
          <w:rFonts w:ascii="Calibri" w:eastAsia="Times New Roman" w:hAnsi="Calibri" w:cs="Calibri"/>
          <w:color w:val="000000"/>
          <w:sz w:val="21"/>
          <w:szCs w:val="21"/>
          <w:lang w:val="en-AU" w:eastAsia="en-AU"/>
        </w:rPr>
        <w:t>Effective and appropriately resourced personal assistance services, that are resourced sufficiently</w:t>
      </w:r>
      <w:r w:rsidR="00407B61">
        <w:rPr>
          <w:rFonts w:ascii="Calibri" w:eastAsia="Times New Roman" w:hAnsi="Calibri" w:cs="Calibri"/>
          <w:color w:val="000000"/>
          <w:sz w:val="21"/>
          <w:szCs w:val="21"/>
          <w:lang w:val="en-AU" w:eastAsia="en-AU"/>
        </w:rPr>
        <w:t>,</w:t>
      </w:r>
      <w:r w:rsidRPr="00296F58">
        <w:rPr>
          <w:rFonts w:ascii="Calibri" w:eastAsia="Times New Roman" w:hAnsi="Calibri" w:cs="Calibri"/>
          <w:color w:val="000000"/>
          <w:sz w:val="21"/>
          <w:szCs w:val="21"/>
          <w:lang w:val="en-AU" w:eastAsia="en-AU"/>
        </w:rPr>
        <w:t xml:space="preserve"> with access to the actual number of hours of support to engage both in and outside the home</w:t>
      </w:r>
      <w:r w:rsidR="00FF1AD9" w:rsidRPr="00296F58">
        <w:rPr>
          <w:rFonts w:ascii="Calibri" w:eastAsia="Times New Roman" w:hAnsi="Calibri" w:cs="Calibri"/>
          <w:color w:val="000000"/>
          <w:sz w:val="21"/>
          <w:szCs w:val="21"/>
          <w:lang w:val="en-AU" w:eastAsia="en-AU"/>
        </w:rPr>
        <w:t xml:space="preserve">, were reported to be </w:t>
      </w:r>
      <w:r w:rsidRPr="00296F58">
        <w:rPr>
          <w:rFonts w:ascii="Calibri" w:eastAsia="Times New Roman" w:hAnsi="Calibri" w:cs="Calibri"/>
          <w:color w:val="000000"/>
          <w:sz w:val="21"/>
          <w:szCs w:val="21"/>
          <w:lang w:val="en-AU" w:eastAsia="en-AU"/>
        </w:rPr>
        <w:t>crucial to enable and maintain independent living options (Glynn, 2018) and prevent return to congregate setting</w:t>
      </w:r>
      <w:r w:rsidR="00FF1AD9" w:rsidRPr="00296F58">
        <w:rPr>
          <w:rFonts w:ascii="Calibri" w:eastAsia="Times New Roman" w:hAnsi="Calibri" w:cs="Calibri"/>
          <w:color w:val="000000"/>
          <w:sz w:val="21"/>
          <w:szCs w:val="21"/>
          <w:lang w:val="en-AU" w:eastAsia="en-AU"/>
        </w:rPr>
        <w:t>s</w:t>
      </w:r>
      <w:r w:rsidRPr="00296F58">
        <w:rPr>
          <w:rFonts w:ascii="Calibri" w:eastAsia="Times New Roman" w:hAnsi="Calibri" w:cs="Calibri"/>
          <w:sz w:val="21"/>
          <w:szCs w:val="21"/>
          <w:lang w:val="en-AU" w:eastAsia="en-AU"/>
        </w:rPr>
        <w:t>.</w:t>
      </w:r>
      <w:r w:rsidRPr="00296F58">
        <w:rPr>
          <w:rFonts w:ascii="Calibri" w:eastAsia="Times New Roman" w:hAnsi="Calibri" w:cs="Calibri"/>
          <w:sz w:val="21"/>
          <w:szCs w:val="21"/>
          <w:lang w:eastAsia="en-AU"/>
        </w:rPr>
        <w:t xml:space="preserve"> </w:t>
      </w:r>
      <w:r w:rsidR="00FF1AD9" w:rsidRPr="00296F58">
        <w:rPr>
          <w:rFonts w:ascii="Calibri" w:eastAsia="Times New Roman" w:hAnsi="Calibri" w:cs="Calibri"/>
          <w:sz w:val="21"/>
          <w:szCs w:val="21"/>
          <w:lang w:eastAsia="en-AU"/>
        </w:rPr>
        <w:t>For example, o</w:t>
      </w:r>
      <w:r w:rsidRPr="00296F58">
        <w:rPr>
          <w:sz w:val="21"/>
          <w:szCs w:val="21"/>
        </w:rPr>
        <w:t>ccupational therapy practitioners working in institutional and community settings c</w:t>
      </w:r>
      <w:r w:rsidR="00FF1AD9" w:rsidRPr="00296F58">
        <w:rPr>
          <w:sz w:val="21"/>
          <w:szCs w:val="21"/>
        </w:rPr>
        <w:t>ould</w:t>
      </w:r>
      <w:r w:rsidRPr="00296F58">
        <w:rPr>
          <w:sz w:val="21"/>
          <w:szCs w:val="21"/>
        </w:rPr>
        <w:t xml:space="preserve"> partner with local disability advocacy communities to support their clients’ sense of identity and self-confidence during and after transition </w:t>
      </w:r>
      <w:r w:rsidRPr="00296F58">
        <w:rPr>
          <w:sz w:val="21"/>
          <w:szCs w:val="21"/>
        </w:rPr>
        <w:fldChar w:fldCharType="begin">
          <w:fldData xml:space="preserve">PEVuZE5vdGU+PENpdGU+PEF1dGhvcj5BbmdlbGw8L0F1dGhvcj48WWVhcj4yMDIwPC9ZZWFyPjxS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==
</w:fldData>
        </w:fldChar>
      </w:r>
      <w:r w:rsidR="00B17725">
        <w:rPr>
          <w:sz w:val="21"/>
          <w:szCs w:val="21"/>
        </w:rPr>
        <w:instrText xml:space="preserve"> ADDIN EN.CITE </w:instrText>
      </w:r>
      <w:r w:rsidR="00B17725">
        <w:rPr>
          <w:sz w:val="21"/>
          <w:szCs w:val="21"/>
        </w:rPr>
        <w:fldChar w:fldCharType="begin">
          <w:fldData xml:space="preserve">PEVuZE5vdGU+PENpdGU+PEF1dGhvcj5BbmdlbGw8L0F1dGhvcj48WWVhcj4yMDIwPC9ZZWFyPjxS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==
</w:fldData>
        </w:fldChar>
      </w:r>
      <w:r w:rsidR="00B17725">
        <w:rPr>
          <w:sz w:val="21"/>
          <w:szCs w:val="21"/>
        </w:rPr>
        <w:instrText xml:space="preserve"> ADDIN EN.CITE.DATA </w:instrText>
      </w:r>
      <w:r w:rsidR="00B17725">
        <w:rPr>
          <w:sz w:val="21"/>
          <w:szCs w:val="21"/>
        </w:rPr>
      </w:r>
      <w:r w:rsidR="00B17725">
        <w:rPr>
          <w:sz w:val="21"/>
          <w:szCs w:val="21"/>
        </w:rPr>
        <w:fldChar w:fldCharType="end"/>
      </w:r>
      <w:r w:rsidRPr="00296F58">
        <w:rPr>
          <w:sz w:val="21"/>
          <w:szCs w:val="21"/>
        </w:rPr>
      </w:r>
      <w:r w:rsidRPr="00296F58">
        <w:rPr>
          <w:sz w:val="21"/>
          <w:szCs w:val="21"/>
        </w:rPr>
        <w:fldChar w:fldCharType="separate"/>
      </w:r>
      <w:r w:rsidR="00B17725">
        <w:rPr>
          <w:noProof/>
          <w:sz w:val="21"/>
          <w:szCs w:val="21"/>
        </w:rPr>
        <w:t>(Angell et al., 2020)</w:t>
      </w:r>
      <w:r w:rsidRPr="00296F58">
        <w:rPr>
          <w:sz w:val="21"/>
          <w:szCs w:val="21"/>
        </w:rPr>
        <w:fldChar w:fldCharType="end"/>
      </w:r>
      <w:r w:rsidRPr="00296F58">
        <w:rPr>
          <w:sz w:val="21"/>
          <w:szCs w:val="21"/>
        </w:rPr>
        <w:t xml:space="preserve">. </w:t>
      </w:r>
      <w:r w:rsidRPr="00296F58">
        <w:rPr>
          <w:rFonts w:eastAsia="Times New Roman"/>
          <w:sz w:val="21"/>
          <w:szCs w:val="21"/>
          <w:lang w:val="en-AU"/>
        </w:rPr>
        <w:t xml:space="preserve"> </w:t>
      </w:r>
      <w:r w:rsidR="00610174">
        <w:rPr>
          <w:rFonts w:eastAsia="Times New Roman"/>
          <w:sz w:val="21"/>
          <w:szCs w:val="21"/>
          <w:lang w:val="en-AU"/>
        </w:rPr>
        <w:t>Summer Foundation (20</w:t>
      </w:r>
      <w:r w:rsidR="00B8152D">
        <w:rPr>
          <w:rFonts w:eastAsia="Times New Roman"/>
          <w:sz w:val="21"/>
          <w:szCs w:val="21"/>
          <w:lang w:val="en-AU"/>
        </w:rPr>
        <w:t>20</w:t>
      </w:r>
      <w:r w:rsidR="00610174">
        <w:rPr>
          <w:rFonts w:eastAsia="Times New Roman"/>
          <w:sz w:val="21"/>
          <w:szCs w:val="21"/>
          <w:lang w:val="en-AU"/>
        </w:rPr>
        <w:t xml:space="preserve">) </w:t>
      </w:r>
      <w:r w:rsidR="00420B2D">
        <w:rPr>
          <w:rFonts w:eastAsia="Times New Roman"/>
          <w:sz w:val="21"/>
          <w:szCs w:val="21"/>
          <w:lang w:val="en-AU"/>
        </w:rPr>
        <w:t xml:space="preserve">identified </w:t>
      </w:r>
      <w:r w:rsidR="00610174">
        <w:t xml:space="preserve">24 </w:t>
      </w:r>
      <w:r w:rsidR="00420B2D">
        <w:t>s</w:t>
      </w:r>
      <w:r w:rsidR="00610174">
        <w:t xml:space="preserve">ervices that provide </w:t>
      </w:r>
      <w:r w:rsidR="00610174" w:rsidRPr="00931E17">
        <w:t>transitional housing and</w:t>
      </w:r>
      <w:r w:rsidR="00610174">
        <w:t>/or</w:t>
      </w:r>
      <w:r w:rsidR="00610174" w:rsidRPr="00931E17">
        <w:t xml:space="preserve"> supports</w:t>
      </w:r>
      <w:r w:rsidR="00610174">
        <w:t xml:space="preserve"> in Australia </w:t>
      </w:r>
      <w:r w:rsidR="00610174" w:rsidRPr="00931E17">
        <w:t xml:space="preserve">for people with </w:t>
      </w:r>
      <w:r w:rsidR="00610174">
        <w:t xml:space="preserve">acquired </w:t>
      </w:r>
      <w:r w:rsidR="00610174" w:rsidRPr="00931E17">
        <w:t xml:space="preserve">disability </w:t>
      </w:r>
      <w:r w:rsidR="00610174">
        <w:t xml:space="preserve">and complex </w:t>
      </w:r>
      <w:r w:rsidR="00610174" w:rsidRPr="00931E17">
        <w:t>needs</w:t>
      </w:r>
      <w:r w:rsidR="00610174">
        <w:t xml:space="preserve"> exiting</w:t>
      </w:r>
      <w:r w:rsidR="00610174" w:rsidRPr="00931E17">
        <w:t xml:space="preserve"> hospital</w:t>
      </w:r>
      <w:r w:rsidR="00420B2D">
        <w:t xml:space="preserve"> with the </w:t>
      </w:r>
      <w:r w:rsidR="00610174">
        <w:t>need for great provision of transitional supports</w:t>
      </w:r>
      <w:r w:rsidR="00420B2D">
        <w:t xml:space="preserve"> recommended</w:t>
      </w:r>
      <w:r w:rsidR="00610174">
        <w:t xml:space="preserve">. </w:t>
      </w:r>
    </w:p>
    <w:p w14:paraId="1B34096E" w14:textId="77777777" w:rsidR="00296F58" w:rsidRDefault="00296F58" w:rsidP="000F0B20">
      <w:pPr>
        <w:spacing w:line="360" w:lineRule="auto"/>
        <w:jc w:val="both"/>
        <w:rPr>
          <w:sz w:val="21"/>
          <w:szCs w:val="21"/>
          <w:lang w:val="en-AU"/>
        </w:rPr>
        <w:sectPr w:rsidR="00296F58" w:rsidSect="00296F58">
          <w:headerReference w:type="default" r:id="rId46"/>
          <w:footerReference w:type="default" r:id="rId47"/>
          <w:pgSz w:w="12240" w:h="15840"/>
          <w:pgMar w:top="1440" w:right="1440" w:bottom="1440" w:left="1440" w:header="720" w:footer="720" w:gutter="0"/>
          <w:cols w:space="720"/>
          <w:docGrid w:linePitch="360"/>
        </w:sectPr>
      </w:pPr>
    </w:p>
    <w:p w14:paraId="34438F96" w14:textId="2CDEDDD1" w:rsidR="0076760B" w:rsidRPr="006C763F" w:rsidRDefault="00296F58" w:rsidP="00296F58">
      <w:pPr>
        <w:pStyle w:val="Caption"/>
        <w:rPr>
          <w:b/>
          <w:bCs/>
        </w:rPr>
      </w:pPr>
      <w:bookmarkStart w:id="49" w:name="_Toc66355188"/>
      <w:r>
        <w:lastRenderedPageBreak/>
        <w:t xml:space="preserve">Table </w:t>
      </w:r>
      <w:r>
        <w:fldChar w:fldCharType="begin"/>
      </w:r>
      <w:r>
        <w:instrText>SEQ Table \* ARABIC</w:instrText>
      </w:r>
      <w:r>
        <w:fldChar w:fldCharType="separate"/>
      </w:r>
      <w:r w:rsidR="000E7FFE">
        <w:rPr>
          <w:noProof/>
        </w:rPr>
        <w:t>9</w:t>
      </w:r>
      <w:r>
        <w:fldChar w:fldCharType="end"/>
      </w:r>
      <w:r>
        <w:rPr>
          <w:b/>
          <w:bCs/>
        </w:rPr>
        <w:t xml:space="preserve"> </w:t>
      </w:r>
      <w:r w:rsidR="000F0B20" w:rsidRPr="006C763F">
        <w:rPr>
          <w:b/>
          <w:bCs/>
        </w:rPr>
        <w:t>Transition and supports program</w:t>
      </w:r>
      <w:r w:rsidR="00461D3D" w:rsidRPr="006C763F">
        <w:rPr>
          <w:b/>
          <w:bCs/>
        </w:rPr>
        <w:t>s</w:t>
      </w:r>
      <w:bookmarkEnd w:id="49"/>
      <w:r w:rsidR="00461D3D" w:rsidRPr="006C763F">
        <w:rPr>
          <w:b/>
          <w:bCs/>
        </w:rPr>
        <w:t xml:space="preserve"> </w:t>
      </w:r>
    </w:p>
    <w:tbl>
      <w:tblPr>
        <w:tblStyle w:val="TableGrid"/>
        <w:tblW w:w="5000" w:type="pct"/>
        <w:tblLook w:val="04A0" w:firstRow="1" w:lastRow="0" w:firstColumn="1" w:lastColumn="0" w:noHBand="0" w:noVBand="1"/>
      </w:tblPr>
      <w:tblGrid>
        <w:gridCol w:w="2352"/>
        <w:gridCol w:w="1422"/>
        <w:gridCol w:w="1401"/>
        <w:gridCol w:w="1603"/>
        <w:gridCol w:w="1531"/>
        <w:gridCol w:w="1590"/>
        <w:gridCol w:w="3051"/>
      </w:tblGrid>
      <w:tr w:rsidR="00A359CB" w:rsidRPr="00F5070C" w14:paraId="70373791" w14:textId="77777777" w:rsidTr="00E01F76">
        <w:trPr>
          <w:tblHeader/>
        </w:trPr>
        <w:tc>
          <w:tcPr>
            <w:tcW w:w="908" w:type="pct"/>
            <w:shd w:val="clear" w:color="auto" w:fill="FFFF00"/>
          </w:tcPr>
          <w:p w14:paraId="6DD1A6ED" w14:textId="13ABD346" w:rsidR="00A359CB" w:rsidRPr="00296F58" w:rsidRDefault="00A359CB" w:rsidP="000038F8">
            <w:pPr>
              <w:rPr>
                <w:sz w:val="19"/>
                <w:szCs w:val="19"/>
              </w:rPr>
            </w:pPr>
            <w:r w:rsidRPr="00296F58">
              <w:rPr>
                <w:b/>
                <w:bCs/>
                <w:sz w:val="19"/>
                <w:szCs w:val="19"/>
              </w:rPr>
              <w:t>Characteristics of transition</w:t>
            </w:r>
            <w:r w:rsidR="00EB5F01" w:rsidRPr="00296F58">
              <w:rPr>
                <w:b/>
                <w:bCs/>
                <w:sz w:val="19"/>
                <w:szCs w:val="19"/>
              </w:rPr>
              <w:t xml:space="preserve"> </w:t>
            </w:r>
            <w:r w:rsidRPr="00296F58">
              <w:rPr>
                <w:b/>
                <w:bCs/>
                <w:sz w:val="19"/>
                <w:szCs w:val="19"/>
              </w:rPr>
              <w:t>program</w:t>
            </w:r>
            <w:r w:rsidR="00461D3D" w:rsidRPr="00296F58">
              <w:rPr>
                <w:b/>
                <w:bCs/>
                <w:sz w:val="19"/>
                <w:szCs w:val="19"/>
              </w:rPr>
              <w:t>s</w:t>
            </w:r>
            <w:r w:rsidRPr="00296F58">
              <w:rPr>
                <w:b/>
                <w:bCs/>
                <w:sz w:val="19"/>
                <w:szCs w:val="19"/>
              </w:rPr>
              <w:t xml:space="preserve"> and supports </w:t>
            </w:r>
          </w:p>
        </w:tc>
        <w:tc>
          <w:tcPr>
            <w:tcW w:w="549" w:type="pct"/>
            <w:shd w:val="clear" w:color="auto" w:fill="FFFF00"/>
          </w:tcPr>
          <w:p w14:paraId="1EFDBC6C" w14:textId="77777777" w:rsidR="00A359CB" w:rsidRPr="00296F58" w:rsidRDefault="00A359CB" w:rsidP="000038F8">
            <w:pPr>
              <w:rPr>
                <w:sz w:val="19"/>
                <w:szCs w:val="19"/>
              </w:rPr>
            </w:pPr>
            <w:r w:rsidRPr="00296F58">
              <w:rPr>
                <w:b/>
                <w:bCs/>
                <w:sz w:val="19"/>
                <w:szCs w:val="19"/>
              </w:rPr>
              <w:t>Countries this approach has been implemented</w:t>
            </w:r>
          </w:p>
        </w:tc>
        <w:tc>
          <w:tcPr>
            <w:tcW w:w="541" w:type="pct"/>
            <w:shd w:val="clear" w:color="auto" w:fill="FFFF00"/>
          </w:tcPr>
          <w:p w14:paraId="07324B7D" w14:textId="77777777" w:rsidR="00A359CB" w:rsidRPr="00296F58" w:rsidRDefault="00A359CB" w:rsidP="000038F8">
            <w:pPr>
              <w:rPr>
                <w:b/>
                <w:bCs/>
                <w:sz w:val="19"/>
                <w:szCs w:val="19"/>
              </w:rPr>
            </w:pPr>
            <w:r w:rsidRPr="00296F58">
              <w:rPr>
                <w:b/>
                <w:bCs/>
                <w:sz w:val="19"/>
                <w:szCs w:val="19"/>
              </w:rPr>
              <w:t xml:space="preserve">Author (Year) </w:t>
            </w:r>
          </w:p>
        </w:tc>
        <w:tc>
          <w:tcPr>
            <w:tcW w:w="619" w:type="pct"/>
            <w:shd w:val="clear" w:color="auto" w:fill="FFFF00"/>
          </w:tcPr>
          <w:p w14:paraId="2F869C21" w14:textId="77777777" w:rsidR="00A359CB" w:rsidRPr="00296F58" w:rsidRDefault="00A359CB" w:rsidP="000038F8">
            <w:pPr>
              <w:rPr>
                <w:sz w:val="19"/>
                <w:szCs w:val="19"/>
              </w:rPr>
            </w:pPr>
            <w:r w:rsidRPr="00296F58">
              <w:rPr>
                <w:b/>
                <w:bCs/>
                <w:sz w:val="19"/>
                <w:szCs w:val="19"/>
              </w:rPr>
              <w:t>Participants</w:t>
            </w:r>
          </w:p>
        </w:tc>
        <w:tc>
          <w:tcPr>
            <w:tcW w:w="591" w:type="pct"/>
            <w:shd w:val="clear" w:color="auto" w:fill="FFFF00"/>
          </w:tcPr>
          <w:p w14:paraId="5A206DC9" w14:textId="77777777" w:rsidR="00A359CB" w:rsidRPr="00296F58" w:rsidRDefault="00A359CB" w:rsidP="000038F8">
            <w:pPr>
              <w:rPr>
                <w:sz w:val="19"/>
                <w:szCs w:val="19"/>
              </w:rPr>
            </w:pPr>
            <w:r w:rsidRPr="00296F58">
              <w:rPr>
                <w:b/>
                <w:bCs/>
                <w:sz w:val="19"/>
                <w:szCs w:val="19"/>
              </w:rPr>
              <w:t>Type of study</w:t>
            </w:r>
          </w:p>
        </w:tc>
        <w:tc>
          <w:tcPr>
            <w:tcW w:w="614" w:type="pct"/>
            <w:shd w:val="clear" w:color="auto" w:fill="FFFF00"/>
          </w:tcPr>
          <w:p w14:paraId="2920A305" w14:textId="3413C536" w:rsidR="00A359CB" w:rsidRPr="00296F58" w:rsidRDefault="00A359CB" w:rsidP="000038F8">
            <w:pPr>
              <w:rPr>
                <w:sz w:val="19"/>
                <w:szCs w:val="19"/>
              </w:rPr>
            </w:pPr>
            <w:r w:rsidRPr="00296F58">
              <w:rPr>
                <w:b/>
                <w:bCs/>
                <w:sz w:val="19"/>
                <w:szCs w:val="19"/>
              </w:rPr>
              <w:t>Quality</w:t>
            </w:r>
            <w:r w:rsidR="00E01F76">
              <w:rPr>
                <w:b/>
                <w:bCs/>
                <w:sz w:val="19"/>
                <w:szCs w:val="19"/>
              </w:rPr>
              <w:t>*</w:t>
            </w:r>
          </w:p>
        </w:tc>
        <w:tc>
          <w:tcPr>
            <w:tcW w:w="1180" w:type="pct"/>
            <w:shd w:val="clear" w:color="auto" w:fill="FFFF00"/>
          </w:tcPr>
          <w:p w14:paraId="641AB8FA" w14:textId="77777777" w:rsidR="00A359CB" w:rsidRPr="00296F58" w:rsidRDefault="00A359CB" w:rsidP="000038F8">
            <w:pPr>
              <w:rPr>
                <w:sz w:val="19"/>
                <w:szCs w:val="19"/>
              </w:rPr>
            </w:pPr>
            <w:r w:rsidRPr="00296F58">
              <w:rPr>
                <w:b/>
                <w:bCs/>
                <w:sz w:val="19"/>
                <w:szCs w:val="19"/>
              </w:rPr>
              <w:t>Findings</w:t>
            </w:r>
          </w:p>
        </w:tc>
      </w:tr>
      <w:tr w:rsidR="00A359CB" w:rsidRPr="00F5070C" w14:paraId="0F08A0D3" w14:textId="77777777" w:rsidTr="00E01F76">
        <w:tc>
          <w:tcPr>
            <w:tcW w:w="908" w:type="pct"/>
          </w:tcPr>
          <w:p w14:paraId="115BB355" w14:textId="77777777" w:rsidR="00A359CB" w:rsidRPr="00296F58" w:rsidRDefault="00A359CB" w:rsidP="000038F8">
            <w:pPr>
              <w:rPr>
                <w:b/>
                <w:sz w:val="19"/>
                <w:szCs w:val="19"/>
              </w:rPr>
            </w:pPr>
            <w:r w:rsidRPr="00296F58">
              <w:rPr>
                <w:b/>
                <w:sz w:val="19"/>
                <w:szCs w:val="19"/>
              </w:rPr>
              <w:t>‘At Home(AH) – Chez soi (CS)’</w:t>
            </w:r>
          </w:p>
          <w:p w14:paraId="05FB8EE3" w14:textId="77777777" w:rsidR="00A359CB" w:rsidRPr="00296F58" w:rsidRDefault="00A359CB" w:rsidP="000038F8">
            <w:pPr>
              <w:rPr>
                <w:sz w:val="19"/>
                <w:szCs w:val="19"/>
              </w:rPr>
            </w:pPr>
          </w:p>
          <w:p w14:paraId="1EA54720" w14:textId="77777777" w:rsidR="00A359CB" w:rsidRPr="00296F58" w:rsidRDefault="00A359CB" w:rsidP="000038F8">
            <w:pPr>
              <w:rPr>
                <w:sz w:val="19"/>
                <w:szCs w:val="19"/>
              </w:rPr>
            </w:pPr>
            <w:r w:rsidRPr="00296F58">
              <w:rPr>
                <w:sz w:val="19"/>
                <w:szCs w:val="19"/>
              </w:rPr>
              <w:t>Pathways’ Housing First model based on two inputs/domains of (a) housing and (b) support services and four principles of: 1) Immediate provision of housing and consumer-driven services. 2) Separation of housing and clinical services. 3) Providing supports and treatment with a recovery orientation. 4) Facilitation of community integration. The primary objective is to provide assistance to rapidly procur housing of individual's choice.</w:t>
            </w:r>
          </w:p>
          <w:p w14:paraId="45A653FE" w14:textId="77777777" w:rsidR="00A359CB" w:rsidRPr="00296F58" w:rsidRDefault="00A359CB" w:rsidP="000038F8">
            <w:pPr>
              <w:rPr>
                <w:sz w:val="19"/>
                <w:szCs w:val="19"/>
              </w:rPr>
            </w:pPr>
          </w:p>
          <w:p w14:paraId="18F1080D" w14:textId="0715F801" w:rsidR="00A359CB" w:rsidRPr="00296F58" w:rsidRDefault="00A359CB" w:rsidP="000038F8">
            <w:pPr>
              <w:rPr>
                <w:sz w:val="19"/>
                <w:szCs w:val="19"/>
              </w:rPr>
            </w:pPr>
            <w:r w:rsidRPr="00296F58">
              <w:rPr>
                <w:sz w:val="19"/>
                <w:szCs w:val="19"/>
              </w:rPr>
              <w:t>Housing specialist assists in (a) firstly identifying suitable housing based on consumer's preferences and provides support for landlord negotiations, rent assistance and (b) secondly developing an ind</w:t>
            </w:r>
            <w:r w:rsidR="00296F58">
              <w:rPr>
                <w:sz w:val="19"/>
                <w:szCs w:val="19"/>
              </w:rPr>
              <w:t>i</w:t>
            </w:r>
            <w:r w:rsidRPr="00296F58">
              <w:rPr>
                <w:sz w:val="19"/>
                <w:szCs w:val="19"/>
              </w:rPr>
              <w:t>vidualised recovery plan</w:t>
            </w:r>
          </w:p>
          <w:p w14:paraId="1B1858E0" w14:textId="77777777" w:rsidR="00A359CB" w:rsidRPr="00F5070C" w:rsidRDefault="00A359CB" w:rsidP="000038F8">
            <w:pPr>
              <w:rPr>
                <w:b/>
                <w:bCs/>
              </w:rPr>
            </w:pPr>
          </w:p>
        </w:tc>
        <w:tc>
          <w:tcPr>
            <w:tcW w:w="549" w:type="pct"/>
          </w:tcPr>
          <w:p w14:paraId="101650A3" w14:textId="77777777" w:rsidR="00A359CB" w:rsidRPr="00F5070C" w:rsidRDefault="00A359CB" w:rsidP="000038F8">
            <w:r w:rsidRPr="00F5070C">
              <w:t>Canada</w:t>
            </w:r>
          </w:p>
          <w:p w14:paraId="432026BA" w14:textId="77777777" w:rsidR="00A359CB" w:rsidRPr="00F5070C" w:rsidRDefault="00A359CB" w:rsidP="000038F8">
            <w:pPr>
              <w:rPr>
                <w:b/>
                <w:bCs/>
              </w:rPr>
            </w:pPr>
          </w:p>
        </w:tc>
        <w:tc>
          <w:tcPr>
            <w:tcW w:w="541" w:type="pct"/>
          </w:tcPr>
          <w:p w14:paraId="437A792C" w14:textId="77777777" w:rsidR="00A359CB" w:rsidRPr="00F574C6" w:rsidRDefault="00A359CB" w:rsidP="000038F8">
            <w:pPr>
              <w:rPr>
                <w:rFonts w:ascii="Calibri" w:hAnsi="Calibri" w:cs="Calibri"/>
              </w:rPr>
            </w:pPr>
            <w:r w:rsidRPr="00F574C6">
              <w:rPr>
                <w:rFonts w:ascii="Calibri" w:hAnsi="Calibri" w:cs="Calibri"/>
              </w:rPr>
              <w:t xml:space="preserve">Aubry et al </w:t>
            </w:r>
            <w:r>
              <w:rPr>
                <w:rFonts w:ascii="Calibri" w:hAnsi="Calibri" w:cs="Calibri"/>
              </w:rPr>
              <w:t>(</w:t>
            </w:r>
            <w:r w:rsidRPr="00F574C6">
              <w:rPr>
                <w:rFonts w:ascii="Calibri" w:hAnsi="Calibri" w:cs="Calibri"/>
              </w:rPr>
              <w:t>2015</w:t>
            </w:r>
            <w:r>
              <w:rPr>
                <w:rFonts w:ascii="Calibri" w:hAnsi="Calibri" w:cs="Calibri"/>
              </w:rPr>
              <w:t>)</w:t>
            </w:r>
          </w:p>
          <w:p w14:paraId="4C877163" w14:textId="77777777" w:rsidR="00A359CB" w:rsidRPr="00F574C6" w:rsidRDefault="00A359CB" w:rsidP="000038F8">
            <w:pPr>
              <w:rPr>
                <w:rFonts w:ascii="Calibri" w:hAnsi="Calibri" w:cs="Calibri"/>
              </w:rPr>
            </w:pPr>
          </w:p>
          <w:p w14:paraId="0315CC18" w14:textId="77777777" w:rsidR="00A359CB" w:rsidRPr="00F574C6" w:rsidRDefault="00A359CB" w:rsidP="000038F8"/>
        </w:tc>
        <w:tc>
          <w:tcPr>
            <w:tcW w:w="619" w:type="pct"/>
          </w:tcPr>
          <w:p w14:paraId="7643621F" w14:textId="77777777" w:rsidR="00A359CB" w:rsidRPr="00F5070C" w:rsidRDefault="00A359CB" w:rsidP="000038F8">
            <w:r w:rsidRPr="00F5070C">
              <w:t>Homeless with severe mental illness</w:t>
            </w:r>
          </w:p>
          <w:p w14:paraId="12184251" w14:textId="77777777" w:rsidR="00A359CB" w:rsidRPr="00F5070C" w:rsidRDefault="00A359CB" w:rsidP="000038F8">
            <w:pPr>
              <w:rPr>
                <w:b/>
                <w:bCs/>
              </w:rPr>
            </w:pPr>
            <w:r w:rsidRPr="00F5070C">
              <w:t>N=2148 enrolled in study/ N=1198 received active 'Housing First' (HF) interventions/ N=950 received treatment as usual (TAU)</w:t>
            </w:r>
          </w:p>
        </w:tc>
        <w:tc>
          <w:tcPr>
            <w:tcW w:w="591" w:type="pct"/>
          </w:tcPr>
          <w:p w14:paraId="47B4DBFE" w14:textId="77777777" w:rsidR="00A359CB" w:rsidRPr="00F5070C" w:rsidRDefault="00A359CB" w:rsidP="000038F8">
            <w:pPr>
              <w:rPr>
                <w:b/>
                <w:bCs/>
              </w:rPr>
            </w:pPr>
            <w:r w:rsidRPr="00F5070C">
              <w:t>Randomised clinical trial</w:t>
            </w:r>
          </w:p>
        </w:tc>
        <w:tc>
          <w:tcPr>
            <w:tcW w:w="614" w:type="pct"/>
          </w:tcPr>
          <w:p w14:paraId="00686C74" w14:textId="77777777" w:rsidR="00A359CB" w:rsidRPr="00F5070C" w:rsidRDefault="00A359CB" w:rsidP="000038F8">
            <w:r w:rsidRPr="00F5070C">
              <w:t>Poor</w:t>
            </w:r>
          </w:p>
          <w:p w14:paraId="41155510" w14:textId="77777777" w:rsidR="00A359CB" w:rsidRPr="00F5070C" w:rsidRDefault="00A359CB" w:rsidP="000038F8">
            <w:pPr>
              <w:rPr>
                <w:b/>
                <w:bCs/>
              </w:rPr>
            </w:pPr>
          </w:p>
        </w:tc>
        <w:tc>
          <w:tcPr>
            <w:tcW w:w="1180" w:type="pct"/>
          </w:tcPr>
          <w:p w14:paraId="6A6D261F" w14:textId="77777777" w:rsidR="00A359CB" w:rsidRDefault="00A359CB" w:rsidP="000038F8">
            <w:r w:rsidRPr="00455B95">
              <w:t>73% of HF participants in stable housing after two years compared to 32% of treatment as usual</w:t>
            </w:r>
          </w:p>
          <w:p w14:paraId="785C5D48" w14:textId="77777777" w:rsidR="00A359CB" w:rsidRDefault="00A359CB" w:rsidP="000038F8"/>
          <w:p w14:paraId="0A739430" w14:textId="78058A31" w:rsidR="00A359CB" w:rsidRPr="00F5070C" w:rsidRDefault="00A359CB" w:rsidP="000038F8">
            <w:pPr>
              <w:rPr>
                <w:b/>
                <w:bCs/>
              </w:rPr>
            </w:pPr>
            <w:r w:rsidRPr="00455B95">
              <w:t>In the last 6 months of the study, 62% of HF participants were housed all of the time, compared with 31% of TAU participants</w:t>
            </w:r>
            <w:r>
              <w:t xml:space="preserve"> and </w:t>
            </w:r>
            <w:r w:rsidRPr="00455B95">
              <w:t>16% of HF</w:t>
            </w:r>
            <w:r w:rsidR="0076024B">
              <w:t xml:space="preserve"> </w:t>
            </w:r>
            <w:r w:rsidRPr="00455B95">
              <w:t>participants were housed none of the time, compared to 46% of TAU participants.</w:t>
            </w:r>
            <w:r w:rsidRPr="00455B95" w:rsidDel="00455B95">
              <w:t xml:space="preserve"> </w:t>
            </w:r>
          </w:p>
        </w:tc>
      </w:tr>
      <w:tr w:rsidR="0076024B" w:rsidRPr="00F5070C" w14:paraId="21EB1524" w14:textId="77777777" w:rsidTr="00E01F76">
        <w:tc>
          <w:tcPr>
            <w:tcW w:w="908" w:type="pct"/>
          </w:tcPr>
          <w:p w14:paraId="0A687205" w14:textId="77777777" w:rsidR="0076024B" w:rsidRDefault="0076024B" w:rsidP="0076024B">
            <w:pPr>
              <w:rPr>
                <w:b/>
                <w:bCs/>
              </w:rPr>
            </w:pPr>
            <w:r>
              <w:rPr>
                <w:b/>
                <w:bCs/>
              </w:rPr>
              <w:lastRenderedPageBreak/>
              <w:t>CFT</w:t>
            </w:r>
          </w:p>
          <w:p w14:paraId="63EAEF0D" w14:textId="77777777" w:rsidR="0076024B" w:rsidRPr="00F5070C" w:rsidRDefault="0076024B" w:rsidP="0076024B">
            <w:pPr>
              <w:rPr>
                <w:b/>
                <w:bCs/>
              </w:rPr>
            </w:pPr>
            <w:r w:rsidRPr="00F5070C">
              <w:rPr>
                <w:b/>
                <w:bCs/>
              </w:rPr>
              <w:t xml:space="preserve">Community Forensic Learning Disability Team </w:t>
            </w:r>
          </w:p>
          <w:p w14:paraId="46E1B043" w14:textId="77777777" w:rsidR="0076024B" w:rsidRPr="00F5070C" w:rsidRDefault="0076024B" w:rsidP="0076024B">
            <w:pPr>
              <w:rPr>
                <w:b/>
                <w:bCs/>
              </w:rPr>
            </w:pPr>
          </w:p>
          <w:p w14:paraId="5B33D022" w14:textId="77777777" w:rsidR="0076024B" w:rsidRDefault="0076024B" w:rsidP="0076024B">
            <w:r w:rsidRPr="00F5070C">
              <w:t>General interventions on: (</w:t>
            </w:r>
            <w:r>
              <w:t>a</w:t>
            </w:r>
            <w:r w:rsidRPr="00F5070C">
              <w:t>) psychology (</w:t>
            </w:r>
            <w:r>
              <w:t>b</w:t>
            </w:r>
            <w:r w:rsidRPr="00F5070C">
              <w:t>) speech and language (</w:t>
            </w:r>
            <w:r>
              <w:t>c</w:t>
            </w:r>
            <w:r w:rsidRPr="00F5070C">
              <w:t xml:space="preserve">) occupational therapy AND </w:t>
            </w:r>
          </w:p>
          <w:p w14:paraId="6DC4815D" w14:textId="77777777" w:rsidR="0076024B" w:rsidRDefault="0076024B" w:rsidP="0076024B">
            <w:r w:rsidRPr="00F5070C">
              <w:t>Forensic interventions on: (</w:t>
            </w:r>
            <w:r>
              <w:t>a</w:t>
            </w:r>
            <w:r w:rsidRPr="00F5070C">
              <w:t>) adapted sexual offender treatment programmes (</w:t>
            </w:r>
            <w:r>
              <w:t>b</w:t>
            </w:r>
            <w:r w:rsidRPr="00F5070C">
              <w:t>) fire-setter treatment programmes (</w:t>
            </w:r>
            <w:r>
              <w:t>c</w:t>
            </w:r>
            <w:r w:rsidRPr="00F5070C">
              <w:t>) anger management (</w:t>
            </w:r>
            <w:r>
              <w:t>d</w:t>
            </w:r>
            <w:r w:rsidRPr="00F5070C">
              <w:t>) thinking skills</w:t>
            </w:r>
          </w:p>
          <w:p w14:paraId="26A3C4E6" w14:textId="77777777" w:rsidR="0076024B" w:rsidRDefault="0076024B" w:rsidP="0076024B"/>
          <w:p w14:paraId="60F86AD0" w14:textId="77777777" w:rsidR="0076024B" w:rsidRPr="00BF5D5C" w:rsidRDefault="0076024B" w:rsidP="0076024B">
            <w:pPr>
              <w:rPr>
                <w:b/>
              </w:rPr>
            </w:pPr>
          </w:p>
        </w:tc>
        <w:tc>
          <w:tcPr>
            <w:tcW w:w="549" w:type="pct"/>
          </w:tcPr>
          <w:p w14:paraId="352698C9" w14:textId="73C5659F" w:rsidR="0076024B" w:rsidRPr="00F5070C" w:rsidRDefault="0076024B" w:rsidP="0076024B">
            <w:r w:rsidRPr="00F5070C">
              <w:t>UK</w:t>
            </w:r>
          </w:p>
        </w:tc>
        <w:tc>
          <w:tcPr>
            <w:tcW w:w="541" w:type="pct"/>
          </w:tcPr>
          <w:p w14:paraId="76D87C32" w14:textId="77777777" w:rsidR="0076024B" w:rsidRPr="00F574C6" w:rsidRDefault="0076024B" w:rsidP="0076024B">
            <w:r w:rsidRPr="00F574C6">
              <w:t xml:space="preserve">Browning </w:t>
            </w:r>
            <w:r>
              <w:t>(</w:t>
            </w:r>
            <w:r w:rsidRPr="00F574C6">
              <w:t>2016</w:t>
            </w:r>
            <w:r>
              <w:t>)</w:t>
            </w:r>
          </w:p>
          <w:p w14:paraId="6A2178AE" w14:textId="77777777" w:rsidR="0076024B" w:rsidRPr="00F574C6" w:rsidRDefault="0076024B" w:rsidP="0076024B"/>
          <w:p w14:paraId="24C02E17" w14:textId="77777777" w:rsidR="0076024B" w:rsidRPr="00F574C6" w:rsidRDefault="0076024B" w:rsidP="0076024B">
            <w:pPr>
              <w:rPr>
                <w:rFonts w:ascii="Calibri" w:hAnsi="Calibri" w:cs="Calibri"/>
              </w:rPr>
            </w:pPr>
          </w:p>
        </w:tc>
        <w:tc>
          <w:tcPr>
            <w:tcW w:w="619" w:type="pct"/>
          </w:tcPr>
          <w:p w14:paraId="211FA86B" w14:textId="77777777" w:rsidR="0076024B" w:rsidRPr="00F5070C" w:rsidRDefault="0076024B" w:rsidP="0076024B">
            <w:r w:rsidRPr="00F5070C">
              <w:t>Intellectual Disability</w:t>
            </w:r>
          </w:p>
          <w:p w14:paraId="568CD85A" w14:textId="77777777" w:rsidR="0076024B" w:rsidRPr="00F5070C" w:rsidRDefault="0076024B" w:rsidP="0076024B">
            <w:r w:rsidRPr="00F5070C">
              <w:t>Forensic setting</w:t>
            </w:r>
          </w:p>
          <w:p w14:paraId="7454D979" w14:textId="77777777" w:rsidR="0076024B" w:rsidRPr="00F5070C" w:rsidRDefault="0076024B" w:rsidP="0076024B"/>
          <w:p w14:paraId="7BB4DE60" w14:textId="7627DC8F" w:rsidR="0076024B" w:rsidRPr="00F5070C" w:rsidRDefault="0076024B" w:rsidP="0076024B">
            <w:r w:rsidRPr="00F5070C">
              <w:t>N=70</w:t>
            </w:r>
          </w:p>
        </w:tc>
        <w:tc>
          <w:tcPr>
            <w:tcW w:w="591" w:type="pct"/>
          </w:tcPr>
          <w:p w14:paraId="64C407A7" w14:textId="72453F79" w:rsidR="0076024B" w:rsidRPr="00F5070C" w:rsidRDefault="0076024B" w:rsidP="0076024B">
            <w:r w:rsidRPr="00F5070C">
              <w:t>Pre/Post programme evaluation with primary outcomes of (a) living arrangements (b) offending behaviour</w:t>
            </w:r>
          </w:p>
        </w:tc>
        <w:tc>
          <w:tcPr>
            <w:tcW w:w="614" w:type="pct"/>
          </w:tcPr>
          <w:p w14:paraId="4F667865" w14:textId="65A109F4" w:rsidR="0076024B" w:rsidRPr="00F5070C" w:rsidRDefault="0076024B" w:rsidP="0076024B">
            <w:r w:rsidRPr="00F5070C">
              <w:t>Fair</w:t>
            </w:r>
          </w:p>
        </w:tc>
        <w:tc>
          <w:tcPr>
            <w:tcW w:w="1180" w:type="pct"/>
          </w:tcPr>
          <w:p w14:paraId="292595A8" w14:textId="6E07BF5D" w:rsidR="0076024B" w:rsidRPr="00455B95" w:rsidRDefault="0076024B" w:rsidP="0076024B">
            <w:r w:rsidRPr="00F5070C">
              <w:t xml:space="preserve">Reduction </w:t>
            </w:r>
            <w:r>
              <w:t>in</w:t>
            </w:r>
            <w:r w:rsidRPr="00F5070C">
              <w:t xml:space="preserve"> number of people in secure units (44% to 27%) </w:t>
            </w:r>
            <w:r>
              <w:t>and i</w:t>
            </w:r>
            <w:r w:rsidRPr="00F5070C">
              <w:t>ncrease in number of people living in the community (44% to 54%)</w:t>
            </w:r>
          </w:p>
        </w:tc>
      </w:tr>
      <w:tr w:rsidR="0076024B" w:rsidRPr="00F5070C" w14:paraId="6B85BAFC" w14:textId="77777777" w:rsidTr="00E01F76">
        <w:tc>
          <w:tcPr>
            <w:tcW w:w="908" w:type="pct"/>
          </w:tcPr>
          <w:p w14:paraId="1D5293AD" w14:textId="77777777" w:rsidR="0076024B" w:rsidRPr="00F5070C" w:rsidRDefault="0076024B" w:rsidP="0076024B">
            <w:pPr>
              <w:rPr>
                <w:b/>
                <w:bCs/>
              </w:rPr>
            </w:pPr>
            <w:r w:rsidRPr="00F5070C">
              <w:rPr>
                <w:b/>
                <w:bCs/>
              </w:rPr>
              <w:t>Community Mental Health Rehabilitation Team</w:t>
            </w:r>
          </w:p>
          <w:p w14:paraId="26CAB63B" w14:textId="6A87E6EC" w:rsidR="0076024B" w:rsidRDefault="0076024B" w:rsidP="0076024B">
            <w:pPr>
              <w:rPr>
                <w:b/>
                <w:bCs/>
              </w:rPr>
            </w:pPr>
            <w:r>
              <w:t>The study examined predictors of successful ‘move</w:t>
            </w:r>
            <w:r>
              <w:rPr>
                <w:rFonts w:ascii="Cambria Math" w:hAnsi="Cambria Math" w:cs="Cambria Math"/>
              </w:rPr>
              <w:t>‑</w:t>
            </w:r>
            <w:r>
              <w:t xml:space="preserve">on’ to more independent accommodation amongst users of the community mental </w:t>
            </w:r>
            <w:r>
              <w:lastRenderedPageBreak/>
              <w:t>health rehabilitation team</w:t>
            </w:r>
            <w:r w:rsidRPr="00A12B48">
              <w:t>.</w:t>
            </w:r>
          </w:p>
        </w:tc>
        <w:tc>
          <w:tcPr>
            <w:tcW w:w="549" w:type="pct"/>
          </w:tcPr>
          <w:p w14:paraId="49BDBA5E" w14:textId="617F3BCF" w:rsidR="0076024B" w:rsidRPr="00F5070C" w:rsidRDefault="0076024B" w:rsidP="0076024B">
            <w:r w:rsidRPr="00F5070C">
              <w:lastRenderedPageBreak/>
              <w:t>UK</w:t>
            </w:r>
          </w:p>
        </w:tc>
        <w:tc>
          <w:tcPr>
            <w:tcW w:w="541" w:type="pct"/>
          </w:tcPr>
          <w:p w14:paraId="6926589A" w14:textId="77777777" w:rsidR="0076024B" w:rsidRPr="00F574C6" w:rsidRDefault="0076024B" w:rsidP="0076024B">
            <w:r w:rsidRPr="00F574C6">
              <w:t xml:space="preserve">Chan et al </w:t>
            </w:r>
            <w:r>
              <w:t>(</w:t>
            </w:r>
            <w:r w:rsidRPr="00F574C6">
              <w:t>2021</w:t>
            </w:r>
            <w:r>
              <w:t>)</w:t>
            </w:r>
          </w:p>
          <w:p w14:paraId="7F21F511" w14:textId="77777777" w:rsidR="0076024B" w:rsidRPr="00F574C6" w:rsidRDefault="0076024B" w:rsidP="0076024B"/>
          <w:p w14:paraId="0EA38630" w14:textId="77777777" w:rsidR="0076024B" w:rsidRPr="00F574C6" w:rsidRDefault="0076024B" w:rsidP="0076024B"/>
        </w:tc>
        <w:tc>
          <w:tcPr>
            <w:tcW w:w="619" w:type="pct"/>
          </w:tcPr>
          <w:p w14:paraId="54C3874F" w14:textId="77777777" w:rsidR="0076024B" w:rsidRPr="00F5070C" w:rsidRDefault="0076024B" w:rsidP="0076024B">
            <w:r w:rsidRPr="00F5070C">
              <w:t>Psychiatric diagnosis</w:t>
            </w:r>
          </w:p>
          <w:p w14:paraId="6C2ABE88" w14:textId="77777777" w:rsidR="0076024B" w:rsidRPr="00F5070C" w:rsidRDefault="0076024B" w:rsidP="0076024B"/>
          <w:p w14:paraId="3EDC69A2" w14:textId="77777777" w:rsidR="0076024B" w:rsidRDefault="0076024B" w:rsidP="0076024B">
            <w:r w:rsidRPr="00F5070C">
              <w:t xml:space="preserve">N=193 </w:t>
            </w:r>
            <w:r>
              <w:t xml:space="preserve">n=45 </w:t>
            </w:r>
            <w:r w:rsidRPr="00F5070C">
              <w:t>Successful move on</w:t>
            </w:r>
          </w:p>
          <w:p w14:paraId="325F9157" w14:textId="28CD3A01" w:rsidR="0076024B" w:rsidRPr="00F5070C" w:rsidRDefault="0076024B" w:rsidP="0076024B">
            <w:r>
              <w:t xml:space="preserve">N=148 </w:t>
            </w:r>
            <w:r w:rsidRPr="00F5070C">
              <w:t>unsuccessful move on</w:t>
            </w:r>
          </w:p>
        </w:tc>
        <w:tc>
          <w:tcPr>
            <w:tcW w:w="591" w:type="pct"/>
          </w:tcPr>
          <w:p w14:paraId="6436FD25" w14:textId="77777777" w:rsidR="0076024B" w:rsidRDefault="0076024B" w:rsidP="0076024B">
            <w:r>
              <w:t>Longitudinal study</w:t>
            </w:r>
          </w:p>
          <w:p w14:paraId="17578F66" w14:textId="2C9A6AE8" w:rsidR="0076024B" w:rsidRPr="00F5070C" w:rsidRDefault="0076024B" w:rsidP="0076024B">
            <w:r>
              <w:t xml:space="preserve">Multivariable Cox proportional hazard regression to investigate associations between service user </w:t>
            </w:r>
            <w:r>
              <w:lastRenderedPageBreak/>
              <w:t>characteristics at transfer and successful move-on</w:t>
            </w:r>
          </w:p>
        </w:tc>
        <w:tc>
          <w:tcPr>
            <w:tcW w:w="614" w:type="pct"/>
          </w:tcPr>
          <w:p w14:paraId="1524F8E6" w14:textId="3B04006D" w:rsidR="0076024B" w:rsidRPr="00F5070C" w:rsidRDefault="0076024B" w:rsidP="0076024B">
            <w:r w:rsidRPr="00F5070C">
              <w:lastRenderedPageBreak/>
              <w:t>Fair</w:t>
            </w:r>
          </w:p>
        </w:tc>
        <w:tc>
          <w:tcPr>
            <w:tcW w:w="1180" w:type="pct"/>
          </w:tcPr>
          <w:p w14:paraId="23912DA4" w14:textId="77777777" w:rsidR="0076024B" w:rsidRDefault="0076024B" w:rsidP="0076024B">
            <w:r w:rsidRPr="00F5070C">
              <w:t xml:space="preserve">Two third of </w:t>
            </w:r>
            <w:r>
              <w:t>participants</w:t>
            </w:r>
            <w:r w:rsidRPr="00F5070C">
              <w:t xml:space="preserve"> remained in 24 </w:t>
            </w:r>
            <w:r>
              <w:t>hour</w:t>
            </w:r>
            <w:r w:rsidRPr="00F5070C">
              <w:t xml:space="preserve"> supported accommodation despite </w:t>
            </w:r>
            <w:r>
              <w:t xml:space="preserve">assistance </w:t>
            </w:r>
            <w:r w:rsidRPr="00F5070C">
              <w:t xml:space="preserve">from mental health rehabilitation team. </w:t>
            </w:r>
          </w:p>
          <w:p w14:paraId="1390B077" w14:textId="77777777" w:rsidR="0076024B" w:rsidRPr="00F5070C" w:rsidRDefault="0076024B" w:rsidP="0076024B"/>
          <w:p w14:paraId="30CE8E70" w14:textId="77777777" w:rsidR="0076024B" w:rsidRDefault="0076024B" w:rsidP="0076024B">
            <w:r w:rsidRPr="00F5070C">
              <w:t xml:space="preserve">Successful </w:t>
            </w:r>
            <w:r>
              <w:t>‘</w:t>
            </w:r>
            <w:r w:rsidRPr="00F5070C">
              <w:t>move on</w:t>
            </w:r>
            <w:r>
              <w:t>’ was</w:t>
            </w:r>
            <w:r w:rsidRPr="00F5070C">
              <w:t xml:space="preserve"> characterised </w:t>
            </w:r>
            <w:r>
              <w:t xml:space="preserve">by residents residing in a more highly supported accommodation, better functioning and </w:t>
            </w:r>
            <w:r w:rsidRPr="00F5070C">
              <w:t xml:space="preserve">no </w:t>
            </w:r>
            <w:r w:rsidRPr="00F5070C">
              <w:lastRenderedPageBreak/>
              <w:t>history of severe physical health problems</w:t>
            </w:r>
            <w:r>
              <w:t>.</w:t>
            </w:r>
            <w:r w:rsidRPr="00F5070C">
              <w:t xml:space="preserve"> </w:t>
            </w:r>
          </w:p>
          <w:p w14:paraId="7F3B23EB" w14:textId="77777777" w:rsidR="0076024B" w:rsidRDefault="0076024B" w:rsidP="0076024B"/>
          <w:p w14:paraId="466D55EA" w14:textId="1ADDE848" w:rsidR="0076024B" w:rsidRPr="00F5070C" w:rsidRDefault="0076024B" w:rsidP="0076024B">
            <w:r>
              <w:t>The study concluded that investment in interventions that improve functioning and physical health may facilitate successful move-on.</w:t>
            </w:r>
          </w:p>
        </w:tc>
      </w:tr>
      <w:tr w:rsidR="0076024B" w:rsidRPr="00F5070C" w14:paraId="3839EDFE" w14:textId="77777777" w:rsidTr="00E01F76">
        <w:tc>
          <w:tcPr>
            <w:tcW w:w="908" w:type="pct"/>
          </w:tcPr>
          <w:p w14:paraId="2B60AF82" w14:textId="77777777" w:rsidR="0076024B" w:rsidRDefault="0076024B" w:rsidP="0076024B">
            <w:pPr>
              <w:rPr>
                <w:b/>
                <w:bCs/>
              </w:rPr>
            </w:pPr>
            <w:r w:rsidRPr="00F5070C">
              <w:rPr>
                <w:b/>
                <w:bCs/>
              </w:rPr>
              <w:lastRenderedPageBreak/>
              <w:t>SMART</w:t>
            </w:r>
          </w:p>
          <w:p w14:paraId="3739E48B" w14:textId="77777777" w:rsidR="0076024B" w:rsidRDefault="0076024B" w:rsidP="0076024B">
            <w:pPr>
              <w:rPr>
                <w:b/>
                <w:bCs/>
              </w:rPr>
            </w:pPr>
            <w:r w:rsidRPr="00F5070C">
              <w:rPr>
                <w:b/>
                <w:bCs/>
              </w:rPr>
              <w:t xml:space="preserve">Supporting Many to Achieve Residential Transition Program. </w:t>
            </w:r>
          </w:p>
          <w:p w14:paraId="43018BED" w14:textId="77777777" w:rsidR="0076024B" w:rsidRPr="00F5070C" w:rsidRDefault="0076024B" w:rsidP="0076024B">
            <w:pPr>
              <w:rPr>
                <w:b/>
                <w:bCs/>
              </w:rPr>
            </w:pPr>
          </w:p>
          <w:p w14:paraId="2D61DE5D" w14:textId="38ABEEEF" w:rsidR="0076024B" w:rsidRDefault="0076024B" w:rsidP="0076024B">
            <w:r w:rsidRPr="00F5070C">
              <w:t xml:space="preserve">Six modules: </w:t>
            </w:r>
            <w:r>
              <w:t>(a</w:t>
            </w:r>
            <w:r w:rsidRPr="00F5070C">
              <w:t xml:space="preserve">) housing interview skills </w:t>
            </w:r>
            <w:r>
              <w:t>(b</w:t>
            </w:r>
            <w:r w:rsidRPr="00F5070C">
              <w:t xml:space="preserve">) apartment living skills </w:t>
            </w:r>
            <w:r>
              <w:t>(c)</w:t>
            </w:r>
            <w:r w:rsidRPr="00F5070C">
              <w:t xml:space="preserve"> being a good tenant and neighbo</w:t>
            </w:r>
            <w:r w:rsidR="00396EAA">
              <w:t>u</w:t>
            </w:r>
            <w:r w:rsidRPr="00F5070C">
              <w:t xml:space="preserve">r </w:t>
            </w:r>
            <w:r>
              <w:t xml:space="preserve">(d) </w:t>
            </w:r>
            <w:r w:rsidRPr="00F5070C">
              <w:t xml:space="preserve">community living </w:t>
            </w:r>
            <w:r>
              <w:t>(e</w:t>
            </w:r>
            <w:r w:rsidRPr="00F5070C">
              <w:t xml:space="preserve">) managing money </w:t>
            </w:r>
            <w:r>
              <w:t>(f</w:t>
            </w:r>
            <w:r w:rsidRPr="00F5070C">
              <w:t>) health and wellness</w:t>
            </w:r>
          </w:p>
          <w:p w14:paraId="1E9C5268" w14:textId="77777777" w:rsidR="0076024B" w:rsidRDefault="0076024B" w:rsidP="0076024B"/>
          <w:p w14:paraId="6E12113B" w14:textId="77777777" w:rsidR="0076024B" w:rsidRPr="00F5070C" w:rsidRDefault="0076024B" w:rsidP="0076024B"/>
        </w:tc>
        <w:tc>
          <w:tcPr>
            <w:tcW w:w="549" w:type="pct"/>
          </w:tcPr>
          <w:p w14:paraId="462C0024" w14:textId="77777777" w:rsidR="0076024B" w:rsidRPr="00F5070C" w:rsidRDefault="0076024B" w:rsidP="0076024B">
            <w:r w:rsidRPr="00F5070C">
              <w:t>USA</w:t>
            </w:r>
          </w:p>
        </w:tc>
        <w:tc>
          <w:tcPr>
            <w:tcW w:w="541" w:type="pct"/>
          </w:tcPr>
          <w:p w14:paraId="210E3AB9" w14:textId="77777777" w:rsidR="0076024B" w:rsidRPr="00F574C6" w:rsidRDefault="0076024B" w:rsidP="0076024B">
            <w:r w:rsidRPr="00F574C6">
              <w:t xml:space="preserve">Gutman and Raphael-Greenfield </w:t>
            </w:r>
            <w:r>
              <w:t>(</w:t>
            </w:r>
            <w:r w:rsidRPr="00F574C6">
              <w:t>2017</w:t>
            </w:r>
            <w:r>
              <w:t>)</w:t>
            </w:r>
          </w:p>
          <w:p w14:paraId="39EF9649" w14:textId="77777777" w:rsidR="0076024B" w:rsidRPr="00F574C6" w:rsidRDefault="0076024B" w:rsidP="0076024B"/>
          <w:p w14:paraId="37654882" w14:textId="77777777" w:rsidR="0076024B" w:rsidRPr="00F574C6" w:rsidRDefault="0076024B" w:rsidP="0076024B"/>
        </w:tc>
        <w:tc>
          <w:tcPr>
            <w:tcW w:w="619" w:type="pct"/>
          </w:tcPr>
          <w:p w14:paraId="439B82D6" w14:textId="77777777" w:rsidR="0076024B" w:rsidRDefault="0076024B" w:rsidP="0076024B">
            <w:r w:rsidRPr="00F5070C">
              <w:t>Homeless people with mental illness and/or substance abuse</w:t>
            </w:r>
          </w:p>
          <w:p w14:paraId="3FF71CE4" w14:textId="77777777" w:rsidR="0076024B" w:rsidRDefault="0076024B" w:rsidP="0076024B"/>
          <w:p w14:paraId="061C25CE" w14:textId="77777777" w:rsidR="0076024B" w:rsidRDefault="0076024B" w:rsidP="0076024B">
            <w:r w:rsidRPr="00DE50BE">
              <w:t xml:space="preserve">N=20 </w:t>
            </w:r>
          </w:p>
          <w:p w14:paraId="00E3148D" w14:textId="77777777" w:rsidR="0076024B" w:rsidRPr="00F5070C" w:rsidRDefault="0076024B" w:rsidP="0076024B">
            <w:r w:rsidRPr="00DE50BE">
              <w:t>n=10 SMART programme n=10 TAU</w:t>
            </w:r>
            <w:r>
              <w:t xml:space="preserve"> (treatment as usual)</w:t>
            </w:r>
          </w:p>
        </w:tc>
        <w:tc>
          <w:tcPr>
            <w:tcW w:w="591" w:type="pct"/>
          </w:tcPr>
          <w:p w14:paraId="229807FE" w14:textId="3C0A87E4" w:rsidR="0076024B" w:rsidRPr="00F5070C" w:rsidRDefault="0076024B" w:rsidP="0076024B">
            <w:r w:rsidRPr="00F5070C">
              <w:t>Two group pre/post evaluation of inte</w:t>
            </w:r>
            <w:r>
              <w:t>r</w:t>
            </w:r>
            <w:r w:rsidRPr="00F5070C">
              <w:t>vention programme</w:t>
            </w:r>
          </w:p>
        </w:tc>
        <w:tc>
          <w:tcPr>
            <w:tcW w:w="614" w:type="pct"/>
          </w:tcPr>
          <w:p w14:paraId="3D77598A" w14:textId="77777777" w:rsidR="0076024B" w:rsidRPr="00F5070C" w:rsidRDefault="0076024B" w:rsidP="0076024B">
            <w:r>
              <w:t>Fair</w:t>
            </w:r>
          </w:p>
        </w:tc>
        <w:tc>
          <w:tcPr>
            <w:tcW w:w="1180" w:type="pct"/>
          </w:tcPr>
          <w:p w14:paraId="26B2E64D" w14:textId="77777777" w:rsidR="0076024B" w:rsidRPr="00F5070C" w:rsidRDefault="0076024B" w:rsidP="0076024B">
            <w:r w:rsidRPr="00F5070C">
              <w:t>Intervention group participants made greater progress toward apartment living skill goals and reported higher quality of life at intervention end.</w:t>
            </w:r>
          </w:p>
        </w:tc>
      </w:tr>
      <w:tr w:rsidR="0076024B" w:rsidRPr="00F5070C" w14:paraId="7ECAD632" w14:textId="77777777" w:rsidTr="00E01F76">
        <w:tc>
          <w:tcPr>
            <w:tcW w:w="908" w:type="pct"/>
          </w:tcPr>
          <w:p w14:paraId="216BF0D5" w14:textId="77777777" w:rsidR="0076024B" w:rsidRDefault="0076024B" w:rsidP="0076024B">
            <w:pPr>
              <w:rPr>
                <w:b/>
                <w:bCs/>
              </w:rPr>
            </w:pPr>
            <w:r>
              <w:rPr>
                <w:b/>
                <w:bCs/>
              </w:rPr>
              <w:t>ACT</w:t>
            </w:r>
          </w:p>
          <w:p w14:paraId="4502E0C3" w14:textId="77777777" w:rsidR="0076024B" w:rsidRDefault="0076024B" w:rsidP="0076024B">
            <w:pPr>
              <w:rPr>
                <w:b/>
                <w:bCs/>
              </w:rPr>
            </w:pPr>
            <w:r w:rsidRPr="00F5070C">
              <w:rPr>
                <w:b/>
                <w:bCs/>
              </w:rPr>
              <w:t xml:space="preserve">Evaluation of Assertive Community Treatment </w:t>
            </w:r>
          </w:p>
          <w:p w14:paraId="1A757A53" w14:textId="77777777" w:rsidR="0076024B" w:rsidRPr="00F5070C" w:rsidRDefault="0076024B" w:rsidP="0076024B">
            <w:pPr>
              <w:rPr>
                <w:b/>
                <w:bCs/>
              </w:rPr>
            </w:pPr>
          </w:p>
          <w:p w14:paraId="27E281B1" w14:textId="77777777" w:rsidR="0076024B" w:rsidRPr="00F5070C" w:rsidRDefault="0076024B" w:rsidP="0076024B">
            <w:r w:rsidRPr="00F5070C">
              <w:t xml:space="preserve">Institutionalised individuals with severe mental illness following de-institutionalisation </w:t>
            </w:r>
            <w:r w:rsidRPr="00F5070C">
              <w:lastRenderedPageBreak/>
              <w:t>compared to Treatment as Usual (TAU) comparison groups.</w:t>
            </w:r>
          </w:p>
          <w:p w14:paraId="37963E57" w14:textId="77777777" w:rsidR="0076024B" w:rsidRPr="00F5070C" w:rsidRDefault="0076024B" w:rsidP="0076024B"/>
          <w:p w14:paraId="75232AFD" w14:textId="4B6F02F3" w:rsidR="0076024B" w:rsidRPr="00F5070C" w:rsidRDefault="0076024B" w:rsidP="00272E9D">
            <w:r w:rsidRPr="00F5070C">
              <w:t>ACT-Assertive Community Treatment (weekly home visits, community assessment, budgeting advice, crisis intervention, family orientation, individual counse</w:t>
            </w:r>
            <w:r w:rsidR="00DB1525">
              <w:t>l</w:t>
            </w:r>
            <w:r w:rsidRPr="00F5070C">
              <w:t>ling, violence assessment, budgeting advice, crisis intervention, family psychoeducation) ACT applied following de-institutionalisation</w:t>
            </w:r>
          </w:p>
        </w:tc>
        <w:tc>
          <w:tcPr>
            <w:tcW w:w="549" w:type="pct"/>
          </w:tcPr>
          <w:p w14:paraId="61352DD6" w14:textId="77777777" w:rsidR="0076024B" w:rsidRPr="00F5070C" w:rsidRDefault="0076024B" w:rsidP="0076024B">
            <w:r w:rsidRPr="00F5070C">
              <w:lastRenderedPageBreak/>
              <w:t>Hong-Kong</w:t>
            </w:r>
          </w:p>
        </w:tc>
        <w:tc>
          <w:tcPr>
            <w:tcW w:w="541" w:type="pct"/>
          </w:tcPr>
          <w:p w14:paraId="502C4362" w14:textId="77777777" w:rsidR="0076024B" w:rsidRPr="00F574C6" w:rsidRDefault="0076024B" w:rsidP="0076024B">
            <w:r w:rsidRPr="00F574C6">
              <w:t xml:space="preserve">Lee et al </w:t>
            </w:r>
            <w:r>
              <w:t>(</w:t>
            </w:r>
            <w:r w:rsidRPr="00F574C6">
              <w:t>2015</w:t>
            </w:r>
            <w:r>
              <w:t>)</w:t>
            </w:r>
          </w:p>
          <w:p w14:paraId="4D21DBDF" w14:textId="77777777" w:rsidR="0076024B" w:rsidRPr="00F574C6" w:rsidRDefault="0076024B" w:rsidP="0076024B"/>
          <w:p w14:paraId="26FCC89D" w14:textId="77777777" w:rsidR="0076024B" w:rsidRPr="00F574C6" w:rsidRDefault="0076024B" w:rsidP="0076024B"/>
        </w:tc>
        <w:tc>
          <w:tcPr>
            <w:tcW w:w="619" w:type="pct"/>
          </w:tcPr>
          <w:p w14:paraId="4AA8F744" w14:textId="77777777" w:rsidR="0076024B" w:rsidRPr="00F5070C" w:rsidRDefault="0076024B" w:rsidP="0076024B">
            <w:r w:rsidRPr="00F5070C">
              <w:t>Mental Health</w:t>
            </w:r>
          </w:p>
          <w:p w14:paraId="4F22C970" w14:textId="77777777" w:rsidR="0076024B" w:rsidRDefault="0076024B" w:rsidP="0076024B">
            <w:r w:rsidRPr="00F5070C">
              <w:t>N=210</w:t>
            </w:r>
          </w:p>
          <w:p w14:paraId="0496B072" w14:textId="77777777" w:rsidR="0076024B" w:rsidRDefault="0076024B" w:rsidP="0076024B"/>
          <w:p w14:paraId="23FBC854" w14:textId="77777777" w:rsidR="0076024B" w:rsidRPr="00F5070C" w:rsidRDefault="0076024B" w:rsidP="0076024B">
            <w:r>
              <w:t>N=70 ACT</w:t>
            </w:r>
          </w:p>
          <w:p w14:paraId="0D40F9DD" w14:textId="77777777" w:rsidR="0076024B" w:rsidRDefault="0076024B" w:rsidP="0076024B">
            <w:r w:rsidRPr="00F5070C">
              <w:t>n</w:t>
            </w:r>
            <w:r>
              <w:t>=</w:t>
            </w:r>
            <w:r w:rsidRPr="00F5070C">
              <w:t xml:space="preserve">70 </w:t>
            </w:r>
            <w:r>
              <w:t>TAU-1 (t</w:t>
            </w:r>
            <w:r w:rsidRPr="00F5070C">
              <w:t>reatment</w:t>
            </w:r>
            <w:r>
              <w:t xml:space="preserve"> as usual control group 1)</w:t>
            </w:r>
          </w:p>
          <w:p w14:paraId="10BE415F" w14:textId="77777777" w:rsidR="0076024B" w:rsidRPr="00F5070C" w:rsidRDefault="0076024B" w:rsidP="0076024B">
            <w:r w:rsidRPr="00DE50BE">
              <w:lastRenderedPageBreak/>
              <w:t>n=70 TAU</w:t>
            </w:r>
            <w:r>
              <w:t xml:space="preserve">-2 </w:t>
            </w:r>
            <w:r w:rsidRPr="00DE50BE">
              <w:t xml:space="preserve">(treatment as usual control group </w:t>
            </w:r>
            <w:r>
              <w:t>2</w:t>
            </w:r>
            <w:r w:rsidRPr="00DE50BE">
              <w:t>)</w:t>
            </w:r>
          </w:p>
        </w:tc>
        <w:tc>
          <w:tcPr>
            <w:tcW w:w="591" w:type="pct"/>
          </w:tcPr>
          <w:p w14:paraId="6DDE81D2" w14:textId="77777777" w:rsidR="0076024B" w:rsidRPr="00F5070C" w:rsidRDefault="0076024B" w:rsidP="0076024B">
            <w:r w:rsidRPr="00F5070C">
              <w:lastRenderedPageBreak/>
              <w:t xml:space="preserve">Cross sectional </w:t>
            </w:r>
            <w:r>
              <w:t xml:space="preserve">comparison </w:t>
            </w:r>
            <w:r w:rsidRPr="00F5070C">
              <w:t>study</w:t>
            </w:r>
          </w:p>
        </w:tc>
        <w:tc>
          <w:tcPr>
            <w:tcW w:w="614" w:type="pct"/>
          </w:tcPr>
          <w:p w14:paraId="0C274ADB" w14:textId="77777777" w:rsidR="0076024B" w:rsidRPr="00F5070C" w:rsidRDefault="0076024B" w:rsidP="0076024B">
            <w:r w:rsidRPr="00F5070C">
              <w:t>Good</w:t>
            </w:r>
          </w:p>
        </w:tc>
        <w:tc>
          <w:tcPr>
            <w:tcW w:w="1180" w:type="pct"/>
          </w:tcPr>
          <w:p w14:paraId="5A6F66E2" w14:textId="77777777" w:rsidR="0076024B" w:rsidRPr="00F5070C" w:rsidRDefault="0076024B" w:rsidP="0076024B">
            <w:r w:rsidRPr="00F5070C">
              <w:t xml:space="preserve">ACT: greater reduction in readmission episodes; greater reduction in length of hospital stay; no significant differences on QoL between ACT and </w:t>
            </w:r>
            <w:r>
              <w:t>TAU groups</w:t>
            </w:r>
            <w:r w:rsidRPr="00F5070C">
              <w:t>.</w:t>
            </w:r>
          </w:p>
        </w:tc>
      </w:tr>
      <w:tr w:rsidR="0076024B" w:rsidRPr="00F5070C" w14:paraId="6C0D4315" w14:textId="77777777" w:rsidTr="00E01F76">
        <w:tc>
          <w:tcPr>
            <w:tcW w:w="908" w:type="pct"/>
          </w:tcPr>
          <w:p w14:paraId="46884429" w14:textId="77777777" w:rsidR="0076024B" w:rsidRDefault="0076024B" w:rsidP="0076024B">
            <w:pPr>
              <w:rPr>
                <w:b/>
              </w:rPr>
            </w:pPr>
            <w:r>
              <w:rPr>
                <w:b/>
              </w:rPr>
              <w:t>LSP</w:t>
            </w:r>
          </w:p>
          <w:p w14:paraId="74ABA671" w14:textId="77777777" w:rsidR="0076024B" w:rsidRPr="00BF5D5C" w:rsidRDefault="0076024B" w:rsidP="0076024B">
            <w:pPr>
              <w:rPr>
                <w:b/>
              </w:rPr>
            </w:pPr>
            <w:r w:rsidRPr="00BF5D5C">
              <w:rPr>
                <w:b/>
              </w:rPr>
              <w:t>L</w:t>
            </w:r>
            <w:r>
              <w:rPr>
                <w:b/>
              </w:rPr>
              <w:t xml:space="preserve">ife </w:t>
            </w:r>
            <w:r w:rsidRPr="00BF5D5C">
              <w:rPr>
                <w:b/>
              </w:rPr>
              <w:t>S</w:t>
            </w:r>
            <w:r>
              <w:rPr>
                <w:b/>
              </w:rPr>
              <w:t xml:space="preserve">kills </w:t>
            </w:r>
            <w:r w:rsidRPr="00BF5D5C">
              <w:rPr>
                <w:b/>
              </w:rPr>
              <w:t>Programme</w:t>
            </w:r>
          </w:p>
          <w:p w14:paraId="781D3D2D" w14:textId="77777777" w:rsidR="0076024B" w:rsidRPr="00F5070C" w:rsidRDefault="0076024B" w:rsidP="0076024B"/>
          <w:p w14:paraId="14C0D891" w14:textId="77777777" w:rsidR="0076024B" w:rsidRDefault="0076024B" w:rsidP="0076024B">
            <w:r>
              <w:t>N</w:t>
            </w:r>
            <w:r w:rsidRPr="00F5070C">
              <w:t xml:space="preserve">o </w:t>
            </w:r>
            <w:r>
              <w:t xml:space="preserve">specific programme </w:t>
            </w:r>
            <w:r w:rsidRPr="00F5070C">
              <w:t>details provided</w:t>
            </w:r>
            <w:r>
              <w:t>.</w:t>
            </w:r>
          </w:p>
          <w:p w14:paraId="4540F7D6" w14:textId="77777777" w:rsidR="0076024B" w:rsidRDefault="0076024B" w:rsidP="0076024B"/>
          <w:p w14:paraId="68709951" w14:textId="77777777" w:rsidR="0076024B" w:rsidRDefault="0076024B" w:rsidP="0076024B">
            <w:r w:rsidRPr="00A43661">
              <w:t xml:space="preserve">LSP has three enrolment options, (a) full-time residential, (b) part-time non-residential, (c) flexible </w:t>
            </w:r>
            <w:r w:rsidRPr="00A43661">
              <w:lastRenderedPageBreak/>
              <w:t xml:space="preserve">social event participation. </w:t>
            </w:r>
          </w:p>
          <w:p w14:paraId="6390709E" w14:textId="04B33C06" w:rsidR="0076024B" w:rsidRPr="00F5070C" w:rsidRDefault="0076024B" w:rsidP="0076024B">
            <w:r w:rsidRPr="00A43661">
              <w:t xml:space="preserve">Duration </w:t>
            </w:r>
            <w:r>
              <w:t xml:space="preserve">of programme was </w:t>
            </w:r>
            <w:r w:rsidRPr="00A43661">
              <w:t>typic</w:t>
            </w:r>
            <w:r>
              <w:t>a</w:t>
            </w:r>
            <w:r w:rsidRPr="00A43661">
              <w:t>lly two years, opt-in programme</w:t>
            </w:r>
            <w:r>
              <w:t xml:space="preserve"> option.</w:t>
            </w:r>
          </w:p>
        </w:tc>
        <w:tc>
          <w:tcPr>
            <w:tcW w:w="549" w:type="pct"/>
          </w:tcPr>
          <w:p w14:paraId="373D591B" w14:textId="77777777" w:rsidR="0076024B" w:rsidRPr="00F5070C" w:rsidRDefault="0076024B" w:rsidP="0076024B">
            <w:r w:rsidRPr="00F5070C">
              <w:lastRenderedPageBreak/>
              <w:t>Ireland</w:t>
            </w:r>
          </w:p>
        </w:tc>
        <w:tc>
          <w:tcPr>
            <w:tcW w:w="541" w:type="pct"/>
          </w:tcPr>
          <w:p w14:paraId="47903660" w14:textId="77777777" w:rsidR="0076024B" w:rsidRPr="00F574C6" w:rsidRDefault="0076024B" w:rsidP="0076024B">
            <w:r w:rsidRPr="00F574C6">
              <w:t xml:space="preserve">Mathews </w:t>
            </w:r>
            <w:r>
              <w:t>(</w:t>
            </w:r>
            <w:r w:rsidRPr="00F574C6">
              <w:t>2015</w:t>
            </w:r>
            <w:r>
              <w:t>)</w:t>
            </w:r>
          </w:p>
          <w:p w14:paraId="0282EB5A" w14:textId="77777777" w:rsidR="0076024B" w:rsidRPr="00F574C6" w:rsidRDefault="0076024B" w:rsidP="0076024B"/>
          <w:p w14:paraId="738B9370" w14:textId="77777777" w:rsidR="0076024B" w:rsidRPr="00F574C6" w:rsidRDefault="0076024B" w:rsidP="0076024B"/>
        </w:tc>
        <w:tc>
          <w:tcPr>
            <w:tcW w:w="619" w:type="pct"/>
          </w:tcPr>
          <w:p w14:paraId="4CA43549" w14:textId="77777777" w:rsidR="0076024B" w:rsidRPr="00F5070C" w:rsidRDefault="0076024B" w:rsidP="0076024B">
            <w:r w:rsidRPr="00F5070C">
              <w:t>Deafness</w:t>
            </w:r>
          </w:p>
          <w:p w14:paraId="529D1D31" w14:textId="77777777" w:rsidR="0076024B" w:rsidRPr="00F5070C" w:rsidRDefault="0076024B" w:rsidP="0076024B">
            <w:r w:rsidRPr="00F5070C">
              <w:t>N=5</w:t>
            </w:r>
          </w:p>
        </w:tc>
        <w:tc>
          <w:tcPr>
            <w:tcW w:w="591" w:type="pct"/>
          </w:tcPr>
          <w:p w14:paraId="7075BB50" w14:textId="6D43A325" w:rsidR="0076024B" w:rsidRPr="00F5070C" w:rsidRDefault="0076024B" w:rsidP="0076024B">
            <w:r>
              <w:t>Pre/post evaluation</w:t>
            </w:r>
          </w:p>
        </w:tc>
        <w:tc>
          <w:tcPr>
            <w:tcW w:w="614" w:type="pct"/>
          </w:tcPr>
          <w:p w14:paraId="6F9FD615" w14:textId="77777777" w:rsidR="0076024B" w:rsidRPr="00F5070C" w:rsidRDefault="0076024B" w:rsidP="0076024B">
            <w:r>
              <w:t>Fair</w:t>
            </w:r>
          </w:p>
        </w:tc>
        <w:tc>
          <w:tcPr>
            <w:tcW w:w="1180" w:type="pct"/>
          </w:tcPr>
          <w:p w14:paraId="61E4E4BB" w14:textId="77777777" w:rsidR="0076024B" w:rsidRDefault="0076024B" w:rsidP="0076024B">
            <w:r>
              <w:t>S</w:t>
            </w:r>
            <w:r w:rsidRPr="00BF5D5C">
              <w:t xml:space="preserve">trongest areas of improvement (ie. </w:t>
            </w:r>
            <w:r>
              <w:t>m</w:t>
            </w:r>
            <w:r w:rsidRPr="00BF5D5C">
              <w:t>ove to the next skill area</w:t>
            </w:r>
            <w:r>
              <w:t>)</w:t>
            </w:r>
            <w:r w:rsidRPr="00BF5D5C">
              <w:t xml:space="preserve"> were</w:t>
            </w:r>
            <w:r>
              <w:t xml:space="preserve"> on</w:t>
            </w:r>
            <w:r w:rsidRPr="00BF5D5C">
              <w:t xml:space="preserve"> food management</w:t>
            </w:r>
            <w:r>
              <w:t xml:space="preserve">, </w:t>
            </w:r>
            <w:r w:rsidRPr="00BF5D5C">
              <w:t>ho</w:t>
            </w:r>
            <w:r>
              <w:t>u</w:t>
            </w:r>
            <w:r w:rsidRPr="00BF5D5C">
              <w:t>sekeeping</w:t>
            </w:r>
            <w:r>
              <w:t xml:space="preserve">, </w:t>
            </w:r>
            <w:r w:rsidRPr="00BF5D5C">
              <w:t>emergency and safety skills (4/6</w:t>
            </w:r>
            <w:r>
              <w:t xml:space="preserve"> </w:t>
            </w:r>
            <w:r w:rsidRPr="00BF5D5C">
              <w:t>participants). Significant gaps remained in the areas of health</w:t>
            </w:r>
            <w:r>
              <w:t xml:space="preserve">, </w:t>
            </w:r>
            <w:r w:rsidRPr="00BF5D5C">
              <w:t>housing (rent rights and obligations)</w:t>
            </w:r>
            <w:r>
              <w:t xml:space="preserve">, </w:t>
            </w:r>
            <w:r w:rsidRPr="00BF5D5C">
              <w:t xml:space="preserve">legal knowledge </w:t>
            </w:r>
            <w:r>
              <w:t xml:space="preserve">and </w:t>
            </w:r>
            <w:r w:rsidRPr="00BF5D5C">
              <w:t>pregnancy</w:t>
            </w:r>
            <w:r>
              <w:t xml:space="preserve"> </w:t>
            </w:r>
            <w:r w:rsidRPr="00BF5D5C">
              <w:t>/</w:t>
            </w:r>
            <w:r>
              <w:t xml:space="preserve"> </w:t>
            </w:r>
            <w:r w:rsidRPr="00BF5D5C">
              <w:t>parenti</w:t>
            </w:r>
            <w:r>
              <w:t>n</w:t>
            </w:r>
            <w:r w:rsidRPr="00BF5D5C">
              <w:t>g /</w:t>
            </w:r>
            <w:r>
              <w:t xml:space="preserve"> </w:t>
            </w:r>
            <w:r w:rsidRPr="00BF5D5C">
              <w:t>childcare.</w:t>
            </w:r>
          </w:p>
          <w:p w14:paraId="2527B293" w14:textId="77777777" w:rsidR="0076024B" w:rsidRDefault="0076024B" w:rsidP="0076024B"/>
          <w:p w14:paraId="7EFA86AB" w14:textId="77777777" w:rsidR="0076024B" w:rsidRPr="00F5070C" w:rsidRDefault="0076024B" w:rsidP="0076024B">
            <w:r>
              <w:t>A major limitation is the very small sample size and lack of programme details</w:t>
            </w:r>
          </w:p>
        </w:tc>
      </w:tr>
      <w:tr w:rsidR="0076024B" w:rsidRPr="00F5070C" w14:paraId="02DFA509" w14:textId="77777777" w:rsidTr="00E01F76">
        <w:tc>
          <w:tcPr>
            <w:tcW w:w="908" w:type="pct"/>
          </w:tcPr>
          <w:p w14:paraId="100C636D" w14:textId="77777777" w:rsidR="0076024B" w:rsidRDefault="0076024B" w:rsidP="0076024B">
            <w:pPr>
              <w:rPr>
                <w:b/>
                <w:bCs/>
              </w:rPr>
            </w:pPr>
            <w:r>
              <w:rPr>
                <w:b/>
                <w:bCs/>
              </w:rPr>
              <w:lastRenderedPageBreak/>
              <w:t>DPP</w:t>
            </w:r>
          </w:p>
          <w:p w14:paraId="464F09AA" w14:textId="77777777" w:rsidR="0076024B" w:rsidRPr="00F5070C" w:rsidRDefault="0076024B" w:rsidP="0076024B">
            <w:pPr>
              <w:rPr>
                <w:b/>
                <w:bCs/>
              </w:rPr>
            </w:pPr>
            <w:r w:rsidRPr="00F5070C">
              <w:rPr>
                <w:b/>
                <w:bCs/>
              </w:rPr>
              <w:t xml:space="preserve">Discharge Preparation </w:t>
            </w:r>
            <w:r>
              <w:rPr>
                <w:b/>
                <w:bCs/>
              </w:rPr>
              <w:t>P</w:t>
            </w:r>
            <w:r w:rsidRPr="00F5070C">
              <w:rPr>
                <w:b/>
                <w:bCs/>
              </w:rPr>
              <w:t>rogramme</w:t>
            </w:r>
          </w:p>
          <w:p w14:paraId="61329A05" w14:textId="77777777" w:rsidR="0076024B" w:rsidRPr="00F5070C" w:rsidRDefault="0076024B" w:rsidP="0076024B"/>
          <w:p w14:paraId="6D4B94CB" w14:textId="77777777" w:rsidR="0076024B" w:rsidRDefault="0076024B" w:rsidP="0076024B">
            <w:pPr>
              <w:rPr>
                <w:rFonts w:ascii="Calibri" w:hAnsi="Calibri" w:cs="Calibri"/>
              </w:rPr>
            </w:pPr>
            <w:r>
              <w:rPr>
                <w:rFonts w:ascii="Calibri" w:hAnsi="Calibri" w:cs="Calibri"/>
              </w:rPr>
              <w:t>The programme comprised of p</w:t>
            </w:r>
            <w:r w:rsidRPr="00F5070C">
              <w:rPr>
                <w:rFonts w:ascii="Calibri" w:hAnsi="Calibri" w:cs="Calibri"/>
              </w:rPr>
              <w:t xml:space="preserve">sychoeducation and </w:t>
            </w:r>
            <w:r>
              <w:rPr>
                <w:rFonts w:ascii="Calibri" w:hAnsi="Calibri" w:cs="Calibri"/>
              </w:rPr>
              <w:t xml:space="preserve">utilized </w:t>
            </w:r>
            <w:r w:rsidRPr="00F5070C">
              <w:rPr>
                <w:rFonts w:ascii="Calibri" w:hAnsi="Calibri" w:cs="Calibri"/>
              </w:rPr>
              <w:t>t</w:t>
            </w:r>
            <w:r>
              <w:rPr>
                <w:rFonts w:ascii="Calibri" w:hAnsi="Calibri" w:cs="Calibri"/>
              </w:rPr>
              <w:t>h</w:t>
            </w:r>
            <w:r w:rsidRPr="00F5070C">
              <w:rPr>
                <w:rFonts w:ascii="Calibri" w:hAnsi="Calibri" w:cs="Calibri"/>
              </w:rPr>
              <w:t xml:space="preserve">ree primary tools </w:t>
            </w:r>
            <w:r>
              <w:rPr>
                <w:rFonts w:ascii="Calibri" w:hAnsi="Calibri" w:cs="Calibri"/>
              </w:rPr>
              <w:t>for implementation</w:t>
            </w:r>
            <w:r w:rsidRPr="00F5070C">
              <w:rPr>
                <w:rFonts w:ascii="Calibri" w:hAnsi="Calibri" w:cs="Calibri"/>
              </w:rPr>
              <w:t xml:space="preserve"> (a) video imaging (b) leader's manual (c) participant's workbook</w:t>
            </w:r>
            <w:r>
              <w:rPr>
                <w:rFonts w:ascii="Calibri" w:hAnsi="Calibri" w:cs="Calibri"/>
              </w:rPr>
              <w:t>.</w:t>
            </w:r>
          </w:p>
          <w:p w14:paraId="1BCD41DE" w14:textId="7CD11019" w:rsidR="0076024B" w:rsidRPr="00F5070C" w:rsidRDefault="0076024B" w:rsidP="00272E9D">
            <w:r>
              <w:rPr>
                <w:rFonts w:ascii="Calibri" w:hAnsi="Calibri" w:cs="Calibri"/>
              </w:rPr>
              <w:t>A</w:t>
            </w:r>
            <w:r w:rsidRPr="00F5070C">
              <w:rPr>
                <w:rFonts w:ascii="Calibri" w:hAnsi="Calibri" w:cs="Calibri"/>
              </w:rPr>
              <w:t xml:space="preserve"> total of 24 sessions </w:t>
            </w:r>
            <w:r>
              <w:rPr>
                <w:rFonts w:ascii="Calibri" w:hAnsi="Calibri" w:cs="Calibri"/>
              </w:rPr>
              <w:t xml:space="preserve">were completed </w:t>
            </w:r>
            <w:r w:rsidRPr="00F5070C">
              <w:rPr>
                <w:rFonts w:ascii="Calibri" w:hAnsi="Calibri" w:cs="Calibri"/>
              </w:rPr>
              <w:t xml:space="preserve">(17 indoor sessions and 7 outdoor </w:t>
            </w:r>
            <w:r>
              <w:rPr>
                <w:rFonts w:ascii="Calibri" w:hAnsi="Calibri" w:cs="Calibri"/>
              </w:rPr>
              <w:t xml:space="preserve">community </w:t>
            </w:r>
            <w:r w:rsidRPr="00F5070C">
              <w:rPr>
                <w:rFonts w:ascii="Calibri" w:hAnsi="Calibri" w:cs="Calibri"/>
              </w:rPr>
              <w:t>practice sessions</w:t>
            </w:r>
          </w:p>
        </w:tc>
        <w:tc>
          <w:tcPr>
            <w:tcW w:w="549" w:type="pct"/>
          </w:tcPr>
          <w:p w14:paraId="2C64926E" w14:textId="77777777" w:rsidR="0076024B" w:rsidRPr="00F5070C" w:rsidRDefault="0076024B" w:rsidP="0076024B">
            <w:r w:rsidRPr="00F5070C">
              <w:t>Japan</w:t>
            </w:r>
          </w:p>
        </w:tc>
        <w:tc>
          <w:tcPr>
            <w:tcW w:w="541" w:type="pct"/>
          </w:tcPr>
          <w:p w14:paraId="295242F4" w14:textId="77777777" w:rsidR="0076024B" w:rsidRPr="00F574C6" w:rsidRDefault="0076024B" w:rsidP="0076024B">
            <w:r w:rsidRPr="00F574C6">
              <w:t xml:space="preserve">Sato et al </w:t>
            </w:r>
            <w:r>
              <w:t>(</w:t>
            </w:r>
            <w:r w:rsidRPr="00F574C6">
              <w:t>2012</w:t>
            </w:r>
            <w:r>
              <w:t>)</w:t>
            </w:r>
          </w:p>
          <w:p w14:paraId="53DF5EEF" w14:textId="77777777" w:rsidR="0076024B" w:rsidRPr="00F574C6" w:rsidRDefault="0076024B" w:rsidP="0076024B"/>
          <w:p w14:paraId="3B49DDED" w14:textId="77777777" w:rsidR="0076024B" w:rsidRPr="00F574C6" w:rsidRDefault="0076024B" w:rsidP="0076024B"/>
        </w:tc>
        <w:tc>
          <w:tcPr>
            <w:tcW w:w="619" w:type="pct"/>
          </w:tcPr>
          <w:p w14:paraId="1BD3A48B" w14:textId="77777777" w:rsidR="0076024B" w:rsidRPr="00F5070C" w:rsidRDefault="0076024B" w:rsidP="0076024B">
            <w:r w:rsidRPr="00F5070C">
              <w:t>Psychiatric diagnosis</w:t>
            </w:r>
            <w:r>
              <w:t xml:space="preserve"> (Schizophrenia)</w:t>
            </w:r>
          </w:p>
          <w:p w14:paraId="215C1B00" w14:textId="77777777" w:rsidR="0076024B" w:rsidRDefault="0076024B" w:rsidP="0076024B">
            <w:r>
              <w:t>N=49</w:t>
            </w:r>
          </w:p>
          <w:p w14:paraId="658492CF" w14:textId="77777777" w:rsidR="0076024B" w:rsidRDefault="0076024B" w:rsidP="0076024B"/>
          <w:p w14:paraId="2A00F7CD" w14:textId="77777777" w:rsidR="0076024B" w:rsidRDefault="0076024B" w:rsidP="0076024B">
            <w:r>
              <w:t xml:space="preserve">n=26, DPP (intervention condition) </w:t>
            </w:r>
          </w:p>
          <w:p w14:paraId="022F3CD5" w14:textId="77777777" w:rsidR="0076024B" w:rsidRPr="00F5070C" w:rsidRDefault="0076024B" w:rsidP="0076024B">
            <w:r>
              <w:t>n = 23 TAU (treatment as usual, standard rehabilitation program)</w:t>
            </w:r>
          </w:p>
        </w:tc>
        <w:tc>
          <w:tcPr>
            <w:tcW w:w="591" w:type="pct"/>
          </w:tcPr>
          <w:p w14:paraId="693D642F" w14:textId="77777777" w:rsidR="0076024B" w:rsidRDefault="0076024B" w:rsidP="0076024B">
            <w:r w:rsidRPr="00F5070C">
              <w:t>Randomised control trial</w:t>
            </w:r>
          </w:p>
          <w:p w14:paraId="733950BD" w14:textId="77777777" w:rsidR="0076024B" w:rsidRPr="00F5070C" w:rsidRDefault="0076024B" w:rsidP="0076024B"/>
        </w:tc>
        <w:tc>
          <w:tcPr>
            <w:tcW w:w="614" w:type="pct"/>
          </w:tcPr>
          <w:p w14:paraId="78DB688E" w14:textId="77777777" w:rsidR="0076024B" w:rsidRPr="00F5070C" w:rsidRDefault="0076024B" w:rsidP="0076024B">
            <w:r w:rsidRPr="00F5070C">
              <w:t>Fair</w:t>
            </w:r>
          </w:p>
        </w:tc>
        <w:tc>
          <w:tcPr>
            <w:tcW w:w="1180" w:type="pct"/>
          </w:tcPr>
          <w:p w14:paraId="14470035" w14:textId="77777777" w:rsidR="0076024B" w:rsidRPr="00F5070C" w:rsidRDefault="0076024B" w:rsidP="0076024B">
            <w:r w:rsidRPr="00F5070C">
              <w:t>Significant improvements were found on treatment compliance</w:t>
            </w:r>
            <w:r>
              <w:t>.</w:t>
            </w:r>
          </w:p>
        </w:tc>
      </w:tr>
      <w:tr w:rsidR="0076024B" w:rsidRPr="00F5070C" w14:paraId="6D870847" w14:textId="77777777" w:rsidTr="00E01F76">
        <w:tc>
          <w:tcPr>
            <w:tcW w:w="908" w:type="pct"/>
          </w:tcPr>
          <w:p w14:paraId="58CAEB16" w14:textId="77777777" w:rsidR="0076024B" w:rsidRPr="00F5070C" w:rsidRDefault="0076024B" w:rsidP="00BF0543">
            <w:pPr>
              <w:keepNext/>
              <w:rPr>
                <w:b/>
                <w:bCs/>
              </w:rPr>
            </w:pPr>
            <w:r w:rsidRPr="00F5070C">
              <w:rPr>
                <w:b/>
                <w:bCs/>
              </w:rPr>
              <w:lastRenderedPageBreak/>
              <w:t>YAS</w:t>
            </w:r>
          </w:p>
          <w:p w14:paraId="7BA99A42" w14:textId="77777777" w:rsidR="0076024B" w:rsidRPr="00F5070C" w:rsidRDefault="0076024B" w:rsidP="00BF0543">
            <w:pPr>
              <w:keepNext/>
              <w:rPr>
                <w:b/>
                <w:bCs/>
              </w:rPr>
            </w:pPr>
            <w:r w:rsidRPr="00F5070C">
              <w:rPr>
                <w:b/>
                <w:bCs/>
              </w:rPr>
              <w:t xml:space="preserve">Young Adult Services </w:t>
            </w:r>
            <w:r>
              <w:rPr>
                <w:b/>
                <w:bCs/>
              </w:rPr>
              <w:t>P</w:t>
            </w:r>
            <w:r w:rsidRPr="00F5070C">
              <w:rPr>
                <w:b/>
                <w:bCs/>
              </w:rPr>
              <w:t>rogramme.</w:t>
            </w:r>
          </w:p>
          <w:p w14:paraId="348FE311" w14:textId="77777777" w:rsidR="0076024B" w:rsidRPr="00F5070C" w:rsidRDefault="0076024B" w:rsidP="00BF0543">
            <w:pPr>
              <w:keepNext/>
            </w:pPr>
          </w:p>
          <w:p w14:paraId="0F06DE38" w14:textId="77777777" w:rsidR="0076024B" w:rsidRPr="00F5070C" w:rsidRDefault="0076024B" w:rsidP="00BF0543">
            <w:pPr>
              <w:keepNext/>
            </w:pPr>
            <w:r w:rsidRPr="00F5070C">
              <w:t>Multidisciplinary program</w:t>
            </w:r>
          </w:p>
          <w:p w14:paraId="1587B20F" w14:textId="77777777" w:rsidR="0076024B" w:rsidRPr="00F5070C" w:rsidRDefault="0076024B" w:rsidP="00BF0543">
            <w:pPr>
              <w:keepNext/>
            </w:pPr>
          </w:p>
          <w:p w14:paraId="11C6A745" w14:textId="77777777" w:rsidR="0076024B" w:rsidRDefault="0076024B" w:rsidP="00BF0543">
            <w:pPr>
              <w:keepNext/>
            </w:pPr>
            <w:r w:rsidRPr="00F5070C">
              <w:t>Comprised of developmentally appropriate clinical, residential, vocational, social rehabilitation, and/or case management services.</w:t>
            </w:r>
          </w:p>
          <w:p w14:paraId="0D0BAFED" w14:textId="77777777" w:rsidR="0076024B" w:rsidRDefault="0076024B" w:rsidP="00BF0543">
            <w:pPr>
              <w:keepNext/>
            </w:pPr>
          </w:p>
          <w:p w14:paraId="1468D0DF" w14:textId="77777777" w:rsidR="0076024B" w:rsidRPr="00F5070C" w:rsidRDefault="0076024B" w:rsidP="00BF0543">
            <w:pPr>
              <w:keepNext/>
            </w:pPr>
          </w:p>
        </w:tc>
        <w:tc>
          <w:tcPr>
            <w:tcW w:w="549" w:type="pct"/>
          </w:tcPr>
          <w:p w14:paraId="1421B037" w14:textId="77777777" w:rsidR="0076024B" w:rsidRPr="00F5070C" w:rsidRDefault="0076024B" w:rsidP="00BF0543">
            <w:pPr>
              <w:keepNext/>
            </w:pPr>
            <w:r w:rsidRPr="00F5070C">
              <w:t>USA</w:t>
            </w:r>
          </w:p>
        </w:tc>
        <w:tc>
          <w:tcPr>
            <w:tcW w:w="541" w:type="pct"/>
          </w:tcPr>
          <w:p w14:paraId="6B71E01B" w14:textId="77777777" w:rsidR="0076024B" w:rsidRPr="00F574C6" w:rsidRDefault="0076024B" w:rsidP="00BF0543">
            <w:pPr>
              <w:keepNext/>
            </w:pPr>
            <w:r w:rsidRPr="00F574C6">
              <w:t xml:space="preserve">Styron et al </w:t>
            </w:r>
            <w:r>
              <w:t>(</w:t>
            </w:r>
            <w:r w:rsidRPr="00F574C6">
              <w:t>2006</w:t>
            </w:r>
            <w:r>
              <w:t>)</w:t>
            </w:r>
          </w:p>
          <w:p w14:paraId="0AAF5982" w14:textId="77777777" w:rsidR="0076024B" w:rsidRPr="00F574C6" w:rsidRDefault="0076024B" w:rsidP="00BF0543">
            <w:pPr>
              <w:keepNext/>
            </w:pPr>
          </w:p>
        </w:tc>
        <w:tc>
          <w:tcPr>
            <w:tcW w:w="619" w:type="pct"/>
          </w:tcPr>
          <w:p w14:paraId="040980B6" w14:textId="77777777" w:rsidR="0076024B" w:rsidRPr="00F5070C" w:rsidRDefault="0076024B" w:rsidP="00BF0543">
            <w:pPr>
              <w:keepNext/>
            </w:pPr>
            <w:r w:rsidRPr="00F5070C">
              <w:t>Psychiatric diagnosis</w:t>
            </w:r>
          </w:p>
          <w:p w14:paraId="7B9B673B" w14:textId="77777777" w:rsidR="0076024B" w:rsidRPr="00F5070C" w:rsidRDefault="0076024B" w:rsidP="00BF0543">
            <w:pPr>
              <w:keepNext/>
            </w:pPr>
            <w:r w:rsidRPr="00F5070C">
              <w:t>N=74</w:t>
            </w:r>
          </w:p>
        </w:tc>
        <w:tc>
          <w:tcPr>
            <w:tcW w:w="591" w:type="pct"/>
          </w:tcPr>
          <w:p w14:paraId="13D44D94" w14:textId="77777777" w:rsidR="0076024B" w:rsidRPr="00F5070C" w:rsidRDefault="0076024B" w:rsidP="00BF0543">
            <w:pPr>
              <w:keepNext/>
            </w:pPr>
            <w:r w:rsidRPr="00F5070C">
              <w:t>Pre/post intervention single group design</w:t>
            </w:r>
          </w:p>
        </w:tc>
        <w:tc>
          <w:tcPr>
            <w:tcW w:w="614" w:type="pct"/>
          </w:tcPr>
          <w:p w14:paraId="52B0E614" w14:textId="77777777" w:rsidR="0076024B" w:rsidRPr="00F5070C" w:rsidRDefault="0076024B" w:rsidP="00BF0543">
            <w:pPr>
              <w:keepNext/>
            </w:pPr>
            <w:r w:rsidRPr="00F5070C">
              <w:t>Fair</w:t>
            </w:r>
          </w:p>
        </w:tc>
        <w:tc>
          <w:tcPr>
            <w:tcW w:w="1180" w:type="pct"/>
          </w:tcPr>
          <w:p w14:paraId="677779C2" w14:textId="77777777" w:rsidR="0076024B" w:rsidRPr="00F5070C" w:rsidRDefault="0076024B" w:rsidP="00BF0543">
            <w:pPr>
              <w:keepNext/>
            </w:pPr>
            <w:r>
              <w:t xml:space="preserve">The </w:t>
            </w:r>
            <w:r w:rsidRPr="00F5070C">
              <w:t xml:space="preserve">‘Strengths- and community’ </w:t>
            </w:r>
            <w:r>
              <w:t xml:space="preserve">component of the </w:t>
            </w:r>
            <w:r w:rsidRPr="00F5070C">
              <w:t xml:space="preserve">programme </w:t>
            </w:r>
            <w:r>
              <w:t xml:space="preserve">was </w:t>
            </w:r>
            <w:r w:rsidRPr="00F5070C">
              <w:t>found to be significantly associated with fewer symptoms, less loneliness, higher functioning, greater satisfaction with services</w:t>
            </w:r>
            <w:r>
              <w:t xml:space="preserve">, </w:t>
            </w:r>
            <w:r w:rsidRPr="00F5070C">
              <w:t>fewer arrests among this sample of YAS clients</w:t>
            </w:r>
            <w:r>
              <w:t>.</w:t>
            </w:r>
          </w:p>
        </w:tc>
      </w:tr>
      <w:tr w:rsidR="0076024B" w:rsidRPr="00F5070C" w14:paraId="298418BA" w14:textId="77777777" w:rsidTr="00E01F76">
        <w:tc>
          <w:tcPr>
            <w:tcW w:w="908" w:type="pct"/>
          </w:tcPr>
          <w:p w14:paraId="6346517B" w14:textId="77777777" w:rsidR="0076024B" w:rsidRDefault="0076024B" w:rsidP="0076024B">
            <w:r w:rsidRPr="00090F93">
              <w:rPr>
                <w:b/>
                <w:bCs/>
              </w:rPr>
              <w:t>Transition supports</w:t>
            </w:r>
            <w:r>
              <w:t xml:space="preserve"> can be formal (paid) or informal (unpaid). They are supports that enable a person with complex needs to be discharged from hospital and return to live in the community.</w:t>
            </w:r>
          </w:p>
          <w:p w14:paraId="1BB0BD3E" w14:textId="77777777" w:rsidR="0076024B" w:rsidRPr="00F5070C" w:rsidRDefault="0076024B" w:rsidP="0076024B">
            <w:pPr>
              <w:rPr>
                <w:b/>
                <w:bCs/>
              </w:rPr>
            </w:pPr>
          </w:p>
        </w:tc>
        <w:tc>
          <w:tcPr>
            <w:tcW w:w="549" w:type="pct"/>
          </w:tcPr>
          <w:p w14:paraId="6658BA07" w14:textId="77777777" w:rsidR="0076024B" w:rsidRPr="00F5070C" w:rsidRDefault="0076024B" w:rsidP="0076024B">
            <w:r w:rsidRPr="00BA096A">
              <w:t>Australia</w:t>
            </w:r>
          </w:p>
        </w:tc>
        <w:tc>
          <w:tcPr>
            <w:tcW w:w="541" w:type="pct"/>
          </w:tcPr>
          <w:p w14:paraId="74E59BD2" w14:textId="29C46F31" w:rsidR="0076024B" w:rsidRDefault="0076024B" w:rsidP="0076024B">
            <w:r w:rsidRPr="00BA096A">
              <w:t>Summer Foundation (20</w:t>
            </w:r>
            <w:r w:rsidR="00B8152D">
              <w:t>20</w:t>
            </w:r>
          </w:p>
          <w:p w14:paraId="2797BC1B" w14:textId="77777777" w:rsidR="0076024B" w:rsidRPr="00F574C6" w:rsidRDefault="0076024B" w:rsidP="0076024B"/>
        </w:tc>
        <w:tc>
          <w:tcPr>
            <w:tcW w:w="619" w:type="pct"/>
          </w:tcPr>
          <w:p w14:paraId="0318122F" w14:textId="77777777" w:rsidR="0076024B" w:rsidRPr="00F5070C" w:rsidRDefault="0076024B" w:rsidP="0076024B">
            <w:r w:rsidRPr="00F574C6">
              <w:t>People with acquired brain disability &amp; complex needs exiting hospital and returning to community</w:t>
            </w:r>
          </w:p>
        </w:tc>
        <w:tc>
          <w:tcPr>
            <w:tcW w:w="591" w:type="pct"/>
          </w:tcPr>
          <w:p w14:paraId="4D7E354B" w14:textId="77777777" w:rsidR="0076024B" w:rsidRPr="00F5070C" w:rsidRDefault="0076024B" w:rsidP="0076024B">
            <w:r w:rsidRPr="00845E96">
              <w:t>Environmental scan.</w:t>
            </w:r>
            <w:r>
              <w:t xml:space="preserve"> Grey literature</w:t>
            </w:r>
          </w:p>
        </w:tc>
        <w:tc>
          <w:tcPr>
            <w:tcW w:w="614" w:type="pct"/>
          </w:tcPr>
          <w:p w14:paraId="7DCF5C21" w14:textId="503E478E" w:rsidR="0076024B" w:rsidRPr="00F5070C" w:rsidRDefault="0036233E" w:rsidP="0076024B">
            <w:r>
              <w:t>N/A</w:t>
            </w:r>
          </w:p>
        </w:tc>
        <w:tc>
          <w:tcPr>
            <w:tcW w:w="1180" w:type="pct"/>
          </w:tcPr>
          <w:p w14:paraId="170E65B0" w14:textId="67A49F8E" w:rsidR="0076024B" w:rsidRPr="00931E17" w:rsidRDefault="0076024B" w:rsidP="0076024B">
            <w:r>
              <w:t xml:space="preserve">24 Services that provide </w:t>
            </w:r>
            <w:r w:rsidRPr="00931E17">
              <w:t>transitional housing and</w:t>
            </w:r>
            <w:r>
              <w:t>/or</w:t>
            </w:r>
            <w:r w:rsidRPr="00931E17">
              <w:t xml:space="preserve"> supports</w:t>
            </w:r>
            <w:r>
              <w:t xml:space="preserve"> in Australia </w:t>
            </w:r>
            <w:r w:rsidRPr="00931E17">
              <w:t xml:space="preserve">for people with </w:t>
            </w:r>
            <w:r>
              <w:t xml:space="preserve">acquired </w:t>
            </w:r>
            <w:r w:rsidRPr="00931E17">
              <w:t xml:space="preserve">disability </w:t>
            </w:r>
            <w:r>
              <w:t xml:space="preserve">and complex </w:t>
            </w:r>
            <w:r w:rsidRPr="00931E17">
              <w:t>needs</w:t>
            </w:r>
            <w:r>
              <w:t xml:space="preserve"> exiting</w:t>
            </w:r>
            <w:r w:rsidRPr="00931E17">
              <w:t xml:space="preserve"> hospital</w:t>
            </w:r>
            <w:r w:rsidR="00373A6F">
              <w:t>.</w:t>
            </w:r>
            <w:r w:rsidRPr="00931E17">
              <w:t xml:space="preserve"> </w:t>
            </w:r>
            <w:r>
              <w:t>Gaps in system acknowledged and need for great provision of transitional supports. Only 12 services reported some outcome or evaluation measures and measures used varied greatly.</w:t>
            </w:r>
            <w:r w:rsidRPr="00931E17">
              <w:t xml:space="preserve"> Only 1 service designed specifically for people from indigenous background</w:t>
            </w:r>
          </w:p>
          <w:p w14:paraId="1E5FC29E" w14:textId="77777777" w:rsidR="0076024B" w:rsidRPr="00931E17" w:rsidRDefault="0076024B" w:rsidP="0076024B"/>
          <w:p w14:paraId="5AB9EB48" w14:textId="3672ACA7" w:rsidR="0076024B" w:rsidRPr="00F5070C" w:rsidRDefault="0076024B" w:rsidP="0076024B">
            <w:r w:rsidRPr="00931E17">
              <w:lastRenderedPageBreak/>
              <w:t xml:space="preserve">Also formal and informal supports and models identified by </w:t>
            </w:r>
            <w:r w:rsidR="002C6474">
              <w:t>the S</w:t>
            </w:r>
            <w:r w:rsidRPr="00931E17">
              <w:t xml:space="preserve">ummer </w:t>
            </w:r>
            <w:r w:rsidR="002C6474">
              <w:t>F</w:t>
            </w:r>
            <w:r w:rsidRPr="00931E17">
              <w:t>oundation with flexible funding options</w:t>
            </w:r>
          </w:p>
        </w:tc>
      </w:tr>
      <w:tr w:rsidR="0076024B" w:rsidRPr="00F5070C" w14:paraId="2491EC94" w14:textId="77777777" w:rsidTr="00E01F76">
        <w:tc>
          <w:tcPr>
            <w:tcW w:w="908" w:type="pct"/>
          </w:tcPr>
          <w:p w14:paraId="4BB55CCE" w14:textId="77777777" w:rsidR="0076024B" w:rsidRDefault="0076024B" w:rsidP="0076024B">
            <w:r w:rsidRPr="00090F93">
              <w:rPr>
                <w:b/>
                <w:bCs/>
              </w:rPr>
              <w:lastRenderedPageBreak/>
              <w:t>Tenancy supports</w:t>
            </w:r>
            <w:r>
              <w:t xml:space="preserve"> are s</w:t>
            </w:r>
            <w:r w:rsidRPr="00BA096A">
              <w:t>upports t</w:t>
            </w:r>
            <w:r>
              <w:t>hat funded to help individual to</w:t>
            </w:r>
            <w:r w:rsidRPr="00BA096A">
              <w:t xml:space="preserve"> plan and secure tenancy</w:t>
            </w:r>
            <w:r>
              <w:t>.</w:t>
            </w:r>
          </w:p>
          <w:p w14:paraId="07B61E62" w14:textId="77777777" w:rsidR="0076024B" w:rsidRDefault="0076024B" w:rsidP="0076024B"/>
          <w:p w14:paraId="70B85D61" w14:textId="77777777" w:rsidR="0076024B" w:rsidRDefault="0076024B" w:rsidP="0076024B"/>
          <w:p w14:paraId="0AEFCA06" w14:textId="77777777" w:rsidR="0076024B" w:rsidRDefault="0076024B" w:rsidP="0076024B"/>
          <w:p w14:paraId="2C260FE3" w14:textId="77777777" w:rsidR="0076024B" w:rsidRDefault="0076024B" w:rsidP="0076024B"/>
          <w:p w14:paraId="4B3C4AC9" w14:textId="77777777" w:rsidR="0076024B" w:rsidRDefault="0076024B" w:rsidP="0076024B"/>
          <w:p w14:paraId="630DDA42" w14:textId="77777777" w:rsidR="0076024B" w:rsidRDefault="0076024B" w:rsidP="0076024B"/>
          <w:p w14:paraId="257AFCA1" w14:textId="77777777" w:rsidR="0076024B" w:rsidRDefault="0076024B" w:rsidP="0076024B"/>
          <w:p w14:paraId="7A3A807B" w14:textId="77777777" w:rsidR="0076024B" w:rsidRDefault="0076024B" w:rsidP="0076024B"/>
          <w:p w14:paraId="315FE047" w14:textId="77777777" w:rsidR="0076024B" w:rsidRDefault="0076024B" w:rsidP="0076024B"/>
          <w:p w14:paraId="462BC55B" w14:textId="77777777" w:rsidR="0076024B" w:rsidRDefault="0076024B" w:rsidP="0076024B"/>
          <w:p w14:paraId="183F0B6E" w14:textId="77777777" w:rsidR="0076024B" w:rsidRPr="00F5070C" w:rsidRDefault="0076024B" w:rsidP="0076024B">
            <w:pPr>
              <w:rPr>
                <w:b/>
                <w:bCs/>
              </w:rPr>
            </w:pPr>
          </w:p>
        </w:tc>
        <w:tc>
          <w:tcPr>
            <w:tcW w:w="549" w:type="pct"/>
          </w:tcPr>
          <w:p w14:paraId="45A6267F" w14:textId="77777777" w:rsidR="0076024B" w:rsidRDefault="0076024B" w:rsidP="0076024B">
            <w:r>
              <w:t xml:space="preserve">Australia </w:t>
            </w:r>
          </w:p>
          <w:p w14:paraId="121F9E12" w14:textId="77777777" w:rsidR="0076024B" w:rsidRDefault="0076024B" w:rsidP="0076024B"/>
          <w:p w14:paraId="61FFDA66" w14:textId="77777777" w:rsidR="0076024B" w:rsidRPr="00F5070C" w:rsidRDefault="0076024B" w:rsidP="0076024B"/>
        </w:tc>
        <w:tc>
          <w:tcPr>
            <w:tcW w:w="541" w:type="pct"/>
          </w:tcPr>
          <w:p w14:paraId="2F6A6E4C" w14:textId="7AB2D681" w:rsidR="0076024B" w:rsidRDefault="0076024B" w:rsidP="0076024B">
            <w:r w:rsidRPr="00BA096A">
              <w:t>Wiesel, et al(2015)</w:t>
            </w:r>
          </w:p>
          <w:p w14:paraId="21161B06" w14:textId="77777777" w:rsidR="0076024B" w:rsidRDefault="0076024B" w:rsidP="0076024B"/>
          <w:p w14:paraId="68177E9B" w14:textId="77777777" w:rsidR="0076024B" w:rsidRDefault="0076024B" w:rsidP="0076024B"/>
          <w:p w14:paraId="686100CF" w14:textId="77777777" w:rsidR="0076024B" w:rsidRDefault="0076024B" w:rsidP="0076024B"/>
          <w:p w14:paraId="6C68F2BE" w14:textId="77777777" w:rsidR="0076024B" w:rsidRDefault="0076024B" w:rsidP="0076024B"/>
          <w:p w14:paraId="1135524C" w14:textId="77777777" w:rsidR="0076024B" w:rsidRDefault="0076024B" w:rsidP="0076024B"/>
          <w:p w14:paraId="45A2D70B" w14:textId="77777777" w:rsidR="0076024B" w:rsidRDefault="0076024B" w:rsidP="0076024B"/>
          <w:p w14:paraId="1320ABFF" w14:textId="77777777" w:rsidR="0076024B" w:rsidRDefault="0076024B" w:rsidP="0076024B"/>
          <w:p w14:paraId="677317CC" w14:textId="77777777" w:rsidR="0076024B" w:rsidRDefault="0076024B" w:rsidP="0076024B"/>
          <w:p w14:paraId="4564D5DC" w14:textId="7B07623D" w:rsidR="0076024B" w:rsidRDefault="0076024B" w:rsidP="0076024B"/>
          <w:p w14:paraId="6550B645" w14:textId="646D557F" w:rsidR="005524B5" w:rsidRDefault="005524B5" w:rsidP="0076024B"/>
          <w:p w14:paraId="5175E092" w14:textId="77777777" w:rsidR="005524B5" w:rsidRDefault="005524B5" w:rsidP="0076024B"/>
          <w:p w14:paraId="486D3037" w14:textId="77777777" w:rsidR="0076024B" w:rsidRDefault="0076024B" w:rsidP="0076024B"/>
          <w:p w14:paraId="1FDF78E9" w14:textId="77777777" w:rsidR="0076024B" w:rsidRDefault="0076024B" w:rsidP="0076024B"/>
          <w:p w14:paraId="5B2E4EB2" w14:textId="77777777" w:rsidR="0076024B" w:rsidRDefault="0076024B" w:rsidP="0076024B">
            <w:r>
              <w:t>Fisher et al (2008)</w:t>
            </w:r>
          </w:p>
          <w:p w14:paraId="1A8DEA84" w14:textId="77777777" w:rsidR="0076024B" w:rsidRPr="00F574C6" w:rsidRDefault="0076024B" w:rsidP="0076024B"/>
        </w:tc>
        <w:tc>
          <w:tcPr>
            <w:tcW w:w="619" w:type="pct"/>
          </w:tcPr>
          <w:p w14:paraId="516A9A5A" w14:textId="77777777" w:rsidR="0076024B" w:rsidRPr="00F574C6" w:rsidRDefault="0076024B" w:rsidP="0076024B">
            <w:r w:rsidRPr="00F574C6">
              <w:t>People with disability;</w:t>
            </w:r>
          </w:p>
          <w:p w14:paraId="01B044B8" w14:textId="77777777" w:rsidR="0076024B" w:rsidRPr="00F574C6" w:rsidRDefault="0076024B" w:rsidP="0076024B">
            <w:r w:rsidRPr="00F574C6">
              <w:t xml:space="preserve">People with serious mental health problems; </w:t>
            </w:r>
          </w:p>
          <w:p w14:paraId="6248E809" w14:textId="77777777" w:rsidR="0076024B" w:rsidRDefault="0076024B" w:rsidP="0076024B">
            <w:r w:rsidRPr="00F574C6">
              <w:t>Aboriginal people with mental health problems</w:t>
            </w:r>
          </w:p>
          <w:p w14:paraId="21FA8D05" w14:textId="77777777" w:rsidR="0076024B" w:rsidRDefault="0076024B" w:rsidP="0076024B"/>
          <w:p w14:paraId="2400CAF1" w14:textId="77777777" w:rsidR="0076024B" w:rsidRDefault="0076024B" w:rsidP="0076024B"/>
          <w:p w14:paraId="4D763606" w14:textId="77777777" w:rsidR="0076024B" w:rsidRDefault="0076024B" w:rsidP="0076024B"/>
          <w:p w14:paraId="4B03600B" w14:textId="77777777" w:rsidR="0076024B" w:rsidRDefault="0076024B" w:rsidP="0076024B"/>
          <w:p w14:paraId="5B8853FF" w14:textId="77777777" w:rsidR="0076024B" w:rsidRDefault="0076024B" w:rsidP="0076024B"/>
          <w:p w14:paraId="180B3ADA" w14:textId="77777777" w:rsidR="0076024B" w:rsidRDefault="0076024B" w:rsidP="0076024B"/>
          <w:p w14:paraId="01DD6F2D" w14:textId="77777777" w:rsidR="0076024B" w:rsidRDefault="0076024B" w:rsidP="0076024B"/>
          <w:p w14:paraId="26FECABF" w14:textId="77777777" w:rsidR="0076024B" w:rsidRDefault="0076024B" w:rsidP="0076024B"/>
          <w:p w14:paraId="17B4BA1D" w14:textId="77777777" w:rsidR="0076024B" w:rsidRDefault="0076024B" w:rsidP="0076024B"/>
          <w:p w14:paraId="0B54A1E9" w14:textId="77777777" w:rsidR="0076024B" w:rsidRDefault="0076024B" w:rsidP="0076024B"/>
          <w:p w14:paraId="48D42409" w14:textId="77777777" w:rsidR="0076024B" w:rsidRDefault="0076024B" w:rsidP="0076024B"/>
          <w:p w14:paraId="0D77568C" w14:textId="77777777" w:rsidR="0076024B" w:rsidRDefault="0076024B" w:rsidP="0076024B"/>
          <w:p w14:paraId="363FF434" w14:textId="77777777" w:rsidR="0076024B" w:rsidRPr="00F5070C" w:rsidRDefault="0076024B" w:rsidP="0076024B"/>
        </w:tc>
        <w:tc>
          <w:tcPr>
            <w:tcW w:w="591" w:type="pct"/>
          </w:tcPr>
          <w:p w14:paraId="4E884356" w14:textId="77777777" w:rsidR="0076024B" w:rsidRDefault="0076024B" w:rsidP="0076024B">
            <w:r w:rsidRPr="00845E96">
              <w:t>Mixed methods study involving desk-based research and interviews</w:t>
            </w:r>
            <w:r>
              <w:t xml:space="preserve"> with disability, housing and disability providers. Commissioned research. Grey literature. </w:t>
            </w:r>
          </w:p>
          <w:p w14:paraId="5C8C08EA" w14:textId="77777777" w:rsidR="0076024B" w:rsidRDefault="0076024B" w:rsidP="0076024B"/>
          <w:p w14:paraId="033EEE93" w14:textId="77777777" w:rsidR="0076024B" w:rsidRDefault="0076024B" w:rsidP="0076024B"/>
          <w:p w14:paraId="205330A8" w14:textId="77777777" w:rsidR="0076024B" w:rsidRPr="00F5070C" w:rsidRDefault="0076024B" w:rsidP="0076024B">
            <w:r>
              <w:t xml:space="preserve">Mixed methods. </w:t>
            </w:r>
            <w:r w:rsidRPr="00B936B8">
              <w:t>Commissioned research report</w:t>
            </w:r>
            <w:r>
              <w:t>. Grey literature.</w:t>
            </w:r>
          </w:p>
        </w:tc>
        <w:tc>
          <w:tcPr>
            <w:tcW w:w="614" w:type="pct"/>
          </w:tcPr>
          <w:p w14:paraId="327E59CD" w14:textId="265CBB51" w:rsidR="0076024B" w:rsidRDefault="005524B5" w:rsidP="0076024B">
            <w:r>
              <w:t>N/A</w:t>
            </w:r>
          </w:p>
          <w:p w14:paraId="3447E3DE" w14:textId="77777777" w:rsidR="0076024B" w:rsidRDefault="0076024B" w:rsidP="0076024B"/>
          <w:p w14:paraId="44FD7FAF" w14:textId="77777777" w:rsidR="0076024B" w:rsidRDefault="0076024B" w:rsidP="0076024B"/>
          <w:p w14:paraId="4C1833B7" w14:textId="77777777" w:rsidR="0076024B" w:rsidRDefault="0076024B" w:rsidP="0076024B"/>
          <w:p w14:paraId="348D730A" w14:textId="15317668" w:rsidR="0076024B" w:rsidRPr="00F5070C" w:rsidRDefault="0076024B" w:rsidP="0076024B"/>
        </w:tc>
        <w:tc>
          <w:tcPr>
            <w:tcW w:w="1180" w:type="pct"/>
          </w:tcPr>
          <w:p w14:paraId="31831456" w14:textId="77777777" w:rsidR="0076024B" w:rsidRDefault="0076024B" w:rsidP="0076024B">
            <w:r w:rsidRPr="0096081D">
              <w:t>Transition process supported through funds to help with planning and securing tenancy</w:t>
            </w:r>
            <w:r>
              <w:t xml:space="preserve"> identified as part of the Marilliac Keyring Model for people with disabilities</w:t>
            </w:r>
          </w:p>
          <w:p w14:paraId="0CAFE895" w14:textId="25982709" w:rsidR="0076024B" w:rsidRDefault="0076024B" w:rsidP="0076024B">
            <w:r>
              <w:t xml:space="preserve"> </w:t>
            </w:r>
          </w:p>
          <w:p w14:paraId="591E4109" w14:textId="78B1DC05" w:rsidR="005524B5" w:rsidRDefault="005524B5" w:rsidP="0076024B"/>
          <w:p w14:paraId="5A529F48" w14:textId="2EB5638D" w:rsidR="005524B5" w:rsidRDefault="005524B5" w:rsidP="0076024B"/>
          <w:p w14:paraId="7FB8DC41" w14:textId="71E6A71E" w:rsidR="005524B5" w:rsidRDefault="005524B5" w:rsidP="0076024B"/>
          <w:p w14:paraId="38A60D54" w14:textId="555A2ADA" w:rsidR="005524B5" w:rsidRDefault="005524B5" w:rsidP="0076024B"/>
          <w:p w14:paraId="7F2AD724" w14:textId="298C7A23" w:rsidR="005524B5" w:rsidRDefault="005524B5" w:rsidP="0076024B"/>
          <w:p w14:paraId="0D366683" w14:textId="77777777" w:rsidR="005524B5" w:rsidRDefault="005524B5" w:rsidP="0076024B"/>
          <w:p w14:paraId="537A5E97" w14:textId="017B2732" w:rsidR="0076024B" w:rsidRDefault="005524B5" w:rsidP="0076024B">
            <w:r>
              <w:t>Six programme case studies assessed</w:t>
            </w:r>
            <w:r w:rsidRPr="003A292C">
              <w:t xml:space="preserve"> using framework devised for the work.</w:t>
            </w:r>
            <w:r>
              <w:t xml:space="preserve"> Descriptive. Reports that evaluations of 4 of the 6 programmes are available. Though not reported in detail</w:t>
            </w:r>
          </w:p>
          <w:p w14:paraId="188BA51E" w14:textId="77777777" w:rsidR="0076024B" w:rsidRDefault="0076024B" w:rsidP="0076024B"/>
          <w:p w14:paraId="404A36B5" w14:textId="77777777" w:rsidR="0076024B" w:rsidRDefault="0076024B" w:rsidP="0076024B"/>
          <w:p w14:paraId="7A218A2D" w14:textId="77777777" w:rsidR="0076024B" w:rsidRDefault="0076024B" w:rsidP="0076024B"/>
          <w:p w14:paraId="73BEEB09" w14:textId="77777777" w:rsidR="0076024B" w:rsidRDefault="0076024B" w:rsidP="0076024B">
            <w:r w:rsidRPr="00043449">
              <w:t>Specific supports to access tenancy for people with mental health problem</w:t>
            </w:r>
            <w:r>
              <w:t xml:space="preserve"> provided by </w:t>
            </w:r>
            <w:r w:rsidRPr="005E1C91">
              <w:lastRenderedPageBreak/>
              <w:t>Noarlunga (SA)</w:t>
            </w:r>
            <w:r>
              <w:t>. No evaluation report available.</w:t>
            </w:r>
          </w:p>
          <w:p w14:paraId="7E4BC0DC" w14:textId="77777777" w:rsidR="0076024B" w:rsidRPr="00043449" w:rsidRDefault="0076024B" w:rsidP="0076024B"/>
          <w:p w14:paraId="3B32BD38" w14:textId="77777777" w:rsidR="0076024B" w:rsidRPr="00F5070C" w:rsidRDefault="0076024B" w:rsidP="0076024B"/>
        </w:tc>
      </w:tr>
      <w:tr w:rsidR="0076024B" w:rsidRPr="00F5070C" w14:paraId="2342CC54" w14:textId="77777777" w:rsidTr="00E01F76">
        <w:tc>
          <w:tcPr>
            <w:tcW w:w="908" w:type="pct"/>
          </w:tcPr>
          <w:p w14:paraId="0D2DBE70" w14:textId="77777777" w:rsidR="0076024B" w:rsidRDefault="0076024B" w:rsidP="0076024B">
            <w:r w:rsidRPr="00090F93">
              <w:rPr>
                <w:b/>
                <w:bCs/>
              </w:rPr>
              <w:lastRenderedPageBreak/>
              <w:t>Personal assistance (PA)</w:t>
            </w:r>
            <w:r>
              <w:t xml:space="preserve"> supports in and outside the home </w:t>
            </w:r>
          </w:p>
          <w:p w14:paraId="2EEF8BE8" w14:textId="77777777" w:rsidR="0076024B" w:rsidRDefault="0076024B" w:rsidP="0076024B"/>
          <w:p w14:paraId="36D7061E" w14:textId="77777777" w:rsidR="0076024B" w:rsidRPr="00F5070C" w:rsidRDefault="0076024B" w:rsidP="0076024B">
            <w:pPr>
              <w:rPr>
                <w:b/>
                <w:bCs/>
              </w:rPr>
            </w:pPr>
          </w:p>
        </w:tc>
        <w:tc>
          <w:tcPr>
            <w:tcW w:w="549" w:type="pct"/>
          </w:tcPr>
          <w:p w14:paraId="721287A2" w14:textId="77777777" w:rsidR="0076024B" w:rsidRPr="00F5070C" w:rsidRDefault="0076024B" w:rsidP="0076024B">
            <w:r>
              <w:t>Ireland</w:t>
            </w:r>
          </w:p>
        </w:tc>
        <w:tc>
          <w:tcPr>
            <w:tcW w:w="541" w:type="pct"/>
          </w:tcPr>
          <w:p w14:paraId="4BEA50C8" w14:textId="77777777" w:rsidR="0076024B" w:rsidRDefault="0076024B" w:rsidP="0076024B">
            <w:r>
              <w:t>Glynn (2018)</w:t>
            </w:r>
          </w:p>
          <w:p w14:paraId="7729D71A" w14:textId="77777777" w:rsidR="0076024B" w:rsidRPr="00F574C6" w:rsidRDefault="0076024B" w:rsidP="0076024B"/>
        </w:tc>
        <w:tc>
          <w:tcPr>
            <w:tcW w:w="619" w:type="pct"/>
          </w:tcPr>
          <w:p w14:paraId="1B2E0778" w14:textId="77777777" w:rsidR="0076024B" w:rsidRPr="00F5070C" w:rsidRDefault="0076024B" w:rsidP="0076024B">
            <w:r w:rsidRPr="00F574C6">
              <w:t>People with disabilities</w:t>
            </w:r>
          </w:p>
        </w:tc>
        <w:tc>
          <w:tcPr>
            <w:tcW w:w="591" w:type="pct"/>
          </w:tcPr>
          <w:p w14:paraId="4FE1465B" w14:textId="5FD0BCE0" w:rsidR="0076024B" w:rsidRPr="00F5070C" w:rsidRDefault="0076024B" w:rsidP="0076024B">
            <w:r w:rsidRPr="0047446D">
              <w:t xml:space="preserve">personal reflection by person with disability </w:t>
            </w:r>
          </w:p>
        </w:tc>
        <w:tc>
          <w:tcPr>
            <w:tcW w:w="614" w:type="pct"/>
          </w:tcPr>
          <w:p w14:paraId="10550101" w14:textId="4F39A4A8" w:rsidR="0076024B" w:rsidRDefault="005524B5" w:rsidP="0076024B">
            <w:r>
              <w:t>N/A</w:t>
            </w:r>
          </w:p>
          <w:p w14:paraId="28144514" w14:textId="77777777" w:rsidR="0076024B" w:rsidRDefault="0076024B" w:rsidP="0076024B"/>
          <w:p w14:paraId="2CAACF35" w14:textId="77777777" w:rsidR="0076024B" w:rsidRPr="00F5070C" w:rsidRDefault="0076024B" w:rsidP="0076024B"/>
        </w:tc>
        <w:tc>
          <w:tcPr>
            <w:tcW w:w="1180" w:type="pct"/>
          </w:tcPr>
          <w:p w14:paraId="2FDBEDE9" w14:textId="77777777" w:rsidR="0076024B" w:rsidRPr="00F5070C" w:rsidRDefault="0076024B" w:rsidP="0076024B">
            <w:r w:rsidRPr="00703469">
              <w:t>Cost cutting results in person with disability not being able to live life of one’s choosing as severely restricted in the amount of PA hours/minutes they can avail of.</w:t>
            </w:r>
          </w:p>
        </w:tc>
      </w:tr>
      <w:tr w:rsidR="0076024B" w:rsidRPr="00F5070C" w14:paraId="71767762" w14:textId="77777777" w:rsidTr="00E01F76">
        <w:tc>
          <w:tcPr>
            <w:tcW w:w="908" w:type="pct"/>
          </w:tcPr>
          <w:p w14:paraId="54A56D55" w14:textId="77777777" w:rsidR="0076024B" w:rsidRDefault="0076024B" w:rsidP="0076024B">
            <w:r>
              <w:t xml:space="preserve">Access </w:t>
            </w:r>
            <w:r w:rsidRPr="00090F93">
              <w:rPr>
                <w:b/>
                <w:bCs/>
              </w:rPr>
              <w:t>24 hour supports</w:t>
            </w:r>
            <w:r>
              <w:t xml:space="preserve"> provided to people living in the community.</w:t>
            </w:r>
          </w:p>
          <w:p w14:paraId="69604645" w14:textId="77777777" w:rsidR="0076024B" w:rsidRDefault="0076024B" w:rsidP="0076024B"/>
          <w:p w14:paraId="70A75D6E" w14:textId="77777777" w:rsidR="0076024B" w:rsidRPr="00F5070C" w:rsidRDefault="0076024B" w:rsidP="0076024B">
            <w:pPr>
              <w:rPr>
                <w:b/>
                <w:bCs/>
              </w:rPr>
            </w:pPr>
          </w:p>
        </w:tc>
        <w:tc>
          <w:tcPr>
            <w:tcW w:w="549" w:type="pct"/>
          </w:tcPr>
          <w:p w14:paraId="5FB8373A" w14:textId="77777777" w:rsidR="0076024B" w:rsidRDefault="0076024B" w:rsidP="0076024B">
            <w:r>
              <w:t>Australia</w:t>
            </w:r>
          </w:p>
          <w:p w14:paraId="392B860F" w14:textId="77777777" w:rsidR="0076024B" w:rsidRDefault="0076024B" w:rsidP="0076024B">
            <w:r>
              <w:t>UK</w:t>
            </w:r>
          </w:p>
          <w:p w14:paraId="55C2CD0F" w14:textId="77777777" w:rsidR="0076024B" w:rsidRDefault="0076024B" w:rsidP="0076024B">
            <w:r>
              <w:t>US</w:t>
            </w:r>
          </w:p>
          <w:p w14:paraId="2D418999" w14:textId="77777777" w:rsidR="0076024B" w:rsidRDefault="0076024B" w:rsidP="0076024B">
            <w:r>
              <w:t>Italy</w:t>
            </w:r>
          </w:p>
          <w:p w14:paraId="4648818E" w14:textId="77777777" w:rsidR="0076024B" w:rsidRPr="00F5070C" w:rsidRDefault="0076024B" w:rsidP="0076024B">
            <w:r>
              <w:t xml:space="preserve">Netherlands </w:t>
            </w:r>
          </w:p>
        </w:tc>
        <w:tc>
          <w:tcPr>
            <w:tcW w:w="541" w:type="pct"/>
          </w:tcPr>
          <w:p w14:paraId="669F0FA8" w14:textId="77777777" w:rsidR="0076024B" w:rsidRDefault="0076024B" w:rsidP="0076024B">
            <w:r>
              <w:t>Fisher et al (2008)</w:t>
            </w:r>
          </w:p>
          <w:p w14:paraId="7F288F85" w14:textId="77777777" w:rsidR="0076024B" w:rsidRPr="00F574C6" w:rsidRDefault="0076024B" w:rsidP="0076024B"/>
        </w:tc>
        <w:tc>
          <w:tcPr>
            <w:tcW w:w="619" w:type="pct"/>
          </w:tcPr>
          <w:p w14:paraId="5216EC4F" w14:textId="77777777" w:rsidR="0076024B" w:rsidRPr="00F5070C" w:rsidRDefault="0076024B" w:rsidP="0076024B">
            <w:r w:rsidRPr="00F574C6">
              <w:t>People with disabilities</w:t>
            </w:r>
          </w:p>
        </w:tc>
        <w:tc>
          <w:tcPr>
            <w:tcW w:w="591" w:type="pct"/>
          </w:tcPr>
          <w:p w14:paraId="54746A70" w14:textId="77777777" w:rsidR="0076024B" w:rsidRPr="00F5070C" w:rsidRDefault="0076024B" w:rsidP="0076024B">
            <w:r w:rsidRPr="00A87923">
              <w:t>Mixed method. Grey literature</w:t>
            </w:r>
          </w:p>
        </w:tc>
        <w:tc>
          <w:tcPr>
            <w:tcW w:w="614" w:type="pct"/>
          </w:tcPr>
          <w:p w14:paraId="11243F6E" w14:textId="77777777" w:rsidR="0076024B" w:rsidRDefault="0076024B" w:rsidP="0076024B">
            <w:r>
              <w:t xml:space="preserve">Refers to previous evidence but no empirical evidence on 24 hour supports in Australia. Descriptive.  </w:t>
            </w:r>
          </w:p>
          <w:p w14:paraId="36A2124A" w14:textId="77777777" w:rsidR="0076024B" w:rsidRPr="00F5070C" w:rsidRDefault="0076024B" w:rsidP="0076024B"/>
        </w:tc>
        <w:tc>
          <w:tcPr>
            <w:tcW w:w="1180" w:type="pct"/>
          </w:tcPr>
          <w:p w14:paraId="02A4649F" w14:textId="77777777" w:rsidR="0076024B" w:rsidRDefault="0076024B" w:rsidP="0076024B">
            <w:r w:rsidRPr="00CB71E6">
              <w:t>Australia</w:t>
            </w:r>
            <w:r>
              <w:t xml:space="preserve"> uses disability specific and generic models of 24-hour support. </w:t>
            </w:r>
            <w:r w:rsidRPr="00CB71E6">
              <w:t xml:space="preserve"> </w:t>
            </w:r>
            <w:r>
              <w:t>In the US</w:t>
            </w:r>
            <w:r w:rsidRPr="00CB71E6">
              <w:t xml:space="preserve"> at home with PA support</w:t>
            </w:r>
            <w:r>
              <w:t xml:space="preserve"> with a growing</w:t>
            </w:r>
            <w:r w:rsidRPr="00CB71E6">
              <w:t xml:space="preserve"> trend towards consumer directed supports</w:t>
            </w:r>
            <w:r>
              <w:t xml:space="preserve">. In the </w:t>
            </w:r>
            <w:r w:rsidRPr="00CB71E6">
              <w:t xml:space="preserve">UK old and new models </w:t>
            </w:r>
            <w:r>
              <w:t xml:space="preserve">of support </w:t>
            </w:r>
            <w:r w:rsidRPr="00CB71E6">
              <w:t>co-exist; including adult placements, adult fostering schemes</w:t>
            </w:r>
            <w:r>
              <w:t>.</w:t>
            </w:r>
            <w:r w:rsidRPr="00CB71E6">
              <w:t xml:space="preserve"> </w:t>
            </w:r>
          </w:p>
          <w:p w14:paraId="77B4E307" w14:textId="77777777" w:rsidR="0076024B" w:rsidRPr="00F5070C" w:rsidRDefault="0076024B" w:rsidP="0076024B"/>
        </w:tc>
      </w:tr>
      <w:tr w:rsidR="0076024B" w:rsidRPr="00F5070C" w14:paraId="657A787D" w14:textId="77777777" w:rsidTr="00396EAA">
        <w:tc>
          <w:tcPr>
            <w:tcW w:w="908" w:type="pct"/>
          </w:tcPr>
          <w:p w14:paraId="68CED479" w14:textId="77777777" w:rsidR="0076024B" w:rsidRDefault="0076024B" w:rsidP="0076024B">
            <w:r w:rsidRPr="00090F93">
              <w:rPr>
                <w:b/>
                <w:bCs/>
              </w:rPr>
              <w:t>Informal supports</w:t>
            </w:r>
            <w:r>
              <w:t xml:space="preserve"> are non-paid supports from the individuals network such as family, neighbours.</w:t>
            </w:r>
          </w:p>
          <w:p w14:paraId="61BA191F" w14:textId="77777777" w:rsidR="0076024B" w:rsidRDefault="0076024B" w:rsidP="0076024B"/>
          <w:p w14:paraId="50E3CF17" w14:textId="77777777" w:rsidR="0076024B" w:rsidRDefault="0076024B" w:rsidP="0076024B"/>
          <w:p w14:paraId="4E8C7F1E" w14:textId="77777777" w:rsidR="0076024B" w:rsidRDefault="0076024B" w:rsidP="0076024B"/>
          <w:p w14:paraId="7EF592F6" w14:textId="77777777" w:rsidR="0076024B" w:rsidRDefault="0076024B" w:rsidP="0076024B"/>
          <w:p w14:paraId="2E13EB3E" w14:textId="77777777" w:rsidR="0076024B" w:rsidRDefault="0076024B" w:rsidP="0076024B"/>
          <w:p w14:paraId="70D46D25" w14:textId="4DC57D5F" w:rsidR="0076024B" w:rsidRPr="00F5070C" w:rsidRDefault="0076024B" w:rsidP="0076024B">
            <w:pPr>
              <w:rPr>
                <w:b/>
                <w:bCs/>
              </w:rPr>
            </w:pPr>
            <w:r w:rsidRPr="008B5338">
              <w:lastRenderedPageBreak/>
              <w:t xml:space="preserve">Pave the way is a programme run by the Mamre Association. Report explores </w:t>
            </w:r>
            <w:r w:rsidR="00277589" w:rsidRPr="008B5338">
              <w:t>indep</w:t>
            </w:r>
            <w:r w:rsidR="00277589">
              <w:t>en</w:t>
            </w:r>
            <w:r w:rsidR="00277589" w:rsidRPr="008B5338">
              <w:t>dent</w:t>
            </w:r>
            <w:r w:rsidRPr="008B5338">
              <w:t xml:space="preserve"> living in the context of future planning by families, the models of independent living important to note</w:t>
            </w:r>
            <w:r w:rsidR="00277589">
              <w:t>??</w:t>
            </w:r>
          </w:p>
        </w:tc>
        <w:tc>
          <w:tcPr>
            <w:tcW w:w="549" w:type="pct"/>
            <w:shd w:val="clear" w:color="auto" w:fill="auto"/>
          </w:tcPr>
          <w:p w14:paraId="206C2B64" w14:textId="6351C5F9" w:rsidR="0076024B" w:rsidRDefault="00AE2061" w:rsidP="0076024B">
            <w:pPr>
              <w:rPr>
                <w:b/>
                <w:bCs/>
              </w:rPr>
            </w:pPr>
            <w:r>
              <w:rPr>
                <w:b/>
                <w:bCs/>
              </w:rPr>
              <w:lastRenderedPageBreak/>
              <w:t>UK</w:t>
            </w:r>
          </w:p>
          <w:p w14:paraId="5324CEA0" w14:textId="31ABD2D0" w:rsidR="00AE2061" w:rsidRDefault="00AE2061" w:rsidP="0076024B">
            <w:pPr>
              <w:rPr>
                <w:b/>
                <w:bCs/>
              </w:rPr>
            </w:pPr>
            <w:r>
              <w:rPr>
                <w:b/>
                <w:bCs/>
              </w:rPr>
              <w:t>Australia</w:t>
            </w:r>
          </w:p>
          <w:p w14:paraId="70C9540C" w14:textId="77777777" w:rsidR="0076024B" w:rsidRDefault="0076024B" w:rsidP="0076024B">
            <w:pPr>
              <w:rPr>
                <w:b/>
                <w:bCs/>
              </w:rPr>
            </w:pPr>
          </w:p>
          <w:p w14:paraId="76AA3D74" w14:textId="77777777" w:rsidR="0076024B" w:rsidRDefault="0076024B" w:rsidP="0076024B">
            <w:pPr>
              <w:rPr>
                <w:b/>
                <w:bCs/>
              </w:rPr>
            </w:pPr>
          </w:p>
          <w:p w14:paraId="7C0476F6" w14:textId="77777777" w:rsidR="0076024B" w:rsidRDefault="0076024B" w:rsidP="0076024B">
            <w:pPr>
              <w:rPr>
                <w:b/>
                <w:bCs/>
              </w:rPr>
            </w:pPr>
          </w:p>
          <w:p w14:paraId="5254A3E4" w14:textId="77777777" w:rsidR="0076024B" w:rsidRDefault="0076024B" w:rsidP="0076024B">
            <w:pPr>
              <w:rPr>
                <w:b/>
                <w:bCs/>
              </w:rPr>
            </w:pPr>
          </w:p>
          <w:p w14:paraId="14204AA8" w14:textId="77777777" w:rsidR="0076024B" w:rsidRDefault="0076024B" w:rsidP="0076024B">
            <w:pPr>
              <w:rPr>
                <w:b/>
                <w:bCs/>
              </w:rPr>
            </w:pPr>
          </w:p>
          <w:p w14:paraId="35DCC6EE" w14:textId="77777777" w:rsidR="0076024B" w:rsidRDefault="0076024B" w:rsidP="0076024B">
            <w:pPr>
              <w:rPr>
                <w:b/>
                <w:bCs/>
              </w:rPr>
            </w:pPr>
          </w:p>
          <w:p w14:paraId="71C85F44" w14:textId="77777777" w:rsidR="0076024B" w:rsidRDefault="0076024B" w:rsidP="0076024B">
            <w:pPr>
              <w:rPr>
                <w:b/>
                <w:bCs/>
              </w:rPr>
            </w:pPr>
          </w:p>
          <w:p w14:paraId="2EFBA67F" w14:textId="77777777" w:rsidR="0076024B" w:rsidRDefault="0076024B" w:rsidP="0076024B">
            <w:pPr>
              <w:rPr>
                <w:b/>
                <w:bCs/>
              </w:rPr>
            </w:pPr>
          </w:p>
          <w:p w14:paraId="072F141B" w14:textId="77777777" w:rsidR="0076024B" w:rsidRDefault="0076024B" w:rsidP="0076024B">
            <w:pPr>
              <w:rPr>
                <w:b/>
                <w:bCs/>
              </w:rPr>
            </w:pPr>
          </w:p>
          <w:p w14:paraId="34230B9A" w14:textId="77777777" w:rsidR="0076024B" w:rsidRDefault="0076024B" w:rsidP="0076024B">
            <w:pPr>
              <w:rPr>
                <w:b/>
                <w:bCs/>
              </w:rPr>
            </w:pPr>
          </w:p>
          <w:p w14:paraId="3F80EAD6" w14:textId="77777777" w:rsidR="0076024B" w:rsidRPr="00F5070C" w:rsidRDefault="0076024B" w:rsidP="0076024B">
            <w:r w:rsidRPr="00703469">
              <w:t>Australia (Queensland)</w:t>
            </w:r>
          </w:p>
        </w:tc>
        <w:tc>
          <w:tcPr>
            <w:tcW w:w="541" w:type="pct"/>
          </w:tcPr>
          <w:p w14:paraId="4FBDF00E" w14:textId="77777777" w:rsidR="0076024B" w:rsidRDefault="0076024B" w:rsidP="0076024B">
            <w:r w:rsidRPr="00256AF2">
              <w:lastRenderedPageBreak/>
              <w:t xml:space="preserve">Elder-Woodward </w:t>
            </w:r>
            <w:r>
              <w:t xml:space="preserve">et al </w:t>
            </w:r>
            <w:r w:rsidRPr="00256AF2">
              <w:t>(2015)</w:t>
            </w:r>
          </w:p>
          <w:p w14:paraId="44AF1A88" w14:textId="77777777" w:rsidR="0076024B" w:rsidRPr="00256AF2" w:rsidRDefault="0076024B" w:rsidP="0076024B"/>
          <w:p w14:paraId="0C99BE42" w14:textId="77777777" w:rsidR="0076024B" w:rsidRDefault="0076024B" w:rsidP="0076024B">
            <w:r w:rsidRPr="00256AF2">
              <w:t>Wiesel et al (2015)</w:t>
            </w:r>
          </w:p>
          <w:p w14:paraId="01249E35" w14:textId="77777777" w:rsidR="0076024B" w:rsidRPr="00256AF2" w:rsidRDefault="0076024B" w:rsidP="0076024B"/>
          <w:p w14:paraId="74D5FB84" w14:textId="77777777" w:rsidR="0076024B" w:rsidRDefault="0076024B" w:rsidP="0076024B">
            <w:r w:rsidRPr="00256AF2">
              <w:t>Fisher et al (2015)</w:t>
            </w:r>
          </w:p>
          <w:p w14:paraId="501EF3DC" w14:textId="77777777" w:rsidR="0076024B" w:rsidRDefault="0076024B" w:rsidP="0076024B"/>
          <w:p w14:paraId="4E7E1C82" w14:textId="77777777" w:rsidR="0076024B" w:rsidRDefault="0076024B" w:rsidP="0076024B"/>
          <w:p w14:paraId="57187C0B" w14:textId="77777777" w:rsidR="0076024B" w:rsidRDefault="0076024B" w:rsidP="0076024B"/>
          <w:p w14:paraId="615BA383" w14:textId="77777777" w:rsidR="0076024B" w:rsidRDefault="0076024B" w:rsidP="0076024B">
            <w:r w:rsidRPr="00256AF2">
              <w:t>Pave the way (</w:t>
            </w:r>
            <w:r>
              <w:t>2013</w:t>
            </w:r>
            <w:r w:rsidRPr="00256AF2">
              <w:t>)</w:t>
            </w:r>
          </w:p>
          <w:p w14:paraId="139CB98D" w14:textId="77777777" w:rsidR="0076024B" w:rsidRPr="00F574C6" w:rsidRDefault="0076024B" w:rsidP="0076024B"/>
        </w:tc>
        <w:tc>
          <w:tcPr>
            <w:tcW w:w="619" w:type="pct"/>
          </w:tcPr>
          <w:p w14:paraId="7E870B58" w14:textId="77777777" w:rsidR="0076024B" w:rsidRPr="00F5070C" w:rsidRDefault="0076024B" w:rsidP="0076024B">
            <w:r>
              <w:lastRenderedPageBreak/>
              <w:t>People with disabilities</w:t>
            </w:r>
          </w:p>
        </w:tc>
        <w:tc>
          <w:tcPr>
            <w:tcW w:w="591" w:type="pct"/>
          </w:tcPr>
          <w:p w14:paraId="1DCB26DB" w14:textId="77777777" w:rsidR="0076024B" w:rsidRDefault="0076024B" w:rsidP="0076024B">
            <w:r>
              <w:t>Discussion paper</w:t>
            </w:r>
          </w:p>
          <w:p w14:paraId="159E6B04" w14:textId="77777777" w:rsidR="0076024B" w:rsidRDefault="0076024B" w:rsidP="0076024B"/>
          <w:p w14:paraId="797C288E" w14:textId="77777777" w:rsidR="0076024B" w:rsidRDefault="0076024B" w:rsidP="0076024B"/>
          <w:p w14:paraId="2B2CC0F4" w14:textId="77777777" w:rsidR="0076024B" w:rsidRDefault="0076024B" w:rsidP="0076024B"/>
          <w:p w14:paraId="6EF323BC" w14:textId="77777777" w:rsidR="0076024B" w:rsidRDefault="0076024B" w:rsidP="0076024B"/>
          <w:p w14:paraId="00AECE00" w14:textId="77777777" w:rsidR="0076024B" w:rsidRDefault="0076024B" w:rsidP="0076024B"/>
          <w:p w14:paraId="4D217C4A" w14:textId="77777777" w:rsidR="0076024B" w:rsidRDefault="0076024B" w:rsidP="0076024B"/>
          <w:p w14:paraId="18A9F5C2" w14:textId="77777777" w:rsidR="0076024B" w:rsidRDefault="0076024B" w:rsidP="0076024B"/>
          <w:p w14:paraId="4B45CE5F" w14:textId="77777777" w:rsidR="0076024B" w:rsidRDefault="0076024B" w:rsidP="0076024B"/>
          <w:p w14:paraId="500AE382" w14:textId="77777777" w:rsidR="0076024B" w:rsidRDefault="0076024B" w:rsidP="0076024B"/>
          <w:p w14:paraId="4CC6D9A1" w14:textId="77777777" w:rsidR="0076024B" w:rsidRDefault="0076024B" w:rsidP="0076024B"/>
          <w:p w14:paraId="0397C272" w14:textId="77777777" w:rsidR="0076024B" w:rsidRDefault="0076024B" w:rsidP="0076024B"/>
          <w:p w14:paraId="700B316E" w14:textId="77777777" w:rsidR="0076024B" w:rsidRDefault="0076024B" w:rsidP="0076024B"/>
          <w:p w14:paraId="787434A1" w14:textId="77777777" w:rsidR="0076024B" w:rsidRDefault="0076024B" w:rsidP="0076024B"/>
          <w:p w14:paraId="1D140571" w14:textId="77777777" w:rsidR="0076024B" w:rsidRDefault="0076024B" w:rsidP="0076024B"/>
          <w:p w14:paraId="24218AC2" w14:textId="77777777" w:rsidR="0076024B" w:rsidRPr="00F5070C" w:rsidRDefault="0076024B" w:rsidP="0076024B">
            <w:r>
              <w:t>Service provider resource leaflet</w:t>
            </w:r>
          </w:p>
        </w:tc>
        <w:tc>
          <w:tcPr>
            <w:tcW w:w="614" w:type="pct"/>
          </w:tcPr>
          <w:p w14:paraId="35D4EBA0" w14:textId="77777777" w:rsidR="0076024B" w:rsidRDefault="0076024B" w:rsidP="0076024B">
            <w:r>
              <w:lastRenderedPageBreak/>
              <w:t xml:space="preserve">Draws on academic, policy and practice information to discuss the role of personalisation in the independent </w:t>
            </w:r>
            <w:r>
              <w:lastRenderedPageBreak/>
              <w:t>living movement.</w:t>
            </w:r>
          </w:p>
          <w:p w14:paraId="446026FA" w14:textId="77777777" w:rsidR="0076024B" w:rsidRDefault="0076024B" w:rsidP="0076024B"/>
          <w:p w14:paraId="37C41418" w14:textId="77777777" w:rsidR="0076024B" w:rsidRDefault="0076024B" w:rsidP="0076024B"/>
          <w:p w14:paraId="7843BD4C" w14:textId="77777777" w:rsidR="0076024B" w:rsidRDefault="0076024B" w:rsidP="0076024B"/>
          <w:p w14:paraId="59C211FB" w14:textId="77777777" w:rsidR="0076024B" w:rsidRPr="00F5070C" w:rsidRDefault="0076024B" w:rsidP="0076024B">
            <w:r>
              <w:t xml:space="preserve">Produced for families by service provider. Based on knowledge of sector and literature. </w:t>
            </w:r>
          </w:p>
        </w:tc>
        <w:tc>
          <w:tcPr>
            <w:tcW w:w="1180" w:type="pct"/>
          </w:tcPr>
          <w:p w14:paraId="0538B051" w14:textId="77777777" w:rsidR="0076024B" w:rsidRDefault="0076024B" w:rsidP="0076024B">
            <w:r w:rsidRPr="00256AF2">
              <w:lastRenderedPageBreak/>
              <w:t>Using individualized funding to pay informal network for support</w:t>
            </w:r>
          </w:p>
          <w:p w14:paraId="6AD0B6A4" w14:textId="77777777" w:rsidR="0076024B" w:rsidRDefault="0076024B" w:rsidP="0076024B"/>
          <w:p w14:paraId="63FB99A7" w14:textId="77777777" w:rsidR="0076024B" w:rsidRDefault="0076024B" w:rsidP="0076024B"/>
          <w:p w14:paraId="4642810C" w14:textId="77777777" w:rsidR="0076024B" w:rsidRDefault="0076024B" w:rsidP="0076024B"/>
          <w:p w14:paraId="005D79FD" w14:textId="77777777" w:rsidR="0076024B" w:rsidRDefault="0076024B" w:rsidP="0076024B"/>
          <w:p w14:paraId="1D1D7D1C" w14:textId="77777777" w:rsidR="0076024B" w:rsidRDefault="0076024B" w:rsidP="0076024B"/>
          <w:p w14:paraId="0F55565F" w14:textId="77777777" w:rsidR="0076024B" w:rsidRDefault="0076024B" w:rsidP="0076024B"/>
          <w:p w14:paraId="57DF290B" w14:textId="77777777" w:rsidR="0076024B" w:rsidRDefault="0076024B" w:rsidP="0076024B"/>
          <w:p w14:paraId="27365D1F" w14:textId="77777777" w:rsidR="0076024B" w:rsidRDefault="0076024B" w:rsidP="0076024B"/>
          <w:p w14:paraId="6B9F24BB" w14:textId="77777777" w:rsidR="0076024B" w:rsidRDefault="0076024B" w:rsidP="0076024B"/>
          <w:p w14:paraId="53511C28" w14:textId="77777777" w:rsidR="0076024B" w:rsidRDefault="0076024B" w:rsidP="0076024B"/>
          <w:p w14:paraId="69B21F0B" w14:textId="77777777" w:rsidR="0076024B" w:rsidRDefault="0076024B" w:rsidP="0076024B"/>
          <w:p w14:paraId="715DD424" w14:textId="77777777" w:rsidR="0076024B" w:rsidRDefault="0076024B" w:rsidP="0076024B"/>
          <w:p w14:paraId="37A05F8A" w14:textId="77777777" w:rsidR="0076024B" w:rsidRDefault="0076024B" w:rsidP="0076024B"/>
          <w:p w14:paraId="1E7E11B8" w14:textId="56FDD7D8" w:rsidR="0076024B" w:rsidRPr="00F5070C" w:rsidRDefault="0076024B" w:rsidP="0076024B">
            <w:r>
              <w:t>Provides a resource in question and answer format fa</w:t>
            </w:r>
            <w:r w:rsidRPr="00BE0348">
              <w:t>milies can ask themselves in thinking about, preparing and planning future living arrangements for family member with a disabili</w:t>
            </w:r>
            <w:r>
              <w:t>t</w:t>
            </w:r>
            <w:r w:rsidRPr="00BE0348">
              <w:t>y; as well as type of living and type of living supports there is a need to consider how supports will be arranged</w:t>
            </w:r>
            <w:r w:rsidR="00277589">
              <w:t>.</w:t>
            </w:r>
          </w:p>
        </w:tc>
      </w:tr>
      <w:tr w:rsidR="0076024B" w:rsidRPr="00F5070C" w14:paraId="672DB761" w14:textId="77777777" w:rsidTr="00E01F76">
        <w:tc>
          <w:tcPr>
            <w:tcW w:w="908" w:type="pct"/>
          </w:tcPr>
          <w:p w14:paraId="266D398A" w14:textId="77777777" w:rsidR="0076024B" w:rsidRPr="00F5070C" w:rsidRDefault="0076024B" w:rsidP="0076024B">
            <w:pPr>
              <w:rPr>
                <w:b/>
                <w:bCs/>
              </w:rPr>
            </w:pPr>
            <w:r>
              <w:rPr>
                <w:b/>
                <w:bCs/>
              </w:rPr>
              <w:lastRenderedPageBreak/>
              <w:t xml:space="preserve">Centre for Independent Living </w:t>
            </w:r>
          </w:p>
        </w:tc>
        <w:tc>
          <w:tcPr>
            <w:tcW w:w="549" w:type="pct"/>
          </w:tcPr>
          <w:p w14:paraId="47452CB6" w14:textId="77777777" w:rsidR="0076024B" w:rsidRPr="00F5070C" w:rsidRDefault="0076024B" w:rsidP="0076024B">
            <w:r>
              <w:t>USA</w:t>
            </w:r>
          </w:p>
        </w:tc>
        <w:tc>
          <w:tcPr>
            <w:tcW w:w="541" w:type="pct"/>
          </w:tcPr>
          <w:p w14:paraId="43D12A31" w14:textId="4DC2648F" w:rsidR="0076024B" w:rsidRDefault="0076024B" w:rsidP="0076024B">
            <w:pPr>
              <w:rPr>
                <w:rFonts w:ascii="Calibri" w:hAnsi="Calibri" w:cs="Calibri"/>
                <w:color w:val="000000"/>
                <w:lang w:val="en-GB"/>
              </w:rPr>
            </w:pPr>
            <w:r>
              <w:rPr>
                <w:rFonts w:ascii="Calibri" w:hAnsi="Calibri" w:cs="Calibri"/>
                <w:color w:val="000000"/>
              </w:rPr>
              <w:t>Kim</w:t>
            </w:r>
            <w:r w:rsidR="00BB032C">
              <w:rPr>
                <w:rFonts w:ascii="Calibri" w:hAnsi="Calibri" w:cs="Calibri"/>
                <w:color w:val="000000"/>
              </w:rPr>
              <w:t xml:space="preserve"> &amp; </w:t>
            </w:r>
            <w:r>
              <w:rPr>
                <w:rFonts w:ascii="Calibri" w:hAnsi="Calibri" w:cs="Calibri"/>
                <w:color w:val="000000"/>
              </w:rPr>
              <w:t>Fox</w:t>
            </w:r>
            <w:r w:rsidR="007848FB">
              <w:rPr>
                <w:rFonts w:ascii="Calibri" w:hAnsi="Calibri" w:cs="Calibri"/>
                <w:color w:val="000000"/>
              </w:rPr>
              <w:t xml:space="preserve"> </w:t>
            </w:r>
            <w:r>
              <w:rPr>
                <w:rFonts w:ascii="Calibri" w:hAnsi="Calibri" w:cs="Calibri"/>
                <w:color w:val="000000"/>
                <w:lang w:val="en-GB"/>
              </w:rPr>
              <w:t>(2004)</w:t>
            </w:r>
          </w:p>
          <w:p w14:paraId="4A4C7F1B" w14:textId="77777777" w:rsidR="0076024B" w:rsidRPr="00F574C6" w:rsidRDefault="0076024B" w:rsidP="0076024B"/>
        </w:tc>
        <w:tc>
          <w:tcPr>
            <w:tcW w:w="619" w:type="pct"/>
          </w:tcPr>
          <w:p w14:paraId="73B4F876" w14:textId="77777777" w:rsidR="0076024B" w:rsidRPr="00230FCC" w:rsidRDefault="0076024B" w:rsidP="0076024B">
            <w:pPr>
              <w:rPr>
                <w:rFonts w:ascii="Calibri" w:hAnsi="Calibri" w:cs="Calibri"/>
                <w:color w:val="000000"/>
                <w:lang w:val="en-GB"/>
              </w:rPr>
            </w:pPr>
            <w:r w:rsidRPr="00F574C6">
              <w:t>Emerging disabilities</w:t>
            </w:r>
          </w:p>
        </w:tc>
        <w:tc>
          <w:tcPr>
            <w:tcW w:w="591" w:type="pct"/>
          </w:tcPr>
          <w:p w14:paraId="00ACB5EA" w14:textId="77777777" w:rsidR="0076024B" w:rsidRPr="00F5070C" w:rsidRDefault="0076024B" w:rsidP="0076024B">
            <w:r>
              <w:t>Qualitative study (n=)</w:t>
            </w:r>
          </w:p>
        </w:tc>
        <w:tc>
          <w:tcPr>
            <w:tcW w:w="614" w:type="pct"/>
          </w:tcPr>
          <w:p w14:paraId="7CCB8CF9" w14:textId="77777777" w:rsidR="0076024B" w:rsidRPr="00F5070C" w:rsidRDefault="0076024B" w:rsidP="0076024B">
            <w:r>
              <w:t xml:space="preserve">Poor </w:t>
            </w:r>
          </w:p>
        </w:tc>
        <w:tc>
          <w:tcPr>
            <w:tcW w:w="1180" w:type="pct"/>
          </w:tcPr>
          <w:p w14:paraId="27EC2ACA" w14:textId="77777777" w:rsidR="0076024B" w:rsidRDefault="0076024B" w:rsidP="0076024B">
            <w:pPr>
              <w:rPr>
                <w:rFonts w:ascii="Calibri" w:hAnsi="Calibri" w:cs="Calibri"/>
                <w:color w:val="000000"/>
                <w:lang w:val="en-GB"/>
              </w:rPr>
            </w:pPr>
            <w:r>
              <w:rPr>
                <w:rFonts w:ascii="Calibri" w:hAnsi="Calibri" w:cs="Calibri"/>
                <w:color w:val="000000"/>
              </w:rPr>
              <w:t>An expanded role of Centers for Independent Living can develop that recognizes, accepts and supports emerging disability groups.</w:t>
            </w:r>
          </w:p>
          <w:p w14:paraId="2A324FD7" w14:textId="77777777" w:rsidR="0076024B" w:rsidRPr="00F5070C" w:rsidRDefault="0076024B" w:rsidP="0076024B"/>
        </w:tc>
      </w:tr>
      <w:tr w:rsidR="00BB032C" w:rsidRPr="00F5070C" w14:paraId="4C0AD936" w14:textId="77777777" w:rsidTr="00E01F76">
        <w:tc>
          <w:tcPr>
            <w:tcW w:w="908" w:type="pct"/>
          </w:tcPr>
          <w:p w14:paraId="0DDC814C" w14:textId="38C64060" w:rsidR="00BB032C" w:rsidRDefault="00BB032C" w:rsidP="00BF0543">
            <w:pPr>
              <w:keepNext/>
              <w:rPr>
                <w:b/>
                <w:bCs/>
              </w:rPr>
            </w:pPr>
            <w:r>
              <w:rPr>
                <w:b/>
                <w:bCs/>
              </w:rPr>
              <w:lastRenderedPageBreak/>
              <w:t>Occupational therapy in the community</w:t>
            </w:r>
          </w:p>
        </w:tc>
        <w:tc>
          <w:tcPr>
            <w:tcW w:w="549" w:type="pct"/>
            <w:shd w:val="clear" w:color="auto" w:fill="auto"/>
          </w:tcPr>
          <w:p w14:paraId="5F58F176" w14:textId="0333F4B7" w:rsidR="00BB032C" w:rsidRDefault="001F4D2F" w:rsidP="00BF0543">
            <w:pPr>
              <w:keepNext/>
            </w:pPr>
            <w:r>
              <w:t>USA</w:t>
            </w:r>
          </w:p>
        </w:tc>
        <w:tc>
          <w:tcPr>
            <w:tcW w:w="541" w:type="pct"/>
            <w:shd w:val="clear" w:color="auto" w:fill="auto"/>
          </w:tcPr>
          <w:p w14:paraId="72342630" w14:textId="27FF323F" w:rsidR="00BB032C" w:rsidRDefault="00BB032C" w:rsidP="00BF0543">
            <w:pPr>
              <w:keepNext/>
              <w:rPr>
                <w:rFonts w:ascii="Calibri" w:hAnsi="Calibri" w:cs="Calibri"/>
                <w:color w:val="000000"/>
              </w:rPr>
            </w:pPr>
            <w:r>
              <w:rPr>
                <w:rFonts w:ascii="Calibri" w:hAnsi="Calibri" w:cs="Calibri"/>
                <w:color w:val="000000"/>
              </w:rPr>
              <w:t>Angel</w:t>
            </w:r>
            <w:r w:rsidR="001F4D2F">
              <w:rPr>
                <w:rFonts w:ascii="Calibri" w:hAnsi="Calibri" w:cs="Calibri"/>
                <w:color w:val="000000"/>
              </w:rPr>
              <w:t>l</w:t>
            </w:r>
            <w:r>
              <w:rPr>
                <w:rFonts w:ascii="Calibri" w:hAnsi="Calibri" w:cs="Calibri"/>
                <w:color w:val="000000"/>
              </w:rPr>
              <w:t xml:space="preserve"> et al (2020)</w:t>
            </w:r>
          </w:p>
        </w:tc>
        <w:tc>
          <w:tcPr>
            <w:tcW w:w="619" w:type="pct"/>
            <w:shd w:val="clear" w:color="auto" w:fill="auto"/>
          </w:tcPr>
          <w:p w14:paraId="55A9F5F9" w14:textId="73940E0D" w:rsidR="00BB032C" w:rsidRPr="00F574C6" w:rsidRDefault="001F4D2F" w:rsidP="00BF0543">
            <w:pPr>
              <w:keepNext/>
            </w:pPr>
            <w:r>
              <w:t>People with a range of physical and psychiatric disabilities.</w:t>
            </w:r>
          </w:p>
        </w:tc>
        <w:tc>
          <w:tcPr>
            <w:tcW w:w="591" w:type="pct"/>
            <w:shd w:val="clear" w:color="auto" w:fill="auto"/>
          </w:tcPr>
          <w:p w14:paraId="744E3914" w14:textId="0B2A543C" w:rsidR="00BB032C" w:rsidRDefault="001F4D2F" w:rsidP="00BF0543">
            <w:pPr>
              <w:keepNext/>
            </w:pPr>
            <w:r>
              <w:t>Qualitative study (n=153)</w:t>
            </w:r>
          </w:p>
        </w:tc>
        <w:tc>
          <w:tcPr>
            <w:tcW w:w="614" w:type="pct"/>
            <w:shd w:val="clear" w:color="auto" w:fill="auto"/>
          </w:tcPr>
          <w:p w14:paraId="77F0BC7B" w14:textId="3798B28A" w:rsidR="00BB032C" w:rsidRDefault="001F4D2F" w:rsidP="00BF0543">
            <w:pPr>
              <w:keepNext/>
            </w:pPr>
            <w:r>
              <w:t>Good</w:t>
            </w:r>
          </w:p>
        </w:tc>
        <w:tc>
          <w:tcPr>
            <w:tcW w:w="1180" w:type="pct"/>
            <w:shd w:val="clear" w:color="auto" w:fill="auto"/>
          </w:tcPr>
          <w:p w14:paraId="697BC393" w14:textId="12424891" w:rsidR="00BB032C" w:rsidRDefault="001F4D2F" w:rsidP="00BF0543">
            <w:pPr>
              <w:keepNext/>
              <w:rPr>
                <w:rFonts w:ascii="Calibri" w:hAnsi="Calibri" w:cs="Calibri"/>
                <w:color w:val="000000"/>
              </w:rPr>
            </w:pPr>
            <w:r>
              <w:rPr>
                <w:rFonts w:ascii="Calibri" w:hAnsi="Calibri" w:cs="Calibri"/>
                <w:color w:val="000000"/>
              </w:rPr>
              <w:t xml:space="preserve">Findings identified that extended professional support is important but participants also highlighted the importance of </w:t>
            </w:r>
            <w:r w:rsidR="00016C8B">
              <w:rPr>
                <w:rFonts w:ascii="Calibri" w:hAnsi="Calibri" w:cs="Calibri"/>
                <w:color w:val="000000"/>
              </w:rPr>
              <w:t xml:space="preserve">support from the peers and the disability community, not only professionals without disability. </w:t>
            </w:r>
          </w:p>
        </w:tc>
      </w:tr>
    </w:tbl>
    <w:p w14:paraId="6B1274B7" w14:textId="18CF2F42" w:rsidR="00E01F76" w:rsidRPr="00E94D61" w:rsidRDefault="00E01F76" w:rsidP="00E01F76">
      <w:pPr>
        <w:pStyle w:val="ListParagraph"/>
        <w:spacing w:line="360" w:lineRule="auto"/>
        <w:jc w:val="both"/>
        <w:rPr>
          <w:sz w:val="20"/>
          <w:szCs w:val="20"/>
        </w:rPr>
      </w:pPr>
      <w:r>
        <w:rPr>
          <w:sz w:val="20"/>
          <w:szCs w:val="20"/>
        </w:rPr>
        <w:t>*Quality was assessed using the Joanna Briggs Instrument with, poor &lt;=50%, fair&lt;=76%, good&gt;75%, of criteria met. N/A means not applicable and refers to documents that were not quality assessed (grey literature)</w:t>
      </w:r>
    </w:p>
    <w:p w14:paraId="1437EAB3" w14:textId="77777777" w:rsidR="00296F58" w:rsidRDefault="00296F58" w:rsidP="00DF09CF">
      <w:pPr>
        <w:spacing w:line="360" w:lineRule="auto"/>
        <w:jc w:val="both"/>
        <w:rPr>
          <w:rFonts w:eastAsia="Times New Roman" w:cstheme="minorHAnsi"/>
          <w:lang w:val="en-GB"/>
        </w:rPr>
        <w:sectPr w:rsidR="00296F58" w:rsidSect="00296F58">
          <w:headerReference w:type="default" r:id="rId48"/>
          <w:footerReference w:type="default" r:id="rId49"/>
          <w:pgSz w:w="15840" w:h="12240" w:orient="landscape"/>
          <w:pgMar w:top="1440" w:right="1440" w:bottom="1440" w:left="1440" w:header="720" w:footer="720" w:gutter="0"/>
          <w:cols w:space="720"/>
          <w:docGrid w:linePitch="360"/>
        </w:sectPr>
      </w:pPr>
    </w:p>
    <w:p w14:paraId="58A160C8" w14:textId="67DAFD6C" w:rsidR="00DF09CF" w:rsidRDefault="00DF09CF" w:rsidP="00091A27">
      <w:pPr>
        <w:pStyle w:val="Heading4"/>
        <w:rPr>
          <w:rFonts w:eastAsia="Times New Roman"/>
          <w:lang w:val="en-GB"/>
        </w:rPr>
      </w:pPr>
      <w:r>
        <w:rPr>
          <w:rFonts w:eastAsia="Times New Roman"/>
          <w:lang w:val="en-GB"/>
        </w:rPr>
        <w:lastRenderedPageBreak/>
        <w:t xml:space="preserve">Staff </w:t>
      </w:r>
      <w:r w:rsidR="00091A27">
        <w:rPr>
          <w:rFonts w:eastAsia="Times New Roman"/>
          <w:lang w:val="en-GB"/>
        </w:rPr>
        <w:t>Skills and training</w:t>
      </w:r>
    </w:p>
    <w:p w14:paraId="04B67CB6" w14:textId="77777777" w:rsidR="00FF1AD9" w:rsidRPr="005C4B56" w:rsidRDefault="00FF1AD9" w:rsidP="005C4B56">
      <w:pPr>
        <w:rPr>
          <w:lang w:val="en-GB"/>
        </w:rPr>
      </w:pPr>
    </w:p>
    <w:p w14:paraId="2B65678C" w14:textId="7A6F8E7E" w:rsidR="00D072BF" w:rsidRDefault="00D072BF" w:rsidP="000F0B20">
      <w:pPr>
        <w:spacing w:line="360" w:lineRule="auto"/>
      </w:pPr>
      <w:r w:rsidRPr="00CF403A">
        <w:rPr>
          <w:bCs/>
        </w:rPr>
        <w:t>Two studies in the quantitative literature (one longitudinal and one cross sectional) highlighted the importance of training to address staff attitudes and facilitate more positive outcomes for people transitioning to less congregated settings.</w:t>
      </w:r>
      <w:r w:rsidR="00836AF1" w:rsidRPr="00CF403A">
        <w:rPr>
          <w:bCs/>
        </w:rPr>
        <w:t xml:space="preserve"> The grey literature </w:t>
      </w:r>
      <w:r w:rsidR="00FF1AD9">
        <w:rPr>
          <w:bCs/>
        </w:rPr>
        <w:t>reported</w:t>
      </w:r>
      <w:r w:rsidR="005E464B" w:rsidRPr="00CF403A">
        <w:rPr>
          <w:bCs/>
        </w:rPr>
        <w:t xml:space="preserve"> on</w:t>
      </w:r>
      <w:r w:rsidR="00FF1AD9">
        <w:rPr>
          <w:bCs/>
        </w:rPr>
        <w:t xml:space="preserve"> </w:t>
      </w:r>
      <w:r w:rsidR="005E464B" w:rsidRPr="00CF403A">
        <w:rPr>
          <w:bCs/>
        </w:rPr>
        <w:t xml:space="preserve">case study and practice examples to </w:t>
      </w:r>
      <w:r w:rsidR="00847546" w:rsidRPr="00CF403A">
        <w:rPr>
          <w:bCs/>
        </w:rPr>
        <w:t xml:space="preserve">illustrate the importance of training in active support and person-centredness specifically. </w:t>
      </w:r>
      <w:r w:rsidR="00E5008B" w:rsidRPr="00CF403A">
        <w:t xml:space="preserve">No </w:t>
      </w:r>
      <w:r w:rsidRPr="00CF403A">
        <w:t xml:space="preserve">evaluation, intervention or </w:t>
      </w:r>
      <w:r w:rsidR="00E5008B" w:rsidRPr="00CF403A">
        <w:t xml:space="preserve">measured </w:t>
      </w:r>
      <w:r w:rsidRPr="00CF403A">
        <w:t xml:space="preserve">outcome data </w:t>
      </w:r>
      <w:r w:rsidR="00A06149">
        <w:t>were</w:t>
      </w:r>
      <w:r w:rsidR="00A06149" w:rsidRPr="00CF403A">
        <w:t xml:space="preserve"> </w:t>
      </w:r>
      <w:r w:rsidR="00E5008B" w:rsidRPr="00CF403A">
        <w:t xml:space="preserve">identified in the grey literature. </w:t>
      </w:r>
    </w:p>
    <w:p w14:paraId="187751E3" w14:textId="77777777" w:rsidR="00296F58" w:rsidRDefault="00296F58" w:rsidP="000F0B20">
      <w:pPr>
        <w:spacing w:line="360" w:lineRule="auto"/>
        <w:sectPr w:rsidR="00296F58" w:rsidSect="00296F58">
          <w:headerReference w:type="default" r:id="rId50"/>
          <w:footerReference w:type="default" r:id="rId51"/>
          <w:pgSz w:w="12240" w:h="15840"/>
          <w:pgMar w:top="1440" w:right="1440" w:bottom="1440" w:left="1440" w:header="720" w:footer="720" w:gutter="0"/>
          <w:cols w:space="720"/>
          <w:docGrid w:linePitch="360"/>
        </w:sectPr>
      </w:pPr>
    </w:p>
    <w:p w14:paraId="3EA5B46C" w14:textId="1DBC5166" w:rsidR="00D072BF" w:rsidRPr="006C763F" w:rsidRDefault="00296F58" w:rsidP="00296F58">
      <w:pPr>
        <w:pStyle w:val="Caption"/>
        <w:rPr>
          <w:b/>
          <w:bCs/>
          <w:lang w:val="en-GB"/>
        </w:rPr>
      </w:pPr>
      <w:bookmarkStart w:id="50" w:name="_Toc66355189"/>
      <w:r>
        <w:lastRenderedPageBreak/>
        <w:t xml:space="preserve">Table </w:t>
      </w:r>
      <w:r>
        <w:fldChar w:fldCharType="begin"/>
      </w:r>
      <w:r>
        <w:instrText>SEQ Table \* ARABIC</w:instrText>
      </w:r>
      <w:r>
        <w:fldChar w:fldCharType="separate"/>
      </w:r>
      <w:r w:rsidR="000E7FFE">
        <w:rPr>
          <w:noProof/>
        </w:rPr>
        <w:t>10</w:t>
      </w:r>
      <w:r>
        <w:fldChar w:fldCharType="end"/>
      </w:r>
      <w:r w:rsidR="00A01722" w:rsidRPr="006C763F">
        <w:rPr>
          <w:b/>
          <w:bCs/>
          <w:lang w:val="en-GB"/>
        </w:rPr>
        <w:t xml:space="preserve"> </w:t>
      </w:r>
      <w:r w:rsidR="000F0B20" w:rsidRPr="006C763F">
        <w:rPr>
          <w:b/>
          <w:bCs/>
          <w:lang w:val="en-GB"/>
        </w:rPr>
        <w:t>Staff skills and training</w:t>
      </w:r>
      <w:bookmarkEnd w:id="50"/>
    </w:p>
    <w:tbl>
      <w:tblPr>
        <w:tblStyle w:val="TableGrid"/>
        <w:tblW w:w="5000" w:type="pct"/>
        <w:tblLook w:val="04A0" w:firstRow="1" w:lastRow="0" w:firstColumn="1" w:lastColumn="0" w:noHBand="0" w:noVBand="1"/>
      </w:tblPr>
      <w:tblGrid>
        <w:gridCol w:w="2163"/>
        <w:gridCol w:w="1450"/>
        <w:gridCol w:w="1481"/>
        <w:gridCol w:w="1481"/>
        <w:gridCol w:w="1658"/>
        <w:gridCol w:w="2422"/>
        <w:gridCol w:w="2295"/>
      </w:tblGrid>
      <w:tr w:rsidR="005948E8" w:rsidRPr="00A802E7" w14:paraId="0767E1E7" w14:textId="77777777" w:rsidTr="00296F58">
        <w:trPr>
          <w:tblHeader/>
        </w:trPr>
        <w:tc>
          <w:tcPr>
            <w:tcW w:w="835" w:type="pct"/>
            <w:shd w:val="clear" w:color="auto" w:fill="FFFF00"/>
          </w:tcPr>
          <w:p w14:paraId="6A843B1B" w14:textId="77777777" w:rsidR="005948E8" w:rsidRPr="00A802E7" w:rsidRDefault="005948E8" w:rsidP="000038F8">
            <w:pPr>
              <w:rPr>
                <w:b/>
                <w:bCs/>
              </w:rPr>
            </w:pPr>
            <w:r>
              <w:rPr>
                <w:b/>
                <w:bCs/>
              </w:rPr>
              <w:t>Characteristics - staff skills &amp; training</w:t>
            </w:r>
          </w:p>
        </w:tc>
        <w:tc>
          <w:tcPr>
            <w:tcW w:w="560" w:type="pct"/>
            <w:shd w:val="clear" w:color="auto" w:fill="FFFF00"/>
          </w:tcPr>
          <w:p w14:paraId="6DDC6E92" w14:textId="77777777" w:rsidR="005948E8" w:rsidRPr="00A802E7" w:rsidRDefault="005948E8" w:rsidP="000038F8">
            <w:pPr>
              <w:rPr>
                <w:b/>
                <w:bCs/>
              </w:rPr>
            </w:pPr>
            <w:r w:rsidRPr="00A802E7">
              <w:rPr>
                <w:b/>
                <w:bCs/>
              </w:rPr>
              <w:t>Countries this approach has been implemented</w:t>
            </w:r>
          </w:p>
        </w:tc>
        <w:tc>
          <w:tcPr>
            <w:tcW w:w="572" w:type="pct"/>
            <w:shd w:val="clear" w:color="auto" w:fill="FFFF00"/>
          </w:tcPr>
          <w:p w14:paraId="3C8AC93B" w14:textId="77777777" w:rsidR="005948E8" w:rsidRPr="00A802E7" w:rsidRDefault="005948E8" w:rsidP="000038F8">
            <w:pPr>
              <w:rPr>
                <w:b/>
                <w:bCs/>
              </w:rPr>
            </w:pPr>
            <w:r w:rsidRPr="00A802E7">
              <w:rPr>
                <w:b/>
                <w:bCs/>
              </w:rPr>
              <w:t>Author</w:t>
            </w:r>
            <w:r>
              <w:rPr>
                <w:b/>
                <w:bCs/>
              </w:rPr>
              <w:t xml:space="preserve"> (</w:t>
            </w:r>
            <w:r w:rsidRPr="00A802E7">
              <w:rPr>
                <w:b/>
                <w:bCs/>
              </w:rPr>
              <w:t>Year</w:t>
            </w:r>
            <w:r>
              <w:rPr>
                <w:b/>
                <w:bCs/>
              </w:rPr>
              <w:t>)</w:t>
            </w:r>
          </w:p>
        </w:tc>
        <w:tc>
          <w:tcPr>
            <w:tcW w:w="572" w:type="pct"/>
            <w:shd w:val="clear" w:color="auto" w:fill="FFFF00"/>
          </w:tcPr>
          <w:p w14:paraId="3356AF61" w14:textId="77777777" w:rsidR="005948E8" w:rsidRPr="00A802E7" w:rsidRDefault="005948E8" w:rsidP="000038F8">
            <w:pPr>
              <w:rPr>
                <w:b/>
                <w:bCs/>
              </w:rPr>
            </w:pPr>
            <w:r w:rsidRPr="00A802E7">
              <w:rPr>
                <w:b/>
                <w:bCs/>
              </w:rPr>
              <w:t>Participants</w:t>
            </w:r>
          </w:p>
        </w:tc>
        <w:tc>
          <w:tcPr>
            <w:tcW w:w="640" w:type="pct"/>
            <w:shd w:val="clear" w:color="auto" w:fill="FFFF00"/>
          </w:tcPr>
          <w:p w14:paraId="1F92F900" w14:textId="77777777" w:rsidR="005948E8" w:rsidRPr="00A802E7" w:rsidRDefault="005948E8" w:rsidP="000038F8">
            <w:pPr>
              <w:rPr>
                <w:b/>
                <w:bCs/>
              </w:rPr>
            </w:pPr>
            <w:r w:rsidRPr="00A802E7">
              <w:rPr>
                <w:b/>
                <w:bCs/>
              </w:rPr>
              <w:t>Type of study</w:t>
            </w:r>
          </w:p>
        </w:tc>
        <w:tc>
          <w:tcPr>
            <w:tcW w:w="935" w:type="pct"/>
            <w:shd w:val="clear" w:color="auto" w:fill="FFFF00"/>
          </w:tcPr>
          <w:p w14:paraId="646749E4" w14:textId="39DC0CD9" w:rsidR="005948E8" w:rsidRPr="00A802E7" w:rsidRDefault="005948E8" w:rsidP="000038F8">
            <w:pPr>
              <w:rPr>
                <w:b/>
                <w:bCs/>
              </w:rPr>
            </w:pPr>
            <w:r w:rsidRPr="00A802E7">
              <w:rPr>
                <w:b/>
                <w:bCs/>
              </w:rPr>
              <w:t>Quality</w:t>
            </w:r>
            <w:r w:rsidR="00102936">
              <w:rPr>
                <w:b/>
                <w:bCs/>
              </w:rPr>
              <w:t>*</w:t>
            </w:r>
          </w:p>
        </w:tc>
        <w:tc>
          <w:tcPr>
            <w:tcW w:w="886" w:type="pct"/>
            <w:shd w:val="clear" w:color="auto" w:fill="FFFF00"/>
          </w:tcPr>
          <w:p w14:paraId="698AA850" w14:textId="77777777" w:rsidR="005948E8" w:rsidRPr="00A802E7" w:rsidRDefault="005948E8" w:rsidP="000038F8">
            <w:pPr>
              <w:rPr>
                <w:b/>
                <w:bCs/>
              </w:rPr>
            </w:pPr>
            <w:r w:rsidRPr="00A802E7">
              <w:rPr>
                <w:b/>
                <w:bCs/>
              </w:rPr>
              <w:t>Findings</w:t>
            </w:r>
          </w:p>
        </w:tc>
      </w:tr>
      <w:tr w:rsidR="005948E8" w:rsidRPr="0052699D" w14:paraId="3EAA2DBB" w14:textId="77777777" w:rsidTr="00296F58">
        <w:tc>
          <w:tcPr>
            <w:tcW w:w="835" w:type="pct"/>
          </w:tcPr>
          <w:p w14:paraId="3752106B" w14:textId="77777777" w:rsidR="005948E8" w:rsidRPr="0052699D" w:rsidRDefault="005948E8" w:rsidP="000038F8">
            <w:r w:rsidRPr="0052699D">
              <w:t xml:space="preserve">Inferences made on the importance of staff training in supporting transition to the community </w:t>
            </w:r>
          </w:p>
        </w:tc>
        <w:tc>
          <w:tcPr>
            <w:tcW w:w="560" w:type="pct"/>
          </w:tcPr>
          <w:p w14:paraId="624CA6DF" w14:textId="77777777" w:rsidR="005948E8" w:rsidRPr="0052699D" w:rsidRDefault="005948E8" w:rsidP="000038F8">
            <w:r w:rsidRPr="0052699D">
              <w:t>Taiwan</w:t>
            </w:r>
          </w:p>
        </w:tc>
        <w:tc>
          <w:tcPr>
            <w:tcW w:w="572" w:type="pct"/>
          </w:tcPr>
          <w:p w14:paraId="31AA9639" w14:textId="77777777" w:rsidR="005948E8" w:rsidRPr="0052699D" w:rsidRDefault="005948E8" w:rsidP="000038F8">
            <w:r w:rsidRPr="0052699D">
              <w:t xml:space="preserve">Chou et al (2011) </w:t>
            </w:r>
          </w:p>
        </w:tc>
        <w:tc>
          <w:tcPr>
            <w:tcW w:w="572" w:type="pct"/>
          </w:tcPr>
          <w:p w14:paraId="7851E10B" w14:textId="77777777" w:rsidR="005948E8" w:rsidRDefault="005948E8" w:rsidP="000038F8">
            <w:r w:rsidRPr="006F4FF3">
              <w:t>People with intellectual disability</w:t>
            </w:r>
          </w:p>
          <w:p w14:paraId="7833691D" w14:textId="77777777" w:rsidR="005948E8" w:rsidRDefault="005948E8" w:rsidP="000038F8"/>
          <w:p w14:paraId="67548321" w14:textId="77777777" w:rsidR="005948E8" w:rsidRDefault="005948E8" w:rsidP="000038F8">
            <w:r>
              <w:t>N=49</w:t>
            </w:r>
          </w:p>
          <w:p w14:paraId="30378419" w14:textId="77777777" w:rsidR="005948E8" w:rsidRPr="0052699D" w:rsidRDefault="005948E8" w:rsidP="000038F8">
            <w:r>
              <w:t>n</w:t>
            </w:r>
            <w:r w:rsidRPr="0052699D">
              <w:t xml:space="preserve">=13 Transition from institution to residential living, </w:t>
            </w:r>
          </w:p>
          <w:p w14:paraId="5CD37744" w14:textId="77777777" w:rsidR="005948E8" w:rsidRPr="00A802E7" w:rsidRDefault="005948E8" w:rsidP="000038F8">
            <w:pPr>
              <w:rPr>
                <w:b/>
                <w:bCs/>
              </w:rPr>
            </w:pPr>
            <w:r w:rsidRPr="0052699D">
              <w:t>n=36 transition from family to residential living</w:t>
            </w:r>
          </w:p>
        </w:tc>
        <w:tc>
          <w:tcPr>
            <w:tcW w:w="640" w:type="pct"/>
          </w:tcPr>
          <w:p w14:paraId="379350C8" w14:textId="77777777" w:rsidR="005948E8" w:rsidRPr="0052699D" w:rsidRDefault="005948E8" w:rsidP="000038F8">
            <w:r w:rsidRPr="0052699D">
              <w:t>Pre/post design of quality of life measures and face to face interviews</w:t>
            </w:r>
          </w:p>
        </w:tc>
        <w:tc>
          <w:tcPr>
            <w:tcW w:w="935" w:type="pct"/>
          </w:tcPr>
          <w:p w14:paraId="298EE3C5" w14:textId="77777777" w:rsidR="005948E8" w:rsidRPr="0052699D" w:rsidRDefault="005948E8" w:rsidP="000038F8">
            <w:r w:rsidRPr="0052699D">
              <w:t>Fair</w:t>
            </w:r>
          </w:p>
        </w:tc>
        <w:tc>
          <w:tcPr>
            <w:tcW w:w="886" w:type="pct"/>
          </w:tcPr>
          <w:p w14:paraId="69C4D19C" w14:textId="77777777" w:rsidR="005948E8" w:rsidRPr="0052699D" w:rsidRDefault="005948E8" w:rsidP="000038F8">
            <w:r w:rsidRPr="0052699D">
              <w:t xml:space="preserve">Concerns were identified regarding staff competence on supporting interventions </w:t>
            </w:r>
            <w:r>
              <w:t xml:space="preserve">which were partly due to lack of appropriate </w:t>
            </w:r>
            <w:r w:rsidRPr="0052699D">
              <w:t>training</w:t>
            </w:r>
          </w:p>
        </w:tc>
      </w:tr>
      <w:tr w:rsidR="005948E8" w:rsidRPr="00691183" w14:paraId="252893C8" w14:textId="77777777" w:rsidTr="00296F58">
        <w:tc>
          <w:tcPr>
            <w:tcW w:w="835" w:type="pct"/>
          </w:tcPr>
          <w:p w14:paraId="21A93388" w14:textId="77777777" w:rsidR="005948E8" w:rsidRPr="0052699D" w:rsidRDefault="005948E8" w:rsidP="000038F8">
            <w:r w:rsidRPr="0052699D">
              <w:t>The study reported on the influence of biased expectations in staff when considering housing assignments for people with forensic history.</w:t>
            </w:r>
          </w:p>
        </w:tc>
        <w:tc>
          <w:tcPr>
            <w:tcW w:w="560" w:type="pct"/>
          </w:tcPr>
          <w:p w14:paraId="732A9EA7" w14:textId="77777777" w:rsidR="005948E8" w:rsidRPr="0052699D" w:rsidRDefault="005948E8" w:rsidP="000038F8">
            <w:r w:rsidRPr="0052699D">
              <w:t>USA</w:t>
            </w:r>
          </w:p>
        </w:tc>
        <w:tc>
          <w:tcPr>
            <w:tcW w:w="572" w:type="pct"/>
          </w:tcPr>
          <w:p w14:paraId="451559FD" w14:textId="77777777" w:rsidR="005948E8" w:rsidRPr="0052699D" w:rsidRDefault="005948E8" w:rsidP="000038F8">
            <w:r w:rsidRPr="0052699D">
              <w:t>Malone (2009)</w:t>
            </w:r>
          </w:p>
        </w:tc>
        <w:tc>
          <w:tcPr>
            <w:tcW w:w="572" w:type="pct"/>
          </w:tcPr>
          <w:p w14:paraId="5F2A1959" w14:textId="77777777" w:rsidR="005948E8" w:rsidRDefault="005948E8" w:rsidP="000038F8">
            <w:r w:rsidRPr="001E0388">
              <w:t>People with</w:t>
            </w:r>
            <w:r>
              <w:t xml:space="preserve"> psychiatric illness and forensic history</w:t>
            </w:r>
          </w:p>
          <w:p w14:paraId="6D1B4E63" w14:textId="77777777" w:rsidR="005948E8" w:rsidRDefault="005948E8" w:rsidP="000038F8"/>
          <w:p w14:paraId="4B9B0AC0" w14:textId="77777777" w:rsidR="005948E8" w:rsidRPr="006F4FF3" w:rsidRDefault="005948E8" w:rsidP="000038F8">
            <w:r w:rsidRPr="000D6904">
              <w:t>N=332</w:t>
            </w:r>
          </w:p>
        </w:tc>
        <w:tc>
          <w:tcPr>
            <w:tcW w:w="640" w:type="pct"/>
          </w:tcPr>
          <w:p w14:paraId="15F8390D" w14:textId="77777777" w:rsidR="005948E8" w:rsidRPr="00691183" w:rsidRDefault="005948E8" w:rsidP="000038F8">
            <w:r w:rsidRPr="009161AD">
              <w:t>Cross sectional study</w:t>
            </w:r>
          </w:p>
        </w:tc>
        <w:tc>
          <w:tcPr>
            <w:tcW w:w="935" w:type="pct"/>
          </w:tcPr>
          <w:p w14:paraId="6EB15E45" w14:textId="77777777" w:rsidR="005948E8" w:rsidRPr="00691183" w:rsidRDefault="005948E8" w:rsidP="000038F8">
            <w:r>
              <w:t>Fair</w:t>
            </w:r>
          </w:p>
        </w:tc>
        <w:tc>
          <w:tcPr>
            <w:tcW w:w="886" w:type="pct"/>
          </w:tcPr>
          <w:p w14:paraId="257A5FE6" w14:textId="77777777" w:rsidR="005948E8" w:rsidRDefault="005948E8" w:rsidP="000038F8">
            <w:r>
              <w:t>Contrary to expectations c</w:t>
            </w:r>
            <w:r w:rsidRPr="001E0388">
              <w:t>riminal history did not predict housing failure</w:t>
            </w:r>
            <w:r>
              <w:t>. A</w:t>
            </w:r>
            <w:r w:rsidRPr="001E0388">
              <w:t>ge (younger) at move-in to housing was the best predictor of housing failure</w:t>
            </w:r>
            <w:r>
              <w:t xml:space="preserve">. </w:t>
            </w:r>
          </w:p>
          <w:p w14:paraId="62BDC482" w14:textId="280BCE21" w:rsidR="005948E8" w:rsidRPr="00691183" w:rsidRDefault="005948E8" w:rsidP="000038F8">
            <w:r>
              <w:t xml:space="preserve">The study highlighted that biased expectations can </w:t>
            </w:r>
            <w:r>
              <w:lastRenderedPageBreak/>
              <w:t>influence housing allocation and the importance of training to address staff attitu</w:t>
            </w:r>
            <w:r w:rsidR="003A2402">
              <w:t>d</w:t>
            </w:r>
            <w:r>
              <w:t>es.</w:t>
            </w:r>
          </w:p>
        </w:tc>
      </w:tr>
      <w:tr w:rsidR="005948E8" w:rsidRPr="006F4FF3" w14:paraId="51FCAD34" w14:textId="77777777" w:rsidTr="00296F58">
        <w:tc>
          <w:tcPr>
            <w:tcW w:w="835" w:type="pct"/>
          </w:tcPr>
          <w:p w14:paraId="20BA305B" w14:textId="77777777" w:rsidR="005948E8" w:rsidRPr="006F4FF3" w:rsidRDefault="005948E8" w:rsidP="000038F8">
            <w:r w:rsidRPr="006F4FF3">
              <w:lastRenderedPageBreak/>
              <w:t>Active support</w:t>
            </w:r>
          </w:p>
        </w:tc>
        <w:tc>
          <w:tcPr>
            <w:tcW w:w="560" w:type="pct"/>
          </w:tcPr>
          <w:p w14:paraId="21DDDE97" w14:textId="77777777" w:rsidR="005948E8" w:rsidRPr="006F4FF3" w:rsidRDefault="005948E8" w:rsidP="000038F8">
            <w:r w:rsidRPr="006F4FF3">
              <w:t>UK</w:t>
            </w:r>
          </w:p>
        </w:tc>
        <w:tc>
          <w:tcPr>
            <w:tcW w:w="572" w:type="pct"/>
          </w:tcPr>
          <w:p w14:paraId="57B0FDED" w14:textId="77777777" w:rsidR="005948E8" w:rsidRPr="006F4FF3" w:rsidRDefault="005948E8" w:rsidP="000038F8">
            <w:r w:rsidRPr="006F4FF3">
              <w:t>Powell (2012)</w:t>
            </w:r>
          </w:p>
        </w:tc>
        <w:tc>
          <w:tcPr>
            <w:tcW w:w="572" w:type="pct"/>
          </w:tcPr>
          <w:p w14:paraId="3C0A5A58" w14:textId="77777777" w:rsidR="005948E8" w:rsidRPr="006F4FF3" w:rsidRDefault="005948E8" w:rsidP="000038F8">
            <w:r w:rsidRPr="006F4FF3">
              <w:t>People with intellectual disability</w:t>
            </w:r>
          </w:p>
        </w:tc>
        <w:tc>
          <w:tcPr>
            <w:tcW w:w="640" w:type="pct"/>
          </w:tcPr>
          <w:p w14:paraId="7438B55C" w14:textId="77777777" w:rsidR="005948E8" w:rsidRPr="006F4FF3" w:rsidRDefault="005948E8" w:rsidP="000038F8">
            <w:r w:rsidRPr="006F4FF3">
              <w:t>Case study (n=1)</w:t>
            </w:r>
            <w:r>
              <w:t>. Grey literature.</w:t>
            </w:r>
          </w:p>
        </w:tc>
        <w:tc>
          <w:tcPr>
            <w:tcW w:w="935" w:type="pct"/>
          </w:tcPr>
          <w:p w14:paraId="3E9290FE" w14:textId="363D53AD" w:rsidR="005948E8" w:rsidRPr="006F4FF3" w:rsidRDefault="00102936" w:rsidP="000038F8">
            <w:r>
              <w:t xml:space="preserve">N/A </w:t>
            </w:r>
          </w:p>
        </w:tc>
        <w:tc>
          <w:tcPr>
            <w:tcW w:w="886" w:type="pct"/>
          </w:tcPr>
          <w:p w14:paraId="17D142CF" w14:textId="77777777" w:rsidR="005948E8" w:rsidRPr="006F4FF3" w:rsidRDefault="005948E8" w:rsidP="000038F8">
            <w:r>
              <w:t>A</w:t>
            </w:r>
            <w:r w:rsidRPr="006F4FF3">
              <w:t>ctive support facilitated person moving into their own home for the first time after years of living in hospitals and institutions</w:t>
            </w:r>
            <w:r>
              <w:t>. Positive impact on behaviour, engagement and independence reported. The service provider (Avenues) has continued to implement active support across its organization.</w:t>
            </w:r>
            <w:r w:rsidRPr="006F4FF3">
              <w:t xml:space="preserve"> </w:t>
            </w:r>
          </w:p>
        </w:tc>
      </w:tr>
      <w:tr w:rsidR="005948E8" w:rsidRPr="00B3598F" w14:paraId="33837028" w14:textId="77777777" w:rsidTr="00296F58">
        <w:tc>
          <w:tcPr>
            <w:tcW w:w="835" w:type="pct"/>
          </w:tcPr>
          <w:p w14:paraId="658D91F5" w14:textId="77777777" w:rsidR="005948E8" w:rsidRPr="00B3598F" w:rsidRDefault="005948E8" w:rsidP="000038F8">
            <w:r w:rsidRPr="00B3598F">
              <w:t xml:space="preserve">Person centredness </w:t>
            </w:r>
          </w:p>
          <w:p w14:paraId="03255DB1" w14:textId="77777777" w:rsidR="005948E8" w:rsidRPr="00B3598F" w:rsidRDefault="005948E8" w:rsidP="000038F8"/>
          <w:p w14:paraId="4B88022D" w14:textId="1DFB6A7D" w:rsidR="005948E8" w:rsidRPr="00B3598F" w:rsidRDefault="005948E8" w:rsidP="000038F8">
            <w:r w:rsidRPr="00B3598F">
              <w:t>In Control’s model of person centrednes</w:t>
            </w:r>
            <w:r w:rsidR="00DB1525">
              <w:t>s</w:t>
            </w:r>
          </w:p>
        </w:tc>
        <w:tc>
          <w:tcPr>
            <w:tcW w:w="560" w:type="pct"/>
          </w:tcPr>
          <w:p w14:paraId="3BC85F01" w14:textId="77777777" w:rsidR="005948E8" w:rsidRPr="00B3598F" w:rsidRDefault="005948E8" w:rsidP="000038F8"/>
          <w:p w14:paraId="10F16E00" w14:textId="77777777" w:rsidR="005948E8" w:rsidRPr="00B3598F" w:rsidRDefault="005948E8" w:rsidP="000038F8"/>
          <w:p w14:paraId="1915B82A" w14:textId="77777777" w:rsidR="005948E8" w:rsidRDefault="005948E8" w:rsidP="000038F8">
            <w:r w:rsidRPr="00B3598F">
              <w:t>UK</w:t>
            </w:r>
          </w:p>
          <w:p w14:paraId="7146E5A4" w14:textId="77777777" w:rsidR="005948E8" w:rsidRDefault="005948E8" w:rsidP="000038F8"/>
          <w:p w14:paraId="47E4C23C" w14:textId="77777777" w:rsidR="005948E8" w:rsidRDefault="005948E8" w:rsidP="000038F8"/>
          <w:p w14:paraId="2DFC42CD" w14:textId="77777777" w:rsidR="005948E8" w:rsidRDefault="005948E8" w:rsidP="000038F8"/>
          <w:p w14:paraId="419B857E" w14:textId="77777777" w:rsidR="005948E8" w:rsidRDefault="005948E8" w:rsidP="000038F8"/>
          <w:p w14:paraId="065D1682" w14:textId="77777777" w:rsidR="005948E8" w:rsidRDefault="005948E8" w:rsidP="000038F8"/>
          <w:p w14:paraId="3C3523A3" w14:textId="77777777" w:rsidR="005948E8" w:rsidRDefault="005948E8" w:rsidP="000038F8"/>
          <w:p w14:paraId="5DA4F6B6" w14:textId="77777777" w:rsidR="005948E8" w:rsidRDefault="005948E8" w:rsidP="000038F8"/>
          <w:p w14:paraId="1C997D6F" w14:textId="77777777" w:rsidR="005948E8" w:rsidRDefault="005948E8" w:rsidP="000038F8"/>
          <w:p w14:paraId="476DD295" w14:textId="77777777" w:rsidR="005948E8" w:rsidRDefault="005948E8" w:rsidP="000038F8"/>
          <w:p w14:paraId="5B346E00" w14:textId="77777777" w:rsidR="005948E8" w:rsidRDefault="005948E8" w:rsidP="000038F8"/>
          <w:p w14:paraId="056CE7F8" w14:textId="77777777" w:rsidR="005948E8" w:rsidRDefault="005948E8" w:rsidP="000038F8"/>
          <w:p w14:paraId="3E0BD323" w14:textId="77777777" w:rsidR="005948E8" w:rsidRDefault="005948E8" w:rsidP="000038F8"/>
          <w:p w14:paraId="66AFA879" w14:textId="77777777" w:rsidR="005948E8" w:rsidRPr="00B3598F" w:rsidRDefault="005948E8" w:rsidP="000038F8">
            <w:r>
              <w:t>Australia</w:t>
            </w:r>
          </w:p>
        </w:tc>
        <w:tc>
          <w:tcPr>
            <w:tcW w:w="572" w:type="pct"/>
          </w:tcPr>
          <w:p w14:paraId="7BDF2416" w14:textId="77777777" w:rsidR="005948E8" w:rsidRDefault="005948E8" w:rsidP="000038F8">
            <w:r w:rsidRPr="00B3598F">
              <w:lastRenderedPageBreak/>
              <w:t>Elder-Woodward et al (2015)</w:t>
            </w:r>
          </w:p>
          <w:p w14:paraId="3A78630B" w14:textId="77777777" w:rsidR="005948E8" w:rsidRDefault="005948E8" w:rsidP="000038F8"/>
          <w:p w14:paraId="377C6AFF" w14:textId="77777777" w:rsidR="005948E8" w:rsidRDefault="005948E8" w:rsidP="000038F8"/>
          <w:p w14:paraId="3B2195D9" w14:textId="77777777" w:rsidR="005948E8" w:rsidRDefault="005948E8" w:rsidP="000038F8"/>
          <w:p w14:paraId="127E7E2D" w14:textId="77777777" w:rsidR="005948E8" w:rsidRDefault="005948E8" w:rsidP="000038F8"/>
          <w:p w14:paraId="19BB3DBF" w14:textId="77777777" w:rsidR="005948E8" w:rsidRDefault="005948E8" w:rsidP="000038F8"/>
          <w:p w14:paraId="3F3C811C" w14:textId="77777777" w:rsidR="005948E8" w:rsidRDefault="005948E8" w:rsidP="000038F8"/>
          <w:p w14:paraId="0F31D5E8" w14:textId="77777777" w:rsidR="005948E8" w:rsidRDefault="005948E8" w:rsidP="000038F8"/>
          <w:p w14:paraId="05E7EABE" w14:textId="77777777" w:rsidR="005948E8" w:rsidRDefault="005948E8" w:rsidP="000038F8"/>
          <w:p w14:paraId="2D253D1D" w14:textId="77777777" w:rsidR="005948E8" w:rsidRDefault="005948E8" w:rsidP="000038F8"/>
          <w:p w14:paraId="08A63CF5" w14:textId="77777777" w:rsidR="005948E8" w:rsidRDefault="005948E8" w:rsidP="000038F8"/>
          <w:p w14:paraId="6C7D380D" w14:textId="77777777" w:rsidR="005948E8" w:rsidRDefault="005948E8" w:rsidP="000038F8"/>
          <w:p w14:paraId="1ADC3BA4" w14:textId="77777777" w:rsidR="005948E8" w:rsidRDefault="005948E8" w:rsidP="000038F8"/>
          <w:p w14:paraId="0DE8D23B" w14:textId="77777777" w:rsidR="005948E8" w:rsidRDefault="005948E8" w:rsidP="000038F8"/>
          <w:p w14:paraId="37D5D822" w14:textId="77777777" w:rsidR="005948E8" w:rsidRDefault="005948E8" w:rsidP="000038F8">
            <w:r>
              <w:t>Wiesel et al (2015)</w:t>
            </w:r>
          </w:p>
        </w:tc>
        <w:tc>
          <w:tcPr>
            <w:tcW w:w="572" w:type="pct"/>
          </w:tcPr>
          <w:p w14:paraId="21D15AC2" w14:textId="77777777" w:rsidR="005948E8" w:rsidRDefault="005948E8" w:rsidP="000038F8">
            <w:r>
              <w:lastRenderedPageBreak/>
              <w:t xml:space="preserve">People with disabilities but In Control model specifically related to people with </w:t>
            </w:r>
            <w:r>
              <w:lastRenderedPageBreak/>
              <w:t>intellectual disability</w:t>
            </w:r>
          </w:p>
          <w:p w14:paraId="7793861C" w14:textId="77777777" w:rsidR="005948E8" w:rsidRDefault="005948E8" w:rsidP="000038F8"/>
          <w:p w14:paraId="718CE4DE" w14:textId="77777777" w:rsidR="005948E8" w:rsidRDefault="005948E8" w:rsidP="000038F8"/>
          <w:p w14:paraId="45350CDD" w14:textId="77777777" w:rsidR="005948E8" w:rsidRDefault="005948E8" w:rsidP="000038F8"/>
          <w:p w14:paraId="1F3B49A3" w14:textId="77777777" w:rsidR="005948E8" w:rsidRDefault="005948E8" w:rsidP="000038F8"/>
          <w:p w14:paraId="4084B367" w14:textId="77777777" w:rsidR="005948E8" w:rsidRDefault="005948E8" w:rsidP="000038F8"/>
          <w:p w14:paraId="3DE3514E" w14:textId="77777777" w:rsidR="005948E8" w:rsidRDefault="005948E8" w:rsidP="000038F8"/>
          <w:p w14:paraId="54B303D6" w14:textId="77777777" w:rsidR="005948E8" w:rsidRPr="00B3598F" w:rsidRDefault="005948E8" w:rsidP="000038F8">
            <w:r>
              <w:t xml:space="preserve">People with disabilities </w:t>
            </w:r>
          </w:p>
        </w:tc>
        <w:tc>
          <w:tcPr>
            <w:tcW w:w="640" w:type="pct"/>
          </w:tcPr>
          <w:p w14:paraId="72A71529" w14:textId="77777777" w:rsidR="005948E8" w:rsidRDefault="005948E8" w:rsidP="000038F8">
            <w:r>
              <w:lastRenderedPageBreak/>
              <w:t>Discussion paper. Grey literature</w:t>
            </w:r>
          </w:p>
          <w:p w14:paraId="0EE3BFBB" w14:textId="77777777" w:rsidR="005948E8" w:rsidRDefault="005948E8" w:rsidP="000038F8"/>
          <w:p w14:paraId="523F29E5" w14:textId="77777777" w:rsidR="005948E8" w:rsidRDefault="005948E8" w:rsidP="000038F8"/>
          <w:p w14:paraId="5C372289" w14:textId="77777777" w:rsidR="005948E8" w:rsidRDefault="005948E8" w:rsidP="000038F8"/>
          <w:p w14:paraId="4A34D4A2" w14:textId="77777777" w:rsidR="005948E8" w:rsidRDefault="005948E8" w:rsidP="000038F8"/>
          <w:p w14:paraId="67CE3626" w14:textId="77777777" w:rsidR="005948E8" w:rsidRDefault="005948E8" w:rsidP="000038F8"/>
          <w:p w14:paraId="6D002DD6" w14:textId="77777777" w:rsidR="005948E8" w:rsidRDefault="005948E8" w:rsidP="000038F8"/>
          <w:p w14:paraId="3AEB695F" w14:textId="77777777" w:rsidR="005948E8" w:rsidRDefault="005948E8" w:rsidP="000038F8"/>
          <w:p w14:paraId="74363A73" w14:textId="77777777" w:rsidR="005948E8" w:rsidRDefault="005948E8" w:rsidP="000038F8"/>
          <w:p w14:paraId="5F6D3EEB" w14:textId="77777777" w:rsidR="005948E8" w:rsidRDefault="005948E8" w:rsidP="000038F8"/>
          <w:p w14:paraId="7D13A1FF" w14:textId="77777777" w:rsidR="005948E8" w:rsidRDefault="005948E8" w:rsidP="000038F8"/>
          <w:p w14:paraId="753AB1AA" w14:textId="77777777" w:rsidR="005948E8" w:rsidRDefault="005948E8" w:rsidP="000038F8"/>
          <w:p w14:paraId="67BEB4AD" w14:textId="77777777" w:rsidR="005948E8" w:rsidRDefault="005948E8" w:rsidP="000038F8"/>
          <w:p w14:paraId="1A263CAC" w14:textId="77777777" w:rsidR="005948E8" w:rsidRDefault="005948E8" w:rsidP="000038F8"/>
          <w:p w14:paraId="47F25492" w14:textId="77777777" w:rsidR="005948E8" w:rsidRPr="00B3598F" w:rsidRDefault="005948E8" w:rsidP="000038F8">
            <w:r>
              <w:t xml:space="preserve">Mixed method study. Commissioned research. Grey literature. </w:t>
            </w:r>
          </w:p>
        </w:tc>
        <w:tc>
          <w:tcPr>
            <w:tcW w:w="935" w:type="pct"/>
          </w:tcPr>
          <w:p w14:paraId="36A346D2" w14:textId="69BFF660" w:rsidR="005948E8" w:rsidRDefault="00102936" w:rsidP="000038F8">
            <w:r>
              <w:lastRenderedPageBreak/>
              <w:t xml:space="preserve"> N/A</w:t>
            </w:r>
          </w:p>
          <w:p w14:paraId="30E0C1B4" w14:textId="77777777" w:rsidR="005948E8" w:rsidRDefault="005948E8" w:rsidP="000038F8"/>
          <w:p w14:paraId="3973E0F2" w14:textId="77777777" w:rsidR="005948E8" w:rsidRDefault="005948E8" w:rsidP="000038F8"/>
          <w:p w14:paraId="2D89737D" w14:textId="77777777" w:rsidR="005948E8" w:rsidRDefault="005948E8" w:rsidP="000038F8"/>
          <w:p w14:paraId="0D205882" w14:textId="77777777" w:rsidR="005948E8" w:rsidRDefault="005948E8" w:rsidP="000038F8"/>
          <w:p w14:paraId="2CF01B64" w14:textId="77777777" w:rsidR="005948E8" w:rsidRDefault="005948E8" w:rsidP="000038F8"/>
          <w:p w14:paraId="12578C98" w14:textId="77777777" w:rsidR="005948E8" w:rsidRDefault="005948E8" w:rsidP="000038F8"/>
          <w:p w14:paraId="43B95EB6" w14:textId="77777777" w:rsidR="005948E8" w:rsidRDefault="005948E8" w:rsidP="000038F8"/>
          <w:p w14:paraId="39734E80" w14:textId="77777777" w:rsidR="005948E8" w:rsidRDefault="005948E8" w:rsidP="000038F8"/>
          <w:p w14:paraId="17974AEF" w14:textId="77777777" w:rsidR="005948E8" w:rsidRDefault="005948E8" w:rsidP="000038F8"/>
          <w:p w14:paraId="222282C6" w14:textId="4E391761" w:rsidR="005948E8" w:rsidRPr="00B3598F" w:rsidRDefault="00102936" w:rsidP="000038F8">
            <w:r>
              <w:t>N/A</w:t>
            </w:r>
          </w:p>
        </w:tc>
        <w:tc>
          <w:tcPr>
            <w:tcW w:w="886" w:type="pct"/>
          </w:tcPr>
          <w:p w14:paraId="20FFB881" w14:textId="51310890" w:rsidR="005948E8" w:rsidRDefault="005948E8" w:rsidP="000038F8">
            <w:r w:rsidRPr="00B3598F">
              <w:lastRenderedPageBreak/>
              <w:t>In Control</w:t>
            </w:r>
            <w:r>
              <w:t>’</w:t>
            </w:r>
            <w:r w:rsidRPr="00B3598F">
              <w:t xml:space="preserve">s model of person centredness discussed </w:t>
            </w:r>
            <w:r>
              <w:t>–</w:t>
            </w:r>
            <w:r w:rsidRPr="00B3598F">
              <w:t xml:space="preserve"> key elements of success of this model are: upfront allocation of funds based on RAS, independent system of </w:t>
            </w:r>
            <w:r w:rsidRPr="00B3598F">
              <w:lastRenderedPageBreak/>
              <w:t>brokerage with wider range of management options, increased flexibility in spending options with greater emphasis on informal community support networks</w:t>
            </w:r>
          </w:p>
          <w:p w14:paraId="0D55E6C9" w14:textId="77777777" w:rsidR="005948E8" w:rsidRPr="00B3598F" w:rsidRDefault="005948E8" w:rsidP="000038F8">
            <w:r>
              <w:t xml:space="preserve">Authors note that person centred planning is essential to identify housing and support needs to enable transition </w:t>
            </w:r>
          </w:p>
        </w:tc>
      </w:tr>
    </w:tbl>
    <w:p w14:paraId="77FA61A2" w14:textId="77777777" w:rsidR="00091A27" w:rsidRPr="00091A27" w:rsidRDefault="00091A27" w:rsidP="00091A27">
      <w:pPr>
        <w:rPr>
          <w:lang w:val="en-GB"/>
        </w:rPr>
      </w:pPr>
    </w:p>
    <w:p w14:paraId="3E1475B6" w14:textId="3A68C1D1" w:rsidR="00E01F76" w:rsidRPr="00E94D61" w:rsidRDefault="00E01F76" w:rsidP="00E01F76">
      <w:pPr>
        <w:pStyle w:val="ListParagraph"/>
        <w:spacing w:line="360" w:lineRule="auto"/>
        <w:jc w:val="both"/>
        <w:rPr>
          <w:sz w:val="20"/>
          <w:szCs w:val="20"/>
        </w:rPr>
      </w:pPr>
      <w:r>
        <w:rPr>
          <w:sz w:val="20"/>
          <w:szCs w:val="20"/>
        </w:rPr>
        <w:t>*Quality was assessed using the Joanna Briggs Instrument with, poor &lt;=50%, fair&lt;=76%</w:t>
      </w:r>
      <w:r w:rsidR="00377730">
        <w:rPr>
          <w:sz w:val="20"/>
          <w:szCs w:val="20"/>
        </w:rPr>
        <w:t xml:space="preserve">, </w:t>
      </w:r>
      <w:r>
        <w:rPr>
          <w:sz w:val="20"/>
          <w:szCs w:val="20"/>
        </w:rPr>
        <w:t xml:space="preserve"> good&gt;75%, of criteria met. N/A means not applicable and refers to documents that were not quality assessed (grey literature)</w:t>
      </w:r>
    </w:p>
    <w:p w14:paraId="43FB9092" w14:textId="77777777" w:rsidR="00296F58" w:rsidRDefault="00296F58" w:rsidP="00DF09CF">
      <w:pPr>
        <w:sectPr w:rsidR="00296F58" w:rsidSect="00296F58">
          <w:headerReference w:type="default" r:id="rId52"/>
          <w:footerReference w:type="default" r:id="rId53"/>
          <w:pgSz w:w="15840" w:h="12240" w:orient="landscape"/>
          <w:pgMar w:top="1440" w:right="1440" w:bottom="1440" w:left="1440" w:header="720" w:footer="720" w:gutter="0"/>
          <w:cols w:space="720"/>
          <w:docGrid w:linePitch="360"/>
        </w:sectPr>
      </w:pPr>
    </w:p>
    <w:p w14:paraId="33212AB5" w14:textId="77777777" w:rsidR="00DF09CF" w:rsidRDefault="00DF09CF" w:rsidP="00B5199A">
      <w:pPr>
        <w:pStyle w:val="Heading3"/>
      </w:pPr>
      <w:bookmarkStart w:id="51" w:name="_Toc73535962"/>
      <w:r>
        <w:lastRenderedPageBreak/>
        <w:t>Community and environment</w:t>
      </w:r>
      <w:bookmarkEnd w:id="51"/>
      <w:r>
        <w:t xml:space="preserve"> </w:t>
      </w:r>
    </w:p>
    <w:p w14:paraId="1A702019" w14:textId="7862FC3F" w:rsidR="00DF09CF" w:rsidRDefault="00091A27" w:rsidP="00DF09CF">
      <w:pPr>
        <w:pStyle w:val="Heading4"/>
      </w:pPr>
      <w:r>
        <w:t>Community integration supports</w:t>
      </w:r>
    </w:p>
    <w:p w14:paraId="7B1C5D40" w14:textId="520D7773" w:rsidR="00152224" w:rsidRDefault="00B10997" w:rsidP="00A06149">
      <w:pPr>
        <w:spacing w:before="120" w:line="360" w:lineRule="auto"/>
        <w:rPr>
          <w:bCs/>
        </w:rPr>
      </w:pPr>
      <w:r w:rsidRPr="00D944D7">
        <w:rPr>
          <w:rFonts w:eastAsia="Times New Roman"/>
        </w:rPr>
        <w:t>S</w:t>
      </w:r>
      <w:r w:rsidRPr="00D944D7">
        <w:rPr>
          <w:rFonts w:eastAsia="Times New Roman"/>
          <w:lang w:val="en-AU"/>
        </w:rPr>
        <w:t xml:space="preserve">ocial inclusion and integration </w:t>
      </w:r>
      <w:r w:rsidRPr="00D944D7">
        <w:rPr>
          <w:rFonts w:eastAsia="Times New Roman"/>
        </w:rPr>
        <w:t>i</w:t>
      </w:r>
      <w:r w:rsidRPr="00D944D7">
        <w:rPr>
          <w:rFonts w:eastAsia="Times New Roman"/>
          <w:lang w:val="en-AU"/>
        </w:rPr>
        <w:t xml:space="preserve">n community living was identified as an important aspect of </w:t>
      </w:r>
      <w:r w:rsidRPr="006B3B78">
        <w:rPr>
          <w:rFonts w:eastAsia="Times New Roman"/>
          <w:lang w:val="en-AU"/>
        </w:rPr>
        <w:t xml:space="preserve">successful transition, and staff played a fundamental role in encouraging that integration. </w:t>
      </w:r>
      <w:r w:rsidR="00152224" w:rsidRPr="006B3B78">
        <w:rPr>
          <w:bCs/>
        </w:rPr>
        <w:t xml:space="preserve">Seven quantitative studies reported on community and neighbourhood integration in people with disabilities following transition. The overall strength of evidence </w:t>
      </w:r>
      <w:r w:rsidR="001C67E7">
        <w:rPr>
          <w:bCs/>
        </w:rPr>
        <w:t>wa</w:t>
      </w:r>
      <w:r w:rsidR="00152224" w:rsidRPr="006B3B78">
        <w:rPr>
          <w:bCs/>
        </w:rPr>
        <w:t>s moderate with no randomi</w:t>
      </w:r>
      <w:r w:rsidR="00E31B51">
        <w:rPr>
          <w:bCs/>
        </w:rPr>
        <w:t>s</w:t>
      </w:r>
      <w:r w:rsidR="00152224" w:rsidRPr="006B3B78">
        <w:rPr>
          <w:bCs/>
        </w:rPr>
        <w:t xml:space="preserve">ed clinical trials. One additional study (Wong et al, 2009) employed a large national database. </w:t>
      </w:r>
      <w:r w:rsidR="00152224" w:rsidRPr="00E01F76">
        <w:rPr>
          <w:bCs/>
        </w:rPr>
        <w:t>Although not specifically addressing transition, the study provides a modelling analysis on the neigbourhood characteristic people with intellectual disability are likely to reside in compared to those with psychiatric disabilities. Of the</w:t>
      </w:r>
      <w:r w:rsidR="00152224" w:rsidRPr="006B3B78">
        <w:rPr>
          <w:bCs/>
        </w:rPr>
        <w:t xml:space="preserve"> seven studies reporting on transition outcomes, four were longitudinal and three us</w:t>
      </w:r>
      <w:r w:rsidR="001C67E7">
        <w:rPr>
          <w:bCs/>
        </w:rPr>
        <w:t>ed</w:t>
      </w:r>
      <w:r w:rsidR="00152224" w:rsidRPr="006B3B78">
        <w:rPr>
          <w:bCs/>
        </w:rPr>
        <w:t xml:space="preserve"> a cross sectional design.  Five studies focused on people with intellectual disability while one looked at a range of disabilities and one at people with mental health issues. Overall, the findings indicate that community involvement </w:t>
      </w:r>
      <w:r w:rsidR="001C67E7">
        <w:rPr>
          <w:bCs/>
        </w:rPr>
        <w:t>wa</w:t>
      </w:r>
      <w:r w:rsidR="00152224" w:rsidRPr="006B3B78">
        <w:rPr>
          <w:bCs/>
        </w:rPr>
        <w:t>s enhanced following transition with only one study (Bigby, 2008) noting no improvements.  The importance of adequate financial and staff supports (Chou 2008, 2011) was highlighted in two studies with advanced planning for community integration and adequate staff supports also indicated in a second study (Baker, 2007).</w:t>
      </w:r>
    </w:p>
    <w:p w14:paraId="76C42286" w14:textId="5FA3007F" w:rsidR="00152224" w:rsidRPr="006B3B78" w:rsidRDefault="00152224" w:rsidP="000F0B20">
      <w:pPr>
        <w:spacing w:line="360" w:lineRule="auto"/>
      </w:pPr>
      <w:r w:rsidRPr="006B3B78">
        <w:t xml:space="preserve">Within the community, Fisher et al (2008) and Norris (2014) both refer to integrated care supports for people with mental health problems </w:t>
      </w:r>
      <w:r w:rsidR="00FD0F61" w:rsidRPr="006B3B78">
        <w:t>as important.</w:t>
      </w:r>
      <w:r w:rsidRPr="006B3B78">
        <w:t xml:space="preserve"> Snell</w:t>
      </w:r>
      <w:r w:rsidR="00EA41EE" w:rsidRPr="006B3B78">
        <w:t xml:space="preserve"> (</w:t>
      </w:r>
      <w:r w:rsidRPr="006B3B78">
        <w:t>2000</w:t>
      </w:r>
      <w:r w:rsidR="00EA41EE" w:rsidRPr="006B3B78">
        <w:t>) reports that staff</w:t>
      </w:r>
      <w:r w:rsidRPr="006B3B78">
        <w:t xml:space="preserve"> training in disability awareness and disability rights </w:t>
      </w:r>
      <w:r w:rsidR="00EA41EE" w:rsidRPr="006B3B78">
        <w:t xml:space="preserve">is </w:t>
      </w:r>
      <w:r w:rsidRPr="006B3B78">
        <w:t>needed for staff to support people with disabilities to achieve independence</w:t>
      </w:r>
      <w:r w:rsidR="00EA41EE" w:rsidRPr="006B3B78">
        <w:t>.</w:t>
      </w:r>
    </w:p>
    <w:p w14:paraId="22A997EB" w14:textId="77777777" w:rsidR="00296F58" w:rsidRDefault="00296F58" w:rsidP="00EA41EE">
      <w:pPr>
        <w:sectPr w:rsidR="00296F58" w:rsidSect="00296F58">
          <w:headerReference w:type="default" r:id="rId54"/>
          <w:footerReference w:type="default" r:id="rId55"/>
          <w:pgSz w:w="12240" w:h="15840"/>
          <w:pgMar w:top="1440" w:right="1440" w:bottom="1440" w:left="1440" w:header="720" w:footer="720" w:gutter="0"/>
          <w:cols w:space="720"/>
          <w:docGrid w:linePitch="360"/>
        </w:sectPr>
      </w:pPr>
    </w:p>
    <w:p w14:paraId="146CE168" w14:textId="7DE2E4B9" w:rsidR="00DF09CF" w:rsidRPr="006C763F" w:rsidRDefault="00296F58" w:rsidP="00296F58">
      <w:pPr>
        <w:pStyle w:val="Caption"/>
        <w:rPr>
          <w:b/>
          <w:bCs/>
        </w:rPr>
      </w:pPr>
      <w:bookmarkStart w:id="52" w:name="_Toc66355190"/>
      <w:r>
        <w:lastRenderedPageBreak/>
        <w:t xml:space="preserve">Table </w:t>
      </w:r>
      <w:r>
        <w:fldChar w:fldCharType="begin"/>
      </w:r>
      <w:r>
        <w:instrText>SEQ Table \* ARABIC</w:instrText>
      </w:r>
      <w:r>
        <w:fldChar w:fldCharType="separate"/>
      </w:r>
      <w:r w:rsidR="000E7FFE">
        <w:rPr>
          <w:noProof/>
        </w:rPr>
        <w:t>11</w:t>
      </w:r>
      <w:r>
        <w:fldChar w:fldCharType="end"/>
      </w:r>
      <w:r>
        <w:rPr>
          <w:b/>
          <w:bCs/>
        </w:rPr>
        <w:t xml:space="preserve"> </w:t>
      </w:r>
      <w:r w:rsidR="00CC4A51">
        <w:rPr>
          <w:b/>
          <w:bCs/>
        </w:rPr>
        <w:t>C</w:t>
      </w:r>
      <w:r w:rsidR="00344C67">
        <w:rPr>
          <w:b/>
          <w:bCs/>
        </w:rPr>
        <w:t>ommunity integration supports</w:t>
      </w:r>
      <w:bookmarkEnd w:id="52"/>
      <w:r w:rsidR="000F0B20" w:rsidRPr="006C763F">
        <w:rPr>
          <w:b/>
          <w:bCs/>
        </w:rPr>
        <w:t xml:space="preserve"> </w:t>
      </w:r>
    </w:p>
    <w:tbl>
      <w:tblPr>
        <w:tblStyle w:val="TableGrid"/>
        <w:tblW w:w="5000" w:type="pct"/>
        <w:tblLook w:val="04A0" w:firstRow="1" w:lastRow="0" w:firstColumn="1" w:lastColumn="0" w:noHBand="0" w:noVBand="1"/>
      </w:tblPr>
      <w:tblGrid>
        <w:gridCol w:w="2149"/>
        <w:gridCol w:w="1445"/>
        <w:gridCol w:w="1457"/>
        <w:gridCol w:w="1563"/>
        <w:gridCol w:w="1645"/>
        <w:gridCol w:w="2409"/>
        <w:gridCol w:w="2282"/>
      </w:tblGrid>
      <w:tr w:rsidR="00F245F0" w:rsidRPr="00A802E7" w14:paraId="222158F6" w14:textId="77777777" w:rsidTr="00E01F76">
        <w:trPr>
          <w:tblHeader/>
        </w:trPr>
        <w:tc>
          <w:tcPr>
            <w:tcW w:w="830" w:type="pct"/>
            <w:shd w:val="clear" w:color="auto" w:fill="FFFF00"/>
          </w:tcPr>
          <w:p w14:paraId="7E7DA459" w14:textId="6EE1587E" w:rsidR="00F245F0" w:rsidRPr="00A802E7" w:rsidRDefault="00F245F0" w:rsidP="000038F8">
            <w:pPr>
              <w:rPr>
                <w:b/>
                <w:bCs/>
              </w:rPr>
            </w:pPr>
            <w:r>
              <w:rPr>
                <w:b/>
                <w:bCs/>
              </w:rPr>
              <w:t>Characteristics of neighbo</w:t>
            </w:r>
            <w:r w:rsidR="006C763F">
              <w:rPr>
                <w:b/>
                <w:bCs/>
              </w:rPr>
              <w:t>u</w:t>
            </w:r>
            <w:r>
              <w:rPr>
                <w:b/>
                <w:bCs/>
              </w:rPr>
              <w:t xml:space="preserve">rhood and community </w:t>
            </w:r>
          </w:p>
        </w:tc>
        <w:tc>
          <w:tcPr>
            <w:tcW w:w="558" w:type="pct"/>
            <w:shd w:val="clear" w:color="auto" w:fill="FFFF00"/>
          </w:tcPr>
          <w:p w14:paraId="3516F0AE" w14:textId="77777777" w:rsidR="00F245F0" w:rsidRPr="00A802E7" w:rsidRDefault="00F245F0" w:rsidP="000038F8">
            <w:pPr>
              <w:rPr>
                <w:b/>
                <w:bCs/>
              </w:rPr>
            </w:pPr>
            <w:r w:rsidRPr="00A802E7">
              <w:rPr>
                <w:b/>
                <w:bCs/>
              </w:rPr>
              <w:t>Countries this approach has been implemented</w:t>
            </w:r>
          </w:p>
        </w:tc>
        <w:tc>
          <w:tcPr>
            <w:tcW w:w="563" w:type="pct"/>
            <w:shd w:val="clear" w:color="auto" w:fill="FFFF00"/>
          </w:tcPr>
          <w:p w14:paraId="4C1C10E9" w14:textId="77777777" w:rsidR="00F245F0" w:rsidRPr="00A802E7" w:rsidRDefault="00F245F0" w:rsidP="000038F8">
            <w:pPr>
              <w:rPr>
                <w:b/>
                <w:bCs/>
              </w:rPr>
            </w:pPr>
            <w:r w:rsidRPr="00A802E7">
              <w:rPr>
                <w:b/>
                <w:bCs/>
              </w:rPr>
              <w:t>Author</w:t>
            </w:r>
            <w:r>
              <w:rPr>
                <w:b/>
                <w:bCs/>
              </w:rPr>
              <w:t xml:space="preserve"> (Y</w:t>
            </w:r>
            <w:r w:rsidRPr="00A802E7">
              <w:rPr>
                <w:b/>
                <w:bCs/>
              </w:rPr>
              <w:t>ear</w:t>
            </w:r>
            <w:r>
              <w:rPr>
                <w:b/>
                <w:bCs/>
              </w:rPr>
              <w:t>)</w:t>
            </w:r>
          </w:p>
        </w:tc>
        <w:tc>
          <w:tcPr>
            <w:tcW w:w="603" w:type="pct"/>
            <w:shd w:val="clear" w:color="auto" w:fill="FFFF00"/>
          </w:tcPr>
          <w:p w14:paraId="6BC1A258" w14:textId="77777777" w:rsidR="00F245F0" w:rsidRPr="00A802E7" w:rsidRDefault="00F245F0" w:rsidP="000038F8">
            <w:pPr>
              <w:rPr>
                <w:b/>
                <w:bCs/>
              </w:rPr>
            </w:pPr>
            <w:r w:rsidRPr="00A802E7">
              <w:rPr>
                <w:b/>
                <w:bCs/>
              </w:rPr>
              <w:t>Participants</w:t>
            </w:r>
          </w:p>
        </w:tc>
        <w:tc>
          <w:tcPr>
            <w:tcW w:w="635" w:type="pct"/>
            <w:shd w:val="clear" w:color="auto" w:fill="FFFF00"/>
          </w:tcPr>
          <w:p w14:paraId="7E7DF2CA" w14:textId="77777777" w:rsidR="00F245F0" w:rsidRPr="00A802E7" w:rsidRDefault="00F245F0" w:rsidP="000038F8">
            <w:pPr>
              <w:rPr>
                <w:b/>
                <w:bCs/>
              </w:rPr>
            </w:pPr>
            <w:r w:rsidRPr="00A802E7">
              <w:rPr>
                <w:b/>
                <w:bCs/>
              </w:rPr>
              <w:t>Type of study</w:t>
            </w:r>
          </w:p>
        </w:tc>
        <w:tc>
          <w:tcPr>
            <w:tcW w:w="930" w:type="pct"/>
            <w:shd w:val="clear" w:color="auto" w:fill="FFFF00"/>
          </w:tcPr>
          <w:p w14:paraId="40D83415" w14:textId="0D5A5083" w:rsidR="00F245F0" w:rsidRPr="00A802E7" w:rsidRDefault="00F245F0" w:rsidP="000038F8">
            <w:pPr>
              <w:rPr>
                <w:b/>
                <w:bCs/>
              </w:rPr>
            </w:pPr>
            <w:r w:rsidRPr="00A802E7">
              <w:rPr>
                <w:b/>
                <w:bCs/>
              </w:rPr>
              <w:t xml:space="preserve">Quality </w:t>
            </w:r>
            <w:r w:rsidR="00E01F76">
              <w:rPr>
                <w:b/>
                <w:bCs/>
              </w:rPr>
              <w:t>*</w:t>
            </w:r>
          </w:p>
        </w:tc>
        <w:tc>
          <w:tcPr>
            <w:tcW w:w="881" w:type="pct"/>
            <w:shd w:val="clear" w:color="auto" w:fill="FFFF00"/>
          </w:tcPr>
          <w:p w14:paraId="4152D77B" w14:textId="77777777" w:rsidR="00F245F0" w:rsidRPr="00A802E7" w:rsidRDefault="00F245F0" w:rsidP="000038F8">
            <w:pPr>
              <w:rPr>
                <w:b/>
                <w:bCs/>
              </w:rPr>
            </w:pPr>
            <w:r w:rsidRPr="00A802E7">
              <w:rPr>
                <w:b/>
                <w:bCs/>
              </w:rPr>
              <w:t>Findings</w:t>
            </w:r>
          </w:p>
        </w:tc>
      </w:tr>
      <w:tr w:rsidR="00F245F0" w:rsidRPr="00F5070C" w14:paraId="371AA304" w14:textId="77777777" w:rsidTr="00E01F76">
        <w:tc>
          <w:tcPr>
            <w:tcW w:w="830" w:type="pct"/>
          </w:tcPr>
          <w:p w14:paraId="745E8F95" w14:textId="77777777" w:rsidR="00F245F0" w:rsidRPr="0052699D" w:rsidRDefault="00F245F0" w:rsidP="000038F8">
            <w:pPr>
              <w:rPr>
                <w:bCs/>
              </w:rPr>
            </w:pPr>
            <w:r w:rsidRPr="0052699D">
              <w:rPr>
                <w:bCs/>
              </w:rPr>
              <w:t>Community assessed with the Guernsey Community Participation and Leisure Assessment to measure community use.</w:t>
            </w:r>
          </w:p>
        </w:tc>
        <w:tc>
          <w:tcPr>
            <w:tcW w:w="558" w:type="pct"/>
          </w:tcPr>
          <w:p w14:paraId="6AB74C80" w14:textId="77777777" w:rsidR="00F245F0" w:rsidRPr="00F5070C" w:rsidRDefault="00F245F0" w:rsidP="000038F8">
            <w:r>
              <w:t>UK</w:t>
            </w:r>
          </w:p>
        </w:tc>
        <w:tc>
          <w:tcPr>
            <w:tcW w:w="563" w:type="pct"/>
          </w:tcPr>
          <w:p w14:paraId="14FEB0A1" w14:textId="77777777" w:rsidR="00F245F0" w:rsidRPr="00691183" w:rsidRDefault="00F245F0" w:rsidP="000038F8">
            <w:pPr>
              <w:rPr>
                <w:rFonts w:ascii="Calibri" w:hAnsi="Calibri" w:cs="Calibri"/>
                <w:bCs/>
              </w:rPr>
            </w:pPr>
            <w:r w:rsidRPr="0052699D">
              <w:rPr>
                <w:bCs/>
              </w:rPr>
              <w:t>Baker (2007)</w:t>
            </w:r>
          </w:p>
        </w:tc>
        <w:tc>
          <w:tcPr>
            <w:tcW w:w="603" w:type="pct"/>
          </w:tcPr>
          <w:p w14:paraId="09CADA12" w14:textId="77777777" w:rsidR="00F245F0" w:rsidRDefault="00F245F0" w:rsidP="000038F8">
            <w:r>
              <w:t>People with intellectual disability</w:t>
            </w:r>
          </w:p>
          <w:p w14:paraId="461CA640" w14:textId="77777777" w:rsidR="00F245F0" w:rsidRDefault="00F245F0" w:rsidP="000038F8"/>
          <w:p w14:paraId="5422CA8D" w14:textId="77777777" w:rsidR="00F245F0" w:rsidRDefault="00F245F0" w:rsidP="000038F8">
            <w:r w:rsidRPr="000D6904">
              <w:t xml:space="preserve">N=60 </w:t>
            </w:r>
          </w:p>
          <w:p w14:paraId="55C1733D" w14:textId="77777777" w:rsidR="00F245F0" w:rsidRDefault="00F245F0" w:rsidP="000038F8">
            <w:r>
              <w:t>n=26 t</w:t>
            </w:r>
            <w:r w:rsidRPr="000D6904">
              <w:t>ransitioned group</w:t>
            </w:r>
          </w:p>
          <w:p w14:paraId="796EDA33" w14:textId="77777777" w:rsidR="00F245F0" w:rsidRPr="00F5070C" w:rsidRDefault="00F245F0" w:rsidP="000038F8">
            <w:r>
              <w:t>n=34 c</w:t>
            </w:r>
            <w:r w:rsidRPr="000D6904">
              <w:t>ommunity group</w:t>
            </w:r>
          </w:p>
        </w:tc>
        <w:tc>
          <w:tcPr>
            <w:tcW w:w="635" w:type="pct"/>
          </w:tcPr>
          <w:p w14:paraId="2CB5DE13" w14:textId="77777777" w:rsidR="00F245F0" w:rsidRPr="00F5070C" w:rsidRDefault="00F245F0" w:rsidP="000038F8">
            <w:r w:rsidRPr="00E53F30">
              <w:t>Longitudinal design with pre/post (six months) and follow-up (18 months) measures.</w:t>
            </w:r>
          </w:p>
        </w:tc>
        <w:tc>
          <w:tcPr>
            <w:tcW w:w="930" w:type="pct"/>
          </w:tcPr>
          <w:p w14:paraId="58154901" w14:textId="77777777" w:rsidR="00F245F0" w:rsidRPr="00F5070C" w:rsidRDefault="00F245F0" w:rsidP="000038F8">
            <w:r>
              <w:t>Fair</w:t>
            </w:r>
          </w:p>
        </w:tc>
        <w:tc>
          <w:tcPr>
            <w:tcW w:w="881" w:type="pct"/>
          </w:tcPr>
          <w:p w14:paraId="439E9DDB" w14:textId="77777777" w:rsidR="00F245F0" w:rsidRPr="00F5070C" w:rsidRDefault="00F245F0" w:rsidP="000038F8">
            <w:r w:rsidRPr="00E53F30">
              <w:t>Sign</w:t>
            </w:r>
            <w:r>
              <w:t>i</w:t>
            </w:r>
            <w:r w:rsidRPr="00E53F30">
              <w:t>ficant increase in community participation in the transition group. Higher community participation predicted b</w:t>
            </w:r>
            <w:r>
              <w:t xml:space="preserve">y having an </w:t>
            </w:r>
            <w:r w:rsidRPr="00E53F30">
              <w:t>indivi</w:t>
            </w:r>
            <w:r>
              <w:t>du</w:t>
            </w:r>
            <w:r w:rsidRPr="00E53F30">
              <w:t xml:space="preserve">al plan of community access goals with </w:t>
            </w:r>
            <w:r>
              <w:t xml:space="preserve">specific </w:t>
            </w:r>
            <w:r w:rsidRPr="00E53F30">
              <w:t>timeframes</w:t>
            </w:r>
          </w:p>
        </w:tc>
      </w:tr>
      <w:tr w:rsidR="00F245F0" w:rsidRPr="00E53F30" w14:paraId="3094667D" w14:textId="77777777" w:rsidTr="00E01F76">
        <w:tc>
          <w:tcPr>
            <w:tcW w:w="830" w:type="pct"/>
          </w:tcPr>
          <w:p w14:paraId="13EC9CBC" w14:textId="77777777" w:rsidR="00F245F0" w:rsidRPr="0052699D" w:rsidRDefault="00F245F0" w:rsidP="000038F8">
            <w:pPr>
              <w:rPr>
                <w:bCs/>
              </w:rPr>
            </w:pPr>
            <w:r w:rsidRPr="0052699D">
              <w:rPr>
                <w:bCs/>
              </w:rPr>
              <w:t>200 Places Initiative commissioned by the Victorian Government facilitating transition from institution to community housing group homes with six residents or less</w:t>
            </w:r>
          </w:p>
        </w:tc>
        <w:tc>
          <w:tcPr>
            <w:tcW w:w="558" w:type="pct"/>
          </w:tcPr>
          <w:p w14:paraId="77458853" w14:textId="77777777" w:rsidR="00F245F0" w:rsidRDefault="00F245F0" w:rsidP="000038F8">
            <w:r>
              <w:t>Australia</w:t>
            </w:r>
          </w:p>
        </w:tc>
        <w:tc>
          <w:tcPr>
            <w:tcW w:w="563" w:type="pct"/>
          </w:tcPr>
          <w:p w14:paraId="418BC28D" w14:textId="77777777" w:rsidR="00F245F0" w:rsidRDefault="00F245F0" w:rsidP="000038F8">
            <w:pPr>
              <w:rPr>
                <w:bCs/>
              </w:rPr>
            </w:pPr>
            <w:r>
              <w:rPr>
                <w:bCs/>
              </w:rPr>
              <w:t>Bigby (2008)</w:t>
            </w:r>
          </w:p>
          <w:p w14:paraId="29B3725E" w14:textId="77777777" w:rsidR="00F245F0" w:rsidRPr="00691183" w:rsidRDefault="00F245F0" w:rsidP="000038F8">
            <w:pPr>
              <w:rPr>
                <w:bCs/>
              </w:rPr>
            </w:pPr>
          </w:p>
        </w:tc>
        <w:tc>
          <w:tcPr>
            <w:tcW w:w="603" w:type="pct"/>
          </w:tcPr>
          <w:p w14:paraId="64373D23" w14:textId="77777777" w:rsidR="00F245F0" w:rsidRDefault="00F245F0" w:rsidP="000038F8">
            <w:r>
              <w:t>People with intellectual disability</w:t>
            </w:r>
          </w:p>
          <w:p w14:paraId="36316260" w14:textId="77777777" w:rsidR="00F245F0" w:rsidRDefault="00F245F0" w:rsidP="000038F8">
            <w:r w:rsidRPr="00C5365A">
              <w:t>N=24</w:t>
            </w:r>
          </w:p>
          <w:p w14:paraId="1F97BD9E" w14:textId="77777777" w:rsidR="00F245F0" w:rsidRDefault="00F245F0" w:rsidP="000038F8"/>
        </w:tc>
        <w:tc>
          <w:tcPr>
            <w:tcW w:w="635" w:type="pct"/>
          </w:tcPr>
          <w:p w14:paraId="1B52077B" w14:textId="77777777" w:rsidR="00F245F0" w:rsidRPr="00E53F30" w:rsidRDefault="00F245F0" w:rsidP="000038F8">
            <w:r>
              <w:t>Longitudinal</w:t>
            </w:r>
            <w:r w:rsidRPr="001E3D09">
              <w:t xml:space="preserve"> design with four measures, baseline, 1 year, 3 years, 5 years post transition.</w:t>
            </w:r>
          </w:p>
        </w:tc>
        <w:tc>
          <w:tcPr>
            <w:tcW w:w="930" w:type="pct"/>
          </w:tcPr>
          <w:p w14:paraId="34F5AC30" w14:textId="77777777" w:rsidR="00F245F0" w:rsidRDefault="00F245F0" w:rsidP="000038F8">
            <w:r>
              <w:t>Fair</w:t>
            </w:r>
          </w:p>
        </w:tc>
        <w:tc>
          <w:tcPr>
            <w:tcW w:w="881" w:type="pct"/>
          </w:tcPr>
          <w:p w14:paraId="4FDB713F" w14:textId="77777777" w:rsidR="00F245F0" w:rsidRPr="00E53F30" w:rsidRDefault="00F245F0" w:rsidP="000038F8">
            <w:r>
              <w:t>I</w:t>
            </w:r>
            <w:r w:rsidRPr="001E3D09">
              <w:t>nitial increase in informal network size and family contact after the relocation was not sustained</w:t>
            </w:r>
            <w:r>
              <w:t xml:space="preserve"> </w:t>
            </w:r>
            <w:r w:rsidRPr="001E3D09">
              <w:t>and only a very small proportion formed new friendships with people in the community.</w:t>
            </w:r>
          </w:p>
        </w:tc>
      </w:tr>
      <w:tr w:rsidR="00F245F0" w14:paraId="4A6C0179" w14:textId="77777777" w:rsidTr="00E01F76">
        <w:tc>
          <w:tcPr>
            <w:tcW w:w="830" w:type="pct"/>
          </w:tcPr>
          <w:p w14:paraId="482C92C4" w14:textId="77777777" w:rsidR="00F245F0" w:rsidRPr="0052699D" w:rsidRDefault="00F245F0" w:rsidP="000038F8">
            <w:pPr>
              <w:rPr>
                <w:bCs/>
              </w:rPr>
            </w:pPr>
            <w:r w:rsidRPr="0052699D">
              <w:rPr>
                <w:bCs/>
              </w:rPr>
              <w:t xml:space="preserve">Evaluation of community involvement following transition to small group </w:t>
            </w:r>
            <w:r w:rsidRPr="0052699D">
              <w:rPr>
                <w:bCs/>
              </w:rPr>
              <w:lastRenderedPageBreak/>
              <w:t>homes from institution</w:t>
            </w:r>
          </w:p>
        </w:tc>
        <w:tc>
          <w:tcPr>
            <w:tcW w:w="558" w:type="pct"/>
          </w:tcPr>
          <w:p w14:paraId="71073C5F" w14:textId="77777777" w:rsidR="00F245F0" w:rsidRDefault="00F245F0" w:rsidP="000038F8">
            <w:r>
              <w:lastRenderedPageBreak/>
              <w:t>Taiwan</w:t>
            </w:r>
          </w:p>
        </w:tc>
        <w:tc>
          <w:tcPr>
            <w:tcW w:w="563" w:type="pct"/>
          </w:tcPr>
          <w:p w14:paraId="3DA3FA2E" w14:textId="77777777" w:rsidR="00F245F0" w:rsidRPr="00CF3446" w:rsidRDefault="00F245F0" w:rsidP="000038F8">
            <w:pPr>
              <w:rPr>
                <w:bCs/>
              </w:rPr>
            </w:pPr>
            <w:r w:rsidRPr="004D28EB">
              <w:rPr>
                <w:bCs/>
              </w:rPr>
              <w:t>Chou et al (2008, 2011)</w:t>
            </w:r>
          </w:p>
        </w:tc>
        <w:tc>
          <w:tcPr>
            <w:tcW w:w="603" w:type="pct"/>
          </w:tcPr>
          <w:p w14:paraId="56C17F51" w14:textId="77777777" w:rsidR="00F245F0" w:rsidRPr="003E1B66" w:rsidRDefault="00F245F0" w:rsidP="000038F8">
            <w:pPr>
              <w:rPr>
                <w:bCs/>
              </w:rPr>
            </w:pPr>
            <w:r w:rsidRPr="009D7BDE">
              <w:rPr>
                <w:bCs/>
              </w:rPr>
              <w:t>People with intellectual disability</w:t>
            </w:r>
          </w:p>
          <w:p w14:paraId="583E20A3" w14:textId="77777777" w:rsidR="00F245F0" w:rsidRPr="0023405A" w:rsidRDefault="00F245F0" w:rsidP="000038F8">
            <w:pPr>
              <w:rPr>
                <w:bCs/>
              </w:rPr>
            </w:pPr>
          </w:p>
          <w:p w14:paraId="627701BA" w14:textId="77777777" w:rsidR="00F245F0" w:rsidRPr="004D28EB" w:rsidRDefault="00F245F0" w:rsidP="000038F8">
            <w:pPr>
              <w:rPr>
                <w:bCs/>
              </w:rPr>
            </w:pPr>
            <w:r w:rsidRPr="004D28EB">
              <w:rPr>
                <w:bCs/>
              </w:rPr>
              <w:t xml:space="preserve">Chou (2008) </w:t>
            </w:r>
          </w:p>
          <w:p w14:paraId="0A8A27B9" w14:textId="77777777" w:rsidR="00F245F0" w:rsidRPr="004D28EB" w:rsidRDefault="00F245F0" w:rsidP="000038F8">
            <w:pPr>
              <w:rPr>
                <w:bCs/>
              </w:rPr>
            </w:pPr>
            <w:r w:rsidRPr="004D28EB">
              <w:rPr>
                <w:bCs/>
              </w:rPr>
              <w:t>N=248</w:t>
            </w:r>
          </w:p>
          <w:p w14:paraId="71228DF0" w14:textId="77777777" w:rsidR="00F245F0" w:rsidRPr="003E1B66" w:rsidRDefault="00F245F0" w:rsidP="000038F8">
            <w:pPr>
              <w:rPr>
                <w:bCs/>
              </w:rPr>
            </w:pPr>
            <w:r w:rsidRPr="00CF3446">
              <w:rPr>
                <w:bCs/>
              </w:rPr>
              <w:lastRenderedPageBreak/>
              <w:t>n=76 i</w:t>
            </w:r>
            <w:r w:rsidRPr="009D7BDE">
              <w:rPr>
                <w:bCs/>
              </w:rPr>
              <w:t xml:space="preserve">nstitution </w:t>
            </w:r>
          </w:p>
          <w:p w14:paraId="55AC370F" w14:textId="77777777" w:rsidR="00F245F0" w:rsidRPr="001C47D2" w:rsidRDefault="00F245F0" w:rsidP="000038F8">
            <w:pPr>
              <w:rPr>
                <w:bCs/>
              </w:rPr>
            </w:pPr>
            <w:r w:rsidRPr="0023405A">
              <w:rPr>
                <w:bCs/>
              </w:rPr>
              <w:t>n=69 community home</w:t>
            </w:r>
          </w:p>
          <w:p w14:paraId="4AC9127D" w14:textId="77777777" w:rsidR="00F245F0" w:rsidRPr="00E94D61" w:rsidRDefault="00F245F0" w:rsidP="000038F8">
            <w:pPr>
              <w:rPr>
                <w:bCs/>
              </w:rPr>
            </w:pPr>
            <w:r w:rsidRPr="00BA267D">
              <w:rPr>
                <w:bCs/>
              </w:rPr>
              <w:t>n=103 residential home</w:t>
            </w:r>
          </w:p>
          <w:p w14:paraId="1ED72FA9" w14:textId="77777777" w:rsidR="00F245F0" w:rsidRPr="00062B5C" w:rsidRDefault="00F245F0" w:rsidP="000038F8">
            <w:pPr>
              <w:rPr>
                <w:bCs/>
              </w:rPr>
            </w:pPr>
          </w:p>
          <w:p w14:paraId="404C2F9A" w14:textId="77777777" w:rsidR="00F245F0" w:rsidRPr="004D28EB" w:rsidRDefault="00F245F0" w:rsidP="000038F8">
            <w:pPr>
              <w:rPr>
                <w:bCs/>
              </w:rPr>
            </w:pPr>
            <w:r w:rsidRPr="004D28EB">
              <w:rPr>
                <w:bCs/>
              </w:rPr>
              <w:t xml:space="preserve">Chou (2011) </w:t>
            </w:r>
          </w:p>
          <w:p w14:paraId="45CAEC2E" w14:textId="77777777" w:rsidR="00F245F0" w:rsidRPr="009D7BDE" w:rsidRDefault="00F245F0" w:rsidP="000038F8">
            <w:pPr>
              <w:rPr>
                <w:bCs/>
              </w:rPr>
            </w:pPr>
            <w:r w:rsidRPr="004D28EB">
              <w:rPr>
                <w:bCs/>
              </w:rPr>
              <w:t>N=13 t</w:t>
            </w:r>
            <w:r w:rsidRPr="00CF3446">
              <w:rPr>
                <w:bCs/>
              </w:rPr>
              <w:t xml:space="preserve">ransition from institution to residential living, </w:t>
            </w:r>
          </w:p>
          <w:p w14:paraId="14D37442" w14:textId="77777777" w:rsidR="00F245F0" w:rsidRPr="0023405A" w:rsidRDefault="00F245F0" w:rsidP="000038F8">
            <w:pPr>
              <w:rPr>
                <w:bCs/>
              </w:rPr>
            </w:pPr>
            <w:r w:rsidRPr="003E1B66">
              <w:rPr>
                <w:bCs/>
              </w:rPr>
              <w:t>n=36 transition from family to residential living</w:t>
            </w:r>
          </w:p>
        </w:tc>
        <w:tc>
          <w:tcPr>
            <w:tcW w:w="635" w:type="pct"/>
          </w:tcPr>
          <w:p w14:paraId="0F1FCFC3" w14:textId="77777777" w:rsidR="00F245F0" w:rsidRPr="001E3D09" w:rsidRDefault="00F245F0" w:rsidP="000038F8">
            <w:r w:rsidRPr="001E3D09">
              <w:lastRenderedPageBreak/>
              <w:t xml:space="preserve">Cross -sectional study comparison </w:t>
            </w:r>
            <w:r>
              <w:t>(a</w:t>
            </w:r>
            <w:r w:rsidRPr="001E3D09">
              <w:t xml:space="preserve">) Institution, 50 beds </w:t>
            </w:r>
            <w:r>
              <w:t>or more (b</w:t>
            </w:r>
            <w:r w:rsidRPr="001E3D09">
              <w:t xml:space="preserve">) community </w:t>
            </w:r>
            <w:r>
              <w:lastRenderedPageBreak/>
              <w:t>h</w:t>
            </w:r>
            <w:r w:rsidRPr="001E3D09">
              <w:t xml:space="preserve">ome, </w:t>
            </w:r>
            <w:r>
              <w:t xml:space="preserve">less than </w:t>
            </w:r>
            <w:r w:rsidRPr="001E3D09">
              <w:t xml:space="preserve">50 beds </w:t>
            </w:r>
            <w:r>
              <w:t>(c</w:t>
            </w:r>
            <w:r w:rsidRPr="001E3D09">
              <w:t>) community/</w:t>
            </w:r>
            <w:r>
              <w:t xml:space="preserve"> </w:t>
            </w:r>
            <w:r w:rsidRPr="001E3D09">
              <w:t>residential living 6 beds</w:t>
            </w:r>
            <w:r>
              <w:t xml:space="preserve"> or less</w:t>
            </w:r>
          </w:p>
        </w:tc>
        <w:tc>
          <w:tcPr>
            <w:tcW w:w="930" w:type="pct"/>
          </w:tcPr>
          <w:p w14:paraId="52721FC4" w14:textId="77777777" w:rsidR="00F245F0" w:rsidRDefault="00F245F0" w:rsidP="000038F8">
            <w:r>
              <w:lastRenderedPageBreak/>
              <w:t>Fair</w:t>
            </w:r>
          </w:p>
        </w:tc>
        <w:tc>
          <w:tcPr>
            <w:tcW w:w="881" w:type="pct"/>
          </w:tcPr>
          <w:p w14:paraId="7F397751" w14:textId="77777777" w:rsidR="00F245F0" w:rsidRDefault="00F245F0" w:rsidP="000038F8">
            <w:r>
              <w:t>S</w:t>
            </w:r>
            <w:r w:rsidRPr="001E3D09">
              <w:t xml:space="preserve">mall homes and group </w:t>
            </w:r>
            <w:r>
              <w:t>c</w:t>
            </w:r>
            <w:r w:rsidRPr="001E3D09">
              <w:t>ommunity homes</w:t>
            </w:r>
            <w:r>
              <w:t xml:space="preserve"> residents reported </w:t>
            </w:r>
            <w:r w:rsidRPr="001E3D09">
              <w:t>more extensive community inclusion</w:t>
            </w:r>
            <w:r>
              <w:t xml:space="preserve"> but limited </w:t>
            </w:r>
            <w:r>
              <w:lastRenderedPageBreak/>
              <w:t>overall choice in range of activities.</w:t>
            </w:r>
          </w:p>
          <w:p w14:paraId="5AA36BD0" w14:textId="77777777" w:rsidR="00F245F0" w:rsidRDefault="00F245F0" w:rsidP="000038F8">
            <w:r>
              <w:t>A second study examining follow-up outcomes (Chou, 2011) showed that nearly half of the residents returned to their previous accommodation (institution or family home due to inadequate financial or living supports in the community settings.</w:t>
            </w:r>
          </w:p>
        </w:tc>
      </w:tr>
      <w:tr w:rsidR="00F245F0" w14:paraId="4B10E929" w14:textId="77777777" w:rsidTr="00E01F76">
        <w:tc>
          <w:tcPr>
            <w:tcW w:w="830" w:type="pct"/>
          </w:tcPr>
          <w:p w14:paraId="2C8162EA" w14:textId="77777777" w:rsidR="00F245F0" w:rsidRPr="00691183" w:rsidRDefault="00F245F0" w:rsidP="000038F8">
            <w:pPr>
              <w:rPr>
                <w:bCs/>
                <w:highlight w:val="yellow"/>
              </w:rPr>
            </w:pPr>
            <w:r w:rsidRPr="0052699D">
              <w:rPr>
                <w:bCs/>
              </w:rPr>
              <w:lastRenderedPageBreak/>
              <w:t xml:space="preserve">Evaluation of community living skills following transition from institution either community residential unit (six residents) or training </w:t>
            </w:r>
            <w:r w:rsidRPr="0052699D">
              <w:rPr>
                <w:bCs/>
              </w:rPr>
              <w:lastRenderedPageBreak/>
              <w:t>centres (large residential unit within larger institution).  Community living skills measured using the Community Living Skills Screening Test (CLSST).</w:t>
            </w:r>
          </w:p>
        </w:tc>
        <w:tc>
          <w:tcPr>
            <w:tcW w:w="558" w:type="pct"/>
          </w:tcPr>
          <w:p w14:paraId="7ABC6A52" w14:textId="77777777" w:rsidR="00F245F0" w:rsidRDefault="00F245F0" w:rsidP="000038F8">
            <w:r>
              <w:lastRenderedPageBreak/>
              <w:t>UK</w:t>
            </w:r>
          </w:p>
        </w:tc>
        <w:tc>
          <w:tcPr>
            <w:tcW w:w="563" w:type="pct"/>
          </w:tcPr>
          <w:p w14:paraId="2947B849" w14:textId="77777777" w:rsidR="00F245F0" w:rsidRDefault="00F245F0" w:rsidP="000038F8">
            <w:pPr>
              <w:rPr>
                <w:bCs/>
              </w:rPr>
            </w:pPr>
            <w:r w:rsidRPr="000F32A4">
              <w:rPr>
                <w:bCs/>
              </w:rPr>
              <w:t xml:space="preserve">Cooper &amp; Picton </w:t>
            </w:r>
            <w:r>
              <w:rPr>
                <w:bCs/>
              </w:rPr>
              <w:t>(</w:t>
            </w:r>
            <w:r w:rsidRPr="000F32A4">
              <w:rPr>
                <w:bCs/>
              </w:rPr>
              <w:t>2000</w:t>
            </w:r>
            <w:r>
              <w:rPr>
                <w:bCs/>
              </w:rPr>
              <w:t>)</w:t>
            </w:r>
          </w:p>
          <w:p w14:paraId="3F75A2F5" w14:textId="77777777" w:rsidR="00F245F0" w:rsidRDefault="00F245F0" w:rsidP="000038F8">
            <w:pPr>
              <w:rPr>
                <w:bCs/>
              </w:rPr>
            </w:pPr>
          </w:p>
          <w:p w14:paraId="1EF97410" w14:textId="77777777" w:rsidR="00F245F0" w:rsidRDefault="00F245F0" w:rsidP="000038F8">
            <w:pPr>
              <w:rPr>
                <w:bCs/>
              </w:rPr>
            </w:pPr>
          </w:p>
        </w:tc>
        <w:tc>
          <w:tcPr>
            <w:tcW w:w="603" w:type="pct"/>
          </w:tcPr>
          <w:p w14:paraId="62E6423B" w14:textId="77777777" w:rsidR="00F245F0" w:rsidRDefault="00F245F0" w:rsidP="000038F8">
            <w:r>
              <w:t>People with intellectual disability</w:t>
            </w:r>
          </w:p>
          <w:p w14:paraId="3687C905" w14:textId="77777777" w:rsidR="00F245F0" w:rsidRDefault="00F245F0" w:rsidP="000038F8"/>
          <w:p w14:paraId="12379AC3" w14:textId="77777777" w:rsidR="00F245F0" w:rsidRDefault="00F245F0" w:rsidP="000038F8">
            <w:r>
              <w:t xml:space="preserve">N=45 </w:t>
            </w:r>
          </w:p>
          <w:p w14:paraId="7A38EB6D" w14:textId="77777777" w:rsidR="00F245F0" w:rsidRDefault="00F245F0" w:rsidP="000038F8">
            <w:r>
              <w:t xml:space="preserve">n=26 Community residential </w:t>
            </w:r>
            <w:r>
              <w:lastRenderedPageBreak/>
              <w:t>unit: n=19, Training centre</w:t>
            </w:r>
          </w:p>
        </w:tc>
        <w:tc>
          <w:tcPr>
            <w:tcW w:w="635" w:type="pct"/>
          </w:tcPr>
          <w:p w14:paraId="74ACA476" w14:textId="77777777" w:rsidR="00F245F0" w:rsidRPr="001E3D09" w:rsidRDefault="00F245F0" w:rsidP="000038F8">
            <w:r>
              <w:lastRenderedPageBreak/>
              <w:t xml:space="preserve">Longitudinal </w:t>
            </w:r>
            <w:r w:rsidRPr="000F32A4">
              <w:t>design: prior to transition, 6 months and 3 years post transition</w:t>
            </w:r>
          </w:p>
        </w:tc>
        <w:tc>
          <w:tcPr>
            <w:tcW w:w="930" w:type="pct"/>
          </w:tcPr>
          <w:p w14:paraId="1E2E4A6A" w14:textId="77777777" w:rsidR="00F245F0" w:rsidRDefault="00F245F0" w:rsidP="000038F8">
            <w:r>
              <w:t>Fair</w:t>
            </w:r>
          </w:p>
        </w:tc>
        <w:tc>
          <w:tcPr>
            <w:tcW w:w="881" w:type="pct"/>
          </w:tcPr>
          <w:p w14:paraId="70E98E9C" w14:textId="77777777" w:rsidR="00F245F0" w:rsidRDefault="00F245F0" w:rsidP="000038F8">
            <w:r w:rsidRPr="000F32A4">
              <w:t xml:space="preserve">No differences for either group at follow-up </w:t>
            </w:r>
            <w:r>
              <w:t>on c</w:t>
            </w:r>
            <w:r w:rsidRPr="000F32A4">
              <w:t xml:space="preserve">ommunity </w:t>
            </w:r>
            <w:r>
              <w:t>l</w:t>
            </w:r>
            <w:r w:rsidRPr="000F32A4">
              <w:t>iving skills</w:t>
            </w:r>
            <w:r>
              <w:t>, however, there was a significantly greater o</w:t>
            </w:r>
            <w:r w:rsidRPr="000F32A4">
              <w:t xml:space="preserve">pportunity to perform community </w:t>
            </w:r>
            <w:r w:rsidRPr="000F32A4">
              <w:lastRenderedPageBreak/>
              <w:t>living skills</w:t>
            </w:r>
            <w:r>
              <w:t xml:space="preserve"> at six month follow-up for </w:t>
            </w:r>
            <w:r w:rsidRPr="000F32A4">
              <w:t xml:space="preserve">community residential </w:t>
            </w:r>
            <w:r>
              <w:t>unit residents.</w:t>
            </w:r>
          </w:p>
        </w:tc>
      </w:tr>
      <w:tr w:rsidR="00F245F0" w:rsidRPr="000F32A4" w14:paraId="703A8CA9" w14:textId="77777777" w:rsidTr="00E01F76">
        <w:tc>
          <w:tcPr>
            <w:tcW w:w="830" w:type="pct"/>
          </w:tcPr>
          <w:p w14:paraId="62CDB8B6" w14:textId="77777777" w:rsidR="00F245F0" w:rsidRPr="0052699D" w:rsidRDefault="00F245F0" w:rsidP="000038F8">
            <w:pPr>
              <w:rPr>
                <w:bCs/>
              </w:rPr>
            </w:pPr>
            <w:r w:rsidRPr="0052699D">
              <w:rPr>
                <w:bCs/>
              </w:rPr>
              <w:lastRenderedPageBreak/>
              <w:t>The study evaluated the effect of transition to community housing on mental health outcomes (one year follow-up) of homeless individual with mental health issues.</w:t>
            </w:r>
          </w:p>
        </w:tc>
        <w:tc>
          <w:tcPr>
            <w:tcW w:w="558" w:type="pct"/>
          </w:tcPr>
          <w:p w14:paraId="093410C3" w14:textId="77777777" w:rsidR="00F245F0" w:rsidRDefault="00F245F0" w:rsidP="000038F8">
            <w:r>
              <w:t>USA</w:t>
            </w:r>
          </w:p>
        </w:tc>
        <w:tc>
          <w:tcPr>
            <w:tcW w:w="563" w:type="pct"/>
          </w:tcPr>
          <w:p w14:paraId="2D73B8DF" w14:textId="77777777" w:rsidR="00F245F0" w:rsidRPr="000F32A4" w:rsidRDefault="00F245F0" w:rsidP="000038F8">
            <w:pPr>
              <w:rPr>
                <w:bCs/>
              </w:rPr>
            </w:pPr>
            <w:r>
              <w:rPr>
                <w:bCs/>
              </w:rPr>
              <w:t>La Motte-Kerr et al (2020)</w:t>
            </w:r>
          </w:p>
        </w:tc>
        <w:tc>
          <w:tcPr>
            <w:tcW w:w="603" w:type="pct"/>
          </w:tcPr>
          <w:p w14:paraId="4B88070C" w14:textId="77777777" w:rsidR="00F245F0" w:rsidRDefault="00F245F0" w:rsidP="000038F8">
            <w:r>
              <w:t>Homeless people with psychiatric illness</w:t>
            </w:r>
          </w:p>
          <w:p w14:paraId="3C832E80" w14:textId="77777777" w:rsidR="00F245F0" w:rsidRDefault="00F245F0" w:rsidP="000038F8"/>
          <w:p w14:paraId="0F9BC7DC" w14:textId="77777777" w:rsidR="00F245F0" w:rsidRDefault="00F245F0" w:rsidP="000038F8">
            <w:r w:rsidRPr="003B15B1">
              <w:t>N=383</w:t>
            </w:r>
          </w:p>
        </w:tc>
        <w:tc>
          <w:tcPr>
            <w:tcW w:w="635" w:type="pct"/>
          </w:tcPr>
          <w:p w14:paraId="664EF0DA" w14:textId="77777777" w:rsidR="00F245F0" w:rsidRPr="000F32A4" w:rsidRDefault="00F245F0" w:rsidP="000038F8">
            <w:r w:rsidRPr="00327767">
              <w:t>One group pre/post longitudinal study with four time points.</w:t>
            </w:r>
          </w:p>
        </w:tc>
        <w:tc>
          <w:tcPr>
            <w:tcW w:w="930" w:type="pct"/>
          </w:tcPr>
          <w:p w14:paraId="7D7AC24B" w14:textId="77777777" w:rsidR="00F245F0" w:rsidRDefault="00F245F0" w:rsidP="000038F8">
            <w:r>
              <w:t>Fair</w:t>
            </w:r>
          </w:p>
        </w:tc>
        <w:tc>
          <w:tcPr>
            <w:tcW w:w="881" w:type="pct"/>
          </w:tcPr>
          <w:p w14:paraId="697CB50C" w14:textId="77777777" w:rsidR="00F245F0" w:rsidRPr="000F32A4" w:rsidRDefault="00F245F0" w:rsidP="000038F8">
            <w:r>
              <w:t>Greater psychological integration following transition resulted in better mental health outcomes at one year follow-up. Participants who reported a lower sense of belonging in their respective communities also reported higher levels of mental health symptoms</w:t>
            </w:r>
          </w:p>
        </w:tc>
      </w:tr>
      <w:tr w:rsidR="00F245F0" w14:paraId="47022AE1" w14:textId="77777777" w:rsidTr="00E01F76">
        <w:tc>
          <w:tcPr>
            <w:tcW w:w="830" w:type="pct"/>
          </w:tcPr>
          <w:p w14:paraId="1133208A" w14:textId="77777777" w:rsidR="00F245F0" w:rsidRPr="0052699D" w:rsidRDefault="00F245F0" w:rsidP="000038F8">
            <w:pPr>
              <w:rPr>
                <w:bCs/>
              </w:rPr>
            </w:pPr>
            <w:r w:rsidRPr="0052699D">
              <w:rPr>
                <w:bCs/>
              </w:rPr>
              <w:t xml:space="preserve">This study evaluated residents’ satisfaction with community integration and inclusion following transition to </w:t>
            </w:r>
            <w:r w:rsidRPr="0052699D">
              <w:rPr>
                <w:bCs/>
              </w:rPr>
              <w:lastRenderedPageBreak/>
              <w:t xml:space="preserve">community living arrangements </w:t>
            </w:r>
          </w:p>
        </w:tc>
        <w:tc>
          <w:tcPr>
            <w:tcW w:w="558" w:type="pct"/>
          </w:tcPr>
          <w:p w14:paraId="71740C65" w14:textId="77777777" w:rsidR="00F245F0" w:rsidRDefault="00F245F0" w:rsidP="000038F8">
            <w:r>
              <w:lastRenderedPageBreak/>
              <w:t>USA</w:t>
            </w:r>
          </w:p>
        </w:tc>
        <w:tc>
          <w:tcPr>
            <w:tcW w:w="563" w:type="pct"/>
          </w:tcPr>
          <w:p w14:paraId="0C0C7CB9" w14:textId="77777777" w:rsidR="00F245F0" w:rsidRDefault="00F245F0" w:rsidP="000038F8">
            <w:pPr>
              <w:rPr>
                <w:bCs/>
              </w:rPr>
            </w:pPr>
            <w:r>
              <w:rPr>
                <w:bCs/>
              </w:rPr>
              <w:t>Sheth et al (2019)</w:t>
            </w:r>
          </w:p>
        </w:tc>
        <w:tc>
          <w:tcPr>
            <w:tcW w:w="603" w:type="pct"/>
          </w:tcPr>
          <w:p w14:paraId="56198CC3" w14:textId="77777777" w:rsidR="00F245F0" w:rsidRDefault="00F245F0" w:rsidP="000038F8">
            <w:r>
              <w:t>Adults with broad range of disabilities, p</w:t>
            </w:r>
            <w:r w:rsidRPr="00230674">
              <w:t xml:space="preserve">redominantly physical disabilities, psychiatric </w:t>
            </w:r>
            <w:r w:rsidRPr="00230674">
              <w:lastRenderedPageBreak/>
              <w:t>disabilities, and chronic health conditions.</w:t>
            </w:r>
          </w:p>
          <w:p w14:paraId="2D3A0097" w14:textId="77777777" w:rsidR="00F245F0" w:rsidRDefault="00F245F0" w:rsidP="000038F8"/>
          <w:p w14:paraId="25355BFA" w14:textId="77777777" w:rsidR="00F245F0" w:rsidRDefault="00F245F0" w:rsidP="000038F8">
            <w:r w:rsidRPr="003B15B1">
              <w:t>N=150</w:t>
            </w:r>
          </w:p>
        </w:tc>
        <w:tc>
          <w:tcPr>
            <w:tcW w:w="635" w:type="pct"/>
          </w:tcPr>
          <w:p w14:paraId="0B16455D" w14:textId="77777777" w:rsidR="00F245F0" w:rsidRPr="00327767" w:rsidRDefault="00F245F0" w:rsidP="000038F8">
            <w:r>
              <w:lastRenderedPageBreak/>
              <w:t xml:space="preserve">Cross sectional study using survey design and comparing people in institution with people that </w:t>
            </w:r>
            <w:r>
              <w:lastRenderedPageBreak/>
              <w:t xml:space="preserve">have transitioned to community living. </w:t>
            </w:r>
          </w:p>
        </w:tc>
        <w:tc>
          <w:tcPr>
            <w:tcW w:w="930" w:type="pct"/>
          </w:tcPr>
          <w:p w14:paraId="706FB575" w14:textId="77777777" w:rsidR="00F245F0" w:rsidRDefault="00F245F0" w:rsidP="000038F8">
            <w:r>
              <w:lastRenderedPageBreak/>
              <w:t>Good</w:t>
            </w:r>
          </w:p>
        </w:tc>
        <w:tc>
          <w:tcPr>
            <w:tcW w:w="881" w:type="pct"/>
          </w:tcPr>
          <w:p w14:paraId="08913DF2" w14:textId="52DEFF53" w:rsidR="00F245F0" w:rsidRDefault="00F245F0" w:rsidP="000038F8">
            <w:r w:rsidRPr="006D00E7">
              <w:t xml:space="preserve">Post transition to community experience participants were reporting </w:t>
            </w:r>
            <w:r w:rsidR="00BA364C" w:rsidRPr="006D00E7">
              <w:t>significantly</w:t>
            </w:r>
            <w:r w:rsidRPr="006D00E7">
              <w:t xml:space="preserve"> higher favourable ratings for community integration and </w:t>
            </w:r>
            <w:r w:rsidRPr="006D00E7">
              <w:lastRenderedPageBreak/>
              <w:t xml:space="preserve">inclusion, </w:t>
            </w:r>
            <w:r>
              <w:t>and</w:t>
            </w:r>
            <w:r w:rsidRPr="006D00E7">
              <w:t xml:space="preserve"> were nearly twice as likely to feel safer living in the community than in an institution</w:t>
            </w:r>
            <w:r>
              <w:t xml:space="preserve">. This </w:t>
            </w:r>
            <w:r w:rsidRPr="006D00E7">
              <w:t>challeng</w:t>
            </w:r>
            <w:r>
              <w:t>ed</w:t>
            </w:r>
            <w:r w:rsidRPr="006D00E7">
              <w:t xml:space="preserve"> the assumption that institutions are safer residential options than community placements</w:t>
            </w:r>
            <w:r>
              <w:t xml:space="preserve">. </w:t>
            </w:r>
            <w:r w:rsidRPr="006D00E7">
              <w:t xml:space="preserve">Despite improvements </w:t>
            </w:r>
            <w:r>
              <w:t>following</w:t>
            </w:r>
            <w:r w:rsidRPr="006D00E7">
              <w:t xml:space="preserve"> transitioning to the community, the research also indicates that people with disabilities continue to face barriers to community participation and integration, even years post-transition.</w:t>
            </w:r>
          </w:p>
        </w:tc>
      </w:tr>
      <w:tr w:rsidR="00F245F0" w:rsidRPr="006D00E7" w14:paraId="386D25F5" w14:textId="77777777" w:rsidTr="00E01F76">
        <w:tc>
          <w:tcPr>
            <w:tcW w:w="830" w:type="pct"/>
          </w:tcPr>
          <w:p w14:paraId="3933DBE5" w14:textId="77777777" w:rsidR="00F245F0" w:rsidRPr="0052699D" w:rsidRDefault="00F245F0" w:rsidP="000038F8">
            <w:pPr>
              <w:rPr>
                <w:bCs/>
              </w:rPr>
            </w:pPr>
            <w:r w:rsidRPr="0052699D">
              <w:rPr>
                <w:bCs/>
              </w:rPr>
              <w:lastRenderedPageBreak/>
              <w:t xml:space="preserve">A comparison between residents in group homes (3-7 shared household) with semi independent living ((1-4 shared </w:t>
            </w:r>
            <w:r w:rsidRPr="0052699D">
              <w:rPr>
                <w:bCs/>
              </w:rPr>
              <w:lastRenderedPageBreak/>
              <w:t>household) with support staff available for both.</w:t>
            </w:r>
          </w:p>
        </w:tc>
        <w:tc>
          <w:tcPr>
            <w:tcW w:w="558" w:type="pct"/>
          </w:tcPr>
          <w:p w14:paraId="1587B816" w14:textId="77777777" w:rsidR="00F245F0" w:rsidRDefault="00F245F0" w:rsidP="000038F8">
            <w:r>
              <w:lastRenderedPageBreak/>
              <w:t>USA</w:t>
            </w:r>
          </w:p>
        </w:tc>
        <w:tc>
          <w:tcPr>
            <w:tcW w:w="563" w:type="pct"/>
          </w:tcPr>
          <w:p w14:paraId="12ADD9F2" w14:textId="77777777" w:rsidR="00F245F0" w:rsidRDefault="00F245F0" w:rsidP="000038F8">
            <w:pPr>
              <w:rPr>
                <w:bCs/>
              </w:rPr>
            </w:pPr>
            <w:r>
              <w:rPr>
                <w:bCs/>
              </w:rPr>
              <w:t>Stancliffe &amp; Keane (2000)</w:t>
            </w:r>
          </w:p>
        </w:tc>
        <w:tc>
          <w:tcPr>
            <w:tcW w:w="603" w:type="pct"/>
          </w:tcPr>
          <w:p w14:paraId="328EC400" w14:textId="77777777" w:rsidR="00F245F0" w:rsidRDefault="00F245F0" w:rsidP="000038F8">
            <w:r>
              <w:t>People with intellectual disability</w:t>
            </w:r>
          </w:p>
          <w:p w14:paraId="2A01F87C" w14:textId="77777777" w:rsidR="00F245F0" w:rsidRDefault="00F245F0" w:rsidP="000038F8"/>
          <w:p w14:paraId="28A687A3" w14:textId="77777777" w:rsidR="00F245F0" w:rsidRDefault="00F245F0" w:rsidP="000038F8">
            <w:r w:rsidRPr="003B15B1">
              <w:t xml:space="preserve">N=87 </w:t>
            </w:r>
          </w:p>
          <w:p w14:paraId="17AE42D9" w14:textId="77777777" w:rsidR="00F245F0" w:rsidRDefault="00F245F0" w:rsidP="000038F8">
            <w:r>
              <w:t xml:space="preserve">n=31 </w:t>
            </w:r>
            <w:r w:rsidRPr="003B15B1">
              <w:t xml:space="preserve">Group home </w:t>
            </w:r>
          </w:p>
          <w:p w14:paraId="13472F04" w14:textId="77777777" w:rsidR="00F245F0" w:rsidRDefault="00F245F0" w:rsidP="000038F8">
            <w:r w:rsidRPr="003B15B1">
              <w:lastRenderedPageBreak/>
              <w:t>n=</w:t>
            </w:r>
            <w:r>
              <w:t>56</w:t>
            </w:r>
            <w:r w:rsidRPr="003B15B1">
              <w:t xml:space="preserve">, semi-independent </w:t>
            </w:r>
            <w:r>
              <w:t>living</w:t>
            </w:r>
          </w:p>
        </w:tc>
        <w:tc>
          <w:tcPr>
            <w:tcW w:w="635" w:type="pct"/>
          </w:tcPr>
          <w:p w14:paraId="2CE35810" w14:textId="77777777" w:rsidR="00F245F0" w:rsidRDefault="00F245F0" w:rsidP="000038F8">
            <w:r w:rsidRPr="00DC4B67">
              <w:lastRenderedPageBreak/>
              <w:t xml:space="preserve">Cross sectional </w:t>
            </w:r>
            <w:r>
              <w:t xml:space="preserve">two group </w:t>
            </w:r>
            <w:r w:rsidRPr="00DC4B67">
              <w:t>design</w:t>
            </w:r>
          </w:p>
        </w:tc>
        <w:tc>
          <w:tcPr>
            <w:tcW w:w="930" w:type="pct"/>
          </w:tcPr>
          <w:p w14:paraId="28B62CB7" w14:textId="77777777" w:rsidR="00F245F0" w:rsidRDefault="00F245F0" w:rsidP="000038F8">
            <w:r>
              <w:t>Fair</w:t>
            </w:r>
          </w:p>
        </w:tc>
        <w:tc>
          <w:tcPr>
            <w:tcW w:w="881" w:type="pct"/>
          </w:tcPr>
          <w:p w14:paraId="6FDE2638" w14:textId="77777777" w:rsidR="00F245F0" w:rsidRPr="006D00E7" w:rsidRDefault="00F245F0" w:rsidP="000038F8">
            <w:r>
              <w:t>Semi-independent living residents reported greater satisfaction with frequency of community use.</w:t>
            </w:r>
          </w:p>
        </w:tc>
      </w:tr>
      <w:tr w:rsidR="00F245F0" w14:paraId="1E357BF4" w14:textId="77777777" w:rsidTr="00E01F76">
        <w:tc>
          <w:tcPr>
            <w:tcW w:w="830" w:type="pct"/>
          </w:tcPr>
          <w:p w14:paraId="4E560C55" w14:textId="5C62EA0C" w:rsidR="00F245F0" w:rsidRPr="0052699D" w:rsidRDefault="00F245F0" w:rsidP="000038F8">
            <w:pPr>
              <w:rPr>
                <w:bCs/>
              </w:rPr>
            </w:pPr>
            <w:r w:rsidRPr="0052699D">
              <w:rPr>
                <w:bCs/>
              </w:rPr>
              <w:t>This study provided a comparison of neighbo</w:t>
            </w:r>
            <w:r w:rsidR="00396EAA">
              <w:rPr>
                <w:bCs/>
              </w:rPr>
              <w:t>u</w:t>
            </w:r>
            <w:r w:rsidRPr="0052699D">
              <w:rPr>
                <w:bCs/>
              </w:rPr>
              <w:t>rhood characteristics of supportive housing for persons with psychiatric and developmental disabilities</w:t>
            </w:r>
          </w:p>
        </w:tc>
        <w:tc>
          <w:tcPr>
            <w:tcW w:w="558" w:type="pct"/>
          </w:tcPr>
          <w:p w14:paraId="5623FB09" w14:textId="77777777" w:rsidR="00F245F0" w:rsidRDefault="00F245F0" w:rsidP="000038F8">
            <w:r>
              <w:t>USA</w:t>
            </w:r>
          </w:p>
        </w:tc>
        <w:tc>
          <w:tcPr>
            <w:tcW w:w="563" w:type="pct"/>
          </w:tcPr>
          <w:p w14:paraId="3D626029" w14:textId="77777777" w:rsidR="00F245F0" w:rsidRDefault="00F245F0" w:rsidP="000038F8">
            <w:pPr>
              <w:rPr>
                <w:bCs/>
              </w:rPr>
            </w:pPr>
            <w:r>
              <w:rPr>
                <w:bCs/>
              </w:rPr>
              <w:t>Wong et al (2009)</w:t>
            </w:r>
          </w:p>
        </w:tc>
        <w:tc>
          <w:tcPr>
            <w:tcW w:w="603" w:type="pct"/>
          </w:tcPr>
          <w:p w14:paraId="020FE136" w14:textId="77777777" w:rsidR="00F245F0" w:rsidRDefault="00F245F0" w:rsidP="000038F8">
            <w:r>
              <w:t>People with d</w:t>
            </w:r>
            <w:r w:rsidRPr="00DC4B67">
              <w:t>evelopmental disabilities (DD) and psychiatric disabilities (PD)</w:t>
            </w:r>
          </w:p>
          <w:p w14:paraId="363F7FB4" w14:textId="77777777" w:rsidR="00F245F0" w:rsidRDefault="00F245F0" w:rsidP="000038F8"/>
          <w:p w14:paraId="3D12E0E1" w14:textId="77777777" w:rsidR="00F245F0" w:rsidRDefault="00F245F0" w:rsidP="000038F8">
            <w:r>
              <w:t>National database study</w:t>
            </w:r>
          </w:p>
        </w:tc>
        <w:tc>
          <w:tcPr>
            <w:tcW w:w="635" w:type="pct"/>
          </w:tcPr>
          <w:p w14:paraId="1849E2F8" w14:textId="77777777" w:rsidR="00F245F0" w:rsidRDefault="00F245F0" w:rsidP="000038F8">
            <w:r>
              <w:t>Cohort study</w:t>
            </w:r>
          </w:p>
        </w:tc>
        <w:tc>
          <w:tcPr>
            <w:tcW w:w="930" w:type="pct"/>
          </w:tcPr>
          <w:p w14:paraId="659505A7" w14:textId="77777777" w:rsidR="00F245F0" w:rsidRDefault="00F245F0" w:rsidP="000038F8">
            <w:r>
              <w:t>Good</w:t>
            </w:r>
          </w:p>
        </w:tc>
        <w:tc>
          <w:tcPr>
            <w:tcW w:w="881" w:type="pct"/>
          </w:tcPr>
          <w:p w14:paraId="2106D566" w14:textId="67EC05C9" w:rsidR="00F245F0" w:rsidRDefault="00F245F0" w:rsidP="000038F8">
            <w:r>
              <w:t>R</w:t>
            </w:r>
            <w:r w:rsidRPr="00DC4B67">
              <w:t xml:space="preserve">esidents with DD were generally living in </w:t>
            </w:r>
            <w:r w:rsidR="00344C67" w:rsidRPr="00DC4B67">
              <w:t>neighbourhoods</w:t>
            </w:r>
            <w:r w:rsidRPr="00DC4B67">
              <w:t xml:space="preserve"> with more </w:t>
            </w:r>
            <w:r w:rsidR="00344C67" w:rsidRPr="00DC4B67">
              <w:t>favourable</w:t>
            </w:r>
            <w:r w:rsidRPr="00DC4B67">
              <w:t xml:space="preserve"> conditions than residents with PD by measures of spatial dispersion, absence of social distress, residential stability, and public security, there </w:t>
            </w:r>
            <w:r>
              <w:t>was</w:t>
            </w:r>
            <w:r w:rsidRPr="00DC4B67">
              <w:t xml:space="preserve"> no difference between residents with DD and residents with PD with regard to the racial</w:t>
            </w:r>
            <w:r>
              <w:t xml:space="preserve"> </w:t>
            </w:r>
            <w:r w:rsidRPr="00DC4B67">
              <w:t xml:space="preserve">/ethnic diversity of the </w:t>
            </w:r>
            <w:r w:rsidR="00344C67" w:rsidRPr="00DC4B67">
              <w:t>neighbourhoods</w:t>
            </w:r>
            <w:r w:rsidRPr="00DC4B67">
              <w:t xml:space="preserve"> they lived</w:t>
            </w:r>
          </w:p>
        </w:tc>
      </w:tr>
      <w:tr w:rsidR="00F245F0" w:rsidRPr="00A35E14" w14:paraId="1424A8BF" w14:textId="77777777" w:rsidTr="00E01F76">
        <w:tc>
          <w:tcPr>
            <w:tcW w:w="830" w:type="pct"/>
          </w:tcPr>
          <w:p w14:paraId="04E10793" w14:textId="77777777" w:rsidR="00F245F0" w:rsidRPr="002244C7" w:rsidRDefault="00F245F0" w:rsidP="000038F8">
            <w:r w:rsidRPr="002244C7">
              <w:t>Community navigation teams</w:t>
            </w:r>
            <w:r>
              <w:t xml:space="preserve"> provide assistance with finding and securing housing </w:t>
            </w:r>
            <w:r w:rsidRPr="00927738">
              <w:t xml:space="preserve">and look at "continuum of housing from </w:t>
            </w:r>
            <w:r w:rsidRPr="00927738">
              <w:lastRenderedPageBreak/>
              <w:t>sh</w:t>
            </w:r>
            <w:r>
              <w:t>e</w:t>
            </w:r>
            <w:r w:rsidRPr="00927738">
              <w:t>lters, to renting to owning a</w:t>
            </w:r>
            <w:r>
              <w:t xml:space="preserve"> </w:t>
            </w:r>
            <w:r w:rsidRPr="00927738">
              <w:t>home"</w:t>
            </w:r>
            <w:r>
              <w:t xml:space="preserve">. This is part of the Open Doors Recovery Programme for people moving into community from homelessness, prison, hospital. </w:t>
            </w:r>
          </w:p>
        </w:tc>
        <w:tc>
          <w:tcPr>
            <w:tcW w:w="558" w:type="pct"/>
          </w:tcPr>
          <w:p w14:paraId="47EC5444" w14:textId="77777777" w:rsidR="00F245F0" w:rsidRPr="002244C7" w:rsidRDefault="00F245F0" w:rsidP="000038F8">
            <w:r>
              <w:lastRenderedPageBreak/>
              <w:t>USA (Georgia)</w:t>
            </w:r>
          </w:p>
        </w:tc>
        <w:tc>
          <w:tcPr>
            <w:tcW w:w="563" w:type="pct"/>
          </w:tcPr>
          <w:p w14:paraId="50698194" w14:textId="77777777" w:rsidR="00F245F0" w:rsidRDefault="00F245F0" w:rsidP="000038F8">
            <w:r w:rsidRPr="002244C7">
              <w:t>Mental Health Weekly (2011)</w:t>
            </w:r>
          </w:p>
        </w:tc>
        <w:tc>
          <w:tcPr>
            <w:tcW w:w="603" w:type="pct"/>
          </w:tcPr>
          <w:p w14:paraId="7A9CF28A" w14:textId="77777777" w:rsidR="00F245F0" w:rsidRPr="002244C7" w:rsidRDefault="00F245F0" w:rsidP="000038F8">
            <w:r>
              <w:t>People with mental health problems</w:t>
            </w:r>
          </w:p>
        </w:tc>
        <w:tc>
          <w:tcPr>
            <w:tcW w:w="635" w:type="pct"/>
          </w:tcPr>
          <w:p w14:paraId="721187EC" w14:textId="77777777" w:rsidR="00F245F0" w:rsidRPr="002244C7" w:rsidRDefault="00F245F0" w:rsidP="000038F8">
            <w:r>
              <w:t xml:space="preserve">Pilot study. Newsletter. Grey literature. </w:t>
            </w:r>
          </w:p>
        </w:tc>
        <w:tc>
          <w:tcPr>
            <w:tcW w:w="930" w:type="pct"/>
          </w:tcPr>
          <w:p w14:paraId="2598693D" w14:textId="77147C28" w:rsidR="00F245F0" w:rsidRPr="00AF4686" w:rsidRDefault="00CC4A51" w:rsidP="000038F8">
            <w:r>
              <w:t>N/A</w:t>
            </w:r>
          </w:p>
        </w:tc>
        <w:tc>
          <w:tcPr>
            <w:tcW w:w="881" w:type="pct"/>
          </w:tcPr>
          <w:p w14:paraId="630A106A" w14:textId="77777777" w:rsidR="00F245F0" w:rsidRPr="00A35E14" w:rsidRDefault="00F245F0" w:rsidP="000038F8">
            <w:r w:rsidRPr="00A35E14">
              <w:t>Staff support to understand and navigate systems in community to access housing reported as positive.</w:t>
            </w:r>
          </w:p>
        </w:tc>
      </w:tr>
      <w:tr w:rsidR="00CF403A" w:rsidRPr="00A35E14" w14:paraId="0875516A" w14:textId="77777777" w:rsidTr="00E01F76">
        <w:tc>
          <w:tcPr>
            <w:tcW w:w="830" w:type="pct"/>
          </w:tcPr>
          <w:p w14:paraId="3E30D228" w14:textId="77777777" w:rsidR="00CF403A" w:rsidRDefault="00CF403A" w:rsidP="00CF403A">
            <w:pPr>
              <w:rPr>
                <w:b/>
                <w:bCs/>
              </w:rPr>
            </w:pPr>
            <w:r w:rsidRPr="00F5070C">
              <w:rPr>
                <w:b/>
                <w:bCs/>
              </w:rPr>
              <w:t xml:space="preserve">Banyan </w:t>
            </w:r>
            <w:r>
              <w:rPr>
                <w:b/>
                <w:bCs/>
              </w:rPr>
              <w:t>P</w:t>
            </w:r>
            <w:r w:rsidRPr="00F5070C">
              <w:rPr>
                <w:b/>
                <w:bCs/>
              </w:rPr>
              <w:t>rogramme</w:t>
            </w:r>
          </w:p>
          <w:p w14:paraId="71FB2A89" w14:textId="77777777" w:rsidR="00CF403A" w:rsidRPr="00F5070C" w:rsidRDefault="00CF403A" w:rsidP="00CF403A">
            <w:pPr>
              <w:rPr>
                <w:b/>
                <w:bCs/>
              </w:rPr>
            </w:pPr>
          </w:p>
          <w:p w14:paraId="4B9BBA16" w14:textId="77777777" w:rsidR="00CF403A" w:rsidRDefault="00CF403A" w:rsidP="00CF403A">
            <w:r w:rsidRPr="00F5070C">
              <w:t>Graduated programme of living skills supports</w:t>
            </w:r>
          </w:p>
          <w:p w14:paraId="303EC29F" w14:textId="77777777" w:rsidR="00CF403A" w:rsidRDefault="00CF403A" w:rsidP="00CF403A"/>
          <w:p w14:paraId="72BD256D" w14:textId="77777777" w:rsidR="00CF403A" w:rsidRDefault="00CF403A" w:rsidP="00CF403A">
            <w:r w:rsidRPr="00BF5D5C">
              <w:t>Banyan (mental health services organisation) Supported Housing model (five residents per house)</w:t>
            </w:r>
          </w:p>
          <w:p w14:paraId="5D51B45E" w14:textId="77777777" w:rsidR="00CF403A" w:rsidRDefault="00CF403A" w:rsidP="00CF403A"/>
          <w:p w14:paraId="571B1B99" w14:textId="1D270177" w:rsidR="00CF403A" w:rsidRDefault="00CF403A" w:rsidP="00CF403A">
            <w:r w:rsidRPr="00BF5D5C">
              <w:t>Live-in residential sup</w:t>
            </w:r>
            <w:r>
              <w:t>p</w:t>
            </w:r>
            <w:r w:rsidRPr="00BF5D5C">
              <w:t>ort of two health care workers per five residents/household in shifts.</w:t>
            </w:r>
          </w:p>
          <w:p w14:paraId="4EC564BA" w14:textId="77777777" w:rsidR="00CF403A" w:rsidRPr="002244C7" w:rsidRDefault="00CF403A" w:rsidP="00CF403A"/>
        </w:tc>
        <w:tc>
          <w:tcPr>
            <w:tcW w:w="558" w:type="pct"/>
          </w:tcPr>
          <w:p w14:paraId="05B602B3" w14:textId="45FE9D9D" w:rsidR="00CF403A" w:rsidRDefault="00CF403A" w:rsidP="00CF403A">
            <w:r w:rsidRPr="00F5070C">
              <w:t>India</w:t>
            </w:r>
          </w:p>
        </w:tc>
        <w:tc>
          <w:tcPr>
            <w:tcW w:w="563" w:type="pct"/>
          </w:tcPr>
          <w:p w14:paraId="53F1727D" w14:textId="77777777" w:rsidR="00CF403A" w:rsidRPr="00F574C6" w:rsidRDefault="00CF403A" w:rsidP="00CF403A">
            <w:r w:rsidRPr="00F574C6">
              <w:t xml:space="preserve">Padmakar et al </w:t>
            </w:r>
            <w:r>
              <w:t>(</w:t>
            </w:r>
            <w:r w:rsidRPr="00F574C6">
              <w:t>2020</w:t>
            </w:r>
            <w:r>
              <w:t>)</w:t>
            </w:r>
          </w:p>
          <w:p w14:paraId="70C2192C" w14:textId="77777777" w:rsidR="00CF403A" w:rsidRPr="00F574C6" w:rsidRDefault="00CF403A" w:rsidP="00CF403A"/>
          <w:p w14:paraId="32923950" w14:textId="77777777" w:rsidR="00CF403A" w:rsidRPr="002244C7" w:rsidRDefault="00CF403A" w:rsidP="00CF403A"/>
        </w:tc>
        <w:tc>
          <w:tcPr>
            <w:tcW w:w="603" w:type="pct"/>
          </w:tcPr>
          <w:p w14:paraId="614C9F2C" w14:textId="77777777" w:rsidR="00CF403A" w:rsidRPr="00F5070C" w:rsidRDefault="00CF403A" w:rsidP="00CF403A">
            <w:r w:rsidRPr="00F5070C">
              <w:t>Psychiatric illness</w:t>
            </w:r>
          </w:p>
          <w:p w14:paraId="2EAD72F4" w14:textId="5383544B" w:rsidR="00CF403A" w:rsidRDefault="00CF403A" w:rsidP="00CF403A">
            <w:r w:rsidRPr="00F5070C">
              <w:t>N=11</w:t>
            </w:r>
          </w:p>
        </w:tc>
        <w:tc>
          <w:tcPr>
            <w:tcW w:w="635" w:type="pct"/>
          </w:tcPr>
          <w:p w14:paraId="4F1FB9A8" w14:textId="70459E01" w:rsidR="00CF403A" w:rsidRDefault="00CF403A" w:rsidP="00CF403A">
            <w:r w:rsidRPr="00BF5D5C">
              <w:t>One group repeated measures design</w:t>
            </w:r>
          </w:p>
        </w:tc>
        <w:tc>
          <w:tcPr>
            <w:tcW w:w="930" w:type="pct"/>
          </w:tcPr>
          <w:p w14:paraId="0F2232A8" w14:textId="39CB879F" w:rsidR="00CF403A" w:rsidRPr="00AF4686" w:rsidRDefault="00CF403A" w:rsidP="00CF403A">
            <w:r>
              <w:t>Good</w:t>
            </w:r>
          </w:p>
        </w:tc>
        <w:tc>
          <w:tcPr>
            <w:tcW w:w="881" w:type="pct"/>
          </w:tcPr>
          <w:p w14:paraId="2DFE1B98" w14:textId="501EB0F5" w:rsidR="00CF403A" w:rsidRPr="00A35E14" w:rsidRDefault="00CF403A" w:rsidP="00CF403A">
            <w:r w:rsidRPr="00BF5D5C">
              <w:t xml:space="preserve">Significant reduction of psychiatric symptoms in patients </w:t>
            </w:r>
            <w:r>
              <w:t xml:space="preserve">post transition. </w:t>
            </w:r>
            <w:r w:rsidRPr="00BF5D5C">
              <w:t xml:space="preserve">Outcomes on </w:t>
            </w:r>
            <w:r>
              <w:t xml:space="preserve">QoL </w:t>
            </w:r>
            <w:r w:rsidRPr="00BF5D5C">
              <w:t>show</w:t>
            </w:r>
            <w:r>
              <w:t>ed</w:t>
            </w:r>
            <w:r w:rsidRPr="00BF5D5C">
              <w:t xml:space="preserve"> an initial steep incline and then a gradual stabilization across </w:t>
            </w:r>
            <w:r>
              <w:t xml:space="preserve">domains of </w:t>
            </w:r>
            <w:r w:rsidRPr="00BF5D5C">
              <w:t>Physical Health, Psychological, Social Relations and Environment</w:t>
            </w:r>
            <w:r>
              <w:t>.</w:t>
            </w:r>
          </w:p>
        </w:tc>
      </w:tr>
      <w:tr w:rsidR="00CF403A" w:rsidRPr="00AF4686" w14:paraId="56C3C660" w14:textId="77777777" w:rsidTr="00E01F76">
        <w:tc>
          <w:tcPr>
            <w:tcW w:w="830" w:type="pct"/>
          </w:tcPr>
          <w:p w14:paraId="5D6A72FD" w14:textId="77777777" w:rsidR="00CF403A" w:rsidRDefault="00CF403A" w:rsidP="00CF403A">
            <w:r w:rsidRPr="00967B33">
              <w:lastRenderedPageBreak/>
              <w:t>“floating” or “outreach” models, where staff who are based off‐site visit service users in their own individual or shared homes, providing support of flexible intensity."</w:t>
            </w:r>
          </w:p>
          <w:p w14:paraId="57CA3850" w14:textId="77777777" w:rsidR="00CF403A" w:rsidRDefault="00CF403A" w:rsidP="00CF403A"/>
          <w:p w14:paraId="03DF3E31" w14:textId="77777777" w:rsidR="00CF403A" w:rsidRPr="002244C7" w:rsidRDefault="00CF403A" w:rsidP="00CF403A">
            <w:r>
              <w:t>Outreach support is part of the Housing First model for homeless people</w:t>
            </w:r>
          </w:p>
        </w:tc>
        <w:tc>
          <w:tcPr>
            <w:tcW w:w="558" w:type="pct"/>
          </w:tcPr>
          <w:p w14:paraId="26618B36" w14:textId="77777777" w:rsidR="00CF403A" w:rsidRDefault="00CF403A" w:rsidP="00CF403A">
            <w:r>
              <w:t xml:space="preserve">General  </w:t>
            </w:r>
          </w:p>
          <w:p w14:paraId="07264CF2" w14:textId="77777777" w:rsidR="00CF403A" w:rsidRDefault="00CF403A" w:rsidP="00CF403A"/>
          <w:p w14:paraId="63628779" w14:textId="77777777" w:rsidR="00CF403A" w:rsidRDefault="00CF403A" w:rsidP="00CF403A"/>
          <w:p w14:paraId="55F42990" w14:textId="77777777" w:rsidR="00CF403A" w:rsidRDefault="00CF403A" w:rsidP="00CF403A"/>
          <w:p w14:paraId="12EB55C7" w14:textId="77777777" w:rsidR="00CF403A" w:rsidRDefault="00CF403A" w:rsidP="00CF403A"/>
          <w:p w14:paraId="69466C50" w14:textId="77777777" w:rsidR="00CF403A" w:rsidRDefault="00CF403A" w:rsidP="00CF403A"/>
          <w:p w14:paraId="4DB61BAB" w14:textId="77777777" w:rsidR="00CF403A" w:rsidRDefault="00CF403A" w:rsidP="00CF403A"/>
          <w:p w14:paraId="5E504A75" w14:textId="77777777" w:rsidR="00CF403A" w:rsidRDefault="00CF403A" w:rsidP="00CF403A"/>
          <w:p w14:paraId="49455474" w14:textId="77777777" w:rsidR="00CF403A" w:rsidRDefault="00CF403A" w:rsidP="00CF403A"/>
          <w:p w14:paraId="03C5B9D7" w14:textId="77777777" w:rsidR="00CF403A" w:rsidRDefault="00CF403A" w:rsidP="00CF403A">
            <w:r>
              <w:t>Canada</w:t>
            </w:r>
          </w:p>
          <w:p w14:paraId="53771C76" w14:textId="77777777" w:rsidR="00CF403A" w:rsidRDefault="00CF403A" w:rsidP="00CF403A"/>
          <w:p w14:paraId="1B8BACEB" w14:textId="77777777" w:rsidR="00CF403A" w:rsidRDefault="00CF403A" w:rsidP="00CF403A"/>
          <w:p w14:paraId="587562E0" w14:textId="77777777" w:rsidR="00CF403A" w:rsidRDefault="00CF403A" w:rsidP="00CF403A"/>
          <w:p w14:paraId="2A5F0B5C" w14:textId="77777777" w:rsidR="00CF403A" w:rsidRDefault="00CF403A" w:rsidP="00CF403A"/>
          <w:p w14:paraId="1B43960D" w14:textId="77777777" w:rsidR="00CF403A" w:rsidRDefault="00CF403A" w:rsidP="00CF403A"/>
          <w:p w14:paraId="0AE02B18" w14:textId="77777777" w:rsidR="00CF403A" w:rsidRDefault="00CF403A" w:rsidP="00CF403A">
            <w:r>
              <w:t>UK</w:t>
            </w:r>
          </w:p>
          <w:p w14:paraId="54E1FE4D" w14:textId="77777777" w:rsidR="00CF403A" w:rsidRDefault="00CF403A" w:rsidP="00CF403A"/>
          <w:p w14:paraId="7CE5ADDB" w14:textId="77777777" w:rsidR="00CF403A" w:rsidRPr="002244C7" w:rsidRDefault="00CF403A" w:rsidP="00CF403A"/>
        </w:tc>
        <w:tc>
          <w:tcPr>
            <w:tcW w:w="563" w:type="pct"/>
          </w:tcPr>
          <w:p w14:paraId="124B9B41" w14:textId="5287CD45" w:rsidR="00CF403A" w:rsidRDefault="00CF403A" w:rsidP="00CF403A">
            <w:r w:rsidRPr="002244C7">
              <w:t>Killapsy (201</w:t>
            </w:r>
            <w:r w:rsidR="00A06149">
              <w:t>6</w:t>
            </w:r>
            <w:r w:rsidRPr="002244C7">
              <w:t>)</w:t>
            </w:r>
          </w:p>
        </w:tc>
        <w:tc>
          <w:tcPr>
            <w:tcW w:w="603" w:type="pct"/>
          </w:tcPr>
          <w:p w14:paraId="798FC747" w14:textId="77777777" w:rsidR="00CF403A" w:rsidRDefault="00CF403A" w:rsidP="00CF403A">
            <w:r>
              <w:t>People with mental health problems</w:t>
            </w:r>
          </w:p>
          <w:p w14:paraId="1BDCF79D" w14:textId="77777777" w:rsidR="00CF403A" w:rsidRDefault="00CF403A" w:rsidP="00CF403A"/>
          <w:p w14:paraId="07140F97" w14:textId="77777777" w:rsidR="00CF403A" w:rsidRDefault="00CF403A" w:rsidP="00CF403A"/>
          <w:p w14:paraId="27A6C742" w14:textId="77777777" w:rsidR="00CF403A" w:rsidRDefault="00CF403A" w:rsidP="00CF403A"/>
          <w:p w14:paraId="4436F9AE" w14:textId="77777777" w:rsidR="00CF403A" w:rsidRDefault="00CF403A" w:rsidP="00CF403A"/>
          <w:p w14:paraId="0C1565BA" w14:textId="77777777" w:rsidR="00CF403A" w:rsidRDefault="00CF403A" w:rsidP="00CF403A"/>
          <w:p w14:paraId="2BEC380F" w14:textId="77777777" w:rsidR="00CF403A" w:rsidRDefault="00CF403A" w:rsidP="00CF403A"/>
          <w:p w14:paraId="202F66BA" w14:textId="77777777" w:rsidR="00CF403A" w:rsidRPr="002244C7" w:rsidRDefault="00CF403A" w:rsidP="00CF403A">
            <w:r>
              <w:t>People with mental health problems and homeless</w:t>
            </w:r>
          </w:p>
        </w:tc>
        <w:tc>
          <w:tcPr>
            <w:tcW w:w="635" w:type="pct"/>
          </w:tcPr>
          <w:p w14:paraId="5584A7CA" w14:textId="77777777" w:rsidR="00CF403A" w:rsidRPr="002244C7" w:rsidRDefault="00CF403A" w:rsidP="00CF403A">
            <w:r>
              <w:t>Discussion paper. Grey literature.</w:t>
            </w:r>
          </w:p>
        </w:tc>
        <w:tc>
          <w:tcPr>
            <w:tcW w:w="930" w:type="pct"/>
          </w:tcPr>
          <w:p w14:paraId="0E921575" w14:textId="17F0E960" w:rsidR="00CF403A" w:rsidRPr="00102936" w:rsidRDefault="004D28EB" w:rsidP="00CF403A">
            <w:r w:rsidRPr="00102936">
              <w:t>N/A</w:t>
            </w:r>
          </w:p>
          <w:p w14:paraId="154DF316" w14:textId="77777777" w:rsidR="00CF403A" w:rsidRDefault="00CF403A" w:rsidP="00CF403A">
            <w:pPr>
              <w:rPr>
                <w:b/>
                <w:bCs/>
              </w:rPr>
            </w:pPr>
          </w:p>
          <w:p w14:paraId="6A7354B4" w14:textId="77777777" w:rsidR="00CF403A" w:rsidRDefault="00CF403A" w:rsidP="00CF403A">
            <w:pPr>
              <w:rPr>
                <w:b/>
                <w:bCs/>
              </w:rPr>
            </w:pPr>
          </w:p>
          <w:p w14:paraId="658562B1" w14:textId="77777777" w:rsidR="00CF403A" w:rsidRDefault="00CF403A" w:rsidP="00CF403A">
            <w:pPr>
              <w:rPr>
                <w:b/>
                <w:bCs/>
              </w:rPr>
            </w:pPr>
          </w:p>
          <w:p w14:paraId="49281051" w14:textId="77777777" w:rsidR="00CF403A" w:rsidRDefault="00CF403A" w:rsidP="00CF403A">
            <w:pPr>
              <w:rPr>
                <w:b/>
                <w:bCs/>
              </w:rPr>
            </w:pPr>
          </w:p>
          <w:p w14:paraId="2106E279" w14:textId="77777777" w:rsidR="00CF403A" w:rsidRDefault="00CF403A" w:rsidP="00CF403A">
            <w:pPr>
              <w:rPr>
                <w:b/>
                <w:bCs/>
              </w:rPr>
            </w:pPr>
          </w:p>
          <w:p w14:paraId="2B49FA53" w14:textId="77777777" w:rsidR="00CF403A" w:rsidRDefault="00CF403A" w:rsidP="00CF403A"/>
          <w:p w14:paraId="5015074F" w14:textId="77777777" w:rsidR="00CF403A" w:rsidRDefault="00CF403A" w:rsidP="00CF403A"/>
          <w:p w14:paraId="51C654A3" w14:textId="77777777" w:rsidR="00CF403A" w:rsidRDefault="00CF403A" w:rsidP="00CF403A"/>
          <w:p w14:paraId="40A9E37B" w14:textId="77777777" w:rsidR="00CF403A" w:rsidRDefault="00CF403A" w:rsidP="00CF403A"/>
          <w:p w14:paraId="5088BF99" w14:textId="232BD145" w:rsidR="00CF403A" w:rsidRPr="00CA2E2C" w:rsidRDefault="00CF403A" w:rsidP="00CF403A"/>
        </w:tc>
        <w:tc>
          <w:tcPr>
            <w:tcW w:w="881" w:type="pct"/>
          </w:tcPr>
          <w:p w14:paraId="292B2939" w14:textId="77777777" w:rsidR="00CF403A" w:rsidRDefault="00CF403A" w:rsidP="00CF403A">
            <w:r w:rsidRPr="00AF4686">
              <w:t xml:space="preserve">Outreach models muted as </w:t>
            </w:r>
            <w:r>
              <w:t xml:space="preserve">potential </w:t>
            </w:r>
            <w:r w:rsidRPr="00AF4686">
              <w:t>enablers for community living for people with mental health problems</w:t>
            </w:r>
            <w:r>
              <w:t xml:space="preserve"> but limited evidence available and author calls for more research</w:t>
            </w:r>
          </w:p>
          <w:p w14:paraId="77D944F9" w14:textId="77777777" w:rsidR="00CF403A" w:rsidRDefault="00CF403A" w:rsidP="00CF403A"/>
          <w:p w14:paraId="6537F96B" w14:textId="54A9FF20" w:rsidR="00CF403A" w:rsidRDefault="004D28EB" w:rsidP="00CF403A">
            <w:r w:rsidRPr="00CA2E2C">
              <w:t xml:space="preserve">Reports on recent RCT that assessed this model </w:t>
            </w:r>
            <w:r>
              <w:t>.</w:t>
            </w:r>
            <w:r w:rsidR="00CF403A">
              <w:t>Showed improve housing stability but no significant difference in quality of life between the two groups</w:t>
            </w:r>
          </w:p>
          <w:p w14:paraId="2F686C8B" w14:textId="77777777" w:rsidR="00CF403A" w:rsidRDefault="00CF403A" w:rsidP="00CF403A"/>
          <w:p w14:paraId="5418CED6" w14:textId="6308094C" w:rsidR="00CF403A" w:rsidRPr="00AF4686" w:rsidRDefault="004D28EB" w:rsidP="00CF403A">
            <w:r>
              <w:t xml:space="preserve">Feasibility trial of outreach model. </w:t>
            </w:r>
            <w:r w:rsidR="00CF403A">
              <w:t>Comparison to supported housing and link provided but no detailed reporting.</w:t>
            </w:r>
          </w:p>
        </w:tc>
      </w:tr>
    </w:tbl>
    <w:p w14:paraId="5CCF67E9" w14:textId="5DE99223" w:rsidR="00E01F76" w:rsidRPr="00E94D61" w:rsidRDefault="00E01F76" w:rsidP="00E01F76">
      <w:pPr>
        <w:pStyle w:val="ListParagraph"/>
        <w:spacing w:line="360" w:lineRule="auto"/>
        <w:jc w:val="both"/>
        <w:rPr>
          <w:sz w:val="20"/>
          <w:szCs w:val="20"/>
        </w:rPr>
      </w:pPr>
      <w:r>
        <w:rPr>
          <w:sz w:val="20"/>
          <w:szCs w:val="20"/>
        </w:rPr>
        <w:t>*Quality was assessed using the Joanna Briggs Instrument with, poor &lt;=50%, fair&lt;=76%</w:t>
      </w:r>
      <w:r w:rsidR="00377730">
        <w:rPr>
          <w:sz w:val="20"/>
          <w:szCs w:val="20"/>
        </w:rPr>
        <w:t xml:space="preserve">, </w:t>
      </w:r>
      <w:r>
        <w:rPr>
          <w:sz w:val="20"/>
          <w:szCs w:val="20"/>
        </w:rPr>
        <w:t xml:space="preserve"> good&gt;75%, of criteria met. N/A means not applicable and refers to documents that were not quality assessed (grey literature)</w:t>
      </w:r>
    </w:p>
    <w:p w14:paraId="198FED4B" w14:textId="77777777" w:rsidR="00296F58" w:rsidRDefault="00296F58" w:rsidP="00F245F0">
      <w:pPr>
        <w:sectPr w:rsidR="00296F58" w:rsidSect="00296F58">
          <w:headerReference w:type="default" r:id="rId56"/>
          <w:footerReference w:type="default" r:id="rId57"/>
          <w:pgSz w:w="15840" w:h="12240" w:orient="landscape"/>
          <w:pgMar w:top="1440" w:right="1440" w:bottom="1440" w:left="1440" w:header="720" w:footer="720" w:gutter="0"/>
          <w:cols w:space="720"/>
          <w:docGrid w:linePitch="360"/>
        </w:sectPr>
      </w:pPr>
    </w:p>
    <w:p w14:paraId="73930F36" w14:textId="7E56EF28" w:rsidR="00DF09CF" w:rsidRDefault="00DF09CF" w:rsidP="00DF09CF">
      <w:pPr>
        <w:pStyle w:val="Heading4"/>
        <w:rPr>
          <w:rFonts w:eastAsia="Times New Roman"/>
          <w:lang w:val="en-GB"/>
        </w:rPr>
      </w:pPr>
      <w:r>
        <w:rPr>
          <w:rFonts w:eastAsia="Times New Roman"/>
          <w:lang w:val="en-GB"/>
        </w:rPr>
        <w:lastRenderedPageBreak/>
        <w:t>Assistive technology and housing modif</w:t>
      </w:r>
      <w:r w:rsidR="00194C20">
        <w:rPr>
          <w:rFonts w:eastAsia="Times New Roman"/>
          <w:lang w:val="en-GB"/>
        </w:rPr>
        <w:t>i</w:t>
      </w:r>
      <w:r>
        <w:rPr>
          <w:rFonts w:eastAsia="Times New Roman"/>
          <w:lang w:val="en-GB"/>
        </w:rPr>
        <w:t>cations</w:t>
      </w:r>
    </w:p>
    <w:p w14:paraId="520D4887" w14:textId="7C6FED0C" w:rsidR="003A0EDF" w:rsidRDefault="00442672" w:rsidP="00A06149">
      <w:pPr>
        <w:spacing w:before="120" w:line="360" w:lineRule="auto"/>
      </w:pPr>
      <w:r>
        <w:t xml:space="preserve">The role of assistive technology in supporting independence </w:t>
      </w:r>
      <w:r w:rsidR="003A352F">
        <w:t>as well as supporting people with disabilities to age in place was examined in the grey literature</w:t>
      </w:r>
      <w:r w:rsidR="00E44F0F">
        <w:t xml:space="preserve"> (n=3)</w:t>
      </w:r>
      <w:r w:rsidR="0028247C">
        <w:t>. H</w:t>
      </w:r>
      <w:r w:rsidR="0028247C" w:rsidRPr="007B5273">
        <w:t xml:space="preserve">ome maintenance and improvement funds were </w:t>
      </w:r>
      <w:r w:rsidR="0028247C">
        <w:t xml:space="preserve">reported as provided </w:t>
      </w:r>
      <w:r w:rsidR="0028247C" w:rsidRPr="007B5273">
        <w:t xml:space="preserve">by some programmes </w:t>
      </w:r>
      <w:r w:rsidR="0028247C">
        <w:t xml:space="preserve">in Australia such as the </w:t>
      </w:r>
      <w:r w:rsidR="0028247C" w:rsidRPr="007B5273">
        <w:t>Disability Gateway</w:t>
      </w:r>
      <w:r w:rsidR="0028247C">
        <w:t xml:space="preserve"> (Wiesel et al 2105). N</w:t>
      </w:r>
      <w:r w:rsidR="003A352F">
        <w:t>o</w:t>
      </w:r>
      <w:r w:rsidR="0028247C">
        <w:t xml:space="preserve"> other academic studies addressed this issue. </w:t>
      </w:r>
      <w:r w:rsidR="003A0EDF">
        <w:t>Apartments for life (AFL) could be categori</w:t>
      </w:r>
      <w:r w:rsidR="00E31B51">
        <w:t>s</w:t>
      </w:r>
      <w:r w:rsidR="003A0EDF">
        <w:t xml:space="preserve">ed under housing models but was placed here due to its focus on assistive technology. </w:t>
      </w:r>
    </w:p>
    <w:p w14:paraId="6CE5D5C0" w14:textId="48461246" w:rsidR="00BF0543" w:rsidRDefault="00BF0543" w:rsidP="00A06149">
      <w:pPr>
        <w:spacing w:before="120" w:line="360" w:lineRule="auto"/>
      </w:pPr>
    </w:p>
    <w:p w14:paraId="4337D415" w14:textId="77777777" w:rsidR="00BF0543" w:rsidRDefault="00BF0543" w:rsidP="00A06149">
      <w:pPr>
        <w:spacing w:before="120" w:line="360" w:lineRule="auto"/>
      </w:pPr>
    </w:p>
    <w:p w14:paraId="2402EF09" w14:textId="77777777" w:rsidR="00296F58" w:rsidRDefault="00296F58" w:rsidP="000F0B20">
      <w:pPr>
        <w:spacing w:line="360" w:lineRule="auto"/>
        <w:sectPr w:rsidR="00296F58" w:rsidSect="00296F58">
          <w:headerReference w:type="default" r:id="rId58"/>
          <w:footerReference w:type="default" r:id="rId59"/>
          <w:pgSz w:w="12240" w:h="15840"/>
          <w:pgMar w:top="1440" w:right="1440" w:bottom="1440" w:left="1440" w:header="720" w:footer="720" w:gutter="0"/>
          <w:cols w:space="720"/>
          <w:docGrid w:linePitch="360"/>
        </w:sectPr>
      </w:pPr>
    </w:p>
    <w:p w14:paraId="0075C4D5" w14:textId="73A5E191" w:rsidR="00DF09CF" w:rsidRPr="006C763F" w:rsidRDefault="00296F58" w:rsidP="00296F58">
      <w:pPr>
        <w:pStyle w:val="Caption"/>
        <w:rPr>
          <w:b/>
          <w:bCs/>
          <w:lang w:val="en-GB"/>
        </w:rPr>
      </w:pPr>
      <w:bookmarkStart w:id="53" w:name="_Toc66355191"/>
      <w:r>
        <w:lastRenderedPageBreak/>
        <w:t xml:space="preserve">Table </w:t>
      </w:r>
      <w:r>
        <w:fldChar w:fldCharType="begin"/>
      </w:r>
      <w:r>
        <w:instrText>SEQ Table \* ARABIC</w:instrText>
      </w:r>
      <w:r>
        <w:fldChar w:fldCharType="separate"/>
      </w:r>
      <w:r w:rsidR="000E7FFE">
        <w:rPr>
          <w:noProof/>
        </w:rPr>
        <w:t>12</w:t>
      </w:r>
      <w:r>
        <w:fldChar w:fldCharType="end"/>
      </w:r>
      <w:r w:rsidR="00A01722" w:rsidRPr="006C763F">
        <w:rPr>
          <w:b/>
          <w:bCs/>
          <w:lang w:val="en-GB"/>
        </w:rPr>
        <w:t xml:space="preserve"> </w:t>
      </w:r>
      <w:r w:rsidR="000F0B20" w:rsidRPr="006C763F">
        <w:rPr>
          <w:b/>
          <w:bCs/>
          <w:lang w:val="en-GB"/>
        </w:rPr>
        <w:t>Assistive technology and housing modifications</w:t>
      </w:r>
      <w:bookmarkEnd w:id="53"/>
    </w:p>
    <w:tbl>
      <w:tblPr>
        <w:tblStyle w:val="TableGrid"/>
        <w:tblW w:w="5000" w:type="pct"/>
        <w:tblLook w:val="04A0" w:firstRow="1" w:lastRow="0" w:firstColumn="1" w:lastColumn="0" w:noHBand="0" w:noVBand="1"/>
      </w:tblPr>
      <w:tblGrid>
        <w:gridCol w:w="2163"/>
        <w:gridCol w:w="1450"/>
        <w:gridCol w:w="1481"/>
        <w:gridCol w:w="1481"/>
        <w:gridCol w:w="1658"/>
        <w:gridCol w:w="2422"/>
        <w:gridCol w:w="2295"/>
      </w:tblGrid>
      <w:tr w:rsidR="00FD3A92" w:rsidRPr="00A802E7" w14:paraId="54EEDAB5" w14:textId="77777777" w:rsidTr="00296F58">
        <w:trPr>
          <w:tblHeader/>
        </w:trPr>
        <w:tc>
          <w:tcPr>
            <w:tcW w:w="835" w:type="pct"/>
            <w:shd w:val="clear" w:color="auto" w:fill="FFFF00"/>
          </w:tcPr>
          <w:p w14:paraId="015CBA62" w14:textId="77777777" w:rsidR="00FD3A92" w:rsidRPr="00A802E7" w:rsidRDefault="00FD3A92" w:rsidP="000038F8">
            <w:pPr>
              <w:rPr>
                <w:b/>
                <w:bCs/>
              </w:rPr>
            </w:pPr>
            <w:r w:rsidRPr="00A802E7">
              <w:rPr>
                <w:b/>
                <w:bCs/>
              </w:rPr>
              <w:t xml:space="preserve">Characteristics of </w:t>
            </w:r>
            <w:r>
              <w:rPr>
                <w:b/>
                <w:bCs/>
              </w:rPr>
              <w:t>assistive technology</w:t>
            </w:r>
          </w:p>
        </w:tc>
        <w:tc>
          <w:tcPr>
            <w:tcW w:w="560" w:type="pct"/>
            <w:shd w:val="clear" w:color="auto" w:fill="FFFF00"/>
          </w:tcPr>
          <w:p w14:paraId="5D66F620" w14:textId="77777777" w:rsidR="00FD3A92" w:rsidRPr="00A802E7" w:rsidRDefault="00FD3A92" w:rsidP="000038F8">
            <w:pPr>
              <w:rPr>
                <w:b/>
                <w:bCs/>
              </w:rPr>
            </w:pPr>
            <w:r w:rsidRPr="00A802E7">
              <w:rPr>
                <w:b/>
                <w:bCs/>
              </w:rPr>
              <w:t>Countries this approach has been implemented</w:t>
            </w:r>
          </w:p>
        </w:tc>
        <w:tc>
          <w:tcPr>
            <w:tcW w:w="572" w:type="pct"/>
            <w:shd w:val="clear" w:color="auto" w:fill="FFFF00"/>
          </w:tcPr>
          <w:p w14:paraId="51FD1021" w14:textId="77777777" w:rsidR="00FD3A92" w:rsidRPr="00A802E7" w:rsidRDefault="00FD3A92" w:rsidP="000038F8">
            <w:pPr>
              <w:rPr>
                <w:b/>
                <w:bCs/>
              </w:rPr>
            </w:pPr>
            <w:r w:rsidRPr="00A802E7">
              <w:rPr>
                <w:b/>
                <w:bCs/>
              </w:rPr>
              <w:t>Author</w:t>
            </w:r>
            <w:r>
              <w:rPr>
                <w:b/>
                <w:bCs/>
              </w:rPr>
              <w:t xml:space="preserve"> (</w:t>
            </w:r>
            <w:r w:rsidRPr="00A802E7">
              <w:rPr>
                <w:b/>
                <w:bCs/>
              </w:rPr>
              <w:t>Year</w:t>
            </w:r>
            <w:r>
              <w:rPr>
                <w:b/>
                <w:bCs/>
              </w:rPr>
              <w:t>)</w:t>
            </w:r>
          </w:p>
        </w:tc>
        <w:tc>
          <w:tcPr>
            <w:tcW w:w="572" w:type="pct"/>
            <w:shd w:val="clear" w:color="auto" w:fill="FFFF00"/>
          </w:tcPr>
          <w:p w14:paraId="74609382" w14:textId="77777777" w:rsidR="00FD3A92" w:rsidRPr="00A802E7" w:rsidRDefault="00FD3A92" w:rsidP="000038F8">
            <w:pPr>
              <w:rPr>
                <w:b/>
                <w:bCs/>
              </w:rPr>
            </w:pPr>
            <w:r w:rsidRPr="00A802E7">
              <w:rPr>
                <w:b/>
                <w:bCs/>
              </w:rPr>
              <w:t>Participants</w:t>
            </w:r>
          </w:p>
        </w:tc>
        <w:tc>
          <w:tcPr>
            <w:tcW w:w="640" w:type="pct"/>
            <w:shd w:val="clear" w:color="auto" w:fill="FFFF00"/>
          </w:tcPr>
          <w:p w14:paraId="3807D40B" w14:textId="77777777" w:rsidR="00FD3A92" w:rsidRPr="00A802E7" w:rsidRDefault="00FD3A92" w:rsidP="000038F8">
            <w:pPr>
              <w:rPr>
                <w:b/>
                <w:bCs/>
              </w:rPr>
            </w:pPr>
            <w:r w:rsidRPr="00A802E7">
              <w:rPr>
                <w:b/>
                <w:bCs/>
              </w:rPr>
              <w:t>Type of study</w:t>
            </w:r>
          </w:p>
        </w:tc>
        <w:tc>
          <w:tcPr>
            <w:tcW w:w="935" w:type="pct"/>
            <w:shd w:val="clear" w:color="auto" w:fill="FFFF00"/>
          </w:tcPr>
          <w:p w14:paraId="1F5E808A" w14:textId="64983DD3" w:rsidR="00FD3A92" w:rsidRPr="00A802E7" w:rsidRDefault="00FD3A92" w:rsidP="000038F8">
            <w:pPr>
              <w:rPr>
                <w:b/>
                <w:bCs/>
              </w:rPr>
            </w:pPr>
            <w:r w:rsidRPr="00A802E7">
              <w:rPr>
                <w:b/>
                <w:bCs/>
              </w:rPr>
              <w:t>Quality</w:t>
            </w:r>
            <w:r w:rsidR="00E01F76">
              <w:rPr>
                <w:b/>
                <w:bCs/>
              </w:rPr>
              <w:t>*</w:t>
            </w:r>
          </w:p>
        </w:tc>
        <w:tc>
          <w:tcPr>
            <w:tcW w:w="886" w:type="pct"/>
            <w:shd w:val="clear" w:color="auto" w:fill="FFFF00"/>
          </w:tcPr>
          <w:p w14:paraId="0776001C" w14:textId="77777777" w:rsidR="00FD3A92" w:rsidRPr="00A802E7" w:rsidRDefault="00FD3A92" w:rsidP="000038F8">
            <w:pPr>
              <w:rPr>
                <w:b/>
                <w:bCs/>
              </w:rPr>
            </w:pPr>
            <w:r w:rsidRPr="00A802E7">
              <w:rPr>
                <w:b/>
                <w:bCs/>
              </w:rPr>
              <w:t>Findings</w:t>
            </w:r>
          </w:p>
        </w:tc>
      </w:tr>
      <w:tr w:rsidR="00FD3A92" w:rsidRPr="00A802E7" w14:paraId="75C8337D" w14:textId="77777777" w:rsidTr="00296F58">
        <w:tc>
          <w:tcPr>
            <w:tcW w:w="835" w:type="pct"/>
          </w:tcPr>
          <w:p w14:paraId="6A4935DB" w14:textId="77777777" w:rsidR="00FD3A92" w:rsidRPr="007F39EA" w:rsidRDefault="00FD3A92" w:rsidP="000038F8">
            <w:r w:rsidRPr="007F39EA">
              <w:t xml:space="preserve">Ageing and </w:t>
            </w:r>
            <w:r>
              <w:t>D</w:t>
            </w:r>
            <w:r w:rsidRPr="007F39EA">
              <w:t xml:space="preserve">isability </w:t>
            </w:r>
            <w:r>
              <w:t>R</w:t>
            </w:r>
            <w:r w:rsidRPr="007F39EA">
              <w:t xml:space="preserve">esource </w:t>
            </w:r>
            <w:r>
              <w:t>C</w:t>
            </w:r>
            <w:r w:rsidRPr="007F39EA">
              <w:t>entres (ADRC) - one stop shops to help people make decisions accessed through web</w:t>
            </w:r>
          </w:p>
        </w:tc>
        <w:tc>
          <w:tcPr>
            <w:tcW w:w="560" w:type="pct"/>
          </w:tcPr>
          <w:p w14:paraId="15A4062D" w14:textId="77777777" w:rsidR="00FD3A92" w:rsidRPr="007F39EA" w:rsidRDefault="00FD3A92" w:rsidP="000038F8">
            <w:r w:rsidRPr="007F39EA">
              <w:t>USA</w:t>
            </w:r>
          </w:p>
        </w:tc>
        <w:tc>
          <w:tcPr>
            <w:tcW w:w="572" w:type="pct"/>
          </w:tcPr>
          <w:p w14:paraId="508DAA3D" w14:textId="77777777" w:rsidR="00FD3A92" w:rsidRDefault="00FD3A92" w:rsidP="000038F8">
            <w:r w:rsidRPr="007F39EA">
              <w:t>Shirk et al (2007)</w:t>
            </w:r>
          </w:p>
        </w:tc>
        <w:tc>
          <w:tcPr>
            <w:tcW w:w="572" w:type="pct"/>
          </w:tcPr>
          <w:p w14:paraId="65C8C159" w14:textId="77777777" w:rsidR="00FD3A92" w:rsidRPr="007F39EA" w:rsidRDefault="00FD3A92" w:rsidP="000038F8">
            <w:r>
              <w:t xml:space="preserve">People with disabilities and older people </w:t>
            </w:r>
          </w:p>
        </w:tc>
        <w:tc>
          <w:tcPr>
            <w:tcW w:w="640" w:type="pct"/>
          </w:tcPr>
          <w:p w14:paraId="61AE4F58" w14:textId="77777777" w:rsidR="00FD3A92" w:rsidRPr="007F39EA" w:rsidRDefault="00FD3A92" w:rsidP="000038F8">
            <w:r>
              <w:t xml:space="preserve">Issue brief. Grey literature. </w:t>
            </w:r>
          </w:p>
        </w:tc>
        <w:tc>
          <w:tcPr>
            <w:tcW w:w="935" w:type="pct"/>
          </w:tcPr>
          <w:p w14:paraId="7726BEE7" w14:textId="29856D02" w:rsidR="00FD3A92" w:rsidRPr="007F39EA" w:rsidRDefault="00E44F0F" w:rsidP="000038F8">
            <w:r>
              <w:t>N/A</w:t>
            </w:r>
            <w:r w:rsidR="00FD3A92">
              <w:t xml:space="preserve"> </w:t>
            </w:r>
          </w:p>
        </w:tc>
        <w:tc>
          <w:tcPr>
            <w:tcW w:w="886" w:type="pct"/>
          </w:tcPr>
          <w:p w14:paraId="24769F41" w14:textId="77777777" w:rsidR="00FD3A92" w:rsidRPr="007F39EA" w:rsidRDefault="00FD3A92" w:rsidP="000038F8">
            <w:r>
              <w:t xml:space="preserve">Reports on initiatives to promote affordable housing by working with housing authorities and developers, including education campaigns, task forces, support in accessing rent subsidies and home modifications. </w:t>
            </w:r>
          </w:p>
        </w:tc>
      </w:tr>
      <w:tr w:rsidR="00FD3A92" w:rsidRPr="00A802E7" w14:paraId="15BBFF80" w14:textId="77777777" w:rsidTr="00296F58">
        <w:tc>
          <w:tcPr>
            <w:tcW w:w="835" w:type="pct"/>
          </w:tcPr>
          <w:p w14:paraId="1C6C2910" w14:textId="77777777" w:rsidR="00FD3A92" w:rsidRPr="00171289" w:rsidRDefault="00FD3A92" w:rsidP="000038F8">
            <w:r w:rsidRPr="00171289">
              <w:t>Centres for Independent living web based resources include peer counselling; self</w:t>
            </w:r>
            <w:r>
              <w:t>-</w:t>
            </w:r>
            <w:r w:rsidRPr="00171289">
              <w:t xml:space="preserve">advocacy, systemic advocacy; independent living skills; information and referral </w:t>
            </w:r>
          </w:p>
        </w:tc>
        <w:tc>
          <w:tcPr>
            <w:tcW w:w="560" w:type="pct"/>
          </w:tcPr>
          <w:p w14:paraId="7C701EF4" w14:textId="77777777" w:rsidR="00FD3A92" w:rsidRPr="00AA313C" w:rsidRDefault="00FD3A92" w:rsidP="000038F8">
            <w:r w:rsidRPr="00AA313C">
              <w:t>USA</w:t>
            </w:r>
          </w:p>
        </w:tc>
        <w:tc>
          <w:tcPr>
            <w:tcW w:w="572" w:type="pct"/>
          </w:tcPr>
          <w:p w14:paraId="7460762A" w14:textId="5A0F0DCC" w:rsidR="00FD3A92" w:rsidRPr="00AA313C" w:rsidRDefault="00FD3A92" w:rsidP="000038F8">
            <w:r w:rsidRPr="00AA313C">
              <w:t xml:space="preserve">Ritchie </w:t>
            </w:r>
            <w:r w:rsidR="00787CF0">
              <w:t xml:space="preserve">&amp; </w:t>
            </w:r>
            <w:r w:rsidRPr="00AA313C">
              <w:t xml:space="preserve"> Blanck (2004)</w:t>
            </w:r>
          </w:p>
        </w:tc>
        <w:tc>
          <w:tcPr>
            <w:tcW w:w="572" w:type="pct"/>
          </w:tcPr>
          <w:p w14:paraId="33A22F75" w14:textId="77777777" w:rsidR="00FD3A92" w:rsidRPr="00AA313C" w:rsidRDefault="00FD3A92" w:rsidP="000038F8">
            <w:r w:rsidRPr="00AA313C">
              <w:t>People with disabilities</w:t>
            </w:r>
          </w:p>
        </w:tc>
        <w:tc>
          <w:tcPr>
            <w:tcW w:w="640" w:type="pct"/>
          </w:tcPr>
          <w:p w14:paraId="70035B44" w14:textId="77777777" w:rsidR="00FD3A92" w:rsidRPr="00AA313C" w:rsidRDefault="00FD3A92" w:rsidP="000038F8">
            <w:r>
              <w:t>Desk-based study. Review of 200 CIL websites. Grey literature.</w:t>
            </w:r>
          </w:p>
        </w:tc>
        <w:tc>
          <w:tcPr>
            <w:tcW w:w="935" w:type="pct"/>
          </w:tcPr>
          <w:p w14:paraId="4BD12FA5" w14:textId="7EB3BAB1" w:rsidR="00FD3A92" w:rsidRPr="00AA313C" w:rsidRDefault="00E44F0F" w:rsidP="000038F8">
            <w:r>
              <w:t>N/A</w:t>
            </w:r>
          </w:p>
        </w:tc>
        <w:tc>
          <w:tcPr>
            <w:tcW w:w="886" w:type="pct"/>
          </w:tcPr>
          <w:p w14:paraId="331DB52B" w14:textId="5F84FF06" w:rsidR="00FD3A92" w:rsidRPr="00AA313C" w:rsidRDefault="00FD3A92" w:rsidP="000038F8">
            <w:r>
              <w:t>Examines trend towards using internet to provide independent living supports. Authors note that i</w:t>
            </w:r>
            <w:r w:rsidRPr="00AA313C">
              <w:t>nternet is being used to promote consumer management over services</w:t>
            </w:r>
          </w:p>
        </w:tc>
      </w:tr>
      <w:tr w:rsidR="00FD3A92" w:rsidRPr="00A802E7" w14:paraId="6532898A" w14:textId="77777777" w:rsidTr="00296F58">
        <w:tc>
          <w:tcPr>
            <w:tcW w:w="835" w:type="pct"/>
          </w:tcPr>
          <w:p w14:paraId="684592E9" w14:textId="77777777" w:rsidR="00FD3A92" w:rsidRPr="00197A88" w:rsidRDefault="00FD3A92" w:rsidP="000038F8">
            <w:r w:rsidRPr="00197A88">
              <w:t xml:space="preserve">Advanced home care models which use communication and monitoring technology to maintain people in </w:t>
            </w:r>
            <w:r w:rsidRPr="00197A88">
              <w:lastRenderedPageBreak/>
              <w:t>own conventional housing</w:t>
            </w:r>
          </w:p>
          <w:p w14:paraId="5021E470" w14:textId="77777777" w:rsidR="00FD3A92" w:rsidRPr="00197A88" w:rsidRDefault="00FD3A92" w:rsidP="000038F8"/>
          <w:p w14:paraId="3F4576D4" w14:textId="77777777" w:rsidR="00FD3A92" w:rsidRPr="00197A88" w:rsidRDefault="00FD3A92" w:rsidP="000038F8">
            <w:r w:rsidRPr="00197A88">
              <w:t>Apartments for life (AFL) which incorporate home care support; stimulating senses and creating happiness</w:t>
            </w:r>
          </w:p>
        </w:tc>
        <w:tc>
          <w:tcPr>
            <w:tcW w:w="560" w:type="pct"/>
          </w:tcPr>
          <w:p w14:paraId="66EC6A32" w14:textId="77777777" w:rsidR="00FD3A92" w:rsidRPr="00197A88" w:rsidRDefault="00FD3A92" w:rsidP="000038F8">
            <w:r w:rsidRPr="00197A88">
              <w:lastRenderedPageBreak/>
              <w:t>USA</w:t>
            </w:r>
          </w:p>
          <w:p w14:paraId="16B2EF6F" w14:textId="77777777" w:rsidR="00FD3A92" w:rsidRPr="00197A88" w:rsidRDefault="00FD3A92" w:rsidP="000038F8"/>
          <w:p w14:paraId="6998450C" w14:textId="77777777" w:rsidR="00FD3A92" w:rsidRPr="00197A88" w:rsidRDefault="00FD3A92" w:rsidP="000038F8"/>
          <w:p w14:paraId="119DC164" w14:textId="77777777" w:rsidR="00FD3A92" w:rsidRPr="00197A88" w:rsidRDefault="00FD3A92" w:rsidP="000038F8"/>
          <w:p w14:paraId="6C10DF9C" w14:textId="77777777" w:rsidR="00FD3A92" w:rsidRPr="00197A88" w:rsidRDefault="00FD3A92" w:rsidP="000038F8"/>
          <w:p w14:paraId="5E5F4C0C" w14:textId="77777777" w:rsidR="00FD3A92" w:rsidRPr="00197A88" w:rsidRDefault="00FD3A92" w:rsidP="000038F8"/>
          <w:p w14:paraId="08F54340" w14:textId="77777777" w:rsidR="00FD3A92" w:rsidRPr="00197A88" w:rsidRDefault="00FD3A92" w:rsidP="000038F8"/>
          <w:p w14:paraId="4421AE64" w14:textId="77777777" w:rsidR="00FD3A92" w:rsidRPr="00197A88" w:rsidRDefault="00FD3A92" w:rsidP="000038F8"/>
          <w:p w14:paraId="5B2BF862" w14:textId="77777777" w:rsidR="00FD3A92" w:rsidRPr="00197A88" w:rsidRDefault="00FD3A92" w:rsidP="000038F8">
            <w:r w:rsidRPr="00197A88">
              <w:t xml:space="preserve">Netherlands </w:t>
            </w:r>
          </w:p>
        </w:tc>
        <w:tc>
          <w:tcPr>
            <w:tcW w:w="572" w:type="pct"/>
          </w:tcPr>
          <w:p w14:paraId="40E4C16F" w14:textId="0E911E48" w:rsidR="00FD3A92" w:rsidRPr="00197A88" w:rsidRDefault="00FD3A92" w:rsidP="000038F8">
            <w:r w:rsidRPr="00197A88">
              <w:lastRenderedPageBreak/>
              <w:t xml:space="preserve">Regnier </w:t>
            </w:r>
            <w:r w:rsidR="00787CF0">
              <w:t xml:space="preserve">&amp; </w:t>
            </w:r>
            <w:r w:rsidRPr="00197A88">
              <w:t>Denton (2009)</w:t>
            </w:r>
          </w:p>
          <w:p w14:paraId="22DDA681" w14:textId="77777777" w:rsidR="00FD3A92" w:rsidRPr="00197A88" w:rsidRDefault="00FD3A92" w:rsidP="000038F8"/>
          <w:p w14:paraId="2C495AE9" w14:textId="77777777" w:rsidR="00FD3A92" w:rsidRPr="00197A88" w:rsidRDefault="00FD3A92" w:rsidP="000038F8"/>
          <w:p w14:paraId="15317164" w14:textId="77777777" w:rsidR="00FD3A92" w:rsidRPr="00197A88" w:rsidRDefault="00FD3A92" w:rsidP="000038F8"/>
          <w:p w14:paraId="24D7CD84" w14:textId="77777777" w:rsidR="00FD3A92" w:rsidRPr="00197A88" w:rsidRDefault="00FD3A92" w:rsidP="000038F8"/>
          <w:p w14:paraId="7CA41E3B" w14:textId="77777777" w:rsidR="00FD3A92" w:rsidRPr="00197A88" w:rsidRDefault="00FD3A92" w:rsidP="000038F8"/>
          <w:p w14:paraId="3F28B8D7" w14:textId="3F88C42F" w:rsidR="00FD3A92" w:rsidRPr="00197A88" w:rsidRDefault="00FD3A92" w:rsidP="000038F8">
            <w:r w:rsidRPr="00197A88">
              <w:t xml:space="preserve">Regnier </w:t>
            </w:r>
            <w:r w:rsidR="00787CF0">
              <w:t>&amp;</w:t>
            </w:r>
            <w:r w:rsidRPr="00197A88">
              <w:t xml:space="preserve"> Denton (2009)</w:t>
            </w:r>
          </w:p>
        </w:tc>
        <w:tc>
          <w:tcPr>
            <w:tcW w:w="572" w:type="pct"/>
          </w:tcPr>
          <w:p w14:paraId="1847F03E" w14:textId="77777777" w:rsidR="00FD3A92" w:rsidRPr="00197A88" w:rsidRDefault="00FD3A92" w:rsidP="000038F8">
            <w:r w:rsidRPr="00197A88">
              <w:lastRenderedPageBreak/>
              <w:t xml:space="preserve">People with neuro disabilities who are physically challenged </w:t>
            </w:r>
          </w:p>
        </w:tc>
        <w:tc>
          <w:tcPr>
            <w:tcW w:w="640" w:type="pct"/>
          </w:tcPr>
          <w:p w14:paraId="1AD82FBA" w14:textId="77777777" w:rsidR="00FD3A92" w:rsidRPr="00A370C8" w:rsidRDefault="00FD3A92" w:rsidP="000038F8">
            <w:r w:rsidRPr="00A370C8">
              <w:t>Discussion paper. Grey literature.</w:t>
            </w:r>
          </w:p>
        </w:tc>
        <w:tc>
          <w:tcPr>
            <w:tcW w:w="935" w:type="pct"/>
          </w:tcPr>
          <w:p w14:paraId="72ABA4B2" w14:textId="47B21FE7" w:rsidR="00FD3A92" w:rsidRPr="00E87AF4" w:rsidRDefault="00E44F0F" w:rsidP="000038F8">
            <w:r>
              <w:t>N/A</w:t>
            </w:r>
          </w:p>
        </w:tc>
        <w:tc>
          <w:tcPr>
            <w:tcW w:w="886" w:type="pct"/>
          </w:tcPr>
          <w:p w14:paraId="3DDA2E5C" w14:textId="77777777" w:rsidR="00FD3A92" w:rsidRPr="00E87AF4" w:rsidRDefault="00FD3A92" w:rsidP="000038F8">
            <w:r w:rsidRPr="00E87AF4">
              <w:t xml:space="preserve">Apartments for Life (AFL) popular in Netherlands. </w:t>
            </w:r>
          </w:p>
          <w:p w14:paraId="76315643" w14:textId="77777777" w:rsidR="00FD3A92" w:rsidRPr="00E87AF4" w:rsidRDefault="00FD3A92" w:rsidP="000038F8"/>
          <w:p w14:paraId="5DC7362F" w14:textId="77777777" w:rsidR="00FD3A92" w:rsidRPr="00E87AF4" w:rsidRDefault="00FD3A92" w:rsidP="000038F8"/>
          <w:p w14:paraId="3E768E01" w14:textId="76D92BEB" w:rsidR="00FD3A92" w:rsidRPr="00E87AF4" w:rsidRDefault="00FD3A92" w:rsidP="000038F8">
            <w:r w:rsidRPr="00E87AF4">
              <w:lastRenderedPageBreak/>
              <w:t>Sometimes moving to group home better for older person with neuro disabilities especially if memory issues. TEN design principles recommended: small scale cluster connected to a larger service provision system; non-institutionali</w:t>
            </w:r>
            <w:r w:rsidR="0057259E">
              <w:t>s</w:t>
            </w:r>
            <w:r w:rsidRPr="00E87AF4">
              <w:t>ed appearance of interior and exterior; focus on visual and physical access to outdoor spaces; the activity of daily living approach &amp; Life Skills; involving friends and family; movement and use patterns; design of dwelling units</w:t>
            </w:r>
          </w:p>
        </w:tc>
      </w:tr>
    </w:tbl>
    <w:p w14:paraId="6D6B2C10" w14:textId="380BE035" w:rsidR="00E01F76" w:rsidRPr="00E94D61" w:rsidRDefault="00E01F76" w:rsidP="00E01F76">
      <w:pPr>
        <w:pStyle w:val="ListParagraph"/>
        <w:spacing w:line="360" w:lineRule="auto"/>
        <w:jc w:val="both"/>
        <w:rPr>
          <w:sz w:val="20"/>
          <w:szCs w:val="20"/>
        </w:rPr>
      </w:pPr>
      <w:r>
        <w:rPr>
          <w:sz w:val="20"/>
          <w:szCs w:val="20"/>
        </w:rPr>
        <w:lastRenderedPageBreak/>
        <w:t>*Quality was assessed using the Joanna Briggs Instrument with, poor &lt;=50%, fair&lt;=76%</w:t>
      </w:r>
      <w:r w:rsidR="00377730">
        <w:rPr>
          <w:sz w:val="20"/>
          <w:szCs w:val="20"/>
        </w:rPr>
        <w:t xml:space="preserve">, </w:t>
      </w:r>
      <w:r>
        <w:rPr>
          <w:sz w:val="20"/>
          <w:szCs w:val="20"/>
        </w:rPr>
        <w:t xml:space="preserve"> good&gt;75%, of criteria met. N/A means not applicable and refers to documents that were not quality assessed (grey literature)</w:t>
      </w:r>
    </w:p>
    <w:p w14:paraId="7390276D" w14:textId="77777777" w:rsidR="00296F58" w:rsidRDefault="00296F58" w:rsidP="00DF09CF">
      <w:pPr>
        <w:sectPr w:rsidR="00296F58" w:rsidSect="00296F58">
          <w:headerReference w:type="default" r:id="rId60"/>
          <w:footerReference w:type="default" r:id="rId61"/>
          <w:pgSz w:w="15840" w:h="12240" w:orient="landscape"/>
          <w:pgMar w:top="1440" w:right="1440" w:bottom="1440" w:left="1440" w:header="720" w:footer="720" w:gutter="0"/>
          <w:cols w:space="720"/>
          <w:docGrid w:linePitch="360"/>
        </w:sectPr>
      </w:pPr>
    </w:p>
    <w:p w14:paraId="410CCD16" w14:textId="3D2EBE53" w:rsidR="00DF09CF" w:rsidRDefault="00DF09CF" w:rsidP="00B5199A">
      <w:pPr>
        <w:pStyle w:val="Heading3"/>
      </w:pPr>
      <w:bookmarkStart w:id="54" w:name="_Toc73535963"/>
      <w:r>
        <w:lastRenderedPageBreak/>
        <w:t>Interpersonal</w:t>
      </w:r>
      <w:bookmarkEnd w:id="54"/>
    </w:p>
    <w:p w14:paraId="4548438E" w14:textId="00546A6B" w:rsidR="00810630" w:rsidRPr="00810630" w:rsidRDefault="00810630" w:rsidP="00810630">
      <w:pPr>
        <w:spacing w:line="360" w:lineRule="auto"/>
      </w:pPr>
      <w:r>
        <w:rPr>
          <w:rFonts w:eastAsia="Times New Roman"/>
          <w:lang w:val="en-AU"/>
        </w:rPr>
        <w:t xml:space="preserve">The role of other people and relationships, both formal and informal were identified in the qualitative literature (n=9) as facilitating social connection following transition.  </w:t>
      </w:r>
    </w:p>
    <w:p w14:paraId="791589CB" w14:textId="686D4646" w:rsidR="00033520" w:rsidRDefault="00033520" w:rsidP="00DF09CF">
      <w:pPr>
        <w:pStyle w:val="Heading4"/>
      </w:pPr>
      <w:r>
        <w:t>Social connection and inclusion</w:t>
      </w:r>
    </w:p>
    <w:p w14:paraId="1DF9D056" w14:textId="4223A679" w:rsidR="00033520" w:rsidRPr="000F0B20" w:rsidRDefault="004F5BB7" w:rsidP="00A06149">
      <w:pPr>
        <w:spacing w:before="120" w:line="360" w:lineRule="auto"/>
        <w:jc w:val="both"/>
        <w:rPr>
          <w:rFonts w:eastAsia="Times New Roman"/>
        </w:rPr>
      </w:pPr>
      <w:r w:rsidRPr="00D944D7">
        <w:rPr>
          <w:rFonts w:eastAsia="Times New Roman"/>
          <w:lang w:val="en-AU"/>
        </w:rPr>
        <w:t xml:space="preserve">Borbasi et al (2008) found that social and lifestyle aspects of community living were critical for successful transition and were as important as physical care. Smaller groups fostered greater social inclusion. </w:t>
      </w:r>
      <w:r w:rsidRPr="00D944D7">
        <w:rPr>
          <w:rFonts w:eastAsia="Times New Roman"/>
        </w:rPr>
        <w:t xml:space="preserve">Bigby (2008) </w:t>
      </w:r>
      <w:r w:rsidR="001C67E7">
        <w:rPr>
          <w:rFonts w:eastAsia="Times New Roman"/>
        </w:rPr>
        <w:t>reported</w:t>
      </w:r>
      <w:r w:rsidRPr="00D944D7">
        <w:rPr>
          <w:rFonts w:eastAsia="Times New Roman"/>
        </w:rPr>
        <w:t xml:space="preserve"> </w:t>
      </w:r>
      <w:r w:rsidR="001C67E7">
        <w:rPr>
          <w:rFonts w:eastAsia="Times New Roman"/>
        </w:rPr>
        <w:t xml:space="preserve">that </w:t>
      </w:r>
      <w:r w:rsidRPr="00D944D7">
        <w:rPr>
          <w:rFonts w:eastAsia="Times New Roman"/>
        </w:rPr>
        <w:t>the role in</w:t>
      </w:r>
      <w:r w:rsidRPr="00D944D7">
        <w:rPr>
          <w:rFonts w:eastAsia="Times New Roman" w:cstheme="minorHAnsi"/>
          <w:lang w:val="en-GB"/>
        </w:rPr>
        <w:t xml:space="preserve"> developing policy-centred active strategies</w:t>
      </w:r>
      <w:r w:rsidR="001C67E7">
        <w:rPr>
          <w:rFonts w:eastAsia="Times New Roman" w:cstheme="minorHAnsi"/>
          <w:lang w:val="en-GB"/>
        </w:rPr>
        <w:t xml:space="preserve"> was</w:t>
      </w:r>
      <w:r w:rsidRPr="00D944D7">
        <w:rPr>
          <w:rFonts w:eastAsia="Times New Roman" w:cstheme="minorHAnsi"/>
          <w:lang w:val="en-GB"/>
        </w:rPr>
        <w:t xml:space="preserve"> to facilitate and advocate formal and informal social and family relationships. </w:t>
      </w:r>
      <w:r w:rsidRPr="00D944D7">
        <w:rPr>
          <w:rFonts w:eastAsia="Times New Roman"/>
          <w:lang w:val="en-AU"/>
        </w:rPr>
        <w:t xml:space="preserve">Piat et al </w:t>
      </w:r>
      <w:r w:rsidRPr="00D944D7">
        <w:rPr>
          <w:rFonts w:eastAsia="Times New Roman"/>
          <w:lang w:val="en-AU"/>
        </w:rPr>
        <w:fldChar w:fldCharType="begin">
          <w:fldData xml:space="preserve">PEVuZE5vdGU+PENpdGUgRXhjbHVkZUF1dGg9IjEiPjxBdXRob3I+UGlhdDwvQXV0aG9yPjxZZWFy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</w:fldData>
        </w:fldChar>
      </w:r>
      <w:r w:rsidR="0062163C">
        <w:rPr>
          <w:rFonts w:eastAsia="Times New Roman"/>
          <w:lang w:val="en-AU"/>
        </w:rPr>
        <w:instrText xml:space="preserve"> ADDIN EN.CITE </w:instrText>
      </w:r>
      <w:r w:rsidR="0062163C">
        <w:rPr>
          <w:rFonts w:eastAsia="Times New Roman"/>
          <w:lang w:val="en-AU"/>
        </w:rPr>
        <w:fldChar w:fldCharType="begin">
          <w:fldData xml:space="preserve">PEVuZE5vdGU+PENpdGUgRXhjbHVkZUF1dGg9IjEiPjxBdXRob3I+UGlhdDwvQXV0aG9yPjxZZWFy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</w:fldData>
        </w:fldChar>
      </w:r>
      <w:r w:rsidR="0062163C">
        <w:rPr>
          <w:rFonts w:eastAsia="Times New Roman"/>
          <w:lang w:val="en-AU"/>
        </w:rPr>
        <w:instrText xml:space="preserve"> ADDIN EN.CITE.DATA </w:instrText>
      </w:r>
      <w:r w:rsidR="0062163C">
        <w:rPr>
          <w:rFonts w:eastAsia="Times New Roman"/>
          <w:lang w:val="en-AU"/>
        </w:rPr>
      </w:r>
      <w:r w:rsidR="0062163C">
        <w:rPr>
          <w:rFonts w:eastAsia="Times New Roman"/>
          <w:lang w:val="en-AU"/>
        </w:rPr>
        <w:fldChar w:fldCharType="end"/>
      </w:r>
      <w:r w:rsidRPr="00D944D7">
        <w:rPr>
          <w:rFonts w:eastAsia="Times New Roman"/>
          <w:lang w:val="en-AU"/>
        </w:rPr>
      </w:r>
      <w:r w:rsidRPr="00D944D7">
        <w:rPr>
          <w:rFonts w:eastAsia="Times New Roman"/>
          <w:lang w:val="en-AU"/>
        </w:rPr>
        <w:fldChar w:fldCharType="separate"/>
      </w:r>
      <w:r w:rsidRPr="00D944D7">
        <w:rPr>
          <w:rFonts w:eastAsia="Times New Roman"/>
          <w:noProof/>
          <w:lang w:val="en-AU"/>
        </w:rPr>
        <w:t>(2018)</w:t>
      </w:r>
      <w:r w:rsidRPr="00D944D7">
        <w:rPr>
          <w:rFonts w:eastAsia="Times New Roman"/>
          <w:lang w:val="en-AU"/>
        </w:rPr>
        <w:fldChar w:fldCharType="end"/>
      </w:r>
      <w:r w:rsidRPr="00D944D7">
        <w:rPr>
          <w:rFonts w:eastAsia="Times New Roman"/>
          <w:lang w:val="en-AU"/>
        </w:rPr>
        <w:t xml:space="preserve"> found that loneliness after transition was mitigated by the ability of residents to develop and maintain social connections. </w:t>
      </w:r>
    </w:p>
    <w:p w14:paraId="23249731" w14:textId="4A541812" w:rsidR="00DF09CF" w:rsidRDefault="00033520" w:rsidP="00DF09CF">
      <w:pPr>
        <w:pStyle w:val="Heading4"/>
      </w:pPr>
      <w:r>
        <w:t>Staff and informal supports</w:t>
      </w:r>
    </w:p>
    <w:p w14:paraId="61B509D9" w14:textId="26F13240" w:rsidR="003308CE" w:rsidRDefault="00C0249E" w:rsidP="00C67F42">
      <w:pPr>
        <w:spacing w:before="120" w:line="360" w:lineRule="auto"/>
        <w:rPr>
          <w:rFonts w:eastAsia="Times New Roman"/>
          <w:lang w:val="en-AU"/>
        </w:rPr>
      </w:pPr>
      <w:r w:rsidRPr="006B3B78">
        <w:rPr>
          <w:rFonts w:eastAsia="Times New Roman"/>
          <w:lang w:val="en-AU"/>
        </w:rPr>
        <w:t xml:space="preserve">Iriarte et al (2016) found that the process and success of transition would benefit from staff who had additional training in the provision of community support. With this training, staff would be better placed to encourage social inclusion </w:t>
      </w:r>
      <w:r w:rsidRPr="006B3B78">
        <w:rPr>
          <w:rFonts w:eastAsia="Times New Roman"/>
          <w:lang w:val="en-AU"/>
        </w:rPr>
        <w:fldChar w:fldCharType="begin">
          <w:fldData xml:space="preserve">PEVuZE5vdGU+PENpdGU+PEF1dGhvcj5HYXJjaWEgSXJpYXJ0ZTwvQXV0aG9yPjxZZWFyPjIwMTY8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</w:fldData>
        </w:fldChar>
      </w:r>
      <w:r w:rsidR="00B17725">
        <w:rPr>
          <w:rFonts w:eastAsia="Times New Roman"/>
          <w:lang w:val="en-AU"/>
        </w:rPr>
        <w:instrText xml:space="preserve"> ADDIN EN.CITE </w:instrText>
      </w:r>
      <w:r w:rsidR="00B17725">
        <w:rPr>
          <w:rFonts w:eastAsia="Times New Roman"/>
          <w:lang w:val="en-AU"/>
        </w:rPr>
        <w:fldChar w:fldCharType="begin">
          <w:fldData xml:space="preserve">PEVuZE5vdGU+PENpdGU+PEF1dGhvcj5HYXJjaWEgSXJpYXJ0ZTwvQXV0aG9yPjxZZWFyPjIwMTY8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</w:fldData>
        </w:fldChar>
      </w:r>
      <w:r w:rsidR="00B17725">
        <w:rPr>
          <w:rFonts w:eastAsia="Times New Roman"/>
          <w:lang w:val="en-AU"/>
        </w:rPr>
        <w:instrText xml:space="preserve"> ADDIN EN.CITE.DATA </w:instrText>
      </w:r>
      <w:r w:rsidR="00B17725">
        <w:rPr>
          <w:rFonts w:eastAsia="Times New Roman"/>
          <w:lang w:val="en-AU"/>
        </w:rPr>
      </w:r>
      <w:r w:rsidR="00B17725">
        <w:rPr>
          <w:rFonts w:eastAsia="Times New Roman"/>
          <w:lang w:val="en-AU"/>
        </w:rPr>
        <w:fldChar w:fldCharType="end"/>
      </w:r>
      <w:r w:rsidRPr="006B3B78">
        <w:rPr>
          <w:rFonts w:eastAsia="Times New Roman"/>
          <w:lang w:val="en-AU"/>
        </w:rPr>
      </w:r>
      <w:r w:rsidRPr="006B3B78">
        <w:rPr>
          <w:rFonts w:eastAsia="Times New Roman"/>
          <w:lang w:val="en-AU"/>
        </w:rPr>
        <w:fldChar w:fldCharType="separate"/>
      </w:r>
      <w:r w:rsidR="00B17725">
        <w:rPr>
          <w:rFonts w:eastAsia="Times New Roman"/>
          <w:noProof/>
          <w:lang w:val="en-AU"/>
        </w:rPr>
        <w:t>(Garcia Iriarte, Stockdale, McConkey, &amp; Keogh, 2016)</w:t>
      </w:r>
      <w:r w:rsidRPr="006B3B78">
        <w:rPr>
          <w:rFonts w:eastAsia="Times New Roman"/>
          <w:lang w:val="en-AU"/>
        </w:rPr>
        <w:fldChar w:fldCharType="end"/>
      </w:r>
      <w:r w:rsidRPr="006B3B78">
        <w:rPr>
          <w:rFonts w:eastAsia="Times New Roman"/>
          <w:lang w:val="en-AU"/>
        </w:rPr>
        <w:t xml:space="preserve">. </w:t>
      </w:r>
      <w:r w:rsidRPr="006B3B78">
        <w:rPr>
          <w:rFonts w:eastAsia="Times New Roman"/>
        </w:rPr>
        <w:t xml:space="preserve"> One</w:t>
      </w:r>
      <w:r w:rsidRPr="006B3B78">
        <w:rPr>
          <w:rFonts w:eastAsia="Times New Roman"/>
          <w:lang w:val="en-AU"/>
        </w:rPr>
        <w:t xml:space="preserve"> study investigating the transition of adults with psychiatric disability from their parent’s home to independent living found that staff could play a role in adjusting family relationships in order to facilitate successful independent living</w:t>
      </w:r>
      <w:r w:rsidRPr="006B3B78">
        <w:rPr>
          <w:rFonts w:eastAsia="Times New Roman"/>
        </w:rPr>
        <w:t xml:space="preserve"> (Chen, 2010)</w:t>
      </w:r>
      <w:r w:rsidRPr="006B3B78">
        <w:rPr>
          <w:rFonts w:eastAsia="Times New Roman"/>
          <w:lang w:val="en-AU"/>
        </w:rPr>
        <w:t xml:space="preserve">. </w:t>
      </w:r>
    </w:p>
    <w:p w14:paraId="4D4A848D" w14:textId="361B8C3A" w:rsidR="003308CE" w:rsidRDefault="003308CE" w:rsidP="000F0B20">
      <w:pPr>
        <w:spacing w:line="360" w:lineRule="auto"/>
        <w:rPr>
          <w:rFonts w:eastAsia="Times New Roman"/>
          <w:lang w:val="en-AU"/>
        </w:rPr>
      </w:pPr>
      <w:r w:rsidRPr="00D944D7">
        <w:rPr>
          <w:rFonts w:eastAsia="Times New Roman" w:cstheme="minorHAnsi"/>
          <w:lang w:val="en-GB"/>
        </w:rPr>
        <w:t xml:space="preserve">Family caregivers were identified as an integral part the transition process. </w:t>
      </w:r>
      <w:r w:rsidRPr="00D944D7">
        <w:rPr>
          <w:rFonts w:eastAsia="Times New Roman"/>
          <w:lang w:val="en-AU"/>
        </w:rPr>
        <w:t xml:space="preserve">Family members’ attitudes to deinstitutionalisation varied, and negative attitudes could affect the success of a transition. While the support and preparation of the person transitioning was paramount, early incorporation of the family into the transition process was an important aspect of a successful transition </w:t>
      </w:r>
      <w:r w:rsidRPr="00D944D7">
        <w:rPr>
          <w:rFonts w:eastAsia="Times New Roman"/>
          <w:lang w:val="en-AU"/>
        </w:rPr>
        <w:fldChar w:fldCharType="begin">
          <w:fldData xml:space="preserve">PEVuZE5vdGU+PENpdGU+PEF1dGhvcj5Kb25lczwvQXV0aG9yPjxZZWFyPjIwMTY8L1llYXI+PFJl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</w:fldData>
        </w:fldChar>
      </w:r>
      <w:r w:rsidR="0062163C">
        <w:rPr>
          <w:rFonts w:eastAsia="Times New Roman"/>
          <w:lang w:val="en-AU"/>
        </w:rPr>
        <w:instrText xml:space="preserve"> ADDIN EN.CITE </w:instrText>
      </w:r>
      <w:r w:rsidR="0062163C">
        <w:rPr>
          <w:rFonts w:eastAsia="Times New Roman"/>
          <w:lang w:val="en-AU"/>
        </w:rPr>
        <w:fldChar w:fldCharType="begin">
          <w:fldData xml:space="preserve">PEVuZE5vdGU+PENpdGU+PEF1dGhvcj5Kb25lczwvQXV0aG9yPjxZZWFyPjIwMTY8L1llYXI+PFJl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</w:fldData>
        </w:fldChar>
      </w:r>
      <w:r w:rsidR="0062163C">
        <w:rPr>
          <w:rFonts w:eastAsia="Times New Roman"/>
          <w:lang w:val="en-AU"/>
        </w:rPr>
        <w:instrText xml:space="preserve"> ADDIN EN.CITE.DATA </w:instrText>
      </w:r>
      <w:r w:rsidR="0062163C">
        <w:rPr>
          <w:rFonts w:eastAsia="Times New Roman"/>
          <w:lang w:val="en-AU"/>
        </w:rPr>
      </w:r>
      <w:r w:rsidR="0062163C">
        <w:rPr>
          <w:rFonts w:eastAsia="Times New Roman"/>
          <w:lang w:val="en-AU"/>
        </w:rPr>
        <w:fldChar w:fldCharType="end"/>
      </w:r>
      <w:r w:rsidRPr="00D944D7">
        <w:rPr>
          <w:rFonts w:eastAsia="Times New Roman"/>
          <w:lang w:val="en-AU"/>
        </w:rPr>
      </w:r>
      <w:r w:rsidRPr="00D944D7">
        <w:rPr>
          <w:rFonts w:eastAsia="Times New Roman"/>
          <w:lang w:val="en-AU"/>
        </w:rPr>
        <w:fldChar w:fldCharType="separate"/>
      </w:r>
      <w:r w:rsidRPr="00D944D7">
        <w:rPr>
          <w:rFonts w:eastAsia="Times New Roman"/>
          <w:noProof/>
          <w:lang w:val="en-AU"/>
        </w:rPr>
        <w:t>(Griffiths &amp; Owen, 2016; Jones &amp; Gallus, 2016; Owen et al., 2015; Puyaltó &amp; Pallisera, 2020)</w:t>
      </w:r>
      <w:r w:rsidRPr="00D944D7">
        <w:rPr>
          <w:rFonts w:eastAsia="Times New Roman"/>
          <w:lang w:val="en-AU"/>
        </w:rPr>
        <w:fldChar w:fldCharType="end"/>
      </w:r>
      <w:r>
        <w:rPr>
          <w:rFonts w:eastAsia="Times New Roman"/>
          <w:lang w:val="en-AU"/>
        </w:rPr>
        <w:t>.</w:t>
      </w:r>
    </w:p>
    <w:p w14:paraId="15480D6C" w14:textId="4B2D7B68" w:rsidR="00033520" w:rsidRDefault="00033520" w:rsidP="00B5199A">
      <w:pPr>
        <w:pStyle w:val="Heading3"/>
      </w:pPr>
      <w:bookmarkStart w:id="55" w:name="_Toc73535964"/>
      <w:r>
        <w:t>Individual</w:t>
      </w:r>
      <w:bookmarkEnd w:id="55"/>
      <w:r>
        <w:t xml:space="preserve"> </w:t>
      </w:r>
    </w:p>
    <w:p w14:paraId="0837B08B" w14:textId="3A9CEB5E" w:rsidR="00033520" w:rsidRDefault="00033520" w:rsidP="00033520">
      <w:pPr>
        <w:pStyle w:val="Heading4"/>
      </w:pPr>
      <w:r>
        <w:t xml:space="preserve">Training and skill development </w:t>
      </w:r>
    </w:p>
    <w:p w14:paraId="656F7BA0" w14:textId="2D33FE28" w:rsidR="00074199" w:rsidRDefault="00074199" w:rsidP="00C67F42">
      <w:pPr>
        <w:spacing w:before="120" w:line="360" w:lineRule="auto"/>
        <w:jc w:val="both"/>
        <w:rPr>
          <w:rFonts w:ascii="Calibri" w:hAnsi="Calibri" w:cs="Calibri"/>
          <w:color w:val="000000"/>
        </w:rPr>
      </w:pPr>
      <w:r>
        <w:t>Two quantitative studies reported specifically on independent living skills (Enderman et al, 2015; Pillsuk, 2001) for people with epilepsy or psychiatric illness respectively. Both studies reported improvements in independent living skills</w:t>
      </w:r>
      <w:r w:rsidR="001C67E7">
        <w:t>,</w:t>
      </w:r>
      <w:r>
        <w:t xml:space="preserve"> however</w:t>
      </w:r>
      <w:r w:rsidR="001C67E7">
        <w:t>,</w:t>
      </w:r>
      <w:r>
        <w:t xml:space="preserve"> the former study did not provide program details.</w:t>
      </w:r>
      <w:r w:rsidR="006E2BBE">
        <w:t xml:space="preserve"> Similar</w:t>
      </w:r>
      <w:r w:rsidR="001C67E7">
        <w:t>l</w:t>
      </w:r>
      <w:r w:rsidR="006E2BBE">
        <w:t xml:space="preserve">y, Hayashi et al (2008) found that </w:t>
      </w:r>
      <w:r w:rsidR="006E2BBE">
        <w:rPr>
          <w:rFonts w:ascii="Calibri" w:hAnsi="Calibri" w:cs="Calibri"/>
          <w:color w:val="000000"/>
        </w:rPr>
        <w:t>the training program</w:t>
      </w:r>
      <w:r w:rsidR="001C67E7">
        <w:rPr>
          <w:rFonts w:ascii="Calibri" w:hAnsi="Calibri" w:cs="Calibri"/>
          <w:color w:val="000000"/>
        </w:rPr>
        <w:t xml:space="preserve"> they </w:t>
      </w:r>
      <w:r w:rsidR="006E2BBE">
        <w:rPr>
          <w:rFonts w:ascii="Calibri" w:hAnsi="Calibri" w:cs="Calibri"/>
          <w:color w:val="000000"/>
        </w:rPr>
        <w:t>implemented provided positive impacts for trainees with and without disabilities in the independent living movement.</w:t>
      </w:r>
    </w:p>
    <w:p w14:paraId="22E6DAED" w14:textId="49E5AF95" w:rsidR="00333B4C" w:rsidRDefault="00333B4C" w:rsidP="00333B4C">
      <w:pPr>
        <w:spacing w:line="360" w:lineRule="auto"/>
        <w:jc w:val="both"/>
      </w:pPr>
      <w:r>
        <w:t>Involving people with disabilities in transition planning, design and co-production facilitates transition</w:t>
      </w:r>
      <w:r>
        <w:rPr>
          <w:lang w:val="en-AU"/>
        </w:rPr>
        <w:t xml:space="preserve"> (Elder-Woodward, 2015)</w:t>
      </w:r>
      <w:r>
        <w:t xml:space="preserve">, as well as empowering people to make choices (Borbasi, et al, 2008). </w:t>
      </w:r>
      <w:r>
        <w:rPr>
          <w:lang w:val="en-AU"/>
        </w:rPr>
        <w:t>People with disabilities may need training or preparatory support</w:t>
      </w:r>
      <w:r w:rsidR="001C67E7">
        <w:rPr>
          <w:lang w:val="en-AU"/>
        </w:rPr>
        <w:t xml:space="preserve">, </w:t>
      </w:r>
      <w:r>
        <w:rPr>
          <w:lang w:val="en-AU"/>
        </w:rPr>
        <w:t xml:space="preserve">such as </w:t>
      </w:r>
      <w:r w:rsidR="00E0124F">
        <w:t>transition</w:t>
      </w:r>
      <w:r>
        <w:t xml:space="preserve"> classes, self-determination classes and self-advocacy (Pollard et al, 2015). </w:t>
      </w:r>
    </w:p>
    <w:p w14:paraId="1A5CF9A6" w14:textId="744EDBFC" w:rsidR="00DF0DF8" w:rsidRDefault="00DF0DF8" w:rsidP="00DF0DF8">
      <w:pPr>
        <w:spacing w:line="360" w:lineRule="auto"/>
        <w:jc w:val="both"/>
      </w:pPr>
      <w:r>
        <w:lastRenderedPageBreak/>
        <w:t xml:space="preserve">Practical skill development was also found to support transition to independent living with </w:t>
      </w:r>
      <w:r>
        <w:rPr>
          <w:lang w:val="en-AU"/>
        </w:rPr>
        <w:t>t</w:t>
      </w:r>
      <w:r w:rsidRPr="00C65214">
        <w:rPr>
          <w:lang w:val="en-AU"/>
        </w:rPr>
        <w:t xml:space="preserve">raining for </w:t>
      </w:r>
      <w:r>
        <w:rPr>
          <w:lang w:val="en-AU"/>
        </w:rPr>
        <w:t>individuals with disability in i</w:t>
      </w:r>
      <w:r w:rsidRPr="00C65214">
        <w:rPr>
          <w:lang w:val="en-AU"/>
        </w:rPr>
        <w:t>ndependent living skills</w:t>
      </w:r>
      <w:r w:rsidR="00312EFE">
        <w:rPr>
          <w:lang w:val="en-AU"/>
        </w:rPr>
        <w:t xml:space="preserve"> </w:t>
      </w:r>
      <w:r>
        <w:rPr>
          <w:lang w:val="en-AU"/>
        </w:rPr>
        <w:t>(</w:t>
      </w:r>
      <w:r>
        <w:t xml:space="preserve">Aubry, 2015; Certo, 2008; Regnier, 2009; </w:t>
      </w:r>
      <w:r w:rsidRPr="00C65214">
        <w:rPr>
          <w:lang w:val="en-AU"/>
        </w:rPr>
        <w:t>Ritchie and Blanck, 2004)</w:t>
      </w:r>
      <w:r>
        <w:rPr>
          <w:lang w:val="en-AU"/>
        </w:rPr>
        <w:t>. Killapsy (2009) compare</w:t>
      </w:r>
      <w:r w:rsidR="001C67E7">
        <w:rPr>
          <w:lang w:val="en-AU"/>
        </w:rPr>
        <w:t>d</w:t>
      </w:r>
      <w:r>
        <w:rPr>
          <w:lang w:val="en-AU"/>
        </w:rPr>
        <w:t xml:space="preserve"> two models of training - </w:t>
      </w:r>
      <w:r w:rsidRPr="00C65214">
        <w:rPr>
          <w:lang w:val="en-AU"/>
        </w:rPr>
        <w:t>with Train and Place versus Place and Train (USA)</w:t>
      </w:r>
      <w:r>
        <w:t xml:space="preserve">. The Place and Train model which provides flexible outreach support to people in independent tenancies resulted in greater integration in community and greater satisfaction among people with disabilities. </w:t>
      </w:r>
    </w:p>
    <w:p w14:paraId="6E06654C" w14:textId="77777777" w:rsidR="001767A2" w:rsidRDefault="001767A2" w:rsidP="00DF0DF8">
      <w:pPr>
        <w:spacing w:line="360" w:lineRule="auto"/>
        <w:jc w:val="both"/>
        <w:sectPr w:rsidR="001767A2" w:rsidSect="00296F58">
          <w:headerReference w:type="default" r:id="rId62"/>
          <w:footerReference w:type="default" r:id="rId63"/>
          <w:pgSz w:w="12240" w:h="15840"/>
          <w:pgMar w:top="1440" w:right="1440" w:bottom="1440" w:left="1440" w:header="720" w:footer="720" w:gutter="0"/>
          <w:cols w:space="720"/>
          <w:docGrid w:linePitch="360"/>
        </w:sectPr>
      </w:pPr>
    </w:p>
    <w:p w14:paraId="30FE51C3" w14:textId="7881465D" w:rsidR="00102F46" w:rsidRPr="006C763F" w:rsidRDefault="001767A2" w:rsidP="001767A2">
      <w:pPr>
        <w:pStyle w:val="Caption"/>
        <w:rPr>
          <w:b/>
          <w:bCs/>
        </w:rPr>
      </w:pPr>
      <w:bookmarkStart w:id="56" w:name="_Toc66355192"/>
      <w:r>
        <w:lastRenderedPageBreak/>
        <w:t xml:space="preserve">Table </w:t>
      </w:r>
      <w:r>
        <w:fldChar w:fldCharType="begin"/>
      </w:r>
      <w:r>
        <w:instrText>SEQ Table \* ARABIC</w:instrText>
      </w:r>
      <w:r>
        <w:fldChar w:fldCharType="separate"/>
      </w:r>
      <w:r w:rsidR="000E7FFE">
        <w:rPr>
          <w:noProof/>
        </w:rPr>
        <w:t>13</w:t>
      </w:r>
      <w:r>
        <w:fldChar w:fldCharType="end"/>
      </w:r>
      <w:r>
        <w:rPr>
          <w:b/>
          <w:bCs/>
        </w:rPr>
        <w:t xml:space="preserve"> </w:t>
      </w:r>
      <w:r w:rsidR="000F0B20" w:rsidRPr="006C763F">
        <w:rPr>
          <w:b/>
          <w:bCs/>
        </w:rPr>
        <w:t>Individual training and skill development</w:t>
      </w:r>
      <w:bookmarkEnd w:id="56"/>
      <w:r w:rsidR="000F0B20" w:rsidRPr="006C763F">
        <w:rPr>
          <w:b/>
          <w:bCs/>
        </w:rPr>
        <w:t xml:space="preserve"> </w:t>
      </w:r>
    </w:p>
    <w:tbl>
      <w:tblPr>
        <w:tblStyle w:val="TableGrid"/>
        <w:tblW w:w="5000" w:type="pct"/>
        <w:tblLook w:val="04A0" w:firstRow="1" w:lastRow="0" w:firstColumn="1" w:lastColumn="0" w:noHBand="0" w:noVBand="1"/>
      </w:tblPr>
      <w:tblGrid>
        <w:gridCol w:w="2101"/>
        <w:gridCol w:w="1446"/>
        <w:gridCol w:w="1608"/>
        <w:gridCol w:w="1608"/>
        <w:gridCol w:w="1608"/>
        <w:gridCol w:w="2352"/>
        <w:gridCol w:w="2227"/>
      </w:tblGrid>
      <w:tr w:rsidR="00D96699" w:rsidRPr="00A802E7" w14:paraId="215F0D10" w14:textId="77777777" w:rsidTr="001767A2">
        <w:trPr>
          <w:tblHeader/>
        </w:trPr>
        <w:tc>
          <w:tcPr>
            <w:tcW w:w="811" w:type="pct"/>
            <w:shd w:val="clear" w:color="auto" w:fill="FFFF00"/>
          </w:tcPr>
          <w:p w14:paraId="73C2E6C1" w14:textId="77777777" w:rsidR="00D96699" w:rsidRPr="00A802E7" w:rsidRDefault="00D96699" w:rsidP="000038F8">
            <w:pPr>
              <w:rPr>
                <w:b/>
                <w:bCs/>
              </w:rPr>
            </w:pPr>
            <w:r w:rsidRPr="00A802E7">
              <w:rPr>
                <w:b/>
                <w:bCs/>
              </w:rPr>
              <w:t xml:space="preserve">Characteristics of </w:t>
            </w:r>
            <w:r>
              <w:rPr>
                <w:b/>
                <w:bCs/>
              </w:rPr>
              <w:t xml:space="preserve">individual training &amp; skill development  </w:t>
            </w:r>
          </w:p>
        </w:tc>
        <w:tc>
          <w:tcPr>
            <w:tcW w:w="558" w:type="pct"/>
            <w:shd w:val="clear" w:color="auto" w:fill="FFFF00"/>
          </w:tcPr>
          <w:p w14:paraId="171B7A52" w14:textId="77777777" w:rsidR="00D96699" w:rsidRPr="00A802E7" w:rsidRDefault="00D96699" w:rsidP="000038F8">
            <w:pPr>
              <w:rPr>
                <w:b/>
                <w:bCs/>
              </w:rPr>
            </w:pPr>
            <w:r w:rsidRPr="00A802E7">
              <w:rPr>
                <w:b/>
                <w:bCs/>
              </w:rPr>
              <w:t>Countries this approach has been implemented</w:t>
            </w:r>
          </w:p>
        </w:tc>
        <w:tc>
          <w:tcPr>
            <w:tcW w:w="621" w:type="pct"/>
            <w:shd w:val="clear" w:color="auto" w:fill="FFFF00"/>
          </w:tcPr>
          <w:p w14:paraId="1430472D" w14:textId="77777777" w:rsidR="00D96699" w:rsidRPr="00A802E7" w:rsidRDefault="00D96699" w:rsidP="000038F8">
            <w:pPr>
              <w:rPr>
                <w:b/>
                <w:bCs/>
              </w:rPr>
            </w:pPr>
            <w:r w:rsidRPr="00A802E7">
              <w:rPr>
                <w:b/>
                <w:bCs/>
              </w:rPr>
              <w:t>Author</w:t>
            </w:r>
            <w:r>
              <w:rPr>
                <w:b/>
                <w:bCs/>
              </w:rPr>
              <w:t xml:space="preserve"> (</w:t>
            </w:r>
            <w:r w:rsidRPr="00A802E7">
              <w:rPr>
                <w:b/>
                <w:bCs/>
              </w:rPr>
              <w:t>Year</w:t>
            </w:r>
            <w:r>
              <w:rPr>
                <w:b/>
                <w:bCs/>
              </w:rPr>
              <w:t>)</w:t>
            </w:r>
          </w:p>
        </w:tc>
        <w:tc>
          <w:tcPr>
            <w:tcW w:w="621" w:type="pct"/>
            <w:shd w:val="clear" w:color="auto" w:fill="FFFF00"/>
          </w:tcPr>
          <w:p w14:paraId="1B274358" w14:textId="77777777" w:rsidR="00D96699" w:rsidRPr="00A802E7" w:rsidRDefault="00D96699" w:rsidP="000038F8">
            <w:pPr>
              <w:rPr>
                <w:b/>
                <w:bCs/>
              </w:rPr>
            </w:pPr>
            <w:r w:rsidRPr="00A802E7">
              <w:rPr>
                <w:b/>
                <w:bCs/>
              </w:rPr>
              <w:t>Participants</w:t>
            </w:r>
          </w:p>
        </w:tc>
        <w:tc>
          <w:tcPr>
            <w:tcW w:w="621" w:type="pct"/>
            <w:shd w:val="clear" w:color="auto" w:fill="FFFF00"/>
          </w:tcPr>
          <w:p w14:paraId="4C4F5113" w14:textId="77777777" w:rsidR="00D96699" w:rsidRPr="00A802E7" w:rsidRDefault="00D96699" w:rsidP="000038F8">
            <w:pPr>
              <w:rPr>
                <w:b/>
                <w:bCs/>
              </w:rPr>
            </w:pPr>
            <w:r w:rsidRPr="00A802E7">
              <w:rPr>
                <w:b/>
                <w:bCs/>
              </w:rPr>
              <w:t>Type of study</w:t>
            </w:r>
          </w:p>
        </w:tc>
        <w:tc>
          <w:tcPr>
            <w:tcW w:w="908" w:type="pct"/>
            <w:shd w:val="clear" w:color="auto" w:fill="FFFF00"/>
          </w:tcPr>
          <w:p w14:paraId="19E61208" w14:textId="438664A3" w:rsidR="00D96699" w:rsidRPr="00A802E7" w:rsidRDefault="00D96699" w:rsidP="000038F8">
            <w:pPr>
              <w:rPr>
                <w:b/>
                <w:bCs/>
              </w:rPr>
            </w:pPr>
            <w:r w:rsidRPr="00A802E7">
              <w:rPr>
                <w:b/>
                <w:bCs/>
              </w:rPr>
              <w:t xml:space="preserve">Quality </w:t>
            </w:r>
            <w:r w:rsidR="00E01F76">
              <w:rPr>
                <w:b/>
                <w:bCs/>
              </w:rPr>
              <w:t>*</w:t>
            </w:r>
          </w:p>
        </w:tc>
        <w:tc>
          <w:tcPr>
            <w:tcW w:w="860" w:type="pct"/>
            <w:shd w:val="clear" w:color="auto" w:fill="FFFF00"/>
          </w:tcPr>
          <w:p w14:paraId="2A4E855D" w14:textId="77777777" w:rsidR="00D96699" w:rsidRPr="00A802E7" w:rsidRDefault="00D96699" w:rsidP="000038F8">
            <w:pPr>
              <w:rPr>
                <w:b/>
                <w:bCs/>
              </w:rPr>
            </w:pPr>
            <w:r w:rsidRPr="00A802E7">
              <w:rPr>
                <w:b/>
                <w:bCs/>
              </w:rPr>
              <w:t>Findings</w:t>
            </w:r>
          </w:p>
        </w:tc>
      </w:tr>
      <w:tr w:rsidR="00CF403A" w:rsidRPr="00A802E7" w14:paraId="6B9E744C" w14:textId="77777777" w:rsidTr="001767A2">
        <w:tc>
          <w:tcPr>
            <w:tcW w:w="811" w:type="pct"/>
          </w:tcPr>
          <w:p w14:paraId="6A37952B" w14:textId="77777777" w:rsidR="00CF403A" w:rsidRDefault="00CF403A" w:rsidP="00CF403A">
            <w:pPr>
              <w:rPr>
                <w:b/>
                <w:bCs/>
              </w:rPr>
            </w:pPr>
            <w:r w:rsidRPr="00F5070C">
              <w:rPr>
                <w:b/>
                <w:bCs/>
              </w:rPr>
              <w:t>Living skills rehabilitation support programme for people with epilepsy</w:t>
            </w:r>
          </w:p>
          <w:p w14:paraId="7162709E" w14:textId="77777777" w:rsidR="00CF403A" w:rsidRPr="00F5070C" w:rsidRDefault="00CF403A" w:rsidP="00CF403A">
            <w:pPr>
              <w:rPr>
                <w:b/>
                <w:bCs/>
              </w:rPr>
            </w:pPr>
          </w:p>
          <w:p w14:paraId="68874566" w14:textId="77777777" w:rsidR="00CF403A" w:rsidRDefault="00CF403A" w:rsidP="00CF403A">
            <w:r w:rsidRPr="00F5070C">
              <w:t xml:space="preserve">(no details of the programme) </w:t>
            </w:r>
          </w:p>
          <w:p w14:paraId="287E3864" w14:textId="77777777" w:rsidR="00CF403A" w:rsidRDefault="00CF403A" w:rsidP="00CF403A"/>
          <w:p w14:paraId="3F84C727" w14:textId="77777777" w:rsidR="00CF403A" w:rsidRPr="00A802E7" w:rsidRDefault="00CF403A" w:rsidP="00CF403A">
            <w:pPr>
              <w:rPr>
                <w:b/>
                <w:bCs/>
              </w:rPr>
            </w:pPr>
          </w:p>
        </w:tc>
        <w:tc>
          <w:tcPr>
            <w:tcW w:w="558" w:type="pct"/>
          </w:tcPr>
          <w:p w14:paraId="63D90818" w14:textId="0D46221B" w:rsidR="00CF403A" w:rsidRPr="00A802E7" w:rsidRDefault="00CF403A" w:rsidP="00CF403A">
            <w:pPr>
              <w:rPr>
                <w:b/>
                <w:bCs/>
              </w:rPr>
            </w:pPr>
            <w:r w:rsidRPr="00F5070C">
              <w:t>Germany</w:t>
            </w:r>
          </w:p>
        </w:tc>
        <w:tc>
          <w:tcPr>
            <w:tcW w:w="621" w:type="pct"/>
          </w:tcPr>
          <w:p w14:paraId="56972E1D" w14:textId="77777777" w:rsidR="00CF403A" w:rsidRPr="00F574C6" w:rsidRDefault="00CF403A" w:rsidP="00CF403A">
            <w:r w:rsidRPr="00F574C6">
              <w:t>Enderman et al</w:t>
            </w:r>
            <w:r>
              <w:t xml:space="preserve"> (</w:t>
            </w:r>
            <w:r w:rsidRPr="00F574C6">
              <w:t>2015</w:t>
            </w:r>
            <w:r>
              <w:t>)</w:t>
            </w:r>
          </w:p>
          <w:p w14:paraId="00D0F33E" w14:textId="77777777" w:rsidR="00CF403A" w:rsidRPr="00F574C6" w:rsidRDefault="00CF403A" w:rsidP="00CF403A"/>
          <w:p w14:paraId="18187443" w14:textId="77777777" w:rsidR="00CF403A" w:rsidRPr="00A802E7" w:rsidRDefault="00CF403A" w:rsidP="00CF403A">
            <w:pPr>
              <w:rPr>
                <w:b/>
                <w:bCs/>
              </w:rPr>
            </w:pPr>
          </w:p>
        </w:tc>
        <w:tc>
          <w:tcPr>
            <w:tcW w:w="621" w:type="pct"/>
          </w:tcPr>
          <w:p w14:paraId="6B1049CB" w14:textId="4C30AF51" w:rsidR="00CF403A" w:rsidRPr="00F5070C" w:rsidRDefault="00CF403A" w:rsidP="00CF403A">
            <w:r w:rsidRPr="00F5070C">
              <w:t>Epile</w:t>
            </w:r>
            <w:r w:rsidR="006E2BBE">
              <w:t>ps</w:t>
            </w:r>
            <w:r w:rsidRPr="00F5070C">
              <w:t>y</w:t>
            </w:r>
          </w:p>
          <w:p w14:paraId="7D30E542" w14:textId="6AEBDA65" w:rsidR="00CF403A" w:rsidRPr="00A802E7" w:rsidRDefault="00CF403A" w:rsidP="00CF403A">
            <w:pPr>
              <w:rPr>
                <w:b/>
                <w:bCs/>
              </w:rPr>
            </w:pPr>
            <w:r w:rsidRPr="00F5070C">
              <w:t>N=51</w:t>
            </w:r>
          </w:p>
        </w:tc>
        <w:tc>
          <w:tcPr>
            <w:tcW w:w="621" w:type="pct"/>
          </w:tcPr>
          <w:p w14:paraId="57D81AA6" w14:textId="75263E6A" w:rsidR="00CF403A" w:rsidRPr="00A802E7" w:rsidRDefault="00CF403A" w:rsidP="00CF403A">
            <w:pPr>
              <w:rPr>
                <w:b/>
                <w:bCs/>
              </w:rPr>
            </w:pPr>
            <w:r>
              <w:t>One group l</w:t>
            </w:r>
            <w:r w:rsidRPr="00F5070C">
              <w:t xml:space="preserve">ongitudinal study </w:t>
            </w:r>
            <w:r>
              <w:t>with pre/post measurements at baseline and two year follow-up.</w:t>
            </w:r>
          </w:p>
        </w:tc>
        <w:tc>
          <w:tcPr>
            <w:tcW w:w="908" w:type="pct"/>
          </w:tcPr>
          <w:p w14:paraId="18832DF2" w14:textId="57354DBC" w:rsidR="00CF403A" w:rsidRPr="00A802E7" w:rsidRDefault="00CF403A" w:rsidP="00CF403A">
            <w:pPr>
              <w:rPr>
                <w:b/>
                <w:bCs/>
              </w:rPr>
            </w:pPr>
            <w:r w:rsidRPr="00F5070C">
              <w:t>Fair</w:t>
            </w:r>
          </w:p>
        </w:tc>
        <w:tc>
          <w:tcPr>
            <w:tcW w:w="860" w:type="pct"/>
          </w:tcPr>
          <w:p w14:paraId="7B865602" w14:textId="57DA1901" w:rsidR="00CF403A" w:rsidRPr="00A802E7" w:rsidRDefault="00CF403A" w:rsidP="00CF403A">
            <w:pPr>
              <w:rPr>
                <w:b/>
                <w:bCs/>
              </w:rPr>
            </w:pPr>
            <w:r w:rsidRPr="00F5070C">
              <w:t xml:space="preserve">Nearly half (40%) of the clients moved to residential living and 60% to supported housing </w:t>
            </w:r>
            <w:r>
              <w:t xml:space="preserve">following completion of the programme. </w:t>
            </w:r>
            <w:r w:rsidRPr="00F5070C">
              <w:t xml:space="preserve">Improvements in activities of daily living and some aspects of QOL. These improvements remained constant over at least two years. </w:t>
            </w:r>
          </w:p>
        </w:tc>
      </w:tr>
      <w:tr w:rsidR="00CF403A" w:rsidRPr="00A802E7" w14:paraId="26F0681D" w14:textId="77777777" w:rsidTr="001767A2">
        <w:tc>
          <w:tcPr>
            <w:tcW w:w="811" w:type="pct"/>
          </w:tcPr>
          <w:p w14:paraId="4CA81637" w14:textId="77777777" w:rsidR="00CF403A" w:rsidRDefault="00CF403A" w:rsidP="00CF403A">
            <w:pPr>
              <w:rPr>
                <w:b/>
                <w:bCs/>
              </w:rPr>
            </w:pPr>
            <w:r>
              <w:rPr>
                <w:b/>
                <w:bCs/>
              </w:rPr>
              <w:t>EIL</w:t>
            </w:r>
          </w:p>
          <w:p w14:paraId="6769130C" w14:textId="77777777" w:rsidR="00CF403A" w:rsidRDefault="00CF403A" w:rsidP="00CF403A">
            <w:pPr>
              <w:rPr>
                <w:b/>
                <w:bCs/>
              </w:rPr>
            </w:pPr>
            <w:r w:rsidRPr="00F5070C">
              <w:rPr>
                <w:b/>
                <w:bCs/>
              </w:rPr>
              <w:t xml:space="preserve">Experiment in Independent Living </w:t>
            </w:r>
          </w:p>
          <w:p w14:paraId="450C8FBF" w14:textId="77777777" w:rsidR="00CF403A" w:rsidRDefault="00CF403A" w:rsidP="00CF403A">
            <w:pPr>
              <w:rPr>
                <w:b/>
                <w:bCs/>
              </w:rPr>
            </w:pPr>
          </w:p>
          <w:p w14:paraId="6F2BB30B" w14:textId="5DB2AD48" w:rsidR="00CF403A" w:rsidRPr="00F5070C" w:rsidRDefault="00CF403A" w:rsidP="001767A2">
            <w:pPr>
              <w:rPr>
                <w:b/>
                <w:bCs/>
              </w:rPr>
            </w:pPr>
            <w:r w:rsidRPr="00F5070C">
              <w:t xml:space="preserve">The program was designed to teach people independent living skills and to connect them with community resources, including public </w:t>
            </w:r>
            <w:r w:rsidRPr="00F5070C">
              <w:lastRenderedPageBreak/>
              <w:t>transportation, educational facilities, and leisure activities. An important feature is the requirement of at least 15 hours per week of regular paid or volunteer) employment in the community. The staff assists the individual in finding a placement by working closely with the employer or supervisor and with the employee.</w:t>
            </w:r>
          </w:p>
        </w:tc>
        <w:tc>
          <w:tcPr>
            <w:tcW w:w="558" w:type="pct"/>
          </w:tcPr>
          <w:p w14:paraId="7A80A34E" w14:textId="759FB4E1" w:rsidR="00CF403A" w:rsidRPr="00F5070C" w:rsidRDefault="00CF403A" w:rsidP="00CF403A">
            <w:r w:rsidRPr="00F5070C">
              <w:lastRenderedPageBreak/>
              <w:t>USA</w:t>
            </w:r>
          </w:p>
        </w:tc>
        <w:tc>
          <w:tcPr>
            <w:tcW w:w="621" w:type="pct"/>
          </w:tcPr>
          <w:p w14:paraId="0AEB040B" w14:textId="77777777" w:rsidR="00CF403A" w:rsidRPr="00F574C6" w:rsidRDefault="00CF403A" w:rsidP="00CF403A">
            <w:r w:rsidRPr="00F574C6">
              <w:t xml:space="preserve">Pillsuk </w:t>
            </w:r>
            <w:r>
              <w:t>(</w:t>
            </w:r>
            <w:r w:rsidRPr="00F574C6">
              <w:t>2001</w:t>
            </w:r>
            <w:r>
              <w:t>)</w:t>
            </w:r>
          </w:p>
          <w:p w14:paraId="7506C77A" w14:textId="77777777" w:rsidR="00CF403A" w:rsidRPr="00F574C6" w:rsidRDefault="00CF403A" w:rsidP="00CF403A"/>
          <w:p w14:paraId="3405E059" w14:textId="77777777" w:rsidR="00CF403A" w:rsidRPr="00F574C6" w:rsidRDefault="00CF403A" w:rsidP="00CF403A"/>
        </w:tc>
        <w:tc>
          <w:tcPr>
            <w:tcW w:w="621" w:type="pct"/>
          </w:tcPr>
          <w:p w14:paraId="201F76FA" w14:textId="77777777" w:rsidR="00CF403A" w:rsidRPr="00F5070C" w:rsidRDefault="00CF403A" w:rsidP="00CF403A">
            <w:r w:rsidRPr="00F5070C">
              <w:t>Psychiatric illness</w:t>
            </w:r>
          </w:p>
          <w:p w14:paraId="72241EC6" w14:textId="77777777" w:rsidR="00CF403A" w:rsidRDefault="00CF403A" w:rsidP="00CF403A">
            <w:r w:rsidRPr="00F5070C">
              <w:t>N=47</w:t>
            </w:r>
          </w:p>
          <w:p w14:paraId="6EBD767B" w14:textId="77777777" w:rsidR="00CF403A" w:rsidRPr="00F5070C" w:rsidRDefault="00CF403A" w:rsidP="00CF403A"/>
          <w:p w14:paraId="757743E4" w14:textId="77777777" w:rsidR="00CF403A" w:rsidRDefault="00CF403A" w:rsidP="00CF403A">
            <w:r w:rsidRPr="00F5070C">
              <w:t>n=25</w:t>
            </w:r>
            <w:r>
              <w:t>, EIL participants</w:t>
            </w:r>
          </w:p>
          <w:p w14:paraId="7B7481BA" w14:textId="77777777" w:rsidR="00CF403A" w:rsidRPr="00F5070C" w:rsidRDefault="00CF403A" w:rsidP="00CF403A"/>
          <w:p w14:paraId="607C774B" w14:textId="3FA1BF2C" w:rsidR="00CF403A" w:rsidRPr="00F5070C" w:rsidRDefault="00CF403A" w:rsidP="00CF403A">
            <w:r w:rsidRPr="00F5070C">
              <w:t>n=22</w:t>
            </w:r>
            <w:r>
              <w:t xml:space="preserve">, </w:t>
            </w:r>
            <w:r w:rsidRPr="00F5070C">
              <w:t xml:space="preserve">non-EIL </w:t>
            </w:r>
            <w:r>
              <w:t>participants</w:t>
            </w:r>
          </w:p>
        </w:tc>
        <w:tc>
          <w:tcPr>
            <w:tcW w:w="621" w:type="pct"/>
          </w:tcPr>
          <w:p w14:paraId="21F96498" w14:textId="3B2FC58A" w:rsidR="00CF403A" w:rsidRDefault="00CF403A" w:rsidP="00CF403A">
            <w:r w:rsidRPr="00F5070C">
              <w:t>Cross sectional comparison</w:t>
            </w:r>
          </w:p>
        </w:tc>
        <w:tc>
          <w:tcPr>
            <w:tcW w:w="908" w:type="pct"/>
          </w:tcPr>
          <w:p w14:paraId="7794E7B8" w14:textId="32BA0EB5" w:rsidR="00CF403A" w:rsidRPr="00F5070C" w:rsidRDefault="00CF403A" w:rsidP="00CF403A">
            <w:r w:rsidRPr="00F5070C">
              <w:t>Fair</w:t>
            </w:r>
          </w:p>
        </w:tc>
        <w:tc>
          <w:tcPr>
            <w:tcW w:w="860" w:type="pct"/>
          </w:tcPr>
          <w:p w14:paraId="268A6925" w14:textId="097A525C" w:rsidR="00CF403A" w:rsidRPr="00F5070C" w:rsidRDefault="00CF403A" w:rsidP="00CF403A">
            <w:r w:rsidRPr="00F5070C">
              <w:t>EIL programme facilitated a wider informal network of family supports and resulted in fewer contacts with health professionals and more contacts with social participation groups (e.g. church groups).</w:t>
            </w:r>
          </w:p>
        </w:tc>
      </w:tr>
      <w:tr w:rsidR="00CF403A" w:rsidRPr="00A802E7" w14:paraId="126D9C06" w14:textId="77777777" w:rsidTr="001767A2">
        <w:tc>
          <w:tcPr>
            <w:tcW w:w="811" w:type="pct"/>
          </w:tcPr>
          <w:p w14:paraId="53D3047F" w14:textId="07A9ED7D" w:rsidR="00CF403A" w:rsidRDefault="00CF403A" w:rsidP="00CF403A">
            <w:pPr>
              <w:rPr>
                <w:b/>
                <w:bCs/>
              </w:rPr>
            </w:pPr>
            <w:r>
              <w:rPr>
                <w:b/>
                <w:bCs/>
              </w:rPr>
              <w:t>Independent Living Centre</w:t>
            </w:r>
          </w:p>
        </w:tc>
        <w:tc>
          <w:tcPr>
            <w:tcW w:w="558" w:type="pct"/>
          </w:tcPr>
          <w:p w14:paraId="61605CDE" w14:textId="1D088EA2" w:rsidR="00CF403A" w:rsidRPr="00F5070C" w:rsidRDefault="00CF403A" w:rsidP="00CF403A">
            <w:r>
              <w:t>Japan</w:t>
            </w:r>
          </w:p>
        </w:tc>
        <w:tc>
          <w:tcPr>
            <w:tcW w:w="621" w:type="pct"/>
          </w:tcPr>
          <w:p w14:paraId="6C54957F" w14:textId="07AA3F9B" w:rsidR="00CF403A" w:rsidRDefault="00CF403A" w:rsidP="00CF403A">
            <w:pPr>
              <w:rPr>
                <w:rFonts w:ascii="Calibri" w:hAnsi="Calibri" w:cs="Calibri"/>
                <w:color w:val="000000"/>
              </w:rPr>
            </w:pPr>
            <w:r>
              <w:rPr>
                <w:rFonts w:ascii="Calibri" w:hAnsi="Calibri" w:cs="Calibri"/>
                <w:color w:val="000000"/>
              </w:rPr>
              <w:t xml:space="preserve">Hayashi </w:t>
            </w:r>
            <w:r w:rsidR="00C67F42">
              <w:rPr>
                <w:rFonts w:ascii="Calibri" w:hAnsi="Calibri" w:cs="Calibri"/>
                <w:color w:val="000000"/>
              </w:rPr>
              <w:t xml:space="preserve">&amp; </w:t>
            </w:r>
            <w:r>
              <w:rPr>
                <w:rFonts w:ascii="Calibri" w:hAnsi="Calibri" w:cs="Calibri"/>
                <w:color w:val="000000"/>
              </w:rPr>
              <w:t>Okuhira (2008)</w:t>
            </w:r>
          </w:p>
          <w:p w14:paraId="48D79D98" w14:textId="77777777" w:rsidR="00CF403A" w:rsidRPr="00F574C6" w:rsidRDefault="00CF403A" w:rsidP="00CF403A"/>
        </w:tc>
        <w:tc>
          <w:tcPr>
            <w:tcW w:w="621" w:type="pct"/>
          </w:tcPr>
          <w:p w14:paraId="03F80F45" w14:textId="77777777" w:rsidR="00CF403A" w:rsidRDefault="00CF403A" w:rsidP="00CF403A">
            <w:pPr>
              <w:rPr>
                <w:rFonts w:ascii="Calibri" w:hAnsi="Calibri" w:cs="Calibri"/>
                <w:color w:val="000000"/>
              </w:rPr>
            </w:pPr>
          </w:p>
          <w:p w14:paraId="5E6E6D5B" w14:textId="77777777" w:rsidR="00CF403A" w:rsidRDefault="00CF403A" w:rsidP="00CF403A">
            <w:pPr>
              <w:rPr>
                <w:rFonts w:ascii="Calibri" w:hAnsi="Calibri" w:cs="Calibri"/>
                <w:color w:val="000000"/>
                <w:lang w:val="en-GB"/>
              </w:rPr>
            </w:pPr>
            <w:r w:rsidRPr="00F574C6">
              <w:t>Not specified</w:t>
            </w:r>
          </w:p>
          <w:p w14:paraId="12C5AE1B" w14:textId="77777777" w:rsidR="00CF403A" w:rsidRPr="00F5070C" w:rsidRDefault="00CF403A" w:rsidP="00CF403A"/>
        </w:tc>
        <w:tc>
          <w:tcPr>
            <w:tcW w:w="621" w:type="pct"/>
          </w:tcPr>
          <w:p w14:paraId="44B50C23" w14:textId="4D662B1A" w:rsidR="00CF403A" w:rsidRPr="00F5070C" w:rsidRDefault="00CF403A" w:rsidP="00CF403A">
            <w:r>
              <w:t>In depth interviews; focus group (n=35)</w:t>
            </w:r>
          </w:p>
        </w:tc>
        <w:tc>
          <w:tcPr>
            <w:tcW w:w="908" w:type="pct"/>
          </w:tcPr>
          <w:p w14:paraId="709F7BBF" w14:textId="639065A0" w:rsidR="00CF403A" w:rsidRPr="00F5070C" w:rsidRDefault="00CF403A" w:rsidP="00CF403A">
            <w:r>
              <w:t>Poor</w:t>
            </w:r>
          </w:p>
        </w:tc>
        <w:tc>
          <w:tcPr>
            <w:tcW w:w="860" w:type="pct"/>
          </w:tcPr>
          <w:p w14:paraId="1436027A" w14:textId="77777777" w:rsidR="00CF403A" w:rsidRDefault="00CF403A" w:rsidP="00CF403A">
            <w:pPr>
              <w:rPr>
                <w:rFonts w:ascii="Calibri" w:hAnsi="Calibri" w:cs="Calibri"/>
                <w:color w:val="000000"/>
                <w:lang w:val="en-GB"/>
              </w:rPr>
            </w:pPr>
            <w:r>
              <w:rPr>
                <w:rFonts w:ascii="Calibri" w:hAnsi="Calibri" w:cs="Calibri"/>
                <w:color w:val="000000"/>
              </w:rPr>
              <w:t xml:space="preserve">Although facing many challenges, the training program has provided positive impacts not only on the Asian disabled trainees but also on disabled Japanese in the independent living movement. Some former trainees </w:t>
            </w:r>
            <w:r>
              <w:rPr>
                <w:rFonts w:ascii="Calibri" w:hAnsi="Calibri" w:cs="Calibri"/>
                <w:color w:val="000000"/>
              </w:rPr>
              <w:lastRenderedPageBreak/>
              <w:t>have gone on to establish ILCs in their</w:t>
            </w:r>
            <w:r>
              <w:rPr>
                <w:rFonts w:ascii="Calibri" w:hAnsi="Calibri" w:cs="Calibri"/>
                <w:color w:val="000000"/>
              </w:rPr>
              <w:br/>
              <w:t>home countries. The Japanese hosts have been empowered by the new energy from Asia and</w:t>
            </w:r>
            <w:r>
              <w:rPr>
                <w:rFonts w:ascii="Calibri" w:hAnsi="Calibri" w:cs="Calibri"/>
                <w:color w:val="000000"/>
              </w:rPr>
              <w:br/>
              <w:t>recommitted themselves to the disability rights movement.</w:t>
            </w:r>
          </w:p>
          <w:p w14:paraId="315B30D8" w14:textId="77777777" w:rsidR="00CF403A" w:rsidRPr="00F5070C" w:rsidRDefault="00CF403A" w:rsidP="00CF403A"/>
        </w:tc>
      </w:tr>
      <w:tr w:rsidR="00CF403A" w:rsidRPr="00A802E7" w14:paraId="687A91F2" w14:textId="77777777" w:rsidTr="001767A2">
        <w:tc>
          <w:tcPr>
            <w:tcW w:w="811" w:type="pct"/>
          </w:tcPr>
          <w:p w14:paraId="53D5D9C1" w14:textId="77777777" w:rsidR="00CF403A" w:rsidRDefault="00CF403A" w:rsidP="00CF403A">
            <w:r w:rsidRPr="00470CF9">
              <w:lastRenderedPageBreak/>
              <w:t>Train and place versus place and train</w:t>
            </w:r>
            <w:r>
              <w:t>.</w:t>
            </w:r>
          </w:p>
          <w:p w14:paraId="4E0FA0A5" w14:textId="77777777" w:rsidR="00CF403A" w:rsidRDefault="00CF403A" w:rsidP="00CF403A"/>
          <w:p w14:paraId="4892CA7C" w14:textId="77777777" w:rsidR="00CF403A" w:rsidRPr="006F381B" w:rsidRDefault="00CF403A" w:rsidP="00CF403A">
            <w:r w:rsidRPr="006F381B">
              <w:t xml:space="preserve">"In the U.S., the “Train and Place” approach (which provides a constant level of staffing on‐site to a number of service users living in apartments, with the expectation of service users moving on to more independent accommodation as </w:t>
            </w:r>
            <w:r w:rsidRPr="006F381B">
              <w:lastRenderedPageBreak/>
              <w:t>they gain living skills) was compared in a quasi‐experimental study to the “Place and Train” approach (which provides off‐site outreach support of flexible intensity to service users living in time‐unlimited, independent tenancies)</w:t>
            </w:r>
            <w:r>
              <w:t>”.</w:t>
            </w:r>
          </w:p>
          <w:p w14:paraId="426ECA24" w14:textId="77777777" w:rsidR="00CF403A" w:rsidRPr="00470CF9" w:rsidRDefault="00CF403A" w:rsidP="00CF403A"/>
        </w:tc>
        <w:tc>
          <w:tcPr>
            <w:tcW w:w="558" w:type="pct"/>
          </w:tcPr>
          <w:p w14:paraId="2F4DB1C7" w14:textId="77777777" w:rsidR="00CF403A" w:rsidRPr="00470CF9" w:rsidRDefault="00CF403A" w:rsidP="00CF403A">
            <w:r>
              <w:lastRenderedPageBreak/>
              <w:t>USA</w:t>
            </w:r>
          </w:p>
        </w:tc>
        <w:tc>
          <w:tcPr>
            <w:tcW w:w="621" w:type="pct"/>
          </w:tcPr>
          <w:p w14:paraId="52A9EBF2" w14:textId="77777777" w:rsidR="00CF403A" w:rsidRPr="00470CF9" w:rsidRDefault="00CF403A" w:rsidP="00CF403A">
            <w:r w:rsidRPr="00470CF9">
              <w:t>Killas</w:t>
            </w:r>
            <w:r>
              <w:t>p</w:t>
            </w:r>
            <w:r w:rsidRPr="00470CF9">
              <w:t>y (2015)</w:t>
            </w:r>
          </w:p>
        </w:tc>
        <w:tc>
          <w:tcPr>
            <w:tcW w:w="621" w:type="pct"/>
          </w:tcPr>
          <w:p w14:paraId="5BCD75C9" w14:textId="77777777" w:rsidR="00CF403A" w:rsidRDefault="00CF403A" w:rsidP="00CF403A">
            <w:r>
              <w:t>People with mental health problems</w:t>
            </w:r>
          </w:p>
        </w:tc>
        <w:tc>
          <w:tcPr>
            <w:tcW w:w="621" w:type="pct"/>
          </w:tcPr>
          <w:p w14:paraId="742C75CF" w14:textId="77777777" w:rsidR="00CF403A" w:rsidRPr="00470CF9" w:rsidRDefault="00CF403A" w:rsidP="00CF403A">
            <w:r>
              <w:t xml:space="preserve">Discussion paper. Grey literature. </w:t>
            </w:r>
          </w:p>
        </w:tc>
        <w:tc>
          <w:tcPr>
            <w:tcW w:w="908" w:type="pct"/>
          </w:tcPr>
          <w:p w14:paraId="68B08593" w14:textId="25C7AA01" w:rsidR="00CF403A" w:rsidRPr="002C6A98" w:rsidRDefault="00256A69" w:rsidP="00CF403A">
            <w:r>
              <w:t>N/A</w:t>
            </w:r>
          </w:p>
        </w:tc>
        <w:tc>
          <w:tcPr>
            <w:tcW w:w="860" w:type="pct"/>
          </w:tcPr>
          <w:p w14:paraId="57015083" w14:textId="2B673F0B" w:rsidR="00CF403A" w:rsidRPr="00A802E7" w:rsidRDefault="00256A69" w:rsidP="00CF403A">
            <w:pPr>
              <w:rPr>
                <w:b/>
                <w:bCs/>
              </w:rPr>
            </w:pPr>
            <w:r>
              <w:t xml:space="preserve">References a quasi-experimental study that compared the two models and reports the overall finding. Detail on study design not provided. </w:t>
            </w:r>
            <w:r w:rsidR="00CF403A">
              <w:t>The place and train</w:t>
            </w:r>
            <w:r w:rsidR="00CF403A" w:rsidRPr="006F381B">
              <w:t xml:space="preserve"> approach </w:t>
            </w:r>
            <w:r w:rsidR="00CF403A">
              <w:t>“</w:t>
            </w:r>
            <w:r w:rsidR="00CF403A" w:rsidRPr="006F381B">
              <w:t>was found to facilitate greater community integration and service user satisfaction</w:t>
            </w:r>
            <w:r w:rsidR="00CF403A">
              <w:t>”</w:t>
            </w:r>
          </w:p>
        </w:tc>
      </w:tr>
      <w:tr w:rsidR="00CF403A" w:rsidRPr="00A802E7" w14:paraId="4F599361" w14:textId="77777777" w:rsidTr="001767A2">
        <w:tc>
          <w:tcPr>
            <w:tcW w:w="811" w:type="pct"/>
          </w:tcPr>
          <w:p w14:paraId="413DE162" w14:textId="77777777" w:rsidR="00CF403A" w:rsidRPr="001D333D" w:rsidRDefault="00CF403A" w:rsidP="00CF403A">
            <w:r>
              <w:t>E</w:t>
            </w:r>
            <w:r w:rsidRPr="001D333D">
              <w:t>nabling strategies to support transition</w:t>
            </w:r>
          </w:p>
        </w:tc>
        <w:tc>
          <w:tcPr>
            <w:tcW w:w="558" w:type="pct"/>
          </w:tcPr>
          <w:p w14:paraId="7DFC38BA" w14:textId="77777777" w:rsidR="00CF403A" w:rsidRPr="001D333D" w:rsidRDefault="00CF403A" w:rsidP="00CF403A">
            <w:r w:rsidRPr="001D333D">
              <w:t>USA</w:t>
            </w:r>
          </w:p>
        </w:tc>
        <w:tc>
          <w:tcPr>
            <w:tcW w:w="621" w:type="pct"/>
          </w:tcPr>
          <w:p w14:paraId="50192663" w14:textId="77777777" w:rsidR="00CF403A" w:rsidRPr="001D333D" w:rsidRDefault="00CF403A" w:rsidP="00CF403A">
            <w:r w:rsidRPr="001D333D">
              <w:t>Pollard et al (2015)</w:t>
            </w:r>
          </w:p>
        </w:tc>
        <w:tc>
          <w:tcPr>
            <w:tcW w:w="621" w:type="pct"/>
          </w:tcPr>
          <w:p w14:paraId="6FE296AD" w14:textId="77777777" w:rsidR="00CF403A" w:rsidRDefault="00CF403A" w:rsidP="00CF403A">
            <w:r w:rsidRPr="001D333D">
              <w:t>People with mild ID</w:t>
            </w:r>
          </w:p>
        </w:tc>
        <w:tc>
          <w:tcPr>
            <w:tcW w:w="621" w:type="pct"/>
          </w:tcPr>
          <w:p w14:paraId="62BB6E92" w14:textId="77777777" w:rsidR="00CF403A" w:rsidRPr="001D333D" w:rsidRDefault="00CF403A" w:rsidP="00CF403A">
            <w:r>
              <w:t xml:space="preserve">Qualitative study. Dissertation. Grey literature. </w:t>
            </w:r>
          </w:p>
        </w:tc>
        <w:tc>
          <w:tcPr>
            <w:tcW w:w="908" w:type="pct"/>
          </w:tcPr>
          <w:p w14:paraId="4B8DBD77" w14:textId="1C15D071" w:rsidR="00CF403A" w:rsidRPr="001D333D" w:rsidRDefault="0024669F" w:rsidP="00CF403A">
            <w:r>
              <w:t>N/A</w:t>
            </w:r>
          </w:p>
        </w:tc>
        <w:tc>
          <w:tcPr>
            <w:tcW w:w="860" w:type="pct"/>
          </w:tcPr>
          <w:p w14:paraId="17AA63B0" w14:textId="77777777" w:rsidR="00CF403A" w:rsidRDefault="00CF403A" w:rsidP="00CF403A">
            <w:r w:rsidRPr="001D333D">
              <w:t>Reports that person centred transition planning and self-determination training</w:t>
            </w:r>
            <w:r>
              <w:t xml:space="preserve"> are key elements to successful transition. Other strategies identified training and skill developing in daily living, transition classes, family support, employment opportunities, leisure opportunities, </w:t>
            </w:r>
            <w:r>
              <w:lastRenderedPageBreak/>
              <w:t xml:space="preserve">learning about quality of life. </w:t>
            </w:r>
          </w:p>
          <w:p w14:paraId="7EBF0829" w14:textId="77777777" w:rsidR="00CF403A" w:rsidRDefault="00CF403A" w:rsidP="00CF403A"/>
          <w:p w14:paraId="01A91A10" w14:textId="77777777" w:rsidR="00CF403A" w:rsidRPr="001D333D" w:rsidRDefault="00CF403A" w:rsidP="00CF403A">
            <w:r w:rsidRPr="001D333D">
              <w:t xml:space="preserve">Barriers </w:t>
            </w:r>
            <w:r>
              <w:t xml:space="preserve">to transition </w:t>
            </w:r>
            <w:r w:rsidRPr="001D333D">
              <w:t xml:space="preserve">also discussed </w:t>
            </w:r>
            <w:r>
              <w:t>and were not having</w:t>
            </w:r>
            <w:r w:rsidRPr="001D333D">
              <w:t xml:space="preserve"> choice</w:t>
            </w:r>
            <w:r>
              <w:t>,</w:t>
            </w:r>
            <w:r w:rsidRPr="001D333D">
              <w:t xml:space="preserve"> making friends in community; being able to self-advocate and vote</w:t>
            </w:r>
          </w:p>
        </w:tc>
      </w:tr>
    </w:tbl>
    <w:p w14:paraId="58FBE215" w14:textId="77777777" w:rsidR="00194C20" w:rsidRDefault="00194C20" w:rsidP="00194C20"/>
    <w:p w14:paraId="15CFA0C0" w14:textId="62616D8C" w:rsidR="00E01F76" w:rsidRPr="00E94D61" w:rsidRDefault="00E01F76" w:rsidP="00E01F76">
      <w:pPr>
        <w:pStyle w:val="ListParagraph"/>
        <w:spacing w:line="360" w:lineRule="auto"/>
        <w:jc w:val="both"/>
        <w:rPr>
          <w:sz w:val="20"/>
          <w:szCs w:val="20"/>
        </w:rPr>
      </w:pPr>
      <w:r>
        <w:rPr>
          <w:sz w:val="20"/>
          <w:szCs w:val="20"/>
        </w:rPr>
        <w:t>*Quality was assessed using the Joanna Briggs Instrument with, poor &lt;=50%, fair&lt;=76%</w:t>
      </w:r>
      <w:r w:rsidR="00610A05">
        <w:rPr>
          <w:sz w:val="20"/>
          <w:szCs w:val="20"/>
        </w:rPr>
        <w:t xml:space="preserve">, </w:t>
      </w:r>
      <w:r>
        <w:rPr>
          <w:sz w:val="20"/>
          <w:szCs w:val="20"/>
        </w:rPr>
        <w:t>good&gt;75%, of criteria met. N/A means not applicable and refers to documents that were not quality assessed (grey literature)</w:t>
      </w:r>
    </w:p>
    <w:p w14:paraId="3B6C0907" w14:textId="77777777" w:rsidR="001767A2" w:rsidRDefault="001767A2" w:rsidP="00DF09CF">
      <w:pPr>
        <w:spacing w:line="360" w:lineRule="auto"/>
        <w:jc w:val="both"/>
        <w:rPr>
          <w:rFonts w:eastAsia="Times New Roman" w:cstheme="minorHAnsi"/>
          <w:lang w:val="en-GB"/>
        </w:rPr>
        <w:sectPr w:rsidR="001767A2" w:rsidSect="001767A2">
          <w:headerReference w:type="default" r:id="rId64"/>
          <w:footerReference w:type="default" r:id="rId65"/>
          <w:pgSz w:w="15840" w:h="12240" w:orient="landscape"/>
          <w:pgMar w:top="1440" w:right="1440" w:bottom="1440" w:left="1440" w:header="720" w:footer="720" w:gutter="0"/>
          <w:cols w:space="720"/>
          <w:docGrid w:linePitch="360"/>
        </w:sectPr>
      </w:pPr>
    </w:p>
    <w:p w14:paraId="28B62A45" w14:textId="4C8DA11F" w:rsidR="00711DCA" w:rsidRDefault="00191B34" w:rsidP="00711DCA">
      <w:pPr>
        <w:pStyle w:val="Heading2"/>
      </w:pPr>
      <w:bookmarkStart w:id="57" w:name="_Toc73535965"/>
      <w:r>
        <w:lastRenderedPageBreak/>
        <w:t>F</w:t>
      </w:r>
      <w:r w:rsidR="00711DCA">
        <w:t>actors that do not support transition</w:t>
      </w:r>
      <w:bookmarkEnd w:id="57"/>
      <w:r w:rsidR="00711DCA">
        <w:t xml:space="preserve"> </w:t>
      </w:r>
    </w:p>
    <w:p w14:paraId="6F8058E7" w14:textId="49ED360F" w:rsidR="00711DCA" w:rsidRPr="000C553B" w:rsidRDefault="00711DCA" w:rsidP="00C67F42">
      <w:pPr>
        <w:spacing w:before="120" w:line="360" w:lineRule="auto"/>
        <w:jc w:val="both"/>
      </w:pPr>
      <w:r w:rsidRPr="000C553B">
        <w:rPr>
          <w:rFonts w:eastAsia="Times New Roman"/>
          <w:lang w:val="en-AU"/>
        </w:rPr>
        <w:t>Many of the</w:t>
      </w:r>
      <w:r w:rsidR="001C67E7">
        <w:rPr>
          <w:rFonts w:eastAsia="Times New Roman"/>
          <w:lang w:val="en-AU"/>
        </w:rPr>
        <w:t xml:space="preserve"> identified</w:t>
      </w:r>
      <w:r w:rsidRPr="000C553B">
        <w:rPr>
          <w:rFonts w:eastAsia="Times New Roman"/>
          <w:lang w:val="en-AU"/>
        </w:rPr>
        <w:t xml:space="preserve"> barriers to successful transition</w:t>
      </w:r>
      <w:r w:rsidR="00AD4DA3">
        <w:rPr>
          <w:rFonts w:eastAsia="Times New Roman"/>
          <w:lang w:val="en-AU"/>
        </w:rPr>
        <w:t>, detailed below,</w:t>
      </w:r>
      <w:r w:rsidRPr="000C553B">
        <w:rPr>
          <w:rFonts w:eastAsia="Times New Roman"/>
          <w:lang w:val="en-AU"/>
        </w:rPr>
        <w:t xml:space="preserve"> were the inverse of the enablers </w:t>
      </w:r>
      <w:r w:rsidR="001C67E7">
        <w:rPr>
          <w:rFonts w:eastAsia="Times New Roman"/>
          <w:lang w:val="en-AU"/>
        </w:rPr>
        <w:t xml:space="preserve">that were </w:t>
      </w:r>
      <w:r w:rsidRPr="000C553B">
        <w:rPr>
          <w:rFonts w:eastAsia="Times New Roman"/>
          <w:lang w:val="en-AU"/>
        </w:rPr>
        <w:t xml:space="preserve">described above. </w:t>
      </w:r>
    </w:p>
    <w:p w14:paraId="002A850D" w14:textId="55C31499" w:rsidR="00711DCA" w:rsidRDefault="00711DCA" w:rsidP="00B5199A">
      <w:pPr>
        <w:pStyle w:val="Heading3"/>
      </w:pPr>
      <w:bookmarkStart w:id="58" w:name="_Toc73535966"/>
      <w:r>
        <w:t>Policy</w:t>
      </w:r>
      <w:bookmarkEnd w:id="58"/>
    </w:p>
    <w:p w14:paraId="222FE06B" w14:textId="791CB928" w:rsidR="001C67E7" w:rsidRDefault="00711DCA" w:rsidP="00711DCA">
      <w:pPr>
        <w:spacing w:line="360" w:lineRule="auto"/>
        <w:jc w:val="both"/>
        <w:rPr>
          <w:rFonts w:eastAsia="Times New Roman" w:cstheme="minorHAnsi"/>
          <w:lang w:val="en-GB"/>
        </w:rPr>
      </w:pPr>
      <w:r>
        <w:t xml:space="preserve">Houseworth et al (2018) </w:t>
      </w:r>
      <w:r w:rsidR="001C67E7">
        <w:t xml:space="preserve">described </w:t>
      </w:r>
      <w:r>
        <w:rPr>
          <w:rFonts w:eastAsia="Times New Roman" w:cstheme="minorHAnsi"/>
          <w:lang w:val="en-GB"/>
        </w:rPr>
        <w:t xml:space="preserve">systemic state-level policy barriers.  Funding cuts coinciding with de-institutionalisation policy resulted in decreased availability of appropriate de-congregated accommodation (McConkey &amp; Craig, 2018). </w:t>
      </w:r>
      <w:r w:rsidR="00B159F0">
        <w:t>A shortfall in out of home housing (Stancliffe, 2014) and depleted housing stock (Kroehn et al 2008) further restrict</w:t>
      </w:r>
      <w:r w:rsidR="001C67E7">
        <w:t>ed</w:t>
      </w:r>
      <w:r w:rsidR="00B159F0">
        <w:t xml:space="preserve"> transition to non-congregate</w:t>
      </w:r>
      <w:r w:rsidR="001C67E7">
        <w:t>d</w:t>
      </w:r>
      <w:r w:rsidR="00B159F0">
        <w:t xml:space="preserve"> or group home settings. </w:t>
      </w:r>
      <w:r w:rsidR="00B159F0">
        <w:rPr>
          <w:rFonts w:ascii="Calibri" w:eastAsia="Times New Roman" w:hAnsi="Calibri" w:cs="Calibri"/>
          <w:color w:val="000000"/>
          <w:lang w:val="en-AU" w:eastAsia="en-AU"/>
        </w:rPr>
        <w:t>The lack of affordable and accessible housing was found to be a challenge to securing alternatives to congregate and group home living, and this include</w:t>
      </w:r>
      <w:r w:rsidR="001C67E7">
        <w:rPr>
          <w:rFonts w:ascii="Calibri" w:eastAsia="Times New Roman" w:hAnsi="Calibri" w:cs="Calibri"/>
          <w:color w:val="000000"/>
          <w:lang w:val="en-AU" w:eastAsia="en-AU"/>
        </w:rPr>
        <w:t>d</w:t>
      </w:r>
      <w:r w:rsidR="00B159F0">
        <w:rPr>
          <w:rFonts w:ascii="Calibri" w:eastAsia="Times New Roman" w:hAnsi="Calibri" w:cs="Calibri"/>
          <w:color w:val="000000"/>
          <w:lang w:val="en-AU" w:eastAsia="en-AU"/>
        </w:rPr>
        <w:t xml:space="preserve"> supply of social housing (Fisher, 2008, Wiesel, et al, 2015). </w:t>
      </w:r>
      <w:r w:rsidRPr="00D944D7">
        <w:rPr>
          <w:rFonts w:eastAsia="Times New Roman"/>
          <w:lang w:val="en-AU"/>
        </w:rPr>
        <w:t xml:space="preserve">If the housing that was available was poorly designed, this could further disable the residents and make them more dependent </w:t>
      </w:r>
      <w:r w:rsidRPr="00D944D7">
        <w:rPr>
          <w:rFonts w:eastAsia="Times New Roman"/>
          <w:lang w:val="en-AU"/>
        </w:rPr>
        <w:fldChar w:fldCharType="begin">
          <w:fldData xml:space="preserve">PEVuZE5vdGU+PENpdGU+PEF1dGhvcj5Cb3JiYXNpPC9BdXRob3I+PFllYXI+MjAwODwvWWVhcj48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</w:fldData>
        </w:fldChar>
      </w:r>
      <w:r w:rsidR="00DD1FB6">
        <w:rPr>
          <w:rFonts w:eastAsia="Times New Roman"/>
          <w:lang w:val="en-AU"/>
        </w:rPr>
        <w:instrText xml:space="preserve"> ADDIN EN.CITE </w:instrText>
      </w:r>
      <w:r w:rsidR="00DD1FB6">
        <w:rPr>
          <w:rFonts w:eastAsia="Times New Roman"/>
          <w:lang w:val="en-AU"/>
        </w:rPr>
        <w:fldChar w:fldCharType="begin">
          <w:fldData xml:space="preserve">PEVuZE5vdGU+PENpdGU+PEF1dGhvcj5Cb3JiYXNpPC9BdXRob3I+PFllYXI+MjAwODwvWWVhcj48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</w:fldData>
        </w:fldChar>
      </w:r>
      <w:r w:rsidR="00DD1FB6">
        <w:rPr>
          <w:rFonts w:eastAsia="Times New Roman"/>
          <w:lang w:val="en-AU"/>
        </w:rPr>
        <w:instrText xml:space="preserve"> ADDIN EN.CITE.DATA </w:instrText>
      </w:r>
      <w:r w:rsidR="00DD1FB6">
        <w:rPr>
          <w:rFonts w:eastAsia="Times New Roman"/>
          <w:lang w:val="en-AU"/>
        </w:rPr>
      </w:r>
      <w:r w:rsidR="00DD1FB6">
        <w:rPr>
          <w:rFonts w:eastAsia="Times New Roman"/>
          <w:lang w:val="en-AU"/>
        </w:rPr>
        <w:fldChar w:fldCharType="end"/>
      </w:r>
      <w:r w:rsidRPr="00D944D7">
        <w:rPr>
          <w:rFonts w:eastAsia="Times New Roman"/>
          <w:lang w:val="en-AU"/>
        </w:rPr>
      </w:r>
      <w:r w:rsidRPr="00D944D7">
        <w:rPr>
          <w:rFonts w:eastAsia="Times New Roman"/>
          <w:lang w:val="en-AU"/>
        </w:rPr>
        <w:fldChar w:fldCharType="separate"/>
      </w:r>
      <w:r w:rsidRPr="00D944D7">
        <w:rPr>
          <w:rFonts w:eastAsia="Times New Roman"/>
          <w:noProof/>
          <w:lang w:val="en-AU"/>
        </w:rPr>
        <w:t>(Borbasi et al., 2008)</w:t>
      </w:r>
      <w:r w:rsidRPr="00D944D7">
        <w:rPr>
          <w:rFonts w:eastAsia="Times New Roman"/>
          <w:lang w:val="en-AU"/>
        </w:rPr>
        <w:fldChar w:fldCharType="end"/>
      </w:r>
      <w:r w:rsidRPr="00D944D7">
        <w:rPr>
          <w:rFonts w:eastAsia="Times New Roman"/>
          <w:lang w:val="en-AU"/>
        </w:rPr>
        <w:t xml:space="preserve">. </w:t>
      </w:r>
      <w:r w:rsidRPr="00274C25">
        <w:rPr>
          <w:rFonts w:eastAsia="Times New Roman" w:cstheme="minorHAnsi"/>
          <w:lang w:val="en-GB"/>
        </w:rPr>
        <w:t xml:space="preserve">In some geographic locations independent living arrangements were noted to be affected by poor infrastructure and restricted by inadequate educational system and government funding (Chou, </w:t>
      </w:r>
      <w:r w:rsidR="00C67F42">
        <w:rPr>
          <w:rFonts w:eastAsia="Times New Roman" w:cstheme="minorHAnsi"/>
          <w:lang w:val="en-GB"/>
        </w:rPr>
        <w:t xml:space="preserve">et al </w:t>
      </w:r>
      <w:r w:rsidRPr="00274C25">
        <w:rPr>
          <w:rFonts w:eastAsia="Times New Roman" w:cstheme="minorHAnsi"/>
          <w:lang w:val="en-GB"/>
        </w:rPr>
        <w:t>2008, Dimitriadou, 2020).</w:t>
      </w:r>
    </w:p>
    <w:p w14:paraId="2206156C" w14:textId="0476CC03" w:rsidR="00711DCA" w:rsidRDefault="00711DCA" w:rsidP="00711DCA">
      <w:pPr>
        <w:spacing w:line="360" w:lineRule="auto"/>
        <w:jc w:val="both"/>
        <w:rPr>
          <w:lang w:val="en-AU"/>
        </w:rPr>
      </w:pPr>
      <w:r>
        <w:t>Grant et al (2017) note</w:t>
      </w:r>
      <w:r w:rsidR="001C67E7">
        <w:t>d</w:t>
      </w:r>
      <w:r>
        <w:t xml:space="preserve"> that the m</w:t>
      </w:r>
      <w:r w:rsidRPr="005E1C91">
        <w:t xml:space="preserve">ajority of houses </w:t>
      </w:r>
      <w:r>
        <w:t xml:space="preserve">did </w:t>
      </w:r>
      <w:r w:rsidRPr="005E1C91">
        <w:t>not meet accessibility or visibility requirements</w:t>
      </w:r>
      <w:r>
        <w:t xml:space="preserve"> and highlight</w:t>
      </w:r>
      <w:r w:rsidR="001C67E7">
        <w:t>ed</w:t>
      </w:r>
      <w:r>
        <w:t xml:space="preserve"> </w:t>
      </w:r>
      <w:r w:rsidR="001C67E7">
        <w:t xml:space="preserve">the </w:t>
      </w:r>
      <w:r>
        <w:t xml:space="preserve">importance of liveable design and </w:t>
      </w:r>
      <w:r w:rsidR="001C67E7">
        <w:t>u</w:t>
      </w:r>
      <w:r>
        <w:t xml:space="preserve">niversal </w:t>
      </w:r>
      <w:r w:rsidR="001C67E7">
        <w:t>d</w:t>
      </w:r>
      <w:r>
        <w:t>esign in context of housing for indigenous people with disability. They identified differences in housing across remote, urban and rural settings</w:t>
      </w:r>
      <w:r w:rsidR="001C67E7">
        <w:t xml:space="preserve">. </w:t>
      </w:r>
      <w:r w:rsidR="00B91812">
        <w:t xml:space="preserve"> T</w:t>
      </w:r>
      <w:r w:rsidR="001C67E7">
        <w:t xml:space="preserve">hey reported </w:t>
      </w:r>
      <w:r>
        <w:t xml:space="preserve">difficulty accessing accommodation and </w:t>
      </w:r>
      <w:r w:rsidR="001C67E7">
        <w:t xml:space="preserve">the widespread </w:t>
      </w:r>
      <w:r>
        <w:t>prevalence of substandard accommodation</w:t>
      </w:r>
      <w:r w:rsidR="001C67E7">
        <w:t xml:space="preserve"> </w:t>
      </w:r>
      <w:r>
        <w:t>in urban and remote areas</w:t>
      </w:r>
      <w:r w:rsidR="00B91812">
        <w:t xml:space="preserve">. </w:t>
      </w:r>
      <w:r>
        <w:t xml:space="preserve">McCauley et al (2016) </w:t>
      </w:r>
      <w:r w:rsidR="001C67E7">
        <w:t xml:space="preserve">described </w:t>
      </w:r>
      <w:r>
        <w:t xml:space="preserve">that </w:t>
      </w:r>
      <w:r w:rsidR="001C67E7">
        <w:t xml:space="preserve">a </w:t>
      </w:r>
      <w:r>
        <w:t>sufficient range of living options t</w:t>
      </w:r>
      <w:r w:rsidR="001C67E7">
        <w:t>o</w:t>
      </w:r>
      <w:r>
        <w:t xml:space="preserve"> facilitate inclusion are not available </w:t>
      </w:r>
      <w:r w:rsidRPr="005E1C91">
        <w:t>for people who require daily living supports</w:t>
      </w:r>
      <w:r w:rsidR="00191B34">
        <w:t xml:space="preserve">. </w:t>
      </w:r>
      <w:r w:rsidR="00FE5DA3">
        <w:rPr>
          <w:lang w:val="en-AU"/>
        </w:rPr>
        <w:t>It was also reported that i</w:t>
      </w:r>
      <w:r>
        <w:rPr>
          <w:lang w:val="en-AU"/>
        </w:rPr>
        <w:t xml:space="preserve">nsufficient funding </w:t>
      </w:r>
      <w:r w:rsidR="00191B34">
        <w:rPr>
          <w:lang w:val="en-AU"/>
        </w:rPr>
        <w:t xml:space="preserve">could lead to a person with disability living </w:t>
      </w:r>
      <w:r>
        <w:rPr>
          <w:lang w:val="en-AU"/>
        </w:rPr>
        <w:t xml:space="preserve">in aged care (Griffiths, 20110). </w:t>
      </w:r>
    </w:p>
    <w:p w14:paraId="77A19712" w14:textId="77777777" w:rsidR="00711DCA" w:rsidRDefault="00711DCA" w:rsidP="00B5199A">
      <w:pPr>
        <w:pStyle w:val="Heading3"/>
      </w:pPr>
      <w:bookmarkStart w:id="59" w:name="_Toc73535967"/>
      <w:r>
        <w:t>Organisational</w:t>
      </w:r>
      <w:bookmarkEnd w:id="59"/>
    </w:p>
    <w:p w14:paraId="262814D8" w14:textId="73502B53" w:rsidR="00711DCA" w:rsidRDefault="00711DCA" w:rsidP="00C67F42">
      <w:pPr>
        <w:spacing w:before="120" w:line="360" w:lineRule="auto"/>
        <w:jc w:val="both"/>
        <w:rPr>
          <w:rFonts w:eastAsia="Times New Roman"/>
          <w:lang w:val="en-AU"/>
        </w:rPr>
      </w:pPr>
      <w:r w:rsidRPr="00D944D7">
        <w:rPr>
          <w:rFonts w:eastAsia="Times New Roman"/>
          <w:lang w:val="en-AU"/>
        </w:rPr>
        <w:t xml:space="preserve">Poor staff training in general was identified as a barrier to successful transition, in that it may not have prevented the transition itself, but it affected the quality of life of the residents substantially </w:t>
      </w:r>
      <w:r w:rsidRPr="00D944D7">
        <w:rPr>
          <w:rFonts w:eastAsia="Times New Roman"/>
          <w:lang w:val="en-AU"/>
        </w:rPr>
        <w:fldChar w:fldCharType="begin">
          <w:fldData xml:space="preserve">PEVuZE5vdGU+PENpdGU+PEF1dGhvcj5Cb3JiYXNpPC9BdXRob3I+PFllYXI+MjAwODwvWWVhcj48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</w:fldData>
        </w:fldChar>
      </w:r>
      <w:r w:rsidR="00DD1FB6">
        <w:rPr>
          <w:rFonts w:eastAsia="Times New Roman"/>
          <w:lang w:val="en-AU"/>
        </w:rPr>
        <w:instrText xml:space="preserve"> ADDIN EN.CITE </w:instrText>
      </w:r>
      <w:r w:rsidR="00DD1FB6">
        <w:rPr>
          <w:rFonts w:eastAsia="Times New Roman"/>
          <w:lang w:val="en-AU"/>
        </w:rPr>
        <w:fldChar w:fldCharType="begin">
          <w:fldData xml:space="preserve">PEVuZE5vdGU+PENpdGU+PEF1dGhvcj5Cb3JiYXNpPC9BdXRob3I+PFllYXI+MjAwODwvWWVhcj48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</w:fldData>
        </w:fldChar>
      </w:r>
      <w:r w:rsidR="00DD1FB6">
        <w:rPr>
          <w:rFonts w:eastAsia="Times New Roman"/>
          <w:lang w:val="en-AU"/>
        </w:rPr>
        <w:instrText xml:space="preserve"> ADDIN EN.CITE.DATA </w:instrText>
      </w:r>
      <w:r w:rsidR="00DD1FB6">
        <w:rPr>
          <w:rFonts w:eastAsia="Times New Roman"/>
          <w:lang w:val="en-AU"/>
        </w:rPr>
      </w:r>
      <w:r w:rsidR="00DD1FB6">
        <w:rPr>
          <w:rFonts w:eastAsia="Times New Roman"/>
          <w:lang w:val="en-AU"/>
        </w:rPr>
        <w:fldChar w:fldCharType="end"/>
      </w:r>
      <w:r w:rsidRPr="00D944D7">
        <w:rPr>
          <w:rFonts w:eastAsia="Times New Roman"/>
          <w:lang w:val="en-AU"/>
        </w:rPr>
      </w:r>
      <w:r w:rsidRPr="00D944D7">
        <w:rPr>
          <w:rFonts w:eastAsia="Times New Roman"/>
          <w:lang w:val="en-AU"/>
        </w:rPr>
        <w:fldChar w:fldCharType="separate"/>
      </w:r>
      <w:r w:rsidRPr="00D944D7">
        <w:rPr>
          <w:rFonts w:eastAsia="Times New Roman"/>
          <w:noProof/>
          <w:lang w:val="en-AU"/>
        </w:rPr>
        <w:t>(Borbasi et al., 2008)</w:t>
      </w:r>
      <w:r w:rsidRPr="00D944D7">
        <w:rPr>
          <w:rFonts w:eastAsia="Times New Roman"/>
          <w:lang w:val="en-AU"/>
        </w:rPr>
        <w:fldChar w:fldCharType="end"/>
      </w:r>
      <w:r w:rsidRPr="00D944D7">
        <w:rPr>
          <w:rFonts w:eastAsia="Times New Roman"/>
          <w:lang w:val="en-AU"/>
        </w:rPr>
        <w:t>.</w:t>
      </w:r>
    </w:p>
    <w:p w14:paraId="35A9BC50" w14:textId="7B02E631" w:rsidR="00711DCA" w:rsidRDefault="00191B34" w:rsidP="00B5199A">
      <w:pPr>
        <w:pStyle w:val="Heading3"/>
      </w:pPr>
      <w:bookmarkStart w:id="60" w:name="_Toc73535968"/>
      <w:r>
        <w:t>C</w:t>
      </w:r>
      <w:r w:rsidR="00711DCA">
        <w:t>ommunity and environment</w:t>
      </w:r>
      <w:bookmarkEnd w:id="60"/>
      <w:r w:rsidR="00711DCA">
        <w:t xml:space="preserve"> </w:t>
      </w:r>
    </w:p>
    <w:p w14:paraId="116A064D" w14:textId="58EA8E39" w:rsidR="00711DCA" w:rsidRDefault="00711DCA" w:rsidP="00191B34">
      <w:pPr>
        <w:spacing w:before="120" w:line="360" w:lineRule="auto"/>
        <w:jc w:val="both"/>
      </w:pPr>
      <w:r>
        <w:rPr>
          <w:rFonts w:eastAsia="Times New Roman" w:cstheme="minorHAnsi"/>
          <w:lang w:val="en-GB"/>
        </w:rPr>
        <w:t>A re</w:t>
      </w:r>
      <w:r w:rsidR="00191B34">
        <w:rPr>
          <w:rFonts w:eastAsia="Times New Roman" w:cstheme="minorHAnsi"/>
          <w:lang w:val="en-GB"/>
        </w:rPr>
        <w:t>c</w:t>
      </w:r>
      <w:r>
        <w:rPr>
          <w:rFonts w:eastAsia="Times New Roman" w:cstheme="minorHAnsi"/>
          <w:lang w:val="en-GB"/>
        </w:rPr>
        <w:t xml:space="preserve">urring barrier </w:t>
      </w:r>
      <w:r w:rsidR="00FE5DA3">
        <w:rPr>
          <w:rFonts w:eastAsia="Times New Roman" w:cstheme="minorHAnsi"/>
          <w:lang w:val="en-GB"/>
        </w:rPr>
        <w:t xml:space="preserve">was </w:t>
      </w:r>
      <w:r>
        <w:rPr>
          <w:rFonts w:eastAsia="Times New Roman" w:cstheme="minorHAnsi"/>
          <w:lang w:val="en-GB"/>
        </w:rPr>
        <w:t xml:space="preserve">reflected </w:t>
      </w:r>
      <w:r w:rsidR="00FE5DA3">
        <w:rPr>
          <w:rFonts w:eastAsia="Times New Roman" w:cstheme="minorHAnsi"/>
          <w:lang w:val="en-GB"/>
        </w:rPr>
        <w:t xml:space="preserve">by </w:t>
      </w:r>
      <w:r>
        <w:rPr>
          <w:rFonts w:eastAsia="Times New Roman" w:cstheme="minorHAnsi"/>
          <w:lang w:val="en-GB"/>
        </w:rPr>
        <w:t>the l</w:t>
      </w:r>
      <w:r w:rsidRPr="00274C25">
        <w:rPr>
          <w:rFonts w:eastAsia="Times New Roman" w:cstheme="minorHAnsi"/>
          <w:lang w:val="en-GB"/>
        </w:rPr>
        <w:t>ack of strategies</w:t>
      </w:r>
      <w:r>
        <w:rPr>
          <w:rFonts w:eastAsia="Times New Roman" w:cstheme="minorHAnsi"/>
          <w:lang w:val="en-GB"/>
        </w:rPr>
        <w:t xml:space="preserve"> and s</w:t>
      </w:r>
      <w:r w:rsidRPr="00274C25">
        <w:rPr>
          <w:rFonts w:eastAsia="Times New Roman" w:cstheme="minorHAnsi"/>
          <w:lang w:val="en-GB"/>
        </w:rPr>
        <w:t>upport</w:t>
      </w:r>
      <w:r w:rsidR="00FE5DA3">
        <w:rPr>
          <w:rFonts w:eastAsia="Times New Roman" w:cstheme="minorHAnsi"/>
          <w:lang w:val="en-GB"/>
        </w:rPr>
        <w:t>s</w:t>
      </w:r>
      <w:r w:rsidRPr="00274C25">
        <w:rPr>
          <w:rFonts w:eastAsia="Times New Roman" w:cstheme="minorHAnsi"/>
          <w:lang w:val="en-GB"/>
        </w:rPr>
        <w:t xml:space="preserve"> to </w:t>
      </w:r>
      <w:r>
        <w:rPr>
          <w:rFonts w:eastAsia="Times New Roman" w:cstheme="minorHAnsi"/>
          <w:lang w:val="en-GB"/>
        </w:rPr>
        <w:t>facilitate</w:t>
      </w:r>
      <w:r w:rsidRPr="00274C25">
        <w:rPr>
          <w:rFonts w:eastAsia="Times New Roman" w:cstheme="minorHAnsi"/>
          <w:lang w:val="en-GB"/>
        </w:rPr>
        <w:t xml:space="preserve"> social and personal relationships </w:t>
      </w:r>
      <w:r>
        <w:rPr>
          <w:rFonts w:eastAsia="Times New Roman" w:cstheme="minorHAnsi"/>
          <w:lang w:val="en-GB"/>
        </w:rPr>
        <w:t>in the community setting</w:t>
      </w:r>
      <w:r w:rsidRPr="00274C25">
        <w:rPr>
          <w:rFonts w:eastAsia="Times New Roman" w:cstheme="minorHAnsi"/>
          <w:lang w:val="en-GB"/>
        </w:rPr>
        <w:t xml:space="preserve">. </w:t>
      </w:r>
      <w:r>
        <w:rPr>
          <w:rFonts w:eastAsia="Times New Roman" w:cstheme="minorHAnsi"/>
          <w:lang w:val="en-GB"/>
        </w:rPr>
        <w:t xml:space="preserve">Contributing factors included lack of </w:t>
      </w:r>
      <w:r w:rsidRPr="00274C25">
        <w:rPr>
          <w:rFonts w:eastAsia="Times New Roman" w:cstheme="minorHAnsi"/>
          <w:lang w:val="en-GB"/>
        </w:rPr>
        <w:t>pro-active</w:t>
      </w:r>
      <w:r>
        <w:rPr>
          <w:rFonts w:eastAsia="Times New Roman" w:cstheme="minorHAnsi"/>
          <w:lang w:val="en-GB"/>
        </w:rPr>
        <w:t xml:space="preserve"> policy making (Bigby, 2008, McConkey et al, 2019) to support social inclusion. Limited consideration</w:t>
      </w:r>
      <w:r w:rsidR="00FE5DA3">
        <w:rPr>
          <w:rFonts w:eastAsia="Times New Roman" w:cstheme="minorHAnsi"/>
          <w:lang w:val="en-GB"/>
        </w:rPr>
        <w:t>s</w:t>
      </w:r>
      <w:r>
        <w:rPr>
          <w:rFonts w:eastAsia="Times New Roman" w:cstheme="minorHAnsi"/>
          <w:lang w:val="en-GB"/>
        </w:rPr>
        <w:t xml:space="preserve"> </w:t>
      </w:r>
      <w:r w:rsidR="00FE5DA3">
        <w:rPr>
          <w:rFonts w:eastAsia="Times New Roman" w:cstheme="minorHAnsi"/>
          <w:lang w:val="en-GB"/>
        </w:rPr>
        <w:t>for</w:t>
      </w:r>
      <w:r>
        <w:rPr>
          <w:rFonts w:eastAsia="Times New Roman" w:cstheme="minorHAnsi"/>
          <w:lang w:val="en-GB"/>
        </w:rPr>
        <w:t xml:space="preserve"> community characteristics </w:t>
      </w:r>
      <w:r w:rsidR="00FE5DA3">
        <w:rPr>
          <w:rFonts w:eastAsia="Times New Roman" w:cstheme="minorHAnsi"/>
          <w:lang w:val="en-GB"/>
        </w:rPr>
        <w:t xml:space="preserve">to </w:t>
      </w:r>
      <w:r>
        <w:rPr>
          <w:rFonts w:eastAsia="Times New Roman" w:cstheme="minorHAnsi"/>
          <w:lang w:val="en-GB"/>
        </w:rPr>
        <w:t xml:space="preserve">minimise community resistance and facilitate social integration </w:t>
      </w:r>
      <w:r w:rsidR="00FE5DA3">
        <w:rPr>
          <w:rFonts w:eastAsia="Times New Roman" w:cstheme="minorHAnsi"/>
          <w:lang w:val="en-GB"/>
        </w:rPr>
        <w:t xml:space="preserve">were discussed </w:t>
      </w:r>
      <w:r>
        <w:rPr>
          <w:rFonts w:eastAsia="Times New Roman" w:cstheme="minorHAnsi"/>
          <w:lang w:val="en-GB"/>
        </w:rPr>
        <w:lastRenderedPageBreak/>
        <w:t xml:space="preserve">(McConkey et al, 2019). For example, identifying housing in less distressed communities where community resistance may be minimised was recommended in one study (Wong et al, 2009). </w:t>
      </w:r>
      <w:r w:rsidRPr="00D944D7">
        <w:rPr>
          <w:rFonts w:eastAsia="Times New Roman"/>
        </w:rPr>
        <w:t>L</w:t>
      </w:r>
      <w:r w:rsidRPr="00D944D7">
        <w:rPr>
          <w:rFonts w:eastAsia="Times New Roman"/>
          <w:lang w:val="en-AU"/>
        </w:rPr>
        <w:t>ack of community integration and social inclusion were noted as contributing to a failure to achieve transition</w:t>
      </w:r>
      <w:r w:rsidR="00191B34">
        <w:rPr>
          <w:rFonts w:eastAsia="Times New Roman"/>
          <w:lang w:val="en-AU"/>
        </w:rPr>
        <w:t xml:space="preserve"> (</w:t>
      </w:r>
      <w:r w:rsidRPr="00D944D7">
        <w:rPr>
          <w:rFonts w:eastAsia="Times New Roman"/>
          <w:lang w:val="en-AU"/>
        </w:rPr>
        <w:t xml:space="preserve">Borbasi et al </w:t>
      </w:r>
      <w:r w:rsidRPr="00D944D7">
        <w:rPr>
          <w:rFonts w:eastAsia="Times New Roman"/>
          <w:lang w:val="en-AU"/>
        </w:rPr>
        <w:fldChar w:fldCharType="begin">
          <w:fldData xml:space="preserve">PEVuZE5vdGU+PENpdGUgRXhjbHVkZUF1dGg9IjEiPjxBdXRob3I+Qm9yYmFzaTwvQXV0aG9yPjxZ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</w:fldData>
        </w:fldChar>
      </w:r>
      <w:r w:rsidR="00DD1FB6">
        <w:rPr>
          <w:rFonts w:eastAsia="Times New Roman"/>
          <w:lang w:val="en-AU"/>
        </w:rPr>
        <w:instrText xml:space="preserve"> ADDIN EN.CITE </w:instrText>
      </w:r>
      <w:r w:rsidR="00DD1FB6">
        <w:rPr>
          <w:rFonts w:eastAsia="Times New Roman"/>
          <w:lang w:val="en-AU"/>
        </w:rPr>
        <w:fldChar w:fldCharType="begin">
          <w:fldData xml:space="preserve">PEVuZE5vdGU+PENpdGUgRXhjbHVkZUF1dGg9IjEiPjxBdXRob3I+Qm9yYmFzaTwvQXV0aG9yPjxZ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</w:fldData>
        </w:fldChar>
      </w:r>
      <w:r w:rsidR="00DD1FB6">
        <w:rPr>
          <w:rFonts w:eastAsia="Times New Roman"/>
          <w:lang w:val="en-AU"/>
        </w:rPr>
        <w:instrText xml:space="preserve"> ADDIN EN.CITE.DATA </w:instrText>
      </w:r>
      <w:r w:rsidR="00DD1FB6">
        <w:rPr>
          <w:rFonts w:eastAsia="Times New Roman"/>
          <w:lang w:val="en-AU"/>
        </w:rPr>
      </w:r>
      <w:r w:rsidR="00DD1FB6">
        <w:rPr>
          <w:rFonts w:eastAsia="Times New Roman"/>
          <w:lang w:val="en-AU"/>
        </w:rPr>
        <w:fldChar w:fldCharType="end"/>
      </w:r>
      <w:r w:rsidRPr="00D944D7">
        <w:rPr>
          <w:rFonts w:eastAsia="Times New Roman"/>
          <w:lang w:val="en-AU"/>
        </w:rPr>
      </w:r>
      <w:r w:rsidRPr="00D944D7">
        <w:rPr>
          <w:rFonts w:eastAsia="Times New Roman"/>
          <w:lang w:val="en-AU"/>
        </w:rPr>
        <w:fldChar w:fldCharType="separate"/>
      </w:r>
      <w:r w:rsidRPr="00D944D7">
        <w:rPr>
          <w:rFonts w:eastAsia="Times New Roman"/>
          <w:noProof/>
          <w:lang w:val="en-AU"/>
        </w:rPr>
        <w:t>(2008)</w:t>
      </w:r>
      <w:r w:rsidRPr="00D944D7">
        <w:rPr>
          <w:rFonts w:eastAsia="Times New Roman"/>
          <w:lang w:val="en-AU"/>
        </w:rPr>
        <w:fldChar w:fldCharType="end"/>
      </w:r>
      <w:r w:rsidR="00191B34">
        <w:rPr>
          <w:rFonts w:eastAsia="Times New Roman"/>
          <w:lang w:val="en-AU"/>
        </w:rPr>
        <w:t xml:space="preserve">. </w:t>
      </w:r>
      <w:r w:rsidRPr="00D944D7">
        <w:t>Head et al (2018) also found that integration was difficult for people with intellectual disability moving into the community, which negatively affected the success of their transition.</w:t>
      </w:r>
    </w:p>
    <w:p w14:paraId="2B806887" w14:textId="0B5302B3" w:rsidR="00711DCA" w:rsidRPr="005D7DB3" w:rsidRDefault="00711DCA" w:rsidP="00711DCA">
      <w:pPr>
        <w:spacing w:line="360" w:lineRule="auto"/>
        <w:jc w:val="both"/>
        <w:rPr>
          <w:lang w:val="en-AU"/>
        </w:rPr>
      </w:pPr>
      <w:r w:rsidRPr="00F51DA2">
        <w:rPr>
          <w:lang w:val="en-AU"/>
        </w:rPr>
        <w:t xml:space="preserve">Support needs not met in </w:t>
      </w:r>
      <w:r w:rsidR="00FE5DA3">
        <w:rPr>
          <w:lang w:val="en-AU"/>
        </w:rPr>
        <w:t xml:space="preserve">the </w:t>
      </w:r>
      <w:r w:rsidRPr="00F51DA2">
        <w:rPr>
          <w:lang w:val="en-AU"/>
        </w:rPr>
        <w:t>community</w:t>
      </w:r>
      <w:r>
        <w:t>, with l</w:t>
      </w:r>
      <w:r w:rsidR="00FE5DA3" w:rsidRPr="00274C25">
        <w:rPr>
          <w:rFonts w:eastAsia="Times New Roman" w:cstheme="minorHAnsi"/>
          <w:lang w:val="en-GB"/>
        </w:rPr>
        <w:t>imited</w:t>
      </w:r>
      <w:r w:rsidRPr="00274C25">
        <w:rPr>
          <w:rFonts w:eastAsia="Times New Roman" w:cstheme="minorHAnsi"/>
          <w:lang w:val="en-GB"/>
        </w:rPr>
        <w:t xml:space="preserve"> or no provision of specialist services</w:t>
      </w:r>
      <w:r>
        <w:rPr>
          <w:rFonts w:eastAsia="Times New Roman" w:cstheme="minorHAnsi"/>
          <w:lang w:val="en-GB"/>
        </w:rPr>
        <w:t>,</w:t>
      </w:r>
      <w:r w:rsidRPr="00274C25">
        <w:rPr>
          <w:rFonts w:eastAsia="Times New Roman" w:cstheme="minorHAnsi"/>
          <w:lang w:val="en-GB"/>
        </w:rPr>
        <w:t xml:space="preserve"> </w:t>
      </w:r>
      <w:r>
        <w:rPr>
          <w:rFonts w:eastAsia="Times New Roman" w:cstheme="minorHAnsi"/>
          <w:lang w:val="en-GB"/>
        </w:rPr>
        <w:t xml:space="preserve">for example, </w:t>
      </w:r>
      <w:r w:rsidRPr="00274C25">
        <w:rPr>
          <w:rFonts w:eastAsia="Times New Roman" w:cstheme="minorHAnsi"/>
          <w:lang w:val="en-GB"/>
        </w:rPr>
        <w:t>social work/counselling support, occupational therapy</w:t>
      </w:r>
      <w:r>
        <w:rPr>
          <w:rFonts w:eastAsia="Times New Roman" w:cstheme="minorHAnsi"/>
          <w:lang w:val="en-GB"/>
        </w:rPr>
        <w:t xml:space="preserve"> (Cumella et al, 2014)</w:t>
      </w:r>
      <w:r w:rsidRPr="00274C25">
        <w:rPr>
          <w:rFonts w:eastAsia="Times New Roman" w:cstheme="minorHAnsi"/>
          <w:lang w:val="en-GB"/>
        </w:rPr>
        <w:t xml:space="preserve"> to assist with more complex issues particularly in people with intellectual disability</w:t>
      </w:r>
      <w:r>
        <w:rPr>
          <w:rFonts w:eastAsia="Times New Roman" w:cstheme="minorHAnsi"/>
          <w:lang w:val="en-GB"/>
        </w:rPr>
        <w:t xml:space="preserve"> threatened community living. </w:t>
      </w:r>
      <w:r w:rsidRPr="00C530AE">
        <w:rPr>
          <w:rFonts w:ascii="Calibri" w:eastAsia="Times New Roman" w:hAnsi="Calibri" w:cs="Calibri"/>
          <w:color w:val="000000"/>
          <w:lang w:val="en-AU" w:eastAsia="en-AU"/>
        </w:rPr>
        <w:t>PA hours should be based on need so that the person with disability can participate in all aspects of daily life. Cost restrictions or reductions are barriers to accessing the required number of hours</w:t>
      </w:r>
      <w:r>
        <w:rPr>
          <w:rFonts w:ascii="Calibri" w:eastAsia="Times New Roman" w:hAnsi="Calibri" w:cs="Calibri"/>
          <w:color w:val="000000"/>
          <w:lang w:val="en-AU" w:eastAsia="en-AU"/>
        </w:rPr>
        <w:t xml:space="preserve"> (Glynn, 2018)</w:t>
      </w:r>
      <w:r w:rsidRPr="00C530AE">
        <w:rPr>
          <w:rFonts w:ascii="Calibri" w:eastAsia="Times New Roman" w:hAnsi="Calibri" w:cs="Calibri"/>
          <w:color w:val="000000"/>
          <w:lang w:val="en-AU" w:eastAsia="en-AU"/>
        </w:rPr>
        <w:t>.</w:t>
      </w:r>
    </w:p>
    <w:p w14:paraId="7836D17D" w14:textId="13157357" w:rsidR="00711DCA" w:rsidRDefault="00711DCA" w:rsidP="00711DCA">
      <w:pPr>
        <w:spacing w:line="360" w:lineRule="auto"/>
        <w:jc w:val="both"/>
        <w:rPr>
          <w:lang w:val="en-AU"/>
        </w:rPr>
      </w:pPr>
      <w:r>
        <w:t>In entering the open market, rental or buying, p</w:t>
      </w:r>
      <w:r w:rsidRPr="00F51DA2">
        <w:rPr>
          <w:lang w:val="en-AU"/>
        </w:rPr>
        <w:t>eople with disability</w:t>
      </w:r>
      <w:r w:rsidR="00191B34">
        <w:rPr>
          <w:lang w:val="en-AU"/>
        </w:rPr>
        <w:t xml:space="preserve"> have reported being</w:t>
      </w:r>
      <w:r w:rsidRPr="00F51DA2">
        <w:rPr>
          <w:lang w:val="en-AU"/>
        </w:rPr>
        <w:t xml:space="preserve"> discriminated against by banks and landlords </w:t>
      </w:r>
      <w:r>
        <w:rPr>
          <w:lang w:val="en-AU"/>
        </w:rPr>
        <w:t>(Foley, 2014</w:t>
      </w:r>
      <w:r>
        <w:t>; Kroehn, et al, 2008</w:t>
      </w:r>
      <w:r>
        <w:rPr>
          <w:lang w:val="en-AU"/>
        </w:rPr>
        <w:t>)</w:t>
      </w:r>
    </w:p>
    <w:p w14:paraId="3CCC3CF0" w14:textId="77777777" w:rsidR="00711DCA" w:rsidRDefault="00711DCA" w:rsidP="00B5199A">
      <w:pPr>
        <w:pStyle w:val="Heading3"/>
      </w:pPr>
      <w:bookmarkStart w:id="61" w:name="_Toc73535969"/>
      <w:r>
        <w:t>Interpersonal</w:t>
      </w:r>
      <w:bookmarkEnd w:id="61"/>
    </w:p>
    <w:p w14:paraId="7FDF1098" w14:textId="0A9B49B9" w:rsidR="00711DCA" w:rsidRPr="00D944D7" w:rsidRDefault="00711DCA" w:rsidP="00A92410">
      <w:pPr>
        <w:spacing w:before="120" w:line="360" w:lineRule="auto"/>
        <w:jc w:val="both"/>
        <w:rPr>
          <w:rFonts w:eastAsia="Times New Roman"/>
          <w:lang w:val="en-AU"/>
        </w:rPr>
      </w:pPr>
      <w:r w:rsidRPr="00D944D7">
        <w:rPr>
          <w:rFonts w:eastAsia="Times New Roman"/>
          <w:lang w:val="en-AU"/>
        </w:rPr>
        <w:t>The focus on family as an enabler of successful transition indicated that the inverse was true when family support was lacking – inadequate family support could act as a barrier to transition</w:t>
      </w:r>
      <w:r w:rsidR="005322B2">
        <w:rPr>
          <w:rFonts w:eastAsia="Times New Roman"/>
          <w:lang w:val="en-AU"/>
        </w:rPr>
        <w:t xml:space="preserve"> </w:t>
      </w:r>
      <w:r w:rsidR="00191B34">
        <w:rPr>
          <w:rFonts w:eastAsia="Times New Roman"/>
          <w:lang w:val="en-AU"/>
        </w:rPr>
        <w:t>(</w:t>
      </w:r>
      <w:r w:rsidRPr="00D944D7">
        <w:rPr>
          <w:rFonts w:eastAsia="Times New Roman"/>
          <w:lang w:val="en-AU"/>
        </w:rPr>
        <w:t>Tabatabainia</w:t>
      </w:r>
      <w:r w:rsidR="00191B34">
        <w:rPr>
          <w:rFonts w:eastAsia="Times New Roman"/>
          <w:lang w:val="en-AU"/>
        </w:rPr>
        <w:t xml:space="preserve">, </w:t>
      </w:r>
      <w:r w:rsidRPr="00D944D7">
        <w:rPr>
          <w:rFonts w:eastAsia="Times New Roman"/>
          <w:lang w:val="en-AU"/>
        </w:rPr>
        <w:t>2003</w:t>
      </w:r>
      <w:r w:rsidR="00191B34">
        <w:rPr>
          <w:rFonts w:eastAsia="Times New Roman"/>
          <w:lang w:val="en-AU"/>
        </w:rPr>
        <w:t>).</w:t>
      </w:r>
    </w:p>
    <w:p w14:paraId="2B8CA55D" w14:textId="77777777" w:rsidR="00711DCA" w:rsidRPr="004400C7" w:rsidRDefault="00711DCA" w:rsidP="00711DCA">
      <w:pPr>
        <w:spacing w:before="120" w:line="360" w:lineRule="auto"/>
        <w:jc w:val="both"/>
        <w:rPr>
          <w:rFonts w:eastAsia="Times New Roman" w:cstheme="minorHAnsi"/>
        </w:rPr>
      </w:pPr>
      <w:r>
        <w:rPr>
          <w:rFonts w:eastAsia="Times New Roman" w:cstheme="minorHAnsi"/>
          <w:lang w:val="en-GB"/>
        </w:rPr>
        <w:t xml:space="preserve">Biased attitudes </w:t>
      </w:r>
      <w:r w:rsidRPr="00274C25">
        <w:rPr>
          <w:rFonts w:eastAsia="Times New Roman" w:cstheme="minorHAnsi"/>
          <w:lang w:val="en-GB"/>
        </w:rPr>
        <w:t xml:space="preserve">or negative expectations </w:t>
      </w:r>
      <w:r>
        <w:rPr>
          <w:rFonts w:eastAsia="Times New Roman" w:cstheme="minorHAnsi"/>
          <w:lang w:val="en-GB"/>
        </w:rPr>
        <w:t xml:space="preserve">about housing outcomes for certain population groups may also </w:t>
      </w:r>
      <w:r w:rsidRPr="00274C25">
        <w:rPr>
          <w:rFonts w:eastAsia="Times New Roman" w:cstheme="minorHAnsi"/>
          <w:lang w:val="en-GB"/>
        </w:rPr>
        <w:t xml:space="preserve">hinder transition </w:t>
      </w:r>
      <w:r>
        <w:rPr>
          <w:rFonts w:eastAsia="Times New Roman" w:cstheme="minorHAnsi"/>
          <w:lang w:val="en-GB"/>
        </w:rPr>
        <w:t xml:space="preserve">to suitable accommodation </w:t>
      </w:r>
      <w:r w:rsidRPr="00274C25">
        <w:rPr>
          <w:rFonts w:eastAsia="Times New Roman" w:cstheme="minorHAnsi"/>
          <w:lang w:val="en-GB"/>
        </w:rPr>
        <w:t xml:space="preserve">in vulnerable (e.g. </w:t>
      </w:r>
      <w:r>
        <w:rPr>
          <w:rFonts w:eastAsia="Times New Roman" w:cstheme="minorHAnsi"/>
          <w:lang w:val="en-GB"/>
        </w:rPr>
        <w:t xml:space="preserve">homeless people with psychiatric illness and </w:t>
      </w:r>
      <w:r w:rsidRPr="00274C25">
        <w:rPr>
          <w:rFonts w:eastAsia="Times New Roman" w:cstheme="minorHAnsi"/>
          <w:lang w:val="en-GB"/>
        </w:rPr>
        <w:t>forensic</w:t>
      </w:r>
      <w:r>
        <w:rPr>
          <w:rFonts w:eastAsia="Times New Roman" w:cstheme="minorHAnsi"/>
          <w:lang w:val="en-GB"/>
        </w:rPr>
        <w:t xml:space="preserve"> history</w:t>
      </w:r>
      <w:r w:rsidRPr="00274C25">
        <w:rPr>
          <w:rFonts w:eastAsia="Times New Roman" w:cstheme="minorHAnsi"/>
          <w:lang w:val="en-GB"/>
        </w:rPr>
        <w:t xml:space="preserve">) populations (Malone, 2009). </w:t>
      </w:r>
    </w:p>
    <w:p w14:paraId="0B3194A2" w14:textId="77777777" w:rsidR="00711DCA" w:rsidRDefault="00711DCA" w:rsidP="00B5199A">
      <w:pPr>
        <w:pStyle w:val="Heading3"/>
      </w:pPr>
      <w:bookmarkStart w:id="62" w:name="_Toc73535970"/>
      <w:r>
        <w:t>Individual</w:t>
      </w:r>
      <w:bookmarkEnd w:id="62"/>
      <w:r>
        <w:t xml:space="preserve"> </w:t>
      </w:r>
    </w:p>
    <w:p w14:paraId="22676ACD" w14:textId="54A3B113" w:rsidR="00711DCA" w:rsidRDefault="00711DCA" w:rsidP="00191B34">
      <w:pPr>
        <w:spacing w:before="120" w:line="360" w:lineRule="auto"/>
        <w:jc w:val="both"/>
        <w:rPr>
          <w:lang w:val="en-AU"/>
        </w:rPr>
      </w:pPr>
      <w:r>
        <w:rPr>
          <w:rFonts w:eastAsia="Times New Roman" w:cstheme="minorHAnsi"/>
          <w:lang w:val="en-GB"/>
        </w:rPr>
        <w:t>Lack</w:t>
      </w:r>
      <w:r w:rsidRPr="00274C25">
        <w:rPr>
          <w:rFonts w:eastAsia="Times New Roman" w:cstheme="minorHAnsi"/>
          <w:lang w:val="en-GB"/>
        </w:rPr>
        <w:t xml:space="preserve"> of careful planning prior to move to a de-congregated setting</w:t>
      </w:r>
      <w:r>
        <w:rPr>
          <w:rFonts w:eastAsia="Times New Roman" w:cstheme="minorHAnsi"/>
          <w:lang w:val="en-GB"/>
        </w:rPr>
        <w:t xml:space="preserve"> </w:t>
      </w:r>
      <w:r>
        <w:rPr>
          <w:rFonts w:eastAsia="Times New Roman" w:cstheme="minorHAnsi"/>
          <w:lang w:val="en-GB"/>
        </w:rPr>
        <w:fldChar w:fldCharType="begin">
          <w:fldData xml:space="preserve">PEVuZE5vdGU+PENpdGU+PEF1dGhvcj5CaGF1bWlrPC9BdXRob3I+PFllYXI+MjAwOTwvWWVhcj48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</w:fldData>
        </w:fldChar>
      </w:r>
      <w:r w:rsidR="0062163C">
        <w:rPr>
          <w:rFonts w:eastAsia="Times New Roman" w:cstheme="minorHAnsi"/>
          <w:lang w:val="en-GB"/>
        </w:rPr>
        <w:instrText xml:space="preserve"> ADDIN EN.CITE </w:instrText>
      </w:r>
      <w:r w:rsidR="0062163C">
        <w:rPr>
          <w:rFonts w:eastAsia="Times New Roman" w:cstheme="minorHAnsi"/>
          <w:lang w:val="en-GB"/>
        </w:rPr>
        <w:fldChar w:fldCharType="begin">
          <w:fldData xml:space="preserve">PEVuZE5vdGU+PENpdGU+PEF1dGhvcj5CaGF1bWlrPC9BdXRob3I+PFllYXI+MjAwOTwvWWVhcj48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</w:fldData>
        </w:fldChar>
      </w:r>
      <w:r w:rsidR="0062163C">
        <w:rPr>
          <w:rFonts w:eastAsia="Times New Roman" w:cstheme="minorHAnsi"/>
          <w:lang w:val="en-GB"/>
        </w:rPr>
        <w:instrText xml:space="preserve"> ADDIN EN.CITE.DATA </w:instrText>
      </w:r>
      <w:r w:rsidR="0062163C">
        <w:rPr>
          <w:rFonts w:eastAsia="Times New Roman" w:cstheme="minorHAnsi"/>
          <w:lang w:val="en-GB"/>
        </w:rPr>
      </w:r>
      <w:r w:rsidR="0062163C">
        <w:rPr>
          <w:rFonts w:eastAsia="Times New Roman" w:cstheme="minorHAnsi"/>
          <w:lang w:val="en-GB"/>
        </w:rPr>
        <w:fldChar w:fldCharType="end"/>
      </w:r>
      <w:r>
        <w:rPr>
          <w:rFonts w:eastAsia="Times New Roman" w:cstheme="minorHAnsi"/>
          <w:lang w:val="en-GB"/>
        </w:rPr>
      </w:r>
      <w:r>
        <w:rPr>
          <w:rFonts w:eastAsia="Times New Roman" w:cstheme="minorHAnsi"/>
          <w:lang w:val="en-GB"/>
        </w:rPr>
        <w:fldChar w:fldCharType="separate"/>
      </w:r>
      <w:r w:rsidR="0062163C">
        <w:rPr>
          <w:rFonts w:eastAsia="Times New Roman" w:cstheme="minorHAnsi"/>
          <w:noProof/>
          <w:lang w:val="en-GB"/>
        </w:rPr>
        <w:t>(Bhaumik et al., 2009; Farhall, Trauer, Newton, &amp; Cheung, 2003)</w:t>
      </w:r>
      <w:r>
        <w:rPr>
          <w:rFonts w:eastAsia="Times New Roman" w:cstheme="minorHAnsi"/>
          <w:lang w:val="en-GB"/>
        </w:rPr>
        <w:fldChar w:fldCharType="end"/>
      </w:r>
      <w:r w:rsidRPr="00274C25">
        <w:rPr>
          <w:rFonts w:eastAsia="Times New Roman" w:cstheme="minorHAnsi"/>
          <w:lang w:val="en-GB"/>
        </w:rPr>
        <w:t>, lack of individualised focus on the needs of people with specific disabilities</w:t>
      </w:r>
      <w:r>
        <w:rPr>
          <w:rFonts w:eastAsia="Times New Roman" w:cstheme="minorHAnsi"/>
          <w:lang w:val="en-GB"/>
        </w:rPr>
        <w:t>, people with</w:t>
      </w:r>
      <w:r w:rsidRPr="00274C25">
        <w:rPr>
          <w:rFonts w:eastAsia="Times New Roman" w:cstheme="minorHAnsi"/>
          <w:lang w:val="en-GB"/>
        </w:rPr>
        <w:t xml:space="preserve"> epilepsy </w:t>
      </w:r>
      <w:r>
        <w:rPr>
          <w:rFonts w:eastAsia="Times New Roman" w:cstheme="minorHAnsi"/>
          <w:lang w:val="en-GB"/>
        </w:rPr>
        <w:t>(Endeman et al, 2015), and people with severe i</w:t>
      </w:r>
      <w:r w:rsidRPr="00274C25">
        <w:rPr>
          <w:rFonts w:eastAsia="Times New Roman" w:cstheme="minorHAnsi"/>
          <w:lang w:val="en-GB"/>
        </w:rPr>
        <w:t>ntellectual disability</w:t>
      </w:r>
      <w:r>
        <w:rPr>
          <w:rFonts w:eastAsia="Times New Roman" w:cstheme="minorHAnsi"/>
          <w:lang w:val="en-GB"/>
        </w:rPr>
        <w:t xml:space="preserve"> (Marlow &amp; Walker, 2015</w:t>
      </w:r>
      <w:r w:rsidRPr="00274C25">
        <w:rPr>
          <w:rFonts w:eastAsia="Times New Roman" w:cstheme="minorHAnsi"/>
          <w:lang w:val="en-GB"/>
        </w:rPr>
        <w:t>)</w:t>
      </w:r>
      <w:r>
        <w:rPr>
          <w:rFonts w:eastAsia="Times New Roman" w:cstheme="minorHAnsi"/>
          <w:lang w:val="en-GB"/>
        </w:rPr>
        <w:t>, were barriers to transition.</w:t>
      </w:r>
      <w:r w:rsidR="00191B34">
        <w:rPr>
          <w:rFonts w:eastAsia="Times New Roman" w:cstheme="minorHAnsi"/>
          <w:lang w:val="en-GB"/>
        </w:rPr>
        <w:t xml:space="preserve"> </w:t>
      </w:r>
      <w:r>
        <w:rPr>
          <w:lang w:val="en-AU"/>
        </w:rPr>
        <w:t xml:space="preserve">Individual preparedness to ensure the transition occurs at the right time for the person and they feel skilled and ready for the move, are important to protect against unsuccessful transitions (Wiesel et al, 2015). The authors recommend contingency planning to address potential risks to successful transition. </w:t>
      </w:r>
    </w:p>
    <w:p w14:paraId="403193A6" w14:textId="48FA1CB9" w:rsidR="00ED47A7" w:rsidRDefault="00ED47A7">
      <w:pPr>
        <w:rPr>
          <w:lang w:val="en-AU"/>
        </w:rPr>
      </w:pPr>
      <w:r>
        <w:rPr>
          <w:lang w:val="en-AU"/>
        </w:rPr>
        <w:br w:type="page"/>
      </w:r>
    </w:p>
    <w:p w14:paraId="4D471556" w14:textId="27FC0240" w:rsidR="004E3537" w:rsidRPr="005E1C91" w:rsidRDefault="00CC0F69" w:rsidP="000027FC">
      <w:pPr>
        <w:pStyle w:val="Heading1"/>
      </w:pPr>
      <w:bookmarkStart w:id="63" w:name="_Toc73535971"/>
      <w:r>
        <w:lastRenderedPageBreak/>
        <w:t>E</w:t>
      </w:r>
      <w:r w:rsidR="004E3537" w:rsidRPr="005E1C91">
        <w:t>nvironmental scan</w:t>
      </w:r>
      <w:bookmarkEnd w:id="63"/>
    </w:p>
    <w:p w14:paraId="774EB4D3" w14:textId="77777777" w:rsidR="003802FE" w:rsidRPr="005A26C7" w:rsidRDefault="003802FE" w:rsidP="003802FE">
      <w:pPr>
        <w:spacing w:before="120" w:line="360" w:lineRule="auto"/>
        <w:jc w:val="both"/>
        <w:rPr>
          <w:rFonts w:eastAsia="Times New Roman"/>
          <w:lang w:val="en-AU"/>
        </w:rPr>
      </w:pPr>
      <w:r w:rsidRPr="005A26C7">
        <w:rPr>
          <w:rFonts w:eastAsia="Times New Roman"/>
          <w:lang w:val="en-AU"/>
        </w:rPr>
        <w:t xml:space="preserve">This section presents the results and findings of the environmental scan of current or emerging interventions across Australia and internationally. The research team in consultation with the scientific advisory committee, identified 55 disability organisations and centres where housing research, policy, and practice exist in Australia and internationally. Approximately twenty stakeholders within the sector were contacted informally to ascertain further detail and recommendations. </w:t>
      </w:r>
    </w:p>
    <w:p w14:paraId="217BF36C" w14:textId="69EF47AE" w:rsidR="003802FE" w:rsidRPr="005A26C7" w:rsidRDefault="003802FE" w:rsidP="003802FE">
      <w:pPr>
        <w:spacing w:before="120" w:line="360" w:lineRule="auto"/>
        <w:jc w:val="both"/>
        <w:rPr>
          <w:rFonts w:eastAsia="Times New Roman"/>
          <w:lang w:val="en-AU"/>
        </w:rPr>
      </w:pPr>
      <w:r w:rsidRPr="005A26C7">
        <w:rPr>
          <w:rFonts w:eastAsia="Times New Roman"/>
          <w:lang w:val="en-AU"/>
        </w:rPr>
        <w:t>A descriptive summary of the data gleaned from these data sources is presented in Table 1</w:t>
      </w:r>
      <w:r w:rsidR="009032CD" w:rsidRPr="005A26C7">
        <w:rPr>
          <w:rFonts w:eastAsia="Times New Roman"/>
          <w:lang w:val="en-AU"/>
        </w:rPr>
        <w:t>4</w:t>
      </w:r>
      <w:r w:rsidRPr="005A26C7">
        <w:rPr>
          <w:rFonts w:eastAsia="Times New Roman"/>
          <w:lang w:val="en-AU"/>
        </w:rPr>
        <w:t xml:space="preserve">. This shows the geographic spread of organisations reviewed: Australia (n=46) [nationwide n=10; NSW n=24; QLD n=4; VIC n=6; ACT n=1; WA n=1; SA n=1]; United Kingdom (n=5), United States of America (n=3), Aotearoa New Zealand (n=1). Though some of the domestic organisations had a presence in more than one state/territory jurisdiction, they did not represent national spread and so were categorised according to primary service location.   </w:t>
      </w:r>
    </w:p>
    <w:p w14:paraId="2B3637F3" w14:textId="77777777" w:rsidR="003802FE" w:rsidRPr="005A26C7" w:rsidRDefault="003802FE" w:rsidP="003802FE">
      <w:pPr>
        <w:spacing w:before="120" w:line="360" w:lineRule="auto"/>
        <w:jc w:val="both"/>
        <w:rPr>
          <w:rFonts w:eastAsia="Times New Roman"/>
          <w:lang w:val="en-AU"/>
        </w:rPr>
      </w:pPr>
      <w:r w:rsidRPr="005A26C7">
        <w:rPr>
          <w:rFonts w:eastAsia="Times New Roman"/>
          <w:lang w:val="en-AU"/>
        </w:rPr>
        <w:t xml:space="preserve">The majority of organisations reviewed (n=45) did not specify a type of disability. Some exceptions include: </w:t>
      </w:r>
    </w:p>
    <w:p w14:paraId="5A0D2437" w14:textId="31ED7E57" w:rsidR="003802FE" w:rsidRDefault="003802FE" w:rsidP="00272E9D">
      <w:pPr>
        <w:pStyle w:val="ListParagraph"/>
        <w:numPr>
          <w:ilvl w:val="0"/>
          <w:numId w:val="28"/>
        </w:numPr>
        <w:spacing w:before="120" w:line="360" w:lineRule="auto"/>
        <w:jc w:val="both"/>
      </w:pPr>
      <w:r>
        <w:t>5 organisations included intellectual or learning disability in their support profile,</w:t>
      </w:r>
    </w:p>
    <w:p w14:paraId="45334200" w14:textId="534B7366" w:rsidR="003802FE" w:rsidRDefault="003802FE" w:rsidP="00272E9D">
      <w:pPr>
        <w:pStyle w:val="ListParagraph"/>
        <w:numPr>
          <w:ilvl w:val="0"/>
          <w:numId w:val="28"/>
        </w:numPr>
        <w:spacing w:before="120" w:line="360" w:lineRule="auto"/>
        <w:jc w:val="both"/>
      </w:pPr>
      <w:r>
        <w:t>4 organisations noted supporting a broad range of profiles including learning disability, mental health, physical and sensory disability, Autism Spectrum Disorder, Aspergers and older people and specifically included drug and alcohol support profile,</w:t>
      </w:r>
    </w:p>
    <w:p w14:paraId="5A77C2AE" w14:textId="0C521CEE" w:rsidR="003802FE" w:rsidRDefault="003802FE" w:rsidP="00272E9D">
      <w:pPr>
        <w:pStyle w:val="ListParagraph"/>
        <w:numPr>
          <w:ilvl w:val="0"/>
          <w:numId w:val="28"/>
        </w:numPr>
        <w:spacing w:before="120" w:line="360" w:lineRule="auto"/>
        <w:jc w:val="both"/>
      </w:pPr>
      <w:r>
        <w:t>1 organisation indicated supporting vulnerable people,</w:t>
      </w:r>
    </w:p>
    <w:p w14:paraId="3F746E65" w14:textId="5A91B864" w:rsidR="003802FE" w:rsidRDefault="003802FE" w:rsidP="00272E9D">
      <w:pPr>
        <w:pStyle w:val="ListParagraph"/>
        <w:numPr>
          <w:ilvl w:val="0"/>
          <w:numId w:val="28"/>
        </w:numPr>
        <w:spacing w:before="120" w:line="360" w:lineRule="auto"/>
        <w:jc w:val="both"/>
      </w:pPr>
      <w:r>
        <w:t>1 organisation was specific to adults (18-65 years) with Autism Spectrum Disorder, and</w:t>
      </w:r>
    </w:p>
    <w:p w14:paraId="1D9E23BB" w14:textId="101B6EF3" w:rsidR="003802FE" w:rsidRDefault="003802FE" w:rsidP="00272E9D">
      <w:pPr>
        <w:pStyle w:val="ListParagraph"/>
        <w:numPr>
          <w:ilvl w:val="0"/>
          <w:numId w:val="28"/>
        </w:numPr>
        <w:spacing w:before="120" w:line="360" w:lineRule="auto"/>
        <w:jc w:val="both"/>
      </w:pPr>
      <w:r>
        <w:t xml:space="preserve">1 organisation provided residential accommodation to individuals with broad range of needs including significant functional needs (physical, psychological, social and developmental).  </w:t>
      </w:r>
    </w:p>
    <w:p w14:paraId="247D8560" w14:textId="77777777" w:rsidR="003802FE" w:rsidRDefault="003802FE" w:rsidP="000027FC">
      <w:pPr>
        <w:spacing w:before="120" w:line="360" w:lineRule="auto"/>
        <w:jc w:val="both"/>
      </w:pPr>
    </w:p>
    <w:p w14:paraId="2A66997E" w14:textId="77777777" w:rsidR="001767A2" w:rsidRDefault="001767A2" w:rsidP="008A70F6">
      <w:pPr>
        <w:spacing w:line="360" w:lineRule="auto"/>
        <w:jc w:val="both"/>
        <w:sectPr w:rsidR="001767A2" w:rsidSect="001767A2">
          <w:headerReference w:type="default" r:id="rId66"/>
          <w:footerReference w:type="default" r:id="rId67"/>
          <w:pgSz w:w="12240" w:h="15840"/>
          <w:pgMar w:top="1440" w:right="1440" w:bottom="1440" w:left="1440" w:header="720" w:footer="720" w:gutter="0"/>
          <w:cols w:space="720"/>
          <w:docGrid w:linePitch="360"/>
        </w:sectPr>
      </w:pPr>
    </w:p>
    <w:p w14:paraId="1530C73A" w14:textId="127FC087" w:rsidR="008A70F6" w:rsidRDefault="008A70F6" w:rsidP="003802FE">
      <w:pPr>
        <w:pStyle w:val="Heading2"/>
      </w:pPr>
      <w:bookmarkStart w:id="64" w:name="_Toc73535972"/>
      <w:r>
        <w:lastRenderedPageBreak/>
        <w:t>Descriptive summary of information sources</w:t>
      </w:r>
      <w:bookmarkEnd w:id="64"/>
    </w:p>
    <w:p w14:paraId="4A09BC61" w14:textId="047DA130" w:rsidR="00B016FD" w:rsidRPr="006C763F" w:rsidRDefault="001767A2" w:rsidP="001767A2">
      <w:pPr>
        <w:pStyle w:val="Caption"/>
        <w:rPr>
          <w:b/>
          <w:bCs/>
        </w:rPr>
      </w:pPr>
      <w:bookmarkStart w:id="65" w:name="_Toc66355193"/>
      <w:r>
        <w:t xml:space="preserve">Table </w:t>
      </w:r>
      <w:r>
        <w:fldChar w:fldCharType="begin"/>
      </w:r>
      <w:r>
        <w:instrText>SEQ Table \* ARABIC</w:instrText>
      </w:r>
      <w:r>
        <w:fldChar w:fldCharType="separate"/>
      </w:r>
      <w:r w:rsidR="000E7FFE">
        <w:rPr>
          <w:noProof/>
        </w:rPr>
        <w:t>14</w:t>
      </w:r>
      <w:r>
        <w:fldChar w:fldCharType="end"/>
      </w:r>
      <w:r w:rsidR="00ED47A7" w:rsidRPr="006C763F">
        <w:rPr>
          <w:b/>
          <w:bCs/>
        </w:rPr>
        <w:t xml:space="preserve"> Information sources reviewed in the environmental scan</w:t>
      </w:r>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3328"/>
        <w:gridCol w:w="1608"/>
        <w:gridCol w:w="1836"/>
        <w:gridCol w:w="2523"/>
        <w:gridCol w:w="2854"/>
      </w:tblGrid>
      <w:tr w:rsidR="00A92410" w:rsidRPr="00B561DE" w14:paraId="72BE4270" w14:textId="77777777" w:rsidTr="00461CF0">
        <w:trPr>
          <w:tblHeader/>
        </w:trPr>
        <w:tc>
          <w:tcPr>
            <w:tcW w:w="309" w:type="pct"/>
            <w:shd w:val="clear" w:color="auto" w:fill="FFFF00"/>
          </w:tcPr>
          <w:p w14:paraId="1AA8431B" w14:textId="77777777" w:rsidR="00A92410" w:rsidRPr="007925C0" w:rsidRDefault="00A92410" w:rsidP="000038F8">
            <w:pPr>
              <w:rPr>
                <w:b/>
                <w:bCs/>
              </w:rPr>
            </w:pPr>
            <w:r w:rsidRPr="007925C0">
              <w:rPr>
                <w:b/>
                <w:bCs/>
              </w:rPr>
              <w:t>Year</w:t>
            </w:r>
          </w:p>
        </w:tc>
        <w:tc>
          <w:tcPr>
            <w:tcW w:w="1285" w:type="pct"/>
            <w:shd w:val="clear" w:color="auto" w:fill="FFFF00"/>
          </w:tcPr>
          <w:p w14:paraId="442314DC" w14:textId="77777777" w:rsidR="00A92410" w:rsidRPr="007925C0" w:rsidRDefault="00A92410" w:rsidP="000038F8">
            <w:pPr>
              <w:rPr>
                <w:b/>
                <w:bCs/>
              </w:rPr>
            </w:pPr>
            <w:r>
              <w:rPr>
                <w:b/>
                <w:bCs/>
              </w:rPr>
              <w:t>Organisation &amp; Website</w:t>
            </w:r>
          </w:p>
        </w:tc>
        <w:tc>
          <w:tcPr>
            <w:tcW w:w="621" w:type="pct"/>
            <w:shd w:val="clear" w:color="auto" w:fill="FFFF00"/>
          </w:tcPr>
          <w:p w14:paraId="10E422A7" w14:textId="77777777" w:rsidR="00A92410" w:rsidRPr="007925C0" w:rsidRDefault="00A92410" w:rsidP="000038F8">
            <w:pPr>
              <w:rPr>
                <w:b/>
                <w:bCs/>
              </w:rPr>
            </w:pPr>
            <w:r w:rsidRPr="007925C0">
              <w:rPr>
                <w:b/>
                <w:bCs/>
              </w:rPr>
              <w:t>Country</w:t>
            </w:r>
          </w:p>
        </w:tc>
        <w:tc>
          <w:tcPr>
            <w:tcW w:w="709" w:type="pct"/>
            <w:shd w:val="clear" w:color="auto" w:fill="FFFF00"/>
          </w:tcPr>
          <w:p w14:paraId="1FC6BF2D" w14:textId="77777777" w:rsidR="00A92410" w:rsidRPr="007925C0" w:rsidRDefault="00A92410" w:rsidP="000038F8">
            <w:pPr>
              <w:rPr>
                <w:b/>
                <w:bCs/>
              </w:rPr>
            </w:pPr>
            <w:r w:rsidRPr="007925C0">
              <w:rPr>
                <w:b/>
                <w:bCs/>
              </w:rPr>
              <w:t>Population of Interest (n)</w:t>
            </w:r>
          </w:p>
        </w:tc>
        <w:tc>
          <w:tcPr>
            <w:tcW w:w="974" w:type="pct"/>
            <w:shd w:val="clear" w:color="auto" w:fill="FFFF00"/>
          </w:tcPr>
          <w:p w14:paraId="26A0E349" w14:textId="77777777" w:rsidR="00A92410" w:rsidRPr="007925C0" w:rsidRDefault="00A92410" w:rsidP="000038F8">
            <w:pPr>
              <w:rPr>
                <w:b/>
                <w:bCs/>
              </w:rPr>
            </w:pPr>
            <w:r w:rsidRPr="007925C0">
              <w:rPr>
                <w:b/>
                <w:bCs/>
              </w:rPr>
              <w:t>Housing Model/ Type</w:t>
            </w:r>
          </w:p>
        </w:tc>
        <w:tc>
          <w:tcPr>
            <w:tcW w:w="1103" w:type="pct"/>
            <w:shd w:val="clear" w:color="auto" w:fill="FFFF00"/>
          </w:tcPr>
          <w:p w14:paraId="053C3B5E" w14:textId="77777777" w:rsidR="00A92410" w:rsidRPr="007308ED" w:rsidRDefault="00A92410" w:rsidP="000038F8">
            <w:pPr>
              <w:rPr>
                <w:b/>
                <w:bCs/>
              </w:rPr>
            </w:pPr>
            <w:r w:rsidRPr="007308ED">
              <w:rPr>
                <w:b/>
                <w:bCs/>
              </w:rPr>
              <w:t>Intervention Type</w:t>
            </w:r>
          </w:p>
        </w:tc>
      </w:tr>
      <w:tr w:rsidR="00A92410" w:rsidRPr="00B561DE" w14:paraId="19B49898" w14:textId="77777777" w:rsidTr="00461CF0">
        <w:tc>
          <w:tcPr>
            <w:tcW w:w="309" w:type="pct"/>
            <w:hideMark/>
          </w:tcPr>
          <w:p w14:paraId="0807B2DC"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2020</w:t>
            </w:r>
          </w:p>
        </w:tc>
        <w:tc>
          <w:tcPr>
            <w:tcW w:w="1285" w:type="pct"/>
            <w:hideMark/>
          </w:tcPr>
          <w:p w14:paraId="2A655241"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xml:space="preserve">Summer Foundation, Audit of Accessible Features in New Build House Plans (https://www.summerfoundation.org.au/wp-content/uploads/2020/09/Audit_of_accessible_features_in_new_build_house_plans_31Aug_2020.pdf) </w:t>
            </w:r>
          </w:p>
        </w:tc>
        <w:tc>
          <w:tcPr>
            <w:tcW w:w="621" w:type="pct"/>
            <w:hideMark/>
          </w:tcPr>
          <w:p w14:paraId="0C114129"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(nationwide)</w:t>
            </w:r>
          </w:p>
        </w:tc>
        <w:tc>
          <w:tcPr>
            <w:tcW w:w="709" w:type="pct"/>
            <w:hideMark/>
          </w:tcPr>
          <w:p w14:paraId="756C6E13"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Mobility impairment</w:t>
            </w:r>
          </w:p>
        </w:tc>
        <w:tc>
          <w:tcPr>
            <w:tcW w:w="974" w:type="pct"/>
            <w:hideMark/>
          </w:tcPr>
          <w:p w14:paraId="5BC7BB79"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Accessible housing design principles</w:t>
            </w:r>
          </w:p>
        </w:tc>
        <w:tc>
          <w:tcPr>
            <w:tcW w:w="1103" w:type="pct"/>
            <w:hideMark/>
          </w:tcPr>
          <w:p w14:paraId="186FF271"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Housing design</w:t>
            </w:r>
          </w:p>
        </w:tc>
      </w:tr>
      <w:tr w:rsidR="00A92410" w:rsidRPr="00B561DE" w14:paraId="758492C6" w14:textId="77777777" w:rsidTr="00461CF0">
        <w:tc>
          <w:tcPr>
            <w:tcW w:w="309" w:type="pct"/>
            <w:hideMark/>
          </w:tcPr>
          <w:p w14:paraId="404EB3E5"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2019</w:t>
            </w:r>
          </w:p>
        </w:tc>
        <w:tc>
          <w:tcPr>
            <w:tcW w:w="1285" w:type="pct"/>
            <w:hideMark/>
          </w:tcPr>
          <w:p w14:paraId="26582645"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Summer Foundation, Young People in Residential Aged Care 2018-2019: A Snapshot (https://www.summerfoundation.org.au/wp-content/uploads/2020/09/YPIRAC_Snapshot_2018-19-final.pdf)`</w:t>
            </w:r>
          </w:p>
        </w:tc>
        <w:tc>
          <w:tcPr>
            <w:tcW w:w="621" w:type="pct"/>
            <w:hideMark/>
          </w:tcPr>
          <w:p w14:paraId="1EC0E2E2"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(nationwide)</w:t>
            </w:r>
          </w:p>
        </w:tc>
        <w:tc>
          <w:tcPr>
            <w:tcW w:w="709" w:type="pct"/>
            <w:hideMark/>
          </w:tcPr>
          <w:p w14:paraId="13C745ED"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Young people with disability</w:t>
            </w:r>
          </w:p>
        </w:tc>
        <w:tc>
          <w:tcPr>
            <w:tcW w:w="974" w:type="pct"/>
            <w:hideMark/>
          </w:tcPr>
          <w:p w14:paraId="5ED24A4C"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Young people in residential aged care</w:t>
            </w:r>
          </w:p>
        </w:tc>
        <w:tc>
          <w:tcPr>
            <w:tcW w:w="1103" w:type="pct"/>
            <w:hideMark/>
          </w:tcPr>
          <w:p w14:paraId="44791E1A"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Inappropriate housing options for young people with disability</w:t>
            </w:r>
          </w:p>
        </w:tc>
      </w:tr>
      <w:tr w:rsidR="00A92410" w:rsidRPr="00B561DE" w14:paraId="51269A55" w14:textId="77777777" w:rsidTr="00461CF0">
        <w:tc>
          <w:tcPr>
            <w:tcW w:w="309" w:type="pct"/>
            <w:hideMark/>
          </w:tcPr>
          <w:p w14:paraId="79FFB322"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2020</w:t>
            </w:r>
          </w:p>
        </w:tc>
        <w:tc>
          <w:tcPr>
            <w:tcW w:w="1285" w:type="pct"/>
            <w:hideMark/>
          </w:tcPr>
          <w:p w14:paraId="61880D45"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BlueCHPLimited, Guide You Home - Specialised Disability Accommodation (https://bluechp.com.au/bluechp-is-proud-to-launch-guide-you-home/ &amp; https://guideyouhome.com.au/)</w:t>
            </w:r>
          </w:p>
        </w:tc>
        <w:tc>
          <w:tcPr>
            <w:tcW w:w="621" w:type="pct"/>
            <w:hideMark/>
          </w:tcPr>
          <w:p w14:paraId="3B71FBE4"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(Hunter Valley, New South Wales)</w:t>
            </w:r>
          </w:p>
        </w:tc>
        <w:tc>
          <w:tcPr>
            <w:tcW w:w="709" w:type="pct"/>
            <w:hideMark/>
          </w:tcPr>
          <w:p w14:paraId="0A10C1CB"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c>
          <w:tcPr>
            <w:tcW w:w="974" w:type="pct"/>
            <w:hideMark/>
          </w:tcPr>
          <w:p w14:paraId="3FE73DCC"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Specialist Disability Accommodation</w:t>
            </w:r>
          </w:p>
        </w:tc>
        <w:tc>
          <w:tcPr>
            <w:tcW w:w="1103" w:type="pct"/>
            <w:hideMark/>
          </w:tcPr>
          <w:p w14:paraId="253A85AA"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Specialist Disability Accommodation</w:t>
            </w:r>
          </w:p>
        </w:tc>
      </w:tr>
      <w:tr w:rsidR="00A92410" w:rsidRPr="00B561DE" w14:paraId="48B36658" w14:textId="77777777" w:rsidTr="00461CF0">
        <w:tc>
          <w:tcPr>
            <w:tcW w:w="309" w:type="pct"/>
            <w:hideMark/>
          </w:tcPr>
          <w:p w14:paraId="50FB84F9" w14:textId="77777777" w:rsidR="00A92410" w:rsidRPr="00B561DE" w:rsidRDefault="00A92410" w:rsidP="00F02853">
            <w:pPr>
              <w:keepNext/>
              <w:rPr>
                <w:rFonts w:ascii="Calibri" w:eastAsia="Times New Roman" w:hAnsi="Calibri" w:cs="Calibri"/>
                <w:lang w:eastAsia="en-AU"/>
              </w:rPr>
            </w:pPr>
            <w:r w:rsidRPr="00B561DE">
              <w:rPr>
                <w:rFonts w:ascii="Calibri" w:eastAsia="Times New Roman" w:hAnsi="Calibri" w:cs="Calibri"/>
                <w:lang w:eastAsia="en-AU"/>
              </w:rPr>
              <w:lastRenderedPageBreak/>
              <w:t>2020</w:t>
            </w:r>
          </w:p>
        </w:tc>
        <w:tc>
          <w:tcPr>
            <w:tcW w:w="1285" w:type="pct"/>
            <w:hideMark/>
          </w:tcPr>
          <w:p w14:paraId="5C2912FB" w14:textId="77777777" w:rsidR="00A92410" w:rsidRPr="00B561DE" w:rsidRDefault="00A92410" w:rsidP="00F02853">
            <w:pPr>
              <w:keepNext/>
              <w:rPr>
                <w:rFonts w:ascii="Calibri" w:eastAsia="Times New Roman" w:hAnsi="Calibri" w:cs="Calibri"/>
                <w:lang w:eastAsia="en-AU"/>
              </w:rPr>
            </w:pPr>
            <w:r w:rsidRPr="00B561DE">
              <w:rPr>
                <w:rFonts w:ascii="Calibri" w:eastAsia="Times New Roman" w:hAnsi="Calibri" w:cs="Calibri"/>
                <w:lang w:eastAsia="en-AU"/>
              </w:rPr>
              <w:t>BlueCHPLimited, Guide You Home - Specialised Disability Accommodation (https://bluechp.com.au/bluechp-is-proud-to-launch-guide-you-home/ &amp; https://guideyouhome.com.au/)</w:t>
            </w:r>
          </w:p>
        </w:tc>
        <w:tc>
          <w:tcPr>
            <w:tcW w:w="621" w:type="pct"/>
            <w:hideMark/>
          </w:tcPr>
          <w:p w14:paraId="2ECA0ED0" w14:textId="77777777" w:rsidR="00A92410" w:rsidRPr="00B561DE" w:rsidRDefault="00A92410" w:rsidP="00F02853">
            <w:pPr>
              <w:keepNext/>
              <w:rPr>
                <w:rFonts w:ascii="Calibri" w:eastAsia="Times New Roman" w:hAnsi="Calibri" w:cs="Calibri"/>
                <w:lang w:eastAsia="en-AU"/>
              </w:rPr>
            </w:pPr>
            <w:r w:rsidRPr="00B561DE">
              <w:rPr>
                <w:rFonts w:ascii="Calibri" w:eastAsia="Times New Roman" w:hAnsi="Calibri" w:cs="Calibri"/>
                <w:lang w:eastAsia="en-AU"/>
              </w:rPr>
              <w:t>Australia (Hunter Valley, New South Wales)</w:t>
            </w:r>
          </w:p>
        </w:tc>
        <w:tc>
          <w:tcPr>
            <w:tcW w:w="709" w:type="pct"/>
            <w:hideMark/>
          </w:tcPr>
          <w:p w14:paraId="5946E477" w14:textId="77777777" w:rsidR="00A92410" w:rsidRPr="00B561DE" w:rsidRDefault="00A92410" w:rsidP="00F02853">
            <w:pPr>
              <w:keepNext/>
              <w:rPr>
                <w:rFonts w:ascii="Times New Roman" w:eastAsia="Times New Roman" w:hAnsi="Times New Roman" w:cs="Times New Roman"/>
                <w:lang w:eastAsia="en-AU"/>
              </w:rPr>
            </w:pPr>
            <w:r w:rsidRPr="00B561DE">
              <w:rPr>
                <w:rFonts w:ascii="Times New Roman" w:eastAsia="Times New Roman" w:hAnsi="Times New Roman" w:cs="Times New Roman"/>
                <w:lang w:eastAsia="en-AU"/>
              </w:rPr>
              <w:t> </w:t>
            </w:r>
          </w:p>
        </w:tc>
        <w:tc>
          <w:tcPr>
            <w:tcW w:w="974" w:type="pct"/>
            <w:hideMark/>
          </w:tcPr>
          <w:p w14:paraId="0FB79608" w14:textId="77777777" w:rsidR="00A92410" w:rsidRPr="00B561DE" w:rsidRDefault="00A92410" w:rsidP="00F02853">
            <w:pPr>
              <w:keepNext/>
              <w:rPr>
                <w:rFonts w:ascii="Calibri" w:eastAsia="Times New Roman" w:hAnsi="Calibri" w:cs="Calibri"/>
                <w:lang w:eastAsia="en-AU"/>
              </w:rPr>
            </w:pPr>
            <w:r w:rsidRPr="00B561DE">
              <w:rPr>
                <w:rFonts w:ascii="Calibri" w:eastAsia="Times New Roman" w:hAnsi="Calibri" w:cs="Calibri"/>
                <w:lang w:eastAsia="en-AU"/>
              </w:rPr>
              <w:t>Specialist Disability Accommodation</w:t>
            </w:r>
          </w:p>
        </w:tc>
        <w:tc>
          <w:tcPr>
            <w:tcW w:w="1103" w:type="pct"/>
            <w:hideMark/>
          </w:tcPr>
          <w:p w14:paraId="11035A7F" w14:textId="77777777" w:rsidR="00A92410" w:rsidRPr="00B561DE" w:rsidRDefault="00A92410" w:rsidP="00F02853">
            <w:pPr>
              <w:keepNext/>
              <w:rPr>
                <w:rFonts w:ascii="Calibri" w:eastAsia="Times New Roman" w:hAnsi="Calibri" w:cs="Calibri"/>
                <w:lang w:eastAsia="en-AU"/>
              </w:rPr>
            </w:pPr>
            <w:r w:rsidRPr="00B561DE">
              <w:rPr>
                <w:rFonts w:ascii="Calibri" w:eastAsia="Times New Roman" w:hAnsi="Calibri" w:cs="Calibri"/>
                <w:lang w:eastAsia="en-AU"/>
              </w:rPr>
              <w:t>Specialist Disability Accommodation</w:t>
            </w:r>
          </w:p>
        </w:tc>
      </w:tr>
      <w:tr w:rsidR="00A92410" w:rsidRPr="00B561DE" w14:paraId="7561F124" w14:textId="77777777" w:rsidTr="00461CF0">
        <w:tc>
          <w:tcPr>
            <w:tcW w:w="309" w:type="pct"/>
            <w:hideMark/>
          </w:tcPr>
          <w:p w14:paraId="256A1E41"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2020</w:t>
            </w:r>
          </w:p>
        </w:tc>
        <w:tc>
          <w:tcPr>
            <w:tcW w:w="1285" w:type="pct"/>
            <w:hideMark/>
          </w:tcPr>
          <w:p w14:paraId="731766BF"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Achieve Australia (https://achieveaustralia.org.au/ &amp; http://achieveaustralia.org.au/wp-content/uploads/2019/02/MY-HOME-FLYER-2019_-DIGITAL-VERSIONS.pdf)</w:t>
            </w:r>
          </w:p>
        </w:tc>
        <w:tc>
          <w:tcPr>
            <w:tcW w:w="621" w:type="pct"/>
            <w:hideMark/>
          </w:tcPr>
          <w:p w14:paraId="63CDA3FF"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(New South Wales)</w:t>
            </w:r>
          </w:p>
        </w:tc>
        <w:tc>
          <w:tcPr>
            <w:tcW w:w="709" w:type="pct"/>
            <w:hideMark/>
          </w:tcPr>
          <w:p w14:paraId="5EF1414C"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Wide range of support profiles</w:t>
            </w:r>
          </w:p>
        </w:tc>
        <w:tc>
          <w:tcPr>
            <w:tcW w:w="974" w:type="pct"/>
            <w:hideMark/>
          </w:tcPr>
          <w:p w14:paraId="6862E77C"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Specialist Disability Accommodation (SDA); Supported Independent Living (SIL)</w:t>
            </w:r>
          </w:p>
        </w:tc>
        <w:tc>
          <w:tcPr>
            <w:tcW w:w="1103" w:type="pct"/>
            <w:hideMark/>
          </w:tcPr>
          <w:p w14:paraId="355768F3"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Specialist Disability Accommodation</w:t>
            </w:r>
          </w:p>
        </w:tc>
      </w:tr>
      <w:tr w:rsidR="00A92410" w:rsidRPr="00B561DE" w14:paraId="17700B53" w14:textId="77777777" w:rsidTr="00461CF0">
        <w:tc>
          <w:tcPr>
            <w:tcW w:w="309" w:type="pct"/>
            <w:hideMark/>
          </w:tcPr>
          <w:p w14:paraId="496CDB21"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2020</w:t>
            </w:r>
          </w:p>
        </w:tc>
        <w:tc>
          <w:tcPr>
            <w:tcW w:w="1285" w:type="pct"/>
            <w:hideMark/>
          </w:tcPr>
          <w:p w14:paraId="701F4DF0"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Northcott, New Specialist Disability Accommodation coming to Coffs Harbour (https://northcott.com.au/new-specialist-disability-accommodation-coming-to-coffs-harbour/)`</w:t>
            </w:r>
          </w:p>
        </w:tc>
        <w:tc>
          <w:tcPr>
            <w:tcW w:w="621" w:type="pct"/>
            <w:hideMark/>
          </w:tcPr>
          <w:p w14:paraId="7BFDDEEE"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(Coffs Harbour, New South Wales)</w:t>
            </w:r>
          </w:p>
        </w:tc>
        <w:tc>
          <w:tcPr>
            <w:tcW w:w="709" w:type="pct"/>
            <w:hideMark/>
          </w:tcPr>
          <w:p w14:paraId="1B3B7EAF"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c>
          <w:tcPr>
            <w:tcW w:w="974" w:type="pct"/>
            <w:hideMark/>
          </w:tcPr>
          <w:p w14:paraId="5477C1F6"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c>
          <w:tcPr>
            <w:tcW w:w="1103" w:type="pct"/>
            <w:hideMark/>
          </w:tcPr>
          <w:p w14:paraId="1158D1A9"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Specialist Disability Accommodation</w:t>
            </w:r>
          </w:p>
        </w:tc>
      </w:tr>
      <w:tr w:rsidR="00A92410" w:rsidRPr="00B561DE" w14:paraId="34534264" w14:textId="77777777" w:rsidTr="00461CF0">
        <w:tc>
          <w:tcPr>
            <w:tcW w:w="309" w:type="pct"/>
            <w:hideMark/>
          </w:tcPr>
          <w:p w14:paraId="406F3B34"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2020</w:t>
            </w:r>
          </w:p>
        </w:tc>
        <w:tc>
          <w:tcPr>
            <w:tcW w:w="1285" w:type="pct"/>
            <w:hideMark/>
          </w:tcPr>
          <w:p w14:paraId="063F21BF"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Northcott &amp; Access Accom, SkyGardens Disability Housing Project (https://northcott.com.au/new-innovative-approach-to-disability-housing/)</w:t>
            </w:r>
          </w:p>
        </w:tc>
        <w:tc>
          <w:tcPr>
            <w:tcW w:w="621" w:type="pct"/>
            <w:hideMark/>
          </w:tcPr>
          <w:p w14:paraId="3EFE466C"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(Ryde, New South Wales)</w:t>
            </w:r>
          </w:p>
        </w:tc>
        <w:tc>
          <w:tcPr>
            <w:tcW w:w="709" w:type="pct"/>
            <w:hideMark/>
          </w:tcPr>
          <w:p w14:paraId="2CB24C2C"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c>
          <w:tcPr>
            <w:tcW w:w="974" w:type="pct"/>
            <w:hideMark/>
          </w:tcPr>
          <w:p w14:paraId="4F20F95E"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Specialist Disability Accommodation</w:t>
            </w:r>
          </w:p>
        </w:tc>
        <w:tc>
          <w:tcPr>
            <w:tcW w:w="1103" w:type="pct"/>
            <w:hideMark/>
          </w:tcPr>
          <w:p w14:paraId="3F0B6CA1"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Specialist Disability Accommodation</w:t>
            </w:r>
          </w:p>
        </w:tc>
      </w:tr>
      <w:tr w:rsidR="00A92410" w:rsidRPr="00B561DE" w14:paraId="7EA3DA96" w14:textId="77777777" w:rsidTr="00461CF0">
        <w:tc>
          <w:tcPr>
            <w:tcW w:w="309" w:type="pct"/>
            <w:hideMark/>
          </w:tcPr>
          <w:p w14:paraId="7926D15D" w14:textId="77777777" w:rsidR="00A92410" w:rsidRPr="00B561DE" w:rsidRDefault="00A92410" w:rsidP="00F02853">
            <w:pPr>
              <w:keepNext/>
              <w:rPr>
                <w:rFonts w:ascii="Calibri" w:eastAsia="Times New Roman" w:hAnsi="Calibri" w:cs="Calibri"/>
                <w:lang w:eastAsia="en-AU"/>
              </w:rPr>
            </w:pPr>
            <w:r w:rsidRPr="00B561DE">
              <w:rPr>
                <w:rFonts w:ascii="Calibri" w:eastAsia="Times New Roman" w:hAnsi="Calibri" w:cs="Calibri"/>
                <w:lang w:eastAsia="en-AU"/>
              </w:rPr>
              <w:lastRenderedPageBreak/>
              <w:t>2020</w:t>
            </w:r>
          </w:p>
        </w:tc>
        <w:tc>
          <w:tcPr>
            <w:tcW w:w="1285" w:type="pct"/>
            <w:hideMark/>
          </w:tcPr>
          <w:p w14:paraId="613AD139" w14:textId="77777777" w:rsidR="00A92410" w:rsidRPr="00B561DE" w:rsidRDefault="00A92410" w:rsidP="00F02853">
            <w:pPr>
              <w:keepNext/>
              <w:spacing w:after="240"/>
              <w:rPr>
                <w:rFonts w:ascii="Calibri" w:eastAsia="Times New Roman" w:hAnsi="Calibri" w:cs="Calibri"/>
                <w:lang w:eastAsia="en-AU"/>
              </w:rPr>
            </w:pPr>
            <w:r w:rsidRPr="00B561DE">
              <w:rPr>
                <w:rFonts w:ascii="Calibri" w:eastAsia="Times New Roman" w:hAnsi="Calibri" w:cs="Calibri"/>
                <w:lang w:eastAsia="en-AU"/>
              </w:rPr>
              <w:t>The Housing Hub (https://www.housinghub.org.au/)</w:t>
            </w:r>
          </w:p>
        </w:tc>
        <w:tc>
          <w:tcPr>
            <w:tcW w:w="621" w:type="pct"/>
            <w:hideMark/>
          </w:tcPr>
          <w:p w14:paraId="28795C0A" w14:textId="77777777" w:rsidR="00A92410" w:rsidRPr="00B561DE" w:rsidRDefault="00A92410" w:rsidP="00F02853">
            <w:pPr>
              <w:keepNext/>
              <w:rPr>
                <w:rFonts w:ascii="Calibri" w:eastAsia="Times New Roman" w:hAnsi="Calibri" w:cs="Calibri"/>
                <w:lang w:eastAsia="en-AU"/>
              </w:rPr>
            </w:pPr>
            <w:r w:rsidRPr="00B561DE">
              <w:rPr>
                <w:rFonts w:ascii="Calibri" w:eastAsia="Times New Roman" w:hAnsi="Calibri" w:cs="Calibri"/>
                <w:lang w:eastAsia="en-AU"/>
              </w:rPr>
              <w:t>Australia (nationwide)</w:t>
            </w:r>
          </w:p>
        </w:tc>
        <w:tc>
          <w:tcPr>
            <w:tcW w:w="709" w:type="pct"/>
            <w:hideMark/>
          </w:tcPr>
          <w:p w14:paraId="103FD87E" w14:textId="77777777" w:rsidR="00A92410" w:rsidRPr="00B561DE" w:rsidRDefault="00A92410" w:rsidP="00F02853">
            <w:pPr>
              <w:keepNext/>
              <w:rPr>
                <w:rFonts w:ascii="Calibri" w:eastAsia="Times New Roman" w:hAnsi="Calibri" w:cs="Calibri"/>
                <w:lang w:eastAsia="en-AU"/>
              </w:rPr>
            </w:pPr>
            <w:r w:rsidRPr="00B561DE">
              <w:rPr>
                <w:rFonts w:ascii="Calibri" w:eastAsia="Times New Roman" w:hAnsi="Calibri" w:cs="Calibri"/>
                <w:lang w:eastAsia="en-AU"/>
              </w:rPr>
              <w:t>Wide range of support profiles</w:t>
            </w:r>
          </w:p>
        </w:tc>
        <w:tc>
          <w:tcPr>
            <w:tcW w:w="974" w:type="pct"/>
            <w:hideMark/>
          </w:tcPr>
          <w:p w14:paraId="7C610FB8" w14:textId="77777777" w:rsidR="00A92410" w:rsidRPr="00B561DE" w:rsidRDefault="00A92410" w:rsidP="00F02853">
            <w:pPr>
              <w:keepNext/>
              <w:rPr>
                <w:rFonts w:ascii="Calibri" w:eastAsia="Times New Roman" w:hAnsi="Calibri" w:cs="Calibri"/>
                <w:color w:val="222222"/>
                <w:lang w:eastAsia="en-AU"/>
              </w:rPr>
            </w:pPr>
            <w:r w:rsidRPr="00B561DE">
              <w:rPr>
                <w:rFonts w:ascii="Calibri" w:eastAsia="Times New Roman" w:hAnsi="Calibri" w:cs="Calibri"/>
                <w:color w:val="222222"/>
                <w:lang w:eastAsia="en-AU"/>
              </w:rPr>
              <w:t>Properties may include existing SDA properties, new SDA builds, non-SDA supported accommodation, private rental, and properties for sale.</w:t>
            </w:r>
          </w:p>
        </w:tc>
        <w:tc>
          <w:tcPr>
            <w:tcW w:w="1103" w:type="pct"/>
            <w:hideMark/>
          </w:tcPr>
          <w:p w14:paraId="32A4FDA8" w14:textId="77777777" w:rsidR="00A92410" w:rsidRPr="00B561DE" w:rsidRDefault="00A92410" w:rsidP="00F02853">
            <w:pPr>
              <w:keepNext/>
              <w:rPr>
                <w:rFonts w:ascii="Calibri" w:eastAsia="Times New Roman" w:hAnsi="Calibri" w:cs="Calibri"/>
                <w:lang w:eastAsia="en-AU"/>
              </w:rPr>
            </w:pPr>
            <w:r w:rsidRPr="00B561DE">
              <w:rPr>
                <w:rFonts w:ascii="Calibri" w:eastAsia="Times New Roman" w:hAnsi="Calibri" w:cs="Calibri"/>
                <w:lang w:eastAsia="en-AU"/>
              </w:rPr>
              <w:t>Specialist Disability Accommodation</w:t>
            </w:r>
          </w:p>
        </w:tc>
      </w:tr>
      <w:tr w:rsidR="00A92410" w:rsidRPr="00B561DE" w14:paraId="02909C4E" w14:textId="77777777" w:rsidTr="00461CF0">
        <w:tc>
          <w:tcPr>
            <w:tcW w:w="309" w:type="pct"/>
            <w:hideMark/>
          </w:tcPr>
          <w:p w14:paraId="6F05B469"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2020</w:t>
            </w:r>
          </w:p>
        </w:tc>
        <w:tc>
          <w:tcPr>
            <w:tcW w:w="1285" w:type="pct"/>
            <w:hideMark/>
          </w:tcPr>
          <w:p w14:paraId="48E70D2A"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Challenge Community Services (https://www.challengecommunity.org.au/disability-services/)</w:t>
            </w:r>
          </w:p>
        </w:tc>
        <w:tc>
          <w:tcPr>
            <w:tcW w:w="621" w:type="pct"/>
            <w:hideMark/>
          </w:tcPr>
          <w:p w14:paraId="62F0E92F"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(New South Wales &amp; Queensland)</w:t>
            </w:r>
          </w:p>
        </w:tc>
        <w:tc>
          <w:tcPr>
            <w:tcW w:w="709" w:type="pct"/>
            <w:hideMark/>
          </w:tcPr>
          <w:p w14:paraId="4B479B52"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Wide range of support profiles</w:t>
            </w:r>
          </w:p>
        </w:tc>
        <w:tc>
          <w:tcPr>
            <w:tcW w:w="974" w:type="pct"/>
            <w:hideMark/>
          </w:tcPr>
          <w:p w14:paraId="151E781A"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xml:space="preserve">Supported Independent Living </w:t>
            </w:r>
          </w:p>
        </w:tc>
        <w:tc>
          <w:tcPr>
            <w:tcW w:w="1103" w:type="pct"/>
            <w:hideMark/>
          </w:tcPr>
          <w:p w14:paraId="4CF232B8"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Specialist Disability Accommodation</w:t>
            </w:r>
          </w:p>
        </w:tc>
      </w:tr>
      <w:tr w:rsidR="00A92410" w:rsidRPr="00B561DE" w14:paraId="262EE578" w14:textId="77777777" w:rsidTr="00461CF0">
        <w:tc>
          <w:tcPr>
            <w:tcW w:w="309" w:type="pct"/>
            <w:hideMark/>
          </w:tcPr>
          <w:p w14:paraId="00C91F8D"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2020</w:t>
            </w:r>
          </w:p>
        </w:tc>
        <w:tc>
          <w:tcPr>
            <w:tcW w:w="1285" w:type="pct"/>
            <w:hideMark/>
          </w:tcPr>
          <w:p w14:paraId="3ECC1514" w14:textId="1A12E35D"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Sylvan</w:t>
            </w:r>
            <w:r w:rsidR="00BF0543">
              <w:rPr>
                <w:rFonts w:ascii="Calibri" w:eastAsia="Times New Roman" w:hAnsi="Calibri" w:cs="Calibri"/>
                <w:lang w:eastAsia="en-AU"/>
              </w:rPr>
              <w:t>v</w:t>
            </w:r>
            <w:r w:rsidRPr="00B561DE">
              <w:rPr>
                <w:rFonts w:ascii="Calibri" w:eastAsia="Times New Roman" w:hAnsi="Calibri" w:cs="Calibri"/>
                <w:lang w:eastAsia="en-AU"/>
              </w:rPr>
              <w:t>ale (https://www.sylvanvale.com.au/ &amp; https://www.sylvanvale.com.au/supported-independent-living/)</w:t>
            </w:r>
          </w:p>
        </w:tc>
        <w:tc>
          <w:tcPr>
            <w:tcW w:w="621" w:type="pct"/>
            <w:hideMark/>
          </w:tcPr>
          <w:p w14:paraId="36517B39"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(Greater Metropolitan Sydney and Blue Mountains, New South Wales)</w:t>
            </w:r>
          </w:p>
        </w:tc>
        <w:tc>
          <w:tcPr>
            <w:tcW w:w="709" w:type="pct"/>
            <w:hideMark/>
          </w:tcPr>
          <w:p w14:paraId="319BD2A1"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All disability types (Currently advertising vacancies for adults who meet this criteria: Require a high intensity, level 2 (minimum) support worker service; Have, or are eligible for, NDIS Supported Independent Living funding; and Have Specialist Disability Accommodation funding at a basic level (required for most properties)</w:t>
            </w:r>
          </w:p>
        </w:tc>
        <w:tc>
          <w:tcPr>
            <w:tcW w:w="974" w:type="pct"/>
            <w:hideMark/>
          </w:tcPr>
          <w:p w14:paraId="41EC271B"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Supported Independent Living options across 39 locations</w:t>
            </w:r>
          </w:p>
        </w:tc>
        <w:tc>
          <w:tcPr>
            <w:tcW w:w="1103" w:type="pct"/>
            <w:hideMark/>
          </w:tcPr>
          <w:p w14:paraId="1BA50EA1"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Supported Independent Living</w:t>
            </w:r>
          </w:p>
        </w:tc>
      </w:tr>
      <w:tr w:rsidR="00A92410" w:rsidRPr="00B561DE" w14:paraId="61CC5B75" w14:textId="77777777" w:rsidTr="00461CF0">
        <w:tc>
          <w:tcPr>
            <w:tcW w:w="309" w:type="pct"/>
            <w:hideMark/>
          </w:tcPr>
          <w:p w14:paraId="70260229"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lastRenderedPageBreak/>
              <w:t>2020</w:t>
            </w:r>
          </w:p>
        </w:tc>
        <w:tc>
          <w:tcPr>
            <w:tcW w:w="1285" w:type="pct"/>
            <w:hideMark/>
          </w:tcPr>
          <w:p w14:paraId="7D2DC95D"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xml:space="preserve">Good Directions (https://www.gooddirections.com.au/index.php) </w:t>
            </w:r>
          </w:p>
        </w:tc>
        <w:tc>
          <w:tcPr>
            <w:tcW w:w="621" w:type="pct"/>
            <w:hideMark/>
          </w:tcPr>
          <w:p w14:paraId="6092F955"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(New South Wales)</w:t>
            </w:r>
          </w:p>
        </w:tc>
        <w:tc>
          <w:tcPr>
            <w:tcW w:w="709" w:type="pct"/>
            <w:hideMark/>
          </w:tcPr>
          <w:p w14:paraId="5DCF8E0C"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c>
          <w:tcPr>
            <w:tcW w:w="974" w:type="pct"/>
            <w:hideMark/>
          </w:tcPr>
          <w:p w14:paraId="7E894231"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With over 20 accommodation options and innovative use of technology, Good Directions puts in place a framework of ‘supported independence’ that matches your culture &amp; values.</w:t>
            </w:r>
          </w:p>
        </w:tc>
        <w:tc>
          <w:tcPr>
            <w:tcW w:w="1103" w:type="pct"/>
            <w:hideMark/>
          </w:tcPr>
          <w:p w14:paraId="72BD4350"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r>
      <w:tr w:rsidR="00A92410" w:rsidRPr="00B561DE" w14:paraId="5CFB8284" w14:textId="77777777" w:rsidTr="00461CF0">
        <w:tc>
          <w:tcPr>
            <w:tcW w:w="309" w:type="pct"/>
            <w:hideMark/>
          </w:tcPr>
          <w:p w14:paraId="77DD7A08"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2020</w:t>
            </w:r>
          </w:p>
        </w:tc>
        <w:tc>
          <w:tcPr>
            <w:tcW w:w="1285" w:type="pct"/>
            <w:hideMark/>
          </w:tcPr>
          <w:p w14:paraId="069F7FA5"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DSC (https://teamdsc.com.au/ &amp; https://teamdsc.com.au/home-living)</w:t>
            </w:r>
          </w:p>
        </w:tc>
        <w:tc>
          <w:tcPr>
            <w:tcW w:w="621" w:type="pct"/>
            <w:hideMark/>
          </w:tcPr>
          <w:p w14:paraId="2FF07E70"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(nationwide)</w:t>
            </w:r>
          </w:p>
        </w:tc>
        <w:tc>
          <w:tcPr>
            <w:tcW w:w="709" w:type="pct"/>
            <w:hideMark/>
          </w:tcPr>
          <w:p w14:paraId="0926AA21"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Not Applicable</w:t>
            </w:r>
          </w:p>
        </w:tc>
        <w:tc>
          <w:tcPr>
            <w:tcW w:w="974" w:type="pct"/>
            <w:hideMark/>
          </w:tcPr>
          <w:p w14:paraId="2B597507"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Consultancy-based organisation that offers support to disability service providers</w:t>
            </w:r>
          </w:p>
        </w:tc>
        <w:tc>
          <w:tcPr>
            <w:tcW w:w="1103" w:type="pct"/>
            <w:hideMark/>
          </w:tcPr>
          <w:p w14:paraId="21EB5A7F" w14:textId="77777777" w:rsidR="00A92410" w:rsidRPr="00B561DE" w:rsidRDefault="00A92410" w:rsidP="000038F8">
            <w:pPr>
              <w:rPr>
                <w:rFonts w:ascii="Calibri" w:eastAsia="Times New Roman" w:hAnsi="Calibri" w:cs="Calibri"/>
                <w:lang w:eastAsia="en-AU"/>
              </w:rPr>
            </w:pPr>
            <w:r>
              <w:rPr>
                <w:rFonts w:ascii="Calibri" w:eastAsia="Times New Roman" w:hAnsi="Calibri" w:cs="Calibri"/>
                <w:lang w:eastAsia="en-AU"/>
              </w:rPr>
              <w:t>Supporting disability service providers</w:t>
            </w:r>
          </w:p>
        </w:tc>
      </w:tr>
      <w:tr w:rsidR="00A92410" w:rsidRPr="00B561DE" w14:paraId="3F1B7520" w14:textId="77777777" w:rsidTr="00461CF0">
        <w:tc>
          <w:tcPr>
            <w:tcW w:w="309" w:type="pct"/>
            <w:hideMark/>
          </w:tcPr>
          <w:p w14:paraId="37CAEDA0"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2020</w:t>
            </w:r>
          </w:p>
        </w:tc>
        <w:tc>
          <w:tcPr>
            <w:tcW w:w="1285" w:type="pct"/>
            <w:hideMark/>
          </w:tcPr>
          <w:p w14:paraId="7F0AEDA3"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My Supports (https://mysupports.com.au/)</w:t>
            </w:r>
          </w:p>
        </w:tc>
        <w:tc>
          <w:tcPr>
            <w:tcW w:w="621" w:type="pct"/>
            <w:hideMark/>
          </w:tcPr>
          <w:p w14:paraId="614B703D"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(New South Wales, Victoria, Queensland, Western Australia and South Australia)</w:t>
            </w:r>
          </w:p>
        </w:tc>
        <w:tc>
          <w:tcPr>
            <w:tcW w:w="709" w:type="pct"/>
            <w:hideMark/>
          </w:tcPr>
          <w:p w14:paraId="5BCB861E" w14:textId="2D32A8AE"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xml:space="preserve">50% of their staff are people living with disability, which they consider to be an "innovation". Work in small, </w:t>
            </w:r>
            <w:r w:rsidR="00312EFE" w:rsidRPr="00B561DE">
              <w:rPr>
                <w:rFonts w:ascii="Calibri" w:eastAsia="Times New Roman" w:hAnsi="Calibri" w:cs="Calibri"/>
                <w:lang w:eastAsia="en-AU"/>
              </w:rPr>
              <w:t>neighborhood</w:t>
            </w:r>
            <w:r w:rsidRPr="00B561DE">
              <w:rPr>
                <w:rFonts w:ascii="Calibri" w:eastAsia="Times New Roman" w:hAnsi="Calibri" w:cs="Calibri"/>
                <w:lang w:eastAsia="en-AU"/>
              </w:rPr>
              <w:t xml:space="preserve"> teams. All disability types. </w:t>
            </w:r>
          </w:p>
        </w:tc>
        <w:tc>
          <w:tcPr>
            <w:tcW w:w="974" w:type="pct"/>
            <w:hideMark/>
          </w:tcPr>
          <w:p w14:paraId="29E52190"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xml:space="preserve">My Supports is a DPO/FO provider that believes in innovation from our own experience as NDIS users. </w:t>
            </w:r>
          </w:p>
        </w:tc>
        <w:tc>
          <w:tcPr>
            <w:tcW w:w="1103" w:type="pct"/>
            <w:hideMark/>
          </w:tcPr>
          <w:p w14:paraId="56456408"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r>
      <w:tr w:rsidR="00A92410" w:rsidRPr="00B561DE" w14:paraId="5DFEED8E" w14:textId="77777777" w:rsidTr="00461CF0">
        <w:tc>
          <w:tcPr>
            <w:tcW w:w="309" w:type="pct"/>
            <w:hideMark/>
          </w:tcPr>
          <w:p w14:paraId="1B692DE2"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2021</w:t>
            </w:r>
          </w:p>
        </w:tc>
        <w:tc>
          <w:tcPr>
            <w:tcW w:w="1285" w:type="pct"/>
            <w:hideMark/>
          </w:tcPr>
          <w:p w14:paraId="2D12081A"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QCOSS (Queensland Council of Social Service) (https://www.qcoss.org.au/ &amp; https://www.qcoss.org.au/our-work/place-based-approaches/)</w:t>
            </w:r>
          </w:p>
        </w:tc>
        <w:tc>
          <w:tcPr>
            <w:tcW w:w="621" w:type="pct"/>
            <w:hideMark/>
          </w:tcPr>
          <w:p w14:paraId="27CD8E7C"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(Queensland)</w:t>
            </w:r>
          </w:p>
        </w:tc>
        <w:tc>
          <w:tcPr>
            <w:tcW w:w="709" w:type="pct"/>
            <w:hideMark/>
          </w:tcPr>
          <w:p w14:paraId="1239E062"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c>
          <w:tcPr>
            <w:tcW w:w="974" w:type="pct"/>
            <w:hideMark/>
          </w:tcPr>
          <w:p w14:paraId="5161D4E9" w14:textId="77777777" w:rsidR="00A92410" w:rsidRPr="00B561DE" w:rsidRDefault="00A92410" w:rsidP="000038F8">
            <w:pPr>
              <w:rPr>
                <w:rFonts w:ascii="Calibri" w:eastAsia="Times New Roman" w:hAnsi="Calibri" w:cs="Calibri"/>
                <w:color w:val="201F1E"/>
                <w:lang w:eastAsia="en-AU"/>
              </w:rPr>
            </w:pPr>
            <w:r w:rsidRPr="00B561DE">
              <w:rPr>
                <w:rFonts w:ascii="Calibri" w:eastAsia="Times New Roman" w:hAnsi="Calibri" w:cs="Calibri"/>
                <w:color w:val="201F1E"/>
                <w:lang w:eastAsia="en-AU"/>
              </w:rPr>
              <w:t>Queensland’s peak body for the social service sector. Our vision is to achieve equality, opportunity and wellbeing for every person, in every community. Not offering disability housing per se.</w:t>
            </w:r>
          </w:p>
        </w:tc>
        <w:tc>
          <w:tcPr>
            <w:tcW w:w="1103" w:type="pct"/>
            <w:hideMark/>
          </w:tcPr>
          <w:p w14:paraId="3131C929" w14:textId="77777777" w:rsidR="00A92410" w:rsidRPr="00B561DE" w:rsidRDefault="00A92410" w:rsidP="000038F8">
            <w:pPr>
              <w:rPr>
                <w:rFonts w:ascii="Calibri" w:eastAsia="Times New Roman" w:hAnsi="Calibri" w:cs="Calibri"/>
                <w:lang w:eastAsia="en-AU"/>
              </w:rPr>
            </w:pPr>
          </w:p>
        </w:tc>
      </w:tr>
      <w:tr w:rsidR="00A92410" w:rsidRPr="00B561DE" w14:paraId="1ED159C8" w14:textId="77777777" w:rsidTr="00461CF0">
        <w:tc>
          <w:tcPr>
            <w:tcW w:w="309" w:type="pct"/>
            <w:hideMark/>
          </w:tcPr>
          <w:p w14:paraId="17EC3B40"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lastRenderedPageBreak/>
              <w:t>2021</w:t>
            </w:r>
          </w:p>
        </w:tc>
        <w:tc>
          <w:tcPr>
            <w:tcW w:w="1285" w:type="pct"/>
            <w:hideMark/>
          </w:tcPr>
          <w:p w14:paraId="5CA9D7D8"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Young People In Nursing Homes National Alliance (YPINHna) (https://www.ypinh.org.au/ )</w:t>
            </w:r>
          </w:p>
        </w:tc>
        <w:tc>
          <w:tcPr>
            <w:tcW w:w="621" w:type="pct"/>
            <w:hideMark/>
          </w:tcPr>
          <w:p w14:paraId="7ACA7240"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(nationwide)</w:t>
            </w:r>
          </w:p>
        </w:tc>
        <w:tc>
          <w:tcPr>
            <w:tcW w:w="709" w:type="pct"/>
            <w:hideMark/>
          </w:tcPr>
          <w:p w14:paraId="38BB1DD2"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c>
          <w:tcPr>
            <w:tcW w:w="974" w:type="pct"/>
            <w:hideMark/>
          </w:tcPr>
          <w:p w14:paraId="7D73D7C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YPINHna was established in 2002. We work with young people living in, or at risk of entry into, aged care facilities; their families, carers and other stakeholders. These young people have an acquired disability with complex support needs that often bridge the aged care, disability, health, housing and community services sectors.</w:t>
            </w:r>
          </w:p>
        </w:tc>
        <w:tc>
          <w:tcPr>
            <w:tcW w:w="1103" w:type="pct"/>
            <w:hideMark/>
          </w:tcPr>
          <w:p w14:paraId="6028F87A"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r>
      <w:tr w:rsidR="00A92410" w:rsidRPr="00B561DE" w14:paraId="3E586DA2" w14:textId="77777777" w:rsidTr="00461CF0">
        <w:tc>
          <w:tcPr>
            <w:tcW w:w="309" w:type="pct"/>
            <w:hideMark/>
          </w:tcPr>
          <w:p w14:paraId="606E11FD"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2019</w:t>
            </w:r>
          </w:p>
        </w:tc>
        <w:tc>
          <w:tcPr>
            <w:tcW w:w="1285" w:type="pct"/>
            <w:hideMark/>
          </w:tcPr>
          <w:p w14:paraId="79B509EC"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VALID (https://www.valid.org.au/ &amp; https://www.valid.org.au/valid-submission-regarding-supported-independent-living/)</w:t>
            </w:r>
          </w:p>
        </w:tc>
        <w:tc>
          <w:tcPr>
            <w:tcW w:w="621" w:type="pct"/>
            <w:hideMark/>
          </w:tcPr>
          <w:p w14:paraId="314A9BF8"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(Victoria)</w:t>
            </w:r>
          </w:p>
        </w:tc>
        <w:tc>
          <w:tcPr>
            <w:tcW w:w="709" w:type="pct"/>
            <w:hideMark/>
          </w:tcPr>
          <w:p w14:paraId="553AF338"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All disability types</w:t>
            </w:r>
          </w:p>
        </w:tc>
        <w:tc>
          <w:tcPr>
            <w:tcW w:w="974" w:type="pct"/>
            <w:hideMark/>
          </w:tcPr>
          <w:p w14:paraId="51919B36"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VALID do not offer disability housing or living support options, but have advocated on behalf of people with disability, including the VALID Submission regarding Supported Independent Living to the Joint Standing Committee of the NDIS (refer to https://www.valid.org.au/valid-submission-regarding-supported-independent-living/)</w:t>
            </w:r>
          </w:p>
        </w:tc>
        <w:tc>
          <w:tcPr>
            <w:tcW w:w="1103" w:type="pct"/>
            <w:hideMark/>
          </w:tcPr>
          <w:p w14:paraId="59FC47B9"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r>
      <w:tr w:rsidR="00A92410" w:rsidRPr="00B561DE" w14:paraId="249EBFEC" w14:textId="77777777" w:rsidTr="00461CF0">
        <w:tc>
          <w:tcPr>
            <w:tcW w:w="309" w:type="pct"/>
            <w:hideMark/>
          </w:tcPr>
          <w:p w14:paraId="6172A921"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lastRenderedPageBreak/>
              <w:t>2021</w:t>
            </w:r>
          </w:p>
        </w:tc>
        <w:tc>
          <w:tcPr>
            <w:tcW w:w="1285" w:type="pct"/>
            <w:hideMark/>
          </w:tcPr>
          <w:p w14:paraId="06CF498F"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xml:space="preserve">Disability Housing Advocacy Service – People With Disability Australia (https://pwd.org.au/get-help/housing/disability-housing-advocacy-service/#:~:text=The%20Disability%20Housing%20Advocacy%20Service,mediation%20or%20other%20dispute%20resolution) </w:t>
            </w:r>
          </w:p>
        </w:tc>
        <w:tc>
          <w:tcPr>
            <w:tcW w:w="621" w:type="pct"/>
            <w:hideMark/>
          </w:tcPr>
          <w:p w14:paraId="59459C02"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(nationwide)</w:t>
            </w:r>
          </w:p>
        </w:tc>
        <w:tc>
          <w:tcPr>
            <w:tcW w:w="709" w:type="pct"/>
            <w:hideMark/>
          </w:tcPr>
          <w:p w14:paraId="457A32A7"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c>
          <w:tcPr>
            <w:tcW w:w="974" w:type="pct"/>
            <w:hideMark/>
          </w:tcPr>
          <w:p w14:paraId="7BF6178B"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The Disability Housing Advocacy Service provides people in disability housing with a professional advocate, who will help them resolve their housing concerns and enforce their rights. This may be through mediation or other dispute resolution.</w:t>
            </w:r>
          </w:p>
        </w:tc>
        <w:tc>
          <w:tcPr>
            <w:tcW w:w="1103" w:type="pct"/>
            <w:hideMark/>
          </w:tcPr>
          <w:p w14:paraId="2AF21866"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r>
      <w:tr w:rsidR="00A92410" w:rsidRPr="00B561DE" w14:paraId="590981F2" w14:textId="77777777" w:rsidTr="00461CF0">
        <w:tc>
          <w:tcPr>
            <w:tcW w:w="309" w:type="pct"/>
            <w:hideMark/>
          </w:tcPr>
          <w:p w14:paraId="7935836B"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2021</w:t>
            </w:r>
          </w:p>
        </w:tc>
        <w:tc>
          <w:tcPr>
            <w:tcW w:w="1285" w:type="pct"/>
            <w:hideMark/>
          </w:tcPr>
          <w:p w14:paraId="14FF930A"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xml:space="preserve">SDA Housing Investments (https://www.sdahousinginvestments.com.au/ &amp; https://www.sdahousinginvestments.com.au/about-us) </w:t>
            </w:r>
          </w:p>
        </w:tc>
        <w:tc>
          <w:tcPr>
            <w:tcW w:w="621" w:type="pct"/>
            <w:hideMark/>
          </w:tcPr>
          <w:p w14:paraId="2BB8A127"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(nationwide)</w:t>
            </w:r>
          </w:p>
        </w:tc>
        <w:tc>
          <w:tcPr>
            <w:tcW w:w="709" w:type="pct"/>
            <w:hideMark/>
          </w:tcPr>
          <w:p w14:paraId="784B1A94"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c>
          <w:tcPr>
            <w:tcW w:w="974" w:type="pct"/>
            <w:hideMark/>
          </w:tcPr>
          <w:p w14:paraId="74479134"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We are very passionate about providing enhanced quality of life outcomes and are totally committed to the success of this enterprise. We consider this current era to be just the beginning of the NDIS/SDA roll out of opportunities for investors.</w:t>
            </w:r>
          </w:p>
        </w:tc>
        <w:tc>
          <w:tcPr>
            <w:tcW w:w="1103" w:type="pct"/>
            <w:hideMark/>
          </w:tcPr>
          <w:p w14:paraId="789A7864"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r>
      <w:tr w:rsidR="00A92410" w:rsidRPr="00B561DE" w14:paraId="555DD463" w14:textId="77777777" w:rsidTr="00461CF0">
        <w:tc>
          <w:tcPr>
            <w:tcW w:w="309" w:type="pct"/>
            <w:hideMark/>
          </w:tcPr>
          <w:p w14:paraId="5CCB1739"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2021</w:t>
            </w:r>
          </w:p>
        </w:tc>
        <w:tc>
          <w:tcPr>
            <w:tcW w:w="1285" w:type="pct"/>
            <w:hideMark/>
          </w:tcPr>
          <w:p w14:paraId="7646DEA3"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xml:space="preserve">Sunnyfield (https://www.sunnyfield.org.au/ &amp; https://www.sunnyfield.org.au/services/accommodation/) </w:t>
            </w:r>
          </w:p>
        </w:tc>
        <w:tc>
          <w:tcPr>
            <w:tcW w:w="621" w:type="pct"/>
            <w:hideMark/>
          </w:tcPr>
          <w:p w14:paraId="17D819DD"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(New South Wales)</w:t>
            </w:r>
          </w:p>
        </w:tc>
        <w:tc>
          <w:tcPr>
            <w:tcW w:w="709" w:type="pct"/>
            <w:hideMark/>
          </w:tcPr>
          <w:p w14:paraId="34513D5B"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c>
          <w:tcPr>
            <w:tcW w:w="974" w:type="pct"/>
            <w:hideMark/>
          </w:tcPr>
          <w:p w14:paraId="2BAB9005"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Supported Independent Living; Specialist Disability Accommodation; Short &amp; Medium Term Accommodation; Shared Living Arrangements</w:t>
            </w:r>
          </w:p>
        </w:tc>
        <w:tc>
          <w:tcPr>
            <w:tcW w:w="1103" w:type="pct"/>
            <w:hideMark/>
          </w:tcPr>
          <w:p w14:paraId="6FC0DFFD"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Supported Independent Living; Specialist Disability Accommodation</w:t>
            </w:r>
          </w:p>
        </w:tc>
      </w:tr>
      <w:tr w:rsidR="00A92410" w:rsidRPr="00B561DE" w14:paraId="21D83932" w14:textId="77777777" w:rsidTr="00461CF0">
        <w:tc>
          <w:tcPr>
            <w:tcW w:w="309" w:type="pct"/>
            <w:hideMark/>
          </w:tcPr>
          <w:p w14:paraId="0BA9ADF7"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2021</w:t>
            </w:r>
          </w:p>
        </w:tc>
        <w:tc>
          <w:tcPr>
            <w:tcW w:w="1285" w:type="pct"/>
            <w:hideMark/>
          </w:tcPr>
          <w:p w14:paraId="07838199"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xml:space="preserve">Bridge Housing (https://www.bridgehousing.org.au/) </w:t>
            </w:r>
          </w:p>
        </w:tc>
        <w:tc>
          <w:tcPr>
            <w:tcW w:w="621" w:type="pct"/>
            <w:hideMark/>
          </w:tcPr>
          <w:p w14:paraId="5B0F8C25"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(New South Wales)</w:t>
            </w:r>
          </w:p>
        </w:tc>
        <w:tc>
          <w:tcPr>
            <w:tcW w:w="709" w:type="pct"/>
            <w:hideMark/>
          </w:tcPr>
          <w:p w14:paraId="18F65D19"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Not indicated</w:t>
            </w:r>
          </w:p>
        </w:tc>
        <w:tc>
          <w:tcPr>
            <w:tcW w:w="974" w:type="pct"/>
            <w:hideMark/>
          </w:tcPr>
          <w:p w14:paraId="3E5E5017"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Link organisation with disability housing options</w:t>
            </w:r>
          </w:p>
        </w:tc>
        <w:tc>
          <w:tcPr>
            <w:tcW w:w="1103" w:type="pct"/>
            <w:hideMark/>
          </w:tcPr>
          <w:p w14:paraId="43334B30"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r>
              <w:rPr>
                <w:rFonts w:ascii="Calibri" w:eastAsia="Times New Roman" w:hAnsi="Calibri" w:cs="Calibri"/>
                <w:lang w:eastAsia="en-AU"/>
              </w:rPr>
              <w:t>Linking service</w:t>
            </w:r>
          </w:p>
        </w:tc>
      </w:tr>
      <w:tr w:rsidR="00A92410" w:rsidRPr="00B561DE" w14:paraId="255F45D7" w14:textId="77777777" w:rsidTr="00461CF0">
        <w:tc>
          <w:tcPr>
            <w:tcW w:w="309" w:type="pct"/>
            <w:hideMark/>
          </w:tcPr>
          <w:p w14:paraId="7F16F4F3"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lastRenderedPageBreak/>
              <w:t>2020</w:t>
            </w:r>
          </w:p>
        </w:tc>
        <w:tc>
          <w:tcPr>
            <w:tcW w:w="1285" w:type="pct"/>
            <w:hideMark/>
          </w:tcPr>
          <w:p w14:paraId="2EBFFA8D"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Link Housing (https://www.linkhousing.org.au/ &amp; https://www.linkhousing.org.au/apply/specialist-disability-housing/ )</w:t>
            </w:r>
          </w:p>
        </w:tc>
        <w:tc>
          <w:tcPr>
            <w:tcW w:w="621" w:type="pct"/>
            <w:hideMark/>
          </w:tcPr>
          <w:p w14:paraId="15FBB8D5"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(New South Wales)</w:t>
            </w:r>
          </w:p>
        </w:tc>
        <w:tc>
          <w:tcPr>
            <w:tcW w:w="709" w:type="pct"/>
            <w:hideMark/>
          </w:tcPr>
          <w:p w14:paraId="7F99AFF4"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Not indicated</w:t>
            </w:r>
          </w:p>
        </w:tc>
        <w:tc>
          <w:tcPr>
            <w:tcW w:w="974" w:type="pct"/>
            <w:hideMark/>
          </w:tcPr>
          <w:p w14:paraId="4600263E" w14:textId="3EF19F9A" w:rsidR="00A92410" w:rsidRPr="00B561DE" w:rsidRDefault="00A92410" w:rsidP="000038F8">
            <w:pPr>
              <w:rPr>
                <w:rFonts w:ascii="Calibri" w:eastAsia="Times New Roman" w:hAnsi="Calibri" w:cs="Calibri"/>
                <w:color w:val="000000"/>
                <w:lang w:eastAsia="en-AU"/>
              </w:rPr>
            </w:pPr>
            <w:r>
              <w:rPr>
                <w:rFonts w:ascii="Calibri" w:eastAsia="Times New Roman" w:hAnsi="Calibri" w:cs="Calibri"/>
                <w:color w:val="000000"/>
                <w:lang w:eastAsia="en-AU"/>
              </w:rPr>
              <w:t>P</w:t>
            </w:r>
            <w:r w:rsidRPr="00B561DE">
              <w:rPr>
                <w:rFonts w:ascii="Calibri" w:eastAsia="Times New Roman" w:hAnsi="Calibri" w:cs="Calibri"/>
                <w:color w:val="000000"/>
                <w:lang w:eastAsia="en-AU"/>
              </w:rPr>
              <w:t>rovide around 50 SDA Group Homes, which accommodate about 300 people, as well as managing a number of SDA respite homes and non</w:t>
            </w:r>
            <w:r w:rsidRPr="00B561DE">
              <w:rPr>
                <w:rFonts w:ascii="Calibri" w:eastAsia="Times New Roman" w:hAnsi="Calibri" w:cs="Calibri"/>
                <w:color w:val="000000"/>
                <w:lang w:eastAsia="en-AU"/>
              </w:rPr>
              <w:noBreakHyphen/>
              <w:t>SDA homes.</w:t>
            </w:r>
          </w:p>
        </w:tc>
        <w:tc>
          <w:tcPr>
            <w:tcW w:w="1103" w:type="pct"/>
            <w:hideMark/>
          </w:tcPr>
          <w:p w14:paraId="0EC7E315"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Specialist Disability Accommodation</w:t>
            </w:r>
          </w:p>
        </w:tc>
      </w:tr>
      <w:tr w:rsidR="00A92410" w:rsidRPr="00B561DE" w14:paraId="6F3EF31A" w14:textId="77777777" w:rsidTr="00461CF0">
        <w:tc>
          <w:tcPr>
            <w:tcW w:w="309" w:type="pct"/>
            <w:hideMark/>
          </w:tcPr>
          <w:p w14:paraId="53071F32"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2020</w:t>
            </w:r>
          </w:p>
        </w:tc>
        <w:tc>
          <w:tcPr>
            <w:tcW w:w="1285" w:type="pct"/>
            <w:hideMark/>
          </w:tcPr>
          <w:p w14:paraId="5344B60D"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xml:space="preserve">Compass Housing Services (https://www.compasshousing.org/) </w:t>
            </w:r>
          </w:p>
        </w:tc>
        <w:tc>
          <w:tcPr>
            <w:tcW w:w="621" w:type="pct"/>
            <w:hideMark/>
          </w:tcPr>
          <w:p w14:paraId="0E08F85A"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(New South Wales)</w:t>
            </w:r>
          </w:p>
        </w:tc>
        <w:tc>
          <w:tcPr>
            <w:tcW w:w="709" w:type="pct"/>
            <w:hideMark/>
          </w:tcPr>
          <w:p w14:paraId="040D23D3"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c>
          <w:tcPr>
            <w:tcW w:w="974" w:type="pct"/>
            <w:hideMark/>
          </w:tcPr>
          <w:p w14:paraId="0723F5BA"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Specialist Disability Accommodation</w:t>
            </w:r>
          </w:p>
        </w:tc>
        <w:tc>
          <w:tcPr>
            <w:tcW w:w="1103" w:type="pct"/>
            <w:hideMark/>
          </w:tcPr>
          <w:p w14:paraId="09968A29"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Specialist Disability Accommodation</w:t>
            </w:r>
          </w:p>
        </w:tc>
      </w:tr>
      <w:tr w:rsidR="00A92410" w:rsidRPr="00B561DE" w14:paraId="53D1EFCE" w14:textId="77777777" w:rsidTr="00461CF0">
        <w:tc>
          <w:tcPr>
            <w:tcW w:w="309" w:type="pct"/>
            <w:hideMark/>
          </w:tcPr>
          <w:p w14:paraId="5D010CBA"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2020</w:t>
            </w:r>
          </w:p>
        </w:tc>
        <w:tc>
          <w:tcPr>
            <w:tcW w:w="1285" w:type="pct"/>
            <w:hideMark/>
          </w:tcPr>
          <w:p w14:paraId="0C522526"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Kirinari (https://kirinari.com.au/ &amp; https://kirinari.com.au/specialist-disability-accommodation/)</w:t>
            </w:r>
          </w:p>
        </w:tc>
        <w:tc>
          <w:tcPr>
            <w:tcW w:w="621" w:type="pct"/>
            <w:hideMark/>
          </w:tcPr>
          <w:p w14:paraId="4667D3A8"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(New South Wales)</w:t>
            </w:r>
          </w:p>
        </w:tc>
        <w:tc>
          <w:tcPr>
            <w:tcW w:w="709" w:type="pct"/>
            <w:hideMark/>
          </w:tcPr>
          <w:p w14:paraId="7AA6793B"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c>
          <w:tcPr>
            <w:tcW w:w="974" w:type="pct"/>
            <w:hideMark/>
          </w:tcPr>
          <w:p w14:paraId="5F85B3E8"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Supported Independent Living; Specialist Disability Accommodation; Short &amp; Medium Term Accommodation; Shared Living Arrangements</w:t>
            </w:r>
          </w:p>
        </w:tc>
        <w:tc>
          <w:tcPr>
            <w:tcW w:w="1103" w:type="pct"/>
            <w:hideMark/>
          </w:tcPr>
          <w:p w14:paraId="2753C5A4"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Supported Independent Living; Specialist Disability Accommodation</w:t>
            </w:r>
          </w:p>
        </w:tc>
      </w:tr>
      <w:tr w:rsidR="00A92410" w:rsidRPr="00B561DE" w14:paraId="2D360324" w14:textId="77777777" w:rsidTr="00461CF0">
        <w:tc>
          <w:tcPr>
            <w:tcW w:w="309" w:type="pct"/>
            <w:hideMark/>
          </w:tcPr>
          <w:p w14:paraId="37E999C3"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2020</w:t>
            </w:r>
          </w:p>
        </w:tc>
        <w:tc>
          <w:tcPr>
            <w:tcW w:w="1285" w:type="pct"/>
            <w:hideMark/>
          </w:tcPr>
          <w:p w14:paraId="17BCA536"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Community Housing Limited (https://chl.org.au/)</w:t>
            </w:r>
          </w:p>
        </w:tc>
        <w:tc>
          <w:tcPr>
            <w:tcW w:w="621" w:type="pct"/>
            <w:hideMark/>
          </w:tcPr>
          <w:p w14:paraId="3B1AB427"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(Victoria &amp; New South Wales)</w:t>
            </w:r>
          </w:p>
        </w:tc>
        <w:tc>
          <w:tcPr>
            <w:tcW w:w="709" w:type="pct"/>
            <w:hideMark/>
          </w:tcPr>
          <w:p w14:paraId="1F701B4F"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c>
          <w:tcPr>
            <w:tcW w:w="974" w:type="pct"/>
            <w:hideMark/>
          </w:tcPr>
          <w:p w14:paraId="2AD47294"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xml:space="preserve">Community Housing Limited links affordable housing options for people with disability, as well as other disadvantaged groups. </w:t>
            </w:r>
          </w:p>
        </w:tc>
        <w:tc>
          <w:tcPr>
            <w:tcW w:w="1103" w:type="pct"/>
            <w:hideMark/>
          </w:tcPr>
          <w:p w14:paraId="333C592E" w14:textId="77777777" w:rsidR="00A92410" w:rsidRPr="00B561DE" w:rsidRDefault="00A92410" w:rsidP="000038F8">
            <w:pPr>
              <w:rPr>
                <w:rFonts w:ascii="Calibri" w:eastAsia="Times New Roman" w:hAnsi="Calibri" w:cs="Calibri"/>
                <w:lang w:eastAsia="en-AU"/>
              </w:rPr>
            </w:pPr>
            <w:r>
              <w:rPr>
                <w:rFonts w:ascii="Calibri" w:eastAsia="Times New Roman" w:hAnsi="Calibri" w:cs="Calibri"/>
                <w:lang w:eastAsia="en-AU"/>
              </w:rPr>
              <w:t>Linking service</w:t>
            </w:r>
          </w:p>
        </w:tc>
      </w:tr>
      <w:tr w:rsidR="00A92410" w:rsidRPr="00B561DE" w14:paraId="05187261" w14:textId="77777777" w:rsidTr="00461CF0">
        <w:tc>
          <w:tcPr>
            <w:tcW w:w="309" w:type="pct"/>
            <w:hideMark/>
          </w:tcPr>
          <w:p w14:paraId="0C235638"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2020</w:t>
            </w:r>
          </w:p>
        </w:tc>
        <w:tc>
          <w:tcPr>
            <w:tcW w:w="1285" w:type="pct"/>
            <w:hideMark/>
          </w:tcPr>
          <w:p w14:paraId="42AF6987"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The Housing Connection (https://www.thc.org.au/)</w:t>
            </w:r>
          </w:p>
        </w:tc>
        <w:tc>
          <w:tcPr>
            <w:tcW w:w="621" w:type="pct"/>
            <w:hideMark/>
          </w:tcPr>
          <w:p w14:paraId="5E7028F2"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(New South Wales)</w:t>
            </w:r>
          </w:p>
        </w:tc>
        <w:tc>
          <w:tcPr>
            <w:tcW w:w="709" w:type="pct"/>
            <w:hideMark/>
          </w:tcPr>
          <w:p w14:paraId="16225E08"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c>
          <w:tcPr>
            <w:tcW w:w="974" w:type="pct"/>
            <w:hideMark/>
          </w:tcPr>
          <w:p w14:paraId="3F7E1F30"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Support in own home; Supported Independent Living</w:t>
            </w:r>
          </w:p>
        </w:tc>
        <w:tc>
          <w:tcPr>
            <w:tcW w:w="1103" w:type="pct"/>
            <w:hideMark/>
          </w:tcPr>
          <w:p w14:paraId="647F5CD0"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Supported Independent Living</w:t>
            </w:r>
          </w:p>
        </w:tc>
      </w:tr>
      <w:tr w:rsidR="00A92410" w:rsidRPr="00B561DE" w14:paraId="52E8F355" w14:textId="77777777" w:rsidTr="00461CF0">
        <w:tc>
          <w:tcPr>
            <w:tcW w:w="309" w:type="pct"/>
            <w:hideMark/>
          </w:tcPr>
          <w:p w14:paraId="15E8AC69"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2020</w:t>
            </w:r>
          </w:p>
        </w:tc>
        <w:tc>
          <w:tcPr>
            <w:tcW w:w="1285" w:type="pct"/>
            <w:hideMark/>
          </w:tcPr>
          <w:p w14:paraId="1A2B0254"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ARUMA (https://www.aruma.com.au/)</w:t>
            </w:r>
          </w:p>
        </w:tc>
        <w:tc>
          <w:tcPr>
            <w:tcW w:w="621" w:type="pct"/>
            <w:hideMark/>
          </w:tcPr>
          <w:p w14:paraId="7F04FD3F"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Australia (New South Wales, Victoria, Queensland, ACT)</w:t>
            </w:r>
          </w:p>
        </w:tc>
        <w:tc>
          <w:tcPr>
            <w:tcW w:w="709" w:type="pct"/>
            <w:hideMark/>
          </w:tcPr>
          <w:p w14:paraId="7077FB24"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 </w:t>
            </w:r>
          </w:p>
        </w:tc>
        <w:tc>
          <w:tcPr>
            <w:tcW w:w="974" w:type="pct"/>
            <w:hideMark/>
          </w:tcPr>
          <w:p w14:paraId="45EA8D63"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Supported independent living and Specialised Disability Accommodation</w:t>
            </w:r>
          </w:p>
        </w:tc>
        <w:tc>
          <w:tcPr>
            <w:tcW w:w="1103" w:type="pct"/>
            <w:hideMark/>
          </w:tcPr>
          <w:p w14:paraId="523EEBCD" w14:textId="77777777" w:rsidR="00A92410" w:rsidRPr="00B561DE" w:rsidRDefault="00A92410" w:rsidP="000038F8">
            <w:pPr>
              <w:rPr>
                <w:rFonts w:ascii="Calibri" w:eastAsia="Times New Roman" w:hAnsi="Calibri" w:cs="Calibri"/>
                <w:lang w:eastAsia="en-AU"/>
              </w:rPr>
            </w:pPr>
            <w:r w:rsidRPr="00B561DE">
              <w:rPr>
                <w:rFonts w:ascii="Calibri" w:eastAsia="Times New Roman" w:hAnsi="Calibri" w:cs="Calibri"/>
                <w:lang w:eastAsia="en-AU"/>
              </w:rPr>
              <w:t>Supported independent living and Specialised Disability Accommodation</w:t>
            </w:r>
          </w:p>
        </w:tc>
      </w:tr>
      <w:tr w:rsidR="00A92410" w:rsidRPr="00B561DE" w14:paraId="4B5AE4AF" w14:textId="77777777" w:rsidTr="00461CF0">
        <w:tc>
          <w:tcPr>
            <w:tcW w:w="309" w:type="pct"/>
            <w:hideMark/>
          </w:tcPr>
          <w:p w14:paraId="4DCBF83E" w14:textId="77777777" w:rsidR="00A92410" w:rsidRPr="00B561DE" w:rsidRDefault="00A92410" w:rsidP="000038F8">
            <w:pPr>
              <w:rPr>
                <w:rFonts w:ascii="Calibri" w:eastAsia="Times New Roman" w:hAnsi="Calibri" w:cs="Calibri"/>
                <w:color w:val="000000"/>
                <w:lang w:eastAsia="en-AU"/>
              </w:rPr>
            </w:pPr>
            <w:r>
              <w:rPr>
                <w:rFonts w:ascii="Calibri" w:eastAsia="Times New Roman" w:hAnsi="Calibri" w:cs="Calibri"/>
                <w:color w:val="000000"/>
                <w:lang w:eastAsia="en-AU"/>
              </w:rPr>
              <w:lastRenderedPageBreak/>
              <w:t>2020</w:t>
            </w:r>
          </w:p>
        </w:tc>
        <w:tc>
          <w:tcPr>
            <w:tcW w:w="1285" w:type="pct"/>
            <w:hideMark/>
          </w:tcPr>
          <w:p w14:paraId="24FF3FBC"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Unisson Disability (https://unissondisability.org.au/ &amp; https://www.lifestylesolutions.org.au/disability-services/accommodation/)</w:t>
            </w:r>
          </w:p>
        </w:tc>
        <w:tc>
          <w:tcPr>
            <w:tcW w:w="621" w:type="pct"/>
            <w:hideMark/>
          </w:tcPr>
          <w:p w14:paraId="6F3CE7A3"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Australia/Sydney and regional NSW/Hornsby, Lower North Shore, Blacktown, Parklea, Glenwood and in areas of the Central Coast and Hunter</w:t>
            </w:r>
          </w:p>
        </w:tc>
        <w:tc>
          <w:tcPr>
            <w:tcW w:w="709" w:type="pct"/>
            <w:hideMark/>
          </w:tcPr>
          <w:p w14:paraId="27632AB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Participant age profile ranges from 20 up to 60 years of age with either male or female been preferred depending on the property, 7 of 8 properties list 24/7 support. One property notes support available through Supported Independent Living (SIL) services.</w:t>
            </w:r>
          </w:p>
        </w:tc>
        <w:tc>
          <w:tcPr>
            <w:tcW w:w="974" w:type="pct"/>
            <w:hideMark/>
          </w:tcPr>
          <w:p w14:paraId="22699CF9"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(1) Supported Independent Living (SIL) (2) Specialist Disability Accommodation (SDA)/Specialist Disability Accommodation (SDA) funding is intended to cover the costs of building or modifying the home and physical environment.  SDA properties have been built with specific disability needs in mind and are ready to move into.</w:t>
            </w:r>
          </w:p>
        </w:tc>
        <w:tc>
          <w:tcPr>
            <w:tcW w:w="1103" w:type="pct"/>
            <w:hideMark/>
          </w:tcPr>
          <w:p w14:paraId="48B7B9AC"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SIL: for eligibility require accommodation funding from NDIA plan</w:t>
            </w:r>
          </w:p>
        </w:tc>
      </w:tr>
      <w:tr w:rsidR="00A92410" w:rsidRPr="00B561DE" w14:paraId="40347FFE" w14:textId="77777777" w:rsidTr="00461CF0">
        <w:tc>
          <w:tcPr>
            <w:tcW w:w="309" w:type="pct"/>
            <w:hideMark/>
          </w:tcPr>
          <w:p w14:paraId="7903E84F" w14:textId="77777777" w:rsidR="00A92410" w:rsidRPr="00B561DE" w:rsidRDefault="00A92410" w:rsidP="000038F8">
            <w:pPr>
              <w:rPr>
                <w:rFonts w:ascii="Calibri" w:eastAsia="Times New Roman" w:hAnsi="Calibri" w:cs="Calibri"/>
                <w:color w:val="000000"/>
                <w:lang w:eastAsia="en-AU"/>
              </w:rPr>
            </w:pPr>
            <w:r>
              <w:rPr>
                <w:rFonts w:ascii="Calibri" w:eastAsia="Times New Roman" w:hAnsi="Calibri" w:cs="Calibri"/>
                <w:color w:val="000000"/>
                <w:lang w:eastAsia="en-AU"/>
              </w:rPr>
              <w:t>2021</w:t>
            </w:r>
          </w:p>
        </w:tc>
        <w:tc>
          <w:tcPr>
            <w:tcW w:w="1285" w:type="pct"/>
            <w:hideMark/>
          </w:tcPr>
          <w:p w14:paraId="25F41DA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Lifestyle Solutions (https://www.lifestylesolutions.org.au/)</w:t>
            </w:r>
          </w:p>
        </w:tc>
        <w:tc>
          <w:tcPr>
            <w:tcW w:w="621" w:type="pct"/>
            <w:hideMark/>
          </w:tcPr>
          <w:p w14:paraId="212177F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Australia/Sydney and regional NSW/Hornsby, Lower North Shore, Blacktown, Parklea, Glenwood and in areas of the Central Coast and Hunter</w:t>
            </w:r>
          </w:p>
        </w:tc>
        <w:tc>
          <w:tcPr>
            <w:tcW w:w="709" w:type="pct"/>
            <w:hideMark/>
          </w:tcPr>
          <w:p w14:paraId="3CF6CE72"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SDA: Depending on the property participant profiles include: males aged between 20-40 years who are working toward a goal to live independently and develop their everyday living skills; female aged between 35-</w:t>
            </w:r>
            <w:r w:rsidRPr="00B561DE">
              <w:rPr>
                <w:rFonts w:ascii="Calibri" w:eastAsia="Times New Roman" w:hAnsi="Calibri" w:cs="Calibri"/>
                <w:color w:val="000000"/>
                <w:lang w:eastAsia="en-AU"/>
              </w:rPr>
              <w:lastRenderedPageBreak/>
              <w:t xml:space="preserve">60 who enjoys the company of others; transitional skill building service where residents come to live and to learn vital independent living skills with a clear plan to transition into their own residence when they are skilled and ready; male aged 30-50 that is able to live with other people. Minimal presentations of challenging behaviours. High functioning and requires minimal active support from support staff; aged 18+ with complex behaviours and with a previous history in the </w:t>
            </w:r>
            <w:r w:rsidRPr="00B561DE">
              <w:rPr>
                <w:rFonts w:ascii="Calibri" w:eastAsia="Times New Roman" w:hAnsi="Calibri" w:cs="Calibri"/>
                <w:color w:val="000000"/>
                <w:lang w:eastAsia="en-AU"/>
              </w:rPr>
              <w:lastRenderedPageBreak/>
              <w:t>justice system; female aged 18- 65 years with significant functional (physical, psychological, social and developmental) impairment and complex health needs; male aged 18-45 who is semi-independent, with a previous history in the justice system.</w:t>
            </w:r>
          </w:p>
        </w:tc>
        <w:tc>
          <w:tcPr>
            <w:tcW w:w="974" w:type="pct"/>
            <w:hideMark/>
          </w:tcPr>
          <w:p w14:paraId="635ACD6B"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lastRenderedPageBreak/>
              <w:t xml:space="preserve">(1) Supported Independent Living (SIL) (2) Specialist Disability Accommodation (SDA)/Specialist Disability Accommodation (SDA) funding is intended to cover the costs of building or modifying the home and physical environment.  SDA properties have been built with specific disability needs in mind </w:t>
            </w:r>
            <w:r w:rsidRPr="00B561DE">
              <w:rPr>
                <w:rFonts w:ascii="Calibri" w:eastAsia="Times New Roman" w:hAnsi="Calibri" w:cs="Calibri"/>
                <w:color w:val="000000"/>
                <w:lang w:eastAsia="en-AU"/>
              </w:rPr>
              <w:lastRenderedPageBreak/>
              <w:t>and are ready to move into.</w:t>
            </w:r>
          </w:p>
        </w:tc>
        <w:tc>
          <w:tcPr>
            <w:tcW w:w="1103" w:type="pct"/>
            <w:hideMark/>
          </w:tcPr>
          <w:p w14:paraId="2D87723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lastRenderedPageBreak/>
              <w:t>SIL: for eligibility require accommodation funding from NDIA plan</w:t>
            </w:r>
          </w:p>
        </w:tc>
      </w:tr>
      <w:tr w:rsidR="00A92410" w:rsidRPr="00B561DE" w14:paraId="1330B98B" w14:textId="77777777" w:rsidTr="00461CF0">
        <w:tc>
          <w:tcPr>
            <w:tcW w:w="309" w:type="pct"/>
            <w:hideMark/>
          </w:tcPr>
          <w:p w14:paraId="391F03F9" w14:textId="77777777" w:rsidR="00A92410" w:rsidRPr="00B561DE" w:rsidRDefault="00A92410" w:rsidP="000038F8">
            <w:pPr>
              <w:rPr>
                <w:rFonts w:ascii="Calibri" w:eastAsia="Times New Roman" w:hAnsi="Calibri" w:cs="Calibri"/>
                <w:color w:val="000000"/>
                <w:lang w:eastAsia="en-AU"/>
              </w:rPr>
            </w:pPr>
            <w:r>
              <w:rPr>
                <w:rFonts w:ascii="Calibri" w:eastAsia="Times New Roman" w:hAnsi="Calibri" w:cs="Calibri"/>
                <w:color w:val="000000"/>
                <w:lang w:eastAsia="en-AU"/>
              </w:rPr>
              <w:lastRenderedPageBreak/>
              <w:t>2021</w:t>
            </w:r>
          </w:p>
        </w:tc>
        <w:tc>
          <w:tcPr>
            <w:tcW w:w="1285" w:type="pct"/>
            <w:hideMark/>
          </w:tcPr>
          <w:p w14:paraId="75E832FB"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Disability Housing Information Line, People With Disability Australia (https://pwd.org.au/get-help/housing/disability-housing-information-line/)</w:t>
            </w:r>
          </w:p>
        </w:tc>
        <w:tc>
          <w:tcPr>
            <w:tcW w:w="621" w:type="pct"/>
            <w:hideMark/>
          </w:tcPr>
          <w:p w14:paraId="67F8CAFB"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Australia</w:t>
            </w:r>
          </w:p>
        </w:tc>
        <w:tc>
          <w:tcPr>
            <w:tcW w:w="709" w:type="pct"/>
            <w:hideMark/>
          </w:tcPr>
          <w:p w14:paraId="0270EB3B"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p>
        </w:tc>
        <w:tc>
          <w:tcPr>
            <w:tcW w:w="974" w:type="pct"/>
            <w:hideMark/>
          </w:tcPr>
          <w:p w14:paraId="40FCEC28"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Provision of independent information and advice on disability housing to people living in Specialist Disability Accommodation (SDA), their supporters and accommodation providers.</w:t>
            </w:r>
          </w:p>
        </w:tc>
        <w:tc>
          <w:tcPr>
            <w:tcW w:w="1103" w:type="pct"/>
            <w:hideMark/>
          </w:tcPr>
          <w:p w14:paraId="41FC9D70"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p>
        </w:tc>
      </w:tr>
      <w:tr w:rsidR="00A92410" w:rsidRPr="00B561DE" w14:paraId="5DCC3FE3" w14:textId="77777777" w:rsidTr="00461CF0">
        <w:tc>
          <w:tcPr>
            <w:tcW w:w="309" w:type="pct"/>
            <w:hideMark/>
          </w:tcPr>
          <w:p w14:paraId="4F4AB388" w14:textId="77777777" w:rsidR="00A92410" w:rsidRPr="00B561DE" w:rsidRDefault="00A92410" w:rsidP="000038F8">
            <w:pPr>
              <w:rPr>
                <w:rFonts w:ascii="Calibri" w:eastAsia="Times New Roman" w:hAnsi="Calibri" w:cs="Calibri"/>
                <w:color w:val="000000"/>
                <w:lang w:eastAsia="en-AU"/>
              </w:rPr>
            </w:pPr>
            <w:r>
              <w:rPr>
                <w:rFonts w:ascii="Calibri" w:eastAsia="Times New Roman" w:hAnsi="Calibri" w:cs="Calibri"/>
                <w:color w:val="000000"/>
                <w:lang w:eastAsia="en-AU"/>
              </w:rPr>
              <w:t>2021</w:t>
            </w:r>
          </w:p>
        </w:tc>
        <w:tc>
          <w:tcPr>
            <w:tcW w:w="1285" w:type="pct"/>
            <w:hideMark/>
          </w:tcPr>
          <w:p w14:paraId="7FD63E6C"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Shared Lives Plus (https://sharedlivesplus.org.uk/)</w:t>
            </w:r>
          </w:p>
        </w:tc>
        <w:tc>
          <w:tcPr>
            <w:tcW w:w="621" w:type="pct"/>
            <w:hideMark/>
          </w:tcPr>
          <w:p w14:paraId="5925A327"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United Kingdom</w:t>
            </w:r>
          </w:p>
        </w:tc>
        <w:tc>
          <w:tcPr>
            <w:tcW w:w="709" w:type="pct"/>
            <w:hideMark/>
          </w:tcPr>
          <w:p w14:paraId="1ED9A45D"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p>
        </w:tc>
        <w:tc>
          <w:tcPr>
            <w:tcW w:w="974" w:type="pct"/>
            <w:hideMark/>
          </w:tcPr>
          <w:p w14:paraId="1E833F35"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Homeshare accommodation</w:t>
            </w:r>
          </w:p>
        </w:tc>
        <w:tc>
          <w:tcPr>
            <w:tcW w:w="1103" w:type="pct"/>
            <w:hideMark/>
          </w:tcPr>
          <w:p w14:paraId="2C1C894E"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p>
        </w:tc>
      </w:tr>
      <w:tr w:rsidR="00A92410" w:rsidRPr="00B561DE" w14:paraId="265AABE0" w14:textId="77777777" w:rsidTr="00461CF0">
        <w:tc>
          <w:tcPr>
            <w:tcW w:w="309" w:type="pct"/>
            <w:hideMark/>
          </w:tcPr>
          <w:p w14:paraId="7FBBDD66"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lastRenderedPageBreak/>
              <w:t> </w:t>
            </w:r>
            <w:r>
              <w:rPr>
                <w:rFonts w:ascii="Calibri" w:eastAsia="Times New Roman" w:hAnsi="Calibri" w:cs="Calibri"/>
                <w:color w:val="000000"/>
                <w:lang w:eastAsia="en-AU"/>
              </w:rPr>
              <w:t>2021</w:t>
            </w:r>
          </w:p>
        </w:tc>
        <w:tc>
          <w:tcPr>
            <w:tcW w:w="1285" w:type="pct"/>
            <w:hideMark/>
          </w:tcPr>
          <w:p w14:paraId="65298E82"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Alderwood LLA (https://www.alderwoodlla.co.uk/our-locations/)</w:t>
            </w:r>
          </w:p>
        </w:tc>
        <w:tc>
          <w:tcPr>
            <w:tcW w:w="621" w:type="pct"/>
            <w:hideMark/>
          </w:tcPr>
          <w:p w14:paraId="064D0632"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United Kingdom, Northamptonshire</w:t>
            </w:r>
          </w:p>
        </w:tc>
        <w:tc>
          <w:tcPr>
            <w:tcW w:w="709" w:type="pct"/>
            <w:hideMark/>
          </w:tcPr>
          <w:p w14:paraId="380566A4"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Adults 18-65 years of age with Autism Spectrum Disorder.  Four properties have availability for individuals 0 - 18 years of age. </w:t>
            </w:r>
          </w:p>
        </w:tc>
        <w:tc>
          <w:tcPr>
            <w:tcW w:w="974" w:type="pct"/>
            <w:hideMark/>
          </w:tcPr>
          <w:p w14:paraId="423F8455"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Housing and living support</w:t>
            </w:r>
          </w:p>
        </w:tc>
        <w:tc>
          <w:tcPr>
            <w:tcW w:w="1103" w:type="pct"/>
            <w:hideMark/>
          </w:tcPr>
          <w:p w14:paraId="19C49A28"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 </w:t>
            </w:r>
          </w:p>
        </w:tc>
      </w:tr>
      <w:tr w:rsidR="00A92410" w:rsidRPr="00B561DE" w14:paraId="4D8F7336" w14:textId="77777777" w:rsidTr="00461CF0">
        <w:tc>
          <w:tcPr>
            <w:tcW w:w="309" w:type="pct"/>
            <w:hideMark/>
          </w:tcPr>
          <w:p w14:paraId="7F8084D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r>
              <w:rPr>
                <w:rFonts w:ascii="Calibri" w:eastAsia="Times New Roman" w:hAnsi="Calibri" w:cs="Calibri"/>
                <w:color w:val="000000"/>
                <w:lang w:eastAsia="en-AU"/>
              </w:rPr>
              <w:t>2021</w:t>
            </w:r>
          </w:p>
        </w:tc>
        <w:tc>
          <w:tcPr>
            <w:tcW w:w="1285" w:type="pct"/>
            <w:hideMark/>
          </w:tcPr>
          <w:p w14:paraId="00743AF8"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Community Catalysts UK (https://www.communitycatalysts.co.uk/)</w:t>
            </w:r>
          </w:p>
        </w:tc>
        <w:tc>
          <w:tcPr>
            <w:tcW w:w="621" w:type="pct"/>
            <w:hideMark/>
          </w:tcPr>
          <w:p w14:paraId="0606E515"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United Kingdom</w:t>
            </w:r>
          </w:p>
        </w:tc>
        <w:tc>
          <w:tcPr>
            <w:tcW w:w="709" w:type="pct"/>
            <w:hideMark/>
          </w:tcPr>
          <w:p w14:paraId="7991934F"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Learning disabilities, Autism Spectrum Disorder, wider community</w:t>
            </w:r>
          </w:p>
        </w:tc>
        <w:tc>
          <w:tcPr>
            <w:tcW w:w="974" w:type="pct"/>
            <w:hideMark/>
          </w:tcPr>
          <w:p w14:paraId="60CD2B3E"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N/A Supports community programmes to link otherwise isolated people and develop their skills and social interaction</w:t>
            </w:r>
          </w:p>
        </w:tc>
        <w:tc>
          <w:tcPr>
            <w:tcW w:w="1103" w:type="pct"/>
            <w:hideMark/>
          </w:tcPr>
          <w:p w14:paraId="3A00D8F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p>
        </w:tc>
      </w:tr>
      <w:tr w:rsidR="00A92410" w:rsidRPr="00B561DE" w14:paraId="59C863E5" w14:textId="77777777" w:rsidTr="00461CF0">
        <w:tc>
          <w:tcPr>
            <w:tcW w:w="309" w:type="pct"/>
            <w:hideMark/>
          </w:tcPr>
          <w:p w14:paraId="1343BA68"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r>
              <w:rPr>
                <w:rFonts w:ascii="Calibri" w:eastAsia="Times New Roman" w:hAnsi="Calibri" w:cs="Calibri"/>
                <w:color w:val="000000"/>
                <w:lang w:eastAsia="en-AU"/>
              </w:rPr>
              <w:t>2021</w:t>
            </w:r>
          </w:p>
        </w:tc>
        <w:tc>
          <w:tcPr>
            <w:tcW w:w="1285" w:type="pct"/>
            <w:hideMark/>
          </w:tcPr>
          <w:p w14:paraId="2852EED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KeyRing UK (https://www.keyring.org/)</w:t>
            </w:r>
          </w:p>
        </w:tc>
        <w:tc>
          <w:tcPr>
            <w:tcW w:w="621" w:type="pct"/>
            <w:hideMark/>
          </w:tcPr>
          <w:p w14:paraId="10A082E6"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United Kingdom</w:t>
            </w:r>
          </w:p>
        </w:tc>
        <w:tc>
          <w:tcPr>
            <w:tcW w:w="709" w:type="pct"/>
            <w:hideMark/>
          </w:tcPr>
          <w:p w14:paraId="074AD8D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Wide range of support profiles including: learning disability, mental health, drug and alcohol, physical and sensory disability, autism and Aspergers, older people</w:t>
            </w:r>
          </w:p>
        </w:tc>
        <w:tc>
          <w:tcPr>
            <w:tcW w:w="974" w:type="pct"/>
            <w:hideMark/>
          </w:tcPr>
          <w:p w14:paraId="5D6C70F6"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p>
        </w:tc>
        <w:tc>
          <w:tcPr>
            <w:tcW w:w="1103" w:type="pct"/>
            <w:hideMark/>
          </w:tcPr>
          <w:p w14:paraId="24367F8F" w14:textId="77777777" w:rsidR="00A92410" w:rsidRPr="00B561DE" w:rsidRDefault="00A92410" w:rsidP="000038F8">
            <w:pPr>
              <w:rPr>
                <w:rFonts w:ascii="Calibri" w:eastAsia="Times New Roman" w:hAnsi="Calibri" w:cs="Calibri"/>
                <w:color w:val="000000"/>
                <w:lang w:eastAsia="en-AU"/>
              </w:rPr>
            </w:pPr>
          </w:p>
        </w:tc>
      </w:tr>
      <w:tr w:rsidR="00A92410" w:rsidRPr="00B561DE" w14:paraId="1C73CAB7" w14:textId="77777777" w:rsidTr="00461CF0">
        <w:tc>
          <w:tcPr>
            <w:tcW w:w="309" w:type="pct"/>
            <w:hideMark/>
          </w:tcPr>
          <w:p w14:paraId="77AD24F3"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lastRenderedPageBreak/>
              <w:t> </w:t>
            </w:r>
            <w:r>
              <w:rPr>
                <w:rFonts w:ascii="Calibri" w:eastAsia="Times New Roman" w:hAnsi="Calibri" w:cs="Calibri"/>
                <w:color w:val="000000"/>
                <w:lang w:eastAsia="en-AU"/>
              </w:rPr>
              <w:t>2021</w:t>
            </w:r>
          </w:p>
        </w:tc>
        <w:tc>
          <w:tcPr>
            <w:tcW w:w="1285" w:type="pct"/>
            <w:hideMark/>
          </w:tcPr>
          <w:p w14:paraId="486F7989"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The DC Center for Independent Living (DCCIL) (https://dccil.org/)</w:t>
            </w:r>
          </w:p>
        </w:tc>
        <w:tc>
          <w:tcPr>
            <w:tcW w:w="621" w:type="pct"/>
            <w:hideMark/>
          </w:tcPr>
          <w:p w14:paraId="77964EF6"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United States/District of Columbia</w:t>
            </w:r>
          </w:p>
        </w:tc>
        <w:tc>
          <w:tcPr>
            <w:tcW w:w="709" w:type="pct"/>
            <w:hideMark/>
          </w:tcPr>
          <w:p w14:paraId="73258882"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Any person with a disability (physical or mental) residing in the District of Columbia. </w:t>
            </w:r>
          </w:p>
        </w:tc>
        <w:tc>
          <w:tcPr>
            <w:tcW w:w="974" w:type="pct"/>
            <w:hideMark/>
          </w:tcPr>
          <w:p w14:paraId="01F2D7F8"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DCCIL provides disability-specific information and referral to ensure people with disabilities have access to information needed to achieve or maintain independence in their communities.</w:t>
            </w:r>
          </w:p>
        </w:tc>
        <w:tc>
          <w:tcPr>
            <w:tcW w:w="1103" w:type="pct"/>
            <w:hideMark/>
          </w:tcPr>
          <w:p w14:paraId="5C53F891" w14:textId="77777777" w:rsidR="00A92410" w:rsidRPr="00B561DE" w:rsidRDefault="00A92410" w:rsidP="00F02853">
            <w:pPr>
              <w:keepNext/>
              <w:rPr>
                <w:rFonts w:ascii="Calibri" w:eastAsia="Times New Roman" w:hAnsi="Calibri" w:cs="Calibri"/>
                <w:color w:val="000000"/>
                <w:lang w:eastAsia="en-AU"/>
              </w:rPr>
            </w:pPr>
            <w:r>
              <w:rPr>
                <w:rFonts w:ascii="Calibri" w:eastAsia="Times New Roman" w:hAnsi="Calibri" w:cs="Calibri"/>
                <w:color w:val="000000"/>
                <w:lang w:eastAsia="en-AU"/>
              </w:rPr>
              <w:t>Linking service</w:t>
            </w:r>
          </w:p>
        </w:tc>
      </w:tr>
      <w:tr w:rsidR="00A92410" w:rsidRPr="00B561DE" w14:paraId="2A1645E1" w14:textId="77777777" w:rsidTr="00461CF0">
        <w:tc>
          <w:tcPr>
            <w:tcW w:w="309" w:type="pct"/>
            <w:hideMark/>
          </w:tcPr>
          <w:p w14:paraId="21349883"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r>
              <w:rPr>
                <w:rFonts w:ascii="Calibri" w:eastAsia="Times New Roman" w:hAnsi="Calibri" w:cs="Calibri"/>
                <w:color w:val="000000"/>
                <w:lang w:eastAsia="en-AU"/>
              </w:rPr>
              <w:t>2021</w:t>
            </w:r>
          </w:p>
        </w:tc>
        <w:tc>
          <w:tcPr>
            <w:tcW w:w="1285" w:type="pct"/>
            <w:hideMark/>
          </w:tcPr>
          <w:p w14:paraId="79CB9EBF"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Center for Independent Futures (https://independentfutures.com/)</w:t>
            </w:r>
          </w:p>
        </w:tc>
        <w:tc>
          <w:tcPr>
            <w:tcW w:w="621" w:type="pct"/>
            <w:hideMark/>
          </w:tcPr>
          <w:p w14:paraId="1395F854"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United States</w:t>
            </w:r>
          </w:p>
        </w:tc>
        <w:tc>
          <w:tcPr>
            <w:tcW w:w="709" w:type="pct"/>
            <w:hideMark/>
          </w:tcPr>
          <w:p w14:paraId="58BEF486"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Not indicated</w:t>
            </w:r>
          </w:p>
        </w:tc>
        <w:tc>
          <w:tcPr>
            <w:tcW w:w="974" w:type="pct"/>
            <w:hideMark/>
          </w:tcPr>
          <w:p w14:paraId="30B7AF98"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New Futures Initiative</w:t>
            </w:r>
          </w:p>
        </w:tc>
        <w:tc>
          <w:tcPr>
            <w:tcW w:w="1103" w:type="pct"/>
            <w:hideMark/>
          </w:tcPr>
          <w:p w14:paraId="11D817D0"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Not indicated</w:t>
            </w:r>
          </w:p>
        </w:tc>
      </w:tr>
      <w:tr w:rsidR="00A92410" w:rsidRPr="00B561DE" w14:paraId="13CD88EC" w14:textId="77777777" w:rsidTr="00461CF0">
        <w:tc>
          <w:tcPr>
            <w:tcW w:w="309" w:type="pct"/>
            <w:hideMark/>
          </w:tcPr>
          <w:p w14:paraId="33838EDF" w14:textId="77777777" w:rsidR="00A92410" w:rsidRPr="00B561DE" w:rsidRDefault="00A92410" w:rsidP="000038F8">
            <w:pPr>
              <w:rPr>
                <w:rFonts w:ascii="Calibri" w:eastAsia="Times New Roman" w:hAnsi="Calibri" w:cs="Calibri"/>
                <w:color w:val="000000"/>
                <w:lang w:eastAsia="en-AU"/>
              </w:rPr>
            </w:pPr>
            <w:r>
              <w:rPr>
                <w:rFonts w:ascii="Calibri" w:eastAsia="Times New Roman" w:hAnsi="Calibri" w:cs="Calibri"/>
                <w:color w:val="000000"/>
                <w:lang w:eastAsia="en-AU"/>
              </w:rPr>
              <w:t>2021</w:t>
            </w:r>
          </w:p>
        </w:tc>
        <w:tc>
          <w:tcPr>
            <w:tcW w:w="1285" w:type="pct"/>
            <w:hideMark/>
          </w:tcPr>
          <w:p w14:paraId="590CDB73"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Donald Beasley Institute (https://www.donaldbeasley.org.nz/ or https://www.donaldbeasley.org.nz/projects/)</w:t>
            </w:r>
          </w:p>
        </w:tc>
        <w:tc>
          <w:tcPr>
            <w:tcW w:w="621" w:type="pct"/>
            <w:hideMark/>
          </w:tcPr>
          <w:p w14:paraId="5D4BADD5"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New Zealand</w:t>
            </w:r>
          </w:p>
        </w:tc>
        <w:tc>
          <w:tcPr>
            <w:tcW w:w="709" w:type="pct"/>
            <w:hideMark/>
          </w:tcPr>
          <w:p w14:paraId="5278537B"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Expertise in disability research particularly in the area of intellectual disability </w:t>
            </w:r>
          </w:p>
        </w:tc>
        <w:tc>
          <w:tcPr>
            <w:tcW w:w="974" w:type="pct"/>
            <w:hideMark/>
          </w:tcPr>
          <w:p w14:paraId="6D276BA0" w14:textId="77777777" w:rsidR="00A92410" w:rsidRPr="00F02853" w:rsidRDefault="00A92410" w:rsidP="000038F8">
            <w:pPr>
              <w:rPr>
                <w:rFonts w:ascii="Calibri" w:eastAsia="Times New Roman" w:hAnsi="Calibri" w:cs="Calibri"/>
                <w:color w:val="000000"/>
                <w:sz w:val="21"/>
                <w:szCs w:val="21"/>
                <w:lang w:eastAsia="en-AU"/>
              </w:rPr>
            </w:pPr>
            <w:r w:rsidRPr="00F02853">
              <w:rPr>
                <w:rFonts w:ascii="Calibri" w:eastAsia="Times New Roman" w:hAnsi="Calibri" w:cs="Calibri"/>
                <w:color w:val="000000"/>
                <w:sz w:val="21"/>
                <w:szCs w:val="21"/>
                <w:lang w:eastAsia="en-AU"/>
              </w:rPr>
              <w:t>Focus on supporting projects on a range of areas that promote the rights of people with disabilities. Projects include: (1) Disabled Person-Led Monitoring of the United Nations Convention on the Rights of Persons with Disabilities (UNCRPD). (2) Mean As - Online library on relationships and sexual support needs of people with disabilities (3) Re-imagining parenting: Upholding Article 23 of the UNCRPD for mothers and fathers with a learning disability (4) Access to Justice (5) Social Inclusion, Citizenship and Belonging.</w:t>
            </w:r>
          </w:p>
        </w:tc>
        <w:tc>
          <w:tcPr>
            <w:tcW w:w="1103" w:type="pct"/>
            <w:hideMark/>
          </w:tcPr>
          <w:p w14:paraId="1C58C014"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p>
        </w:tc>
      </w:tr>
      <w:tr w:rsidR="00A92410" w:rsidRPr="00B561DE" w14:paraId="4C87F213" w14:textId="77777777" w:rsidTr="00461CF0">
        <w:tc>
          <w:tcPr>
            <w:tcW w:w="309" w:type="pct"/>
            <w:hideMark/>
          </w:tcPr>
          <w:p w14:paraId="4F0A8E6A"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lastRenderedPageBreak/>
              <w:t> </w:t>
            </w:r>
            <w:r>
              <w:rPr>
                <w:rFonts w:ascii="Calibri" w:eastAsia="Times New Roman" w:hAnsi="Calibri" w:cs="Calibri"/>
                <w:color w:val="000000"/>
                <w:lang w:eastAsia="en-AU"/>
              </w:rPr>
              <w:t>2021</w:t>
            </w:r>
          </w:p>
        </w:tc>
        <w:tc>
          <w:tcPr>
            <w:tcW w:w="1285" w:type="pct"/>
            <w:hideMark/>
          </w:tcPr>
          <w:p w14:paraId="630659B0"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Family Advocacy (https://www.family-advocacy.com/)</w:t>
            </w:r>
          </w:p>
        </w:tc>
        <w:tc>
          <w:tcPr>
            <w:tcW w:w="621" w:type="pct"/>
            <w:hideMark/>
          </w:tcPr>
          <w:p w14:paraId="05ABA555"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Australia, Hornsby, New South Wales</w:t>
            </w:r>
          </w:p>
        </w:tc>
        <w:tc>
          <w:tcPr>
            <w:tcW w:w="709" w:type="pct"/>
            <w:hideMark/>
          </w:tcPr>
          <w:p w14:paraId="04341337"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p>
        </w:tc>
        <w:tc>
          <w:tcPr>
            <w:tcW w:w="974" w:type="pct"/>
            <w:hideMark/>
          </w:tcPr>
          <w:p w14:paraId="5CD1CA85" w14:textId="77777777" w:rsidR="00A92410" w:rsidRPr="00F02853" w:rsidRDefault="00A92410" w:rsidP="000038F8">
            <w:pPr>
              <w:rPr>
                <w:rFonts w:ascii="Calibri" w:eastAsia="Times New Roman" w:hAnsi="Calibri" w:cs="Calibri"/>
                <w:color w:val="000000"/>
                <w:sz w:val="21"/>
                <w:szCs w:val="21"/>
                <w:lang w:eastAsia="en-AU"/>
              </w:rPr>
            </w:pPr>
            <w:r w:rsidRPr="00F02853">
              <w:rPr>
                <w:rFonts w:ascii="Calibri" w:eastAsia="Times New Roman" w:hAnsi="Calibri" w:cs="Calibri"/>
                <w:color w:val="000000"/>
                <w:sz w:val="21"/>
                <w:szCs w:val="21"/>
                <w:lang w:eastAsia="en-AU"/>
              </w:rPr>
              <w:t>Family Advocacy supports families to advocate with and on behalf of a family member with disability and are strong proponents of inclusive housing under the model of Supported Living where people with disabilities have the same opportunities of choice of housing and who they reside that's enabled for most Australians.  Family Advocacy' s position statement on inclusive housing maintains that people with disabilities should have the same living options as other Australians. Specifics on how this may be advocated and achieved are not provided.  The website provides links and information on options for housing in NSW and options for support however it does not provide independent housing or living support and its focus appears to be enabling through advocacy people with disabilities to achieve their goals.</w:t>
            </w:r>
          </w:p>
        </w:tc>
        <w:tc>
          <w:tcPr>
            <w:tcW w:w="1103" w:type="pct"/>
            <w:hideMark/>
          </w:tcPr>
          <w:p w14:paraId="77532A3A"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p>
        </w:tc>
      </w:tr>
      <w:tr w:rsidR="00A92410" w:rsidRPr="00B561DE" w14:paraId="1AD79BE8" w14:textId="77777777" w:rsidTr="00461CF0">
        <w:tc>
          <w:tcPr>
            <w:tcW w:w="309" w:type="pct"/>
            <w:hideMark/>
          </w:tcPr>
          <w:p w14:paraId="165E9840"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lastRenderedPageBreak/>
              <w:t>2003</w:t>
            </w:r>
          </w:p>
        </w:tc>
        <w:tc>
          <w:tcPr>
            <w:tcW w:w="1285" w:type="pct"/>
            <w:hideMark/>
          </w:tcPr>
          <w:p w14:paraId="46037E74"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Belonging Matters (https://www.belongingmatters.org/)</w:t>
            </w:r>
          </w:p>
        </w:tc>
        <w:tc>
          <w:tcPr>
            <w:tcW w:w="621" w:type="pct"/>
            <w:hideMark/>
          </w:tcPr>
          <w:p w14:paraId="0F17129E"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Australia, Victoria</w:t>
            </w:r>
          </w:p>
        </w:tc>
        <w:tc>
          <w:tcPr>
            <w:tcW w:w="709" w:type="pct"/>
            <w:hideMark/>
          </w:tcPr>
          <w:p w14:paraId="2DB03DAD"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Building Community Networks Project has given priority to people with an intellectual disability and/or Autism.</w:t>
            </w:r>
          </w:p>
        </w:tc>
        <w:tc>
          <w:tcPr>
            <w:tcW w:w="974" w:type="pct"/>
            <w:hideMark/>
          </w:tcPr>
          <w:p w14:paraId="5D3AEA84"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Not for profit / provides education, resources, mentoring and advice about social inclusion and belonging</w:t>
            </w:r>
          </w:p>
        </w:tc>
        <w:tc>
          <w:tcPr>
            <w:tcW w:w="1103" w:type="pct"/>
            <w:hideMark/>
          </w:tcPr>
          <w:p w14:paraId="3843C489"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p>
        </w:tc>
      </w:tr>
      <w:tr w:rsidR="00A92410" w:rsidRPr="00B561DE" w14:paraId="1EDF32C2" w14:textId="77777777" w:rsidTr="00461CF0">
        <w:tc>
          <w:tcPr>
            <w:tcW w:w="309" w:type="pct"/>
            <w:hideMark/>
          </w:tcPr>
          <w:p w14:paraId="5C84C87B"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r>
              <w:rPr>
                <w:rFonts w:ascii="Calibri" w:eastAsia="Times New Roman" w:hAnsi="Calibri" w:cs="Calibri"/>
                <w:color w:val="000000"/>
                <w:lang w:eastAsia="en-AU"/>
              </w:rPr>
              <w:t>2021</w:t>
            </w:r>
          </w:p>
        </w:tc>
        <w:tc>
          <w:tcPr>
            <w:tcW w:w="1285" w:type="pct"/>
            <w:hideMark/>
          </w:tcPr>
          <w:p w14:paraId="6D0BEF2C"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Imagine More (https://imaginemore.org.au/)</w:t>
            </w:r>
          </w:p>
        </w:tc>
        <w:tc>
          <w:tcPr>
            <w:tcW w:w="621" w:type="pct"/>
            <w:hideMark/>
          </w:tcPr>
          <w:p w14:paraId="7DE358AD"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Australia</w:t>
            </w:r>
          </w:p>
        </w:tc>
        <w:tc>
          <w:tcPr>
            <w:tcW w:w="709" w:type="pct"/>
            <w:hideMark/>
          </w:tcPr>
          <w:p w14:paraId="1665FAA5"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p>
        </w:tc>
        <w:tc>
          <w:tcPr>
            <w:tcW w:w="974" w:type="pct"/>
            <w:hideMark/>
          </w:tcPr>
          <w:p w14:paraId="614D5153"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Focus on building the capacity of people with disability, their families and supporters. Facilitate: (1) Peer Support groups (monthly) (2) School to Work programme (3) Your Voice, Your Choice (ACT) supporting people with disability in ACT to explore what is a good life (4) Provides resources for the Circles of Support programme which supports a group of people coming together to support a person with a disability achieve their goals.</w:t>
            </w:r>
          </w:p>
        </w:tc>
        <w:tc>
          <w:tcPr>
            <w:tcW w:w="1103" w:type="pct"/>
            <w:hideMark/>
          </w:tcPr>
          <w:p w14:paraId="6E35BEA2"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p>
        </w:tc>
      </w:tr>
      <w:tr w:rsidR="00A92410" w:rsidRPr="00B561DE" w14:paraId="6D6D343E" w14:textId="77777777" w:rsidTr="00461CF0">
        <w:tc>
          <w:tcPr>
            <w:tcW w:w="309" w:type="pct"/>
            <w:hideMark/>
          </w:tcPr>
          <w:p w14:paraId="73AAF126"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lastRenderedPageBreak/>
              <w:t> </w:t>
            </w:r>
            <w:r>
              <w:rPr>
                <w:rFonts w:ascii="Calibri" w:eastAsia="Times New Roman" w:hAnsi="Calibri" w:cs="Calibri"/>
                <w:color w:val="000000"/>
                <w:lang w:eastAsia="en-AU"/>
              </w:rPr>
              <w:t>2021</w:t>
            </w:r>
          </w:p>
        </w:tc>
        <w:tc>
          <w:tcPr>
            <w:tcW w:w="1285" w:type="pct"/>
            <w:hideMark/>
          </w:tcPr>
          <w:p w14:paraId="7FF2333D"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Valued Lives (https://valuedlives.org.au/)</w:t>
            </w:r>
          </w:p>
        </w:tc>
        <w:tc>
          <w:tcPr>
            <w:tcW w:w="621" w:type="pct"/>
            <w:hideMark/>
          </w:tcPr>
          <w:p w14:paraId="09A4B5DB"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Australia, Fremantle, Western Australia</w:t>
            </w:r>
          </w:p>
        </w:tc>
        <w:tc>
          <w:tcPr>
            <w:tcW w:w="709" w:type="pct"/>
            <w:hideMark/>
          </w:tcPr>
          <w:p w14:paraId="748A8A74"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Vulnerable people</w:t>
            </w:r>
          </w:p>
        </w:tc>
        <w:tc>
          <w:tcPr>
            <w:tcW w:w="974" w:type="pct"/>
            <w:hideMark/>
          </w:tcPr>
          <w:p w14:paraId="01EE82B3"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Consulting service to facilitate supports and resources aligned to the individual with a disability match their goals, lifestyle and aspirations.</w:t>
            </w:r>
          </w:p>
        </w:tc>
        <w:tc>
          <w:tcPr>
            <w:tcW w:w="1103" w:type="pct"/>
            <w:hideMark/>
          </w:tcPr>
          <w:p w14:paraId="3618B890" w14:textId="77777777" w:rsidR="00A92410" w:rsidRPr="00B561DE" w:rsidRDefault="00A92410" w:rsidP="00F02853">
            <w:pPr>
              <w:keepNext/>
              <w:rPr>
                <w:rFonts w:ascii="Calibri" w:eastAsia="Times New Roman" w:hAnsi="Calibri" w:cs="Calibri"/>
                <w:color w:val="000000"/>
                <w:lang w:eastAsia="en-AU"/>
              </w:rPr>
            </w:pPr>
            <w:r>
              <w:rPr>
                <w:rFonts w:ascii="Calibri" w:eastAsia="Times New Roman" w:hAnsi="Calibri" w:cs="Calibri"/>
                <w:color w:val="000000"/>
                <w:lang w:eastAsia="en-AU"/>
              </w:rPr>
              <w:t>Linking service</w:t>
            </w:r>
          </w:p>
        </w:tc>
      </w:tr>
      <w:tr w:rsidR="00A92410" w:rsidRPr="00B561DE" w14:paraId="4ABF20F9" w14:textId="77777777" w:rsidTr="00461CF0">
        <w:tc>
          <w:tcPr>
            <w:tcW w:w="309" w:type="pct"/>
            <w:hideMark/>
          </w:tcPr>
          <w:p w14:paraId="117A2DC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r>
              <w:rPr>
                <w:rFonts w:ascii="Calibri" w:eastAsia="Times New Roman" w:hAnsi="Calibri" w:cs="Calibri"/>
                <w:color w:val="000000"/>
                <w:lang w:eastAsia="en-AU"/>
              </w:rPr>
              <w:t>2021</w:t>
            </w:r>
          </w:p>
        </w:tc>
        <w:tc>
          <w:tcPr>
            <w:tcW w:w="1285" w:type="pct"/>
            <w:hideMark/>
          </w:tcPr>
          <w:p w14:paraId="173A0913"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Purple Orange (https://www.purpleorange.org.au/)</w:t>
            </w:r>
          </w:p>
        </w:tc>
        <w:tc>
          <w:tcPr>
            <w:tcW w:w="621" w:type="pct"/>
            <w:hideMark/>
          </w:tcPr>
          <w:p w14:paraId="287AEE14"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Australia, Unsley, South Australia</w:t>
            </w:r>
          </w:p>
        </w:tc>
        <w:tc>
          <w:tcPr>
            <w:tcW w:w="709" w:type="pct"/>
            <w:hideMark/>
          </w:tcPr>
          <w:p w14:paraId="628EFB28" w14:textId="2E776663"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r w:rsidR="006677A8">
              <w:rPr>
                <w:rFonts w:ascii="Calibri" w:eastAsia="Times New Roman" w:hAnsi="Calibri" w:cs="Calibri"/>
                <w:color w:val="000000"/>
                <w:lang w:eastAsia="en-AU"/>
              </w:rPr>
              <w:t xml:space="preserve">All disability types  </w:t>
            </w:r>
          </w:p>
        </w:tc>
        <w:tc>
          <w:tcPr>
            <w:tcW w:w="974" w:type="pct"/>
            <w:hideMark/>
          </w:tcPr>
          <w:p w14:paraId="22461828"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Social profit organisation, providing consulting services to people with disabilities, advocacy and research. Seek to influence and facilitate change at the systemic/societal level and individual level for people with disabilities.</w:t>
            </w:r>
          </w:p>
        </w:tc>
        <w:tc>
          <w:tcPr>
            <w:tcW w:w="1103" w:type="pct"/>
            <w:hideMark/>
          </w:tcPr>
          <w:p w14:paraId="76197C36"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p>
        </w:tc>
      </w:tr>
      <w:tr w:rsidR="00A92410" w:rsidRPr="00B561DE" w14:paraId="4C59AC81" w14:textId="77777777" w:rsidTr="00461CF0">
        <w:tc>
          <w:tcPr>
            <w:tcW w:w="309" w:type="pct"/>
            <w:hideMark/>
          </w:tcPr>
          <w:p w14:paraId="2160C5F4"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2020</w:t>
            </w:r>
          </w:p>
        </w:tc>
        <w:tc>
          <w:tcPr>
            <w:tcW w:w="1285" w:type="pct"/>
            <w:hideMark/>
          </w:tcPr>
          <w:p w14:paraId="1896DEC9"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L'Arche Australia (https://www.larche.org.au/finding-a-community/larche-sydney/)</w:t>
            </w:r>
          </w:p>
        </w:tc>
        <w:tc>
          <w:tcPr>
            <w:tcW w:w="621" w:type="pct"/>
            <w:hideMark/>
          </w:tcPr>
          <w:p w14:paraId="6EED80E2"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Australia (nationwide)</w:t>
            </w:r>
          </w:p>
        </w:tc>
        <w:tc>
          <w:tcPr>
            <w:tcW w:w="709" w:type="pct"/>
            <w:hideMark/>
          </w:tcPr>
          <w:p w14:paraId="60CD3F7E"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Intellectual disability </w:t>
            </w:r>
          </w:p>
        </w:tc>
        <w:tc>
          <w:tcPr>
            <w:tcW w:w="974" w:type="pct"/>
            <w:hideMark/>
          </w:tcPr>
          <w:p w14:paraId="3D09A488"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Supported independent living </w:t>
            </w:r>
          </w:p>
        </w:tc>
        <w:tc>
          <w:tcPr>
            <w:tcW w:w="1103" w:type="pct"/>
            <w:hideMark/>
          </w:tcPr>
          <w:p w14:paraId="35F9D47E"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Support service</w:t>
            </w:r>
          </w:p>
        </w:tc>
      </w:tr>
      <w:tr w:rsidR="00A92410" w:rsidRPr="00B561DE" w14:paraId="767E217A" w14:textId="77777777" w:rsidTr="00461CF0">
        <w:tc>
          <w:tcPr>
            <w:tcW w:w="309" w:type="pct"/>
            <w:hideMark/>
          </w:tcPr>
          <w:p w14:paraId="273BBCB0"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2020</w:t>
            </w:r>
          </w:p>
        </w:tc>
        <w:tc>
          <w:tcPr>
            <w:tcW w:w="1285" w:type="pct"/>
            <w:hideMark/>
          </w:tcPr>
          <w:p w14:paraId="39C26E06"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Inclusive Housing Australia (https://inclusivehousing.com.au/)</w:t>
            </w:r>
          </w:p>
        </w:tc>
        <w:tc>
          <w:tcPr>
            <w:tcW w:w="621" w:type="pct"/>
            <w:hideMark/>
          </w:tcPr>
          <w:p w14:paraId="7303BDF5"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Sydney, NSW</w:t>
            </w:r>
          </w:p>
        </w:tc>
        <w:tc>
          <w:tcPr>
            <w:tcW w:w="709" w:type="pct"/>
            <w:hideMark/>
          </w:tcPr>
          <w:p w14:paraId="71030035"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All disability types</w:t>
            </w:r>
          </w:p>
        </w:tc>
        <w:tc>
          <w:tcPr>
            <w:tcW w:w="974" w:type="pct"/>
            <w:hideMark/>
          </w:tcPr>
          <w:p w14:paraId="1B2BE745"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Specialist Disability Accommodation</w:t>
            </w:r>
          </w:p>
        </w:tc>
        <w:tc>
          <w:tcPr>
            <w:tcW w:w="1103" w:type="pct"/>
            <w:hideMark/>
          </w:tcPr>
          <w:p w14:paraId="7E53F8D6"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Housing design </w:t>
            </w:r>
          </w:p>
        </w:tc>
      </w:tr>
      <w:tr w:rsidR="00A92410" w:rsidRPr="00B561DE" w14:paraId="1A1C0078" w14:textId="77777777" w:rsidTr="00461CF0">
        <w:tc>
          <w:tcPr>
            <w:tcW w:w="309" w:type="pct"/>
            <w:hideMark/>
          </w:tcPr>
          <w:p w14:paraId="5FD72959"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2020</w:t>
            </w:r>
          </w:p>
        </w:tc>
        <w:tc>
          <w:tcPr>
            <w:tcW w:w="1285" w:type="pct"/>
            <w:hideMark/>
          </w:tcPr>
          <w:p w14:paraId="5C5A280D" w14:textId="77777777" w:rsidR="00A92410" w:rsidRPr="00B561DE" w:rsidRDefault="00A92410" w:rsidP="000038F8">
            <w:pPr>
              <w:rPr>
                <w:rFonts w:ascii="Calibri" w:eastAsia="Times New Roman" w:hAnsi="Calibri" w:cs="Calibri"/>
                <w:color w:val="0563C1"/>
                <w:u w:val="single"/>
                <w:lang w:eastAsia="en-AU"/>
              </w:rPr>
            </w:pPr>
            <w:r>
              <w:t xml:space="preserve">Accord Disability </w:t>
            </w:r>
            <w:r w:rsidRPr="00B12112">
              <w:rPr>
                <w:rFonts w:ascii="Calibri" w:eastAsia="Times New Roman" w:hAnsi="Calibri" w:cs="Calibri"/>
                <w:lang w:eastAsia="en-AU"/>
              </w:rPr>
              <w:t>https://www.accorddisability.org.au/about-us/innovative-housing/</w:t>
            </w:r>
          </w:p>
        </w:tc>
        <w:tc>
          <w:tcPr>
            <w:tcW w:w="621" w:type="pct"/>
            <w:hideMark/>
          </w:tcPr>
          <w:p w14:paraId="09BF6A12"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Melbourne, VIC</w:t>
            </w:r>
          </w:p>
        </w:tc>
        <w:tc>
          <w:tcPr>
            <w:tcW w:w="709" w:type="pct"/>
            <w:hideMark/>
          </w:tcPr>
          <w:p w14:paraId="46DCF88E"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Intellectual disability </w:t>
            </w:r>
          </w:p>
        </w:tc>
        <w:tc>
          <w:tcPr>
            <w:tcW w:w="974" w:type="pct"/>
            <w:hideMark/>
          </w:tcPr>
          <w:p w14:paraId="26384C9C"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Specialist Disability Accommodation</w:t>
            </w:r>
          </w:p>
        </w:tc>
        <w:tc>
          <w:tcPr>
            <w:tcW w:w="1103" w:type="pct"/>
            <w:hideMark/>
          </w:tcPr>
          <w:p w14:paraId="58DFBB29"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Housing design</w:t>
            </w:r>
          </w:p>
        </w:tc>
      </w:tr>
      <w:tr w:rsidR="00A92410" w:rsidRPr="00B561DE" w14:paraId="1F465145" w14:textId="77777777" w:rsidTr="00461CF0">
        <w:tc>
          <w:tcPr>
            <w:tcW w:w="309" w:type="pct"/>
            <w:hideMark/>
          </w:tcPr>
          <w:p w14:paraId="3F4AB6A3"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2019</w:t>
            </w:r>
          </w:p>
        </w:tc>
        <w:tc>
          <w:tcPr>
            <w:tcW w:w="1285" w:type="pct"/>
            <w:hideMark/>
          </w:tcPr>
          <w:p w14:paraId="304D6A26"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DPN Casa Capace, HomeKit project (www.casacapace.com.au)</w:t>
            </w:r>
          </w:p>
        </w:tc>
        <w:tc>
          <w:tcPr>
            <w:tcW w:w="621" w:type="pct"/>
            <w:hideMark/>
          </w:tcPr>
          <w:p w14:paraId="24EE12F7"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Australia (New South Wales)</w:t>
            </w:r>
          </w:p>
        </w:tc>
        <w:tc>
          <w:tcPr>
            <w:tcW w:w="709" w:type="pct"/>
            <w:hideMark/>
          </w:tcPr>
          <w:p w14:paraId="117272AA"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All disability types</w:t>
            </w:r>
          </w:p>
        </w:tc>
        <w:tc>
          <w:tcPr>
            <w:tcW w:w="974" w:type="pct"/>
            <w:hideMark/>
          </w:tcPr>
          <w:p w14:paraId="6EA5A637"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Design and constructing high quality disability homes that are powered by Apple's HomeKit</w:t>
            </w:r>
          </w:p>
        </w:tc>
        <w:tc>
          <w:tcPr>
            <w:tcW w:w="1103" w:type="pct"/>
            <w:hideMark/>
          </w:tcPr>
          <w:p w14:paraId="63E6909A"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Innovative disability housing</w:t>
            </w:r>
          </w:p>
        </w:tc>
      </w:tr>
      <w:tr w:rsidR="00A92410" w:rsidRPr="00B561DE" w14:paraId="6D967B23" w14:textId="77777777" w:rsidTr="00461CF0">
        <w:tc>
          <w:tcPr>
            <w:tcW w:w="309" w:type="pct"/>
            <w:hideMark/>
          </w:tcPr>
          <w:p w14:paraId="67A8781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2020</w:t>
            </w:r>
          </w:p>
        </w:tc>
        <w:tc>
          <w:tcPr>
            <w:tcW w:w="1285" w:type="pct"/>
            <w:noWrap/>
            <w:hideMark/>
          </w:tcPr>
          <w:p w14:paraId="45130043"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Nest (https://gonest.com.au/)</w:t>
            </w:r>
          </w:p>
        </w:tc>
        <w:tc>
          <w:tcPr>
            <w:tcW w:w="621" w:type="pct"/>
            <w:hideMark/>
          </w:tcPr>
          <w:p w14:paraId="04FDED40"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NSW, ACT, SA</w:t>
            </w:r>
          </w:p>
        </w:tc>
        <w:tc>
          <w:tcPr>
            <w:tcW w:w="709" w:type="pct"/>
            <w:hideMark/>
          </w:tcPr>
          <w:p w14:paraId="763CB7C2"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All disability types</w:t>
            </w:r>
          </w:p>
        </w:tc>
        <w:tc>
          <w:tcPr>
            <w:tcW w:w="974" w:type="pct"/>
            <w:hideMark/>
          </w:tcPr>
          <w:p w14:paraId="12628909"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Specialist Disability Accommodation</w:t>
            </w:r>
          </w:p>
        </w:tc>
        <w:tc>
          <w:tcPr>
            <w:tcW w:w="1103" w:type="pct"/>
            <w:hideMark/>
          </w:tcPr>
          <w:p w14:paraId="692FE5F9"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Linking service</w:t>
            </w:r>
          </w:p>
        </w:tc>
      </w:tr>
      <w:tr w:rsidR="00A92410" w:rsidRPr="00B561DE" w14:paraId="155C8F75" w14:textId="77777777" w:rsidTr="00461CF0">
        <w:tc>
          <w:tcPr>
            <w:tcW w:w="309" w:type="pct"/>
            <w:hideMark/>
          </w:tcPr>
          <w:p w14:paraId="40FEED5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lastRenderedPageBreak/>
              <w:t>2020</w:t>
            </w:r>
          </w:p>
        </w:tc>
        <w:tc>
          <w:tcPr>
            <w:tcW w:w="1285" w:type="pct"/>
            <w:hideMark/>
          </w:tcPr>
          <w:p w14:paraId="0EE32328"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Access Accom (https://www.accessaccom.com.au/)</w:t>
            </w:r>
          </w:p>
        </w:tc>
        <w:tc>
          <w:tcPr>
            <w:tcW w:w="621" w:type="pct"/>
            <w:hideMark/>
          </w:tcPr>
          <w:p w14:paraId="3AC86A22"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Sydney, NSW</w:t>
            </w:r>
          </w:p>
        </w:tc>
        <w:tc>
          <w:tcPr>
            <w:tcW w:w="709" w:type="pct"/>
            <w:hideMark/>
          </w:tcPr>
          <w:p w14:paraId="4B53ADCE"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Complex needs</w:t>
            </w:r>
          </w:p>
        </w:tc>
        <w:tc>
          <w:tcPr>
            <w:tcW w:w="974" w:type="pct"/>
            <w:hideMark/>
          </w:tcPr>
          <w:p w14:paraId="643F8BAE"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Specialist Disability Accommodation</w:t>
            </w:r>
          </w:p>
        </w:tc>
        <w:tc>
          <w:tcPr>
            <w:tcW w:w="1103" w:type="pct"/>
            <w:hideMark/>
          </w:tcPr>
          <w:p w14:paraId="74DE75DD"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Housing design</w:t>
            </w:r>
          </w:p>
        </w:tc>
      </w:tr>
      <w:tr w:rsidR="00A92410" w:rsidRPr="00B561DE" w14:paraId="06B91E3B" w14:textId="77777777" w:rsidTr="00461CF0">
        <w:tc>
          <w:tcPr>
            <w:tcW w:w="309" w:type="pct"/>
            <w:hideMark/>
          </w:tcPr>
          <w:p w14:paraId="1AF82BD6"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2020</w:t>
            </w:r>
          </w:p>
        </w:tc>
        <w:tc>
          <w:tcPr>
            <w:tcW w:w="1285" w:type="pct"/>
            <w:hideMark/>
          </w:tcPr>
          <w:p w14:paraId="3DB66A4A"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Afford (https://www.afford.com.au/)</w:t>
            </w:r>
          </w:p>
        </w:tc>
        <w:tc>
          <w:tcPr>
            <w:tcW w:w="621" w:type="pct"/>
            <w:hideMark/>
          </w:tcPr>
          <w:p w14:paraId="1A185F8B"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Australia (nationwide)</w:t>
            </w:r>
          </w:p>
        </w:tc>
        <w:tc>
          <w:tcPr>
            <w:tcW w:w="709" w:type="pct"/>
            <w:hideMark/>
          </w:tcPr>
          <w:p w14:paraId="4E56511E"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Intellectual disability </w:t>
            </w:r>
          </w:p>
        </w:tc>
        <w:tc>
          <w:tcPr>
            <w:tcW w:w="974" w:type="pct"/>
            <w:hideMark/>
          </w:tcPr>
          <w:p w14:paraId="6072CD4E"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Supported independent living/support services </w:t>
            </w:r>
          </w:p>
        </w:tc>
        <w:tc>
          <w:tcPr>
            <w:tcW w:w="1103" w:type="pct"/>
            <w:hideMark/>
          </w:tcPr>
          <w:p w14:paraId="2F3B0845"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Supported living </w:t>
            </w:r>
          </w:p>
        </w:tc>
      </w:tr>
      <w:tr w:rsidR="00A92410" w:rsidRPr="00B561DE" w14:paraId="5E86A137" w14:textId="77777777" w:rsidTr="00461CF0">
        <w:tc>
          <w:tcPr>
            <w:tcW w:w="309" w:type="pct"/>
            <w:hideMark/>
          </w:tcPr>
          <w:p w14:paraId="06C964C6"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2020</w:t>
            </w:r>
          </w:p>
        </w:tc>
        <w:tc>
          <w:tcPr>
            <w:tcW w:w="1285" w:type="pct"/>
            <w:hideMark/>
          </w:tcPr>
          <w:p w14:paraId="772BC144"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Enliven Housing &amp; Enliven Community (https://enlivenhousing.com.au/home/)</w:t>
            </w:r>
            <w:r w:rsidRPr="00B561DE">
              <w:rPr>
                <w:rFonts w:ascii="Calibri" w:eastAsia="Times New Roman" w:hAnsi="Calibri" w:cs="Calibri"/>
                <w:color w:val="000000"/>
                <w:lang w:eastAsia="en-AU"/>
              </w:rPr>
              <w:br/>
              <w:t xml:space="preserve">https://enlivenhousing.com.au/community/ </w:t>
            </w:r>
          </w:p>
        </w:tc>
        <w:tc>
          <w:tcPr>
            <w:tcW w:w="621" w:type="pct"/>
            <w:hideMark/>
          </w:tcPr>
          <w:p w14:paraId="64A23687"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Sydney, NSW</w:t>
            </w:r>
          </w:p>
        </w:tc>
        <w:tc>
          <w:tcPr>
            <w:tcW w:w="709" w:type="pct"/>
            <w:hideMark/>
          </w:tcPr>
          <w:p w14:paraId="6F11D203"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High support needs</w:t>
            </w:r>
          </w:p>
        </w:tc>
        <w:tc>
          <w:tcPr>
            <w:tcW w:w="974" w:type="pct"/>
            <w:hideMark/>
          </w:tcPr>
          <w:p w14:paraId="19B2ABC3"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Specialist Disability Accommodation</w:t>
            </w:r>
          </w:p>
        </w:tc>
        <w:tc>
          <w:tcPr>
            <w:tcW w:w="1103" w:type="pct"/>
            <w:hideMark/>
          </w:tcPr>
          <w:p w14:paraId="7674164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Supported living </w:t>
            </w:r>
          </w:p>
        </w:tc>
      </w:tr>
      <w:tr w:rsidR="00A92410" w:rsidRPr="00B561DE" w14:paraId="787ACDDB" w14:textId="77777777" w:rsidTr="00461CF0">
        <w:tc>
          <w:tcPr>
            <w:tcW w:w="309" w:type="pct"/>
            <w:hideMark/>
          </w:tcPr>
          <w:p w14:paraId="6DE3A08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2020</w:t>
            </w:r>
          </w:p>
        </w:tc>
        <w:tc>
          <w:tcPr>
            <w:tcW w:w="1285" w:type="pct"/>
            <w:noWrap/>
            <w:hideMark/>
          </w:tcPr>
          <w:p w14:paraId="509179C9"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inHousing (https://inhousing.org.au/)</w:t>
            </w:r>
          </w:p>
        </w:tc>
        <w:tc>
          <w:tcPr>
            <w:tcW w:w="621" w:type="pct"/>
            <w:hideMark/>
          </w:tcPr>
          <w:p w14:paraId="77F9F6D9"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Unley, SA</w:t>
            </w:r>
          </w:p>
        </w:tc>
        <w:tc>
          <w:tcPr>
            <w:tcW w:w="709" w:type="pct"/>
            <w:hideMark/>
          </w:tcPr>
          <w:p w14:paraId="01D15DA4"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All disability types</w:t>
            </w:r>
          </w:p>
        </w:tc>
        <w:tc>
          <w:tcPr>
            <w:tcW w:w="974" w:type="pct"/>
            <w:hideMark/>
          </w:tcPr>
          <w:p w14:paraId="580218F8"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Specialist Disability Accommodation</w:t>
            </w:r>
          </w:p>
        </w:tc>
        <w:tc>
          <w:tcPr>
            <w:tcW w:w="1103" w:type="pct"/>
            <w:hideMark/>
          </w:tcPr>
          <w:p w14:paraId="6384CB5E"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Housing design </w:t>
            </w:r>
          </w:p>
        </w:tc>
      </w:tr>
      <w:tr w:rsidR="00A92410" w:rsidRPr="00B561DE" w14:paraId="5A4D0762" w14:textId="77777777" w:rsidTr="00461CF0">
        <w:tc>
          <w:tcPr>
            <w:tcW w:w="309" w:type="pct"/>
            <w:hideMark/>
          </w:tcPr>
          <w:p w14:paraId="1A383C4D"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2020</w:t>
            </w:r>
          </w:p>
        </w:tc>
        <w:tc>
          <w:tcPr>
            <w:tcW w:w="1285" w:type="pct"/>
            <w:hideMark/>
          </w:tcPr>
          <w:p w14:paraId="7A6E259E"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Hume Community Housing (https://www.humehousing.com.au/)</w:t>
            </w:r>
          </w:p>
        </w:tc>
        <w:tc>
          <w:tcPr>
            <w:tcW w:w="621" w:type="pct"/>
            <w:hideMark/>
          </w:tcPr>
          <w:p w14:paraId="6EA621D2"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Fairfield, NSW</w:t>
            </w:r>
          </w:p>
        </w:tc>
        <w:tc>
          <w:tcPr>
            <w:tcW w:w="709" w:type="pct"/>
            <w:hideMark/>
          </w:tcPr>
          <w:p w14:paraId="3799CEE7"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All disability types</w:t>
            </w:r>
          </w:p>
        </w:tc>
        <w:tc>
          <w:tcPr>
            <w:tcW w:w="974" w:type="pct"/>
            <w:hideMark/>
          </w:tcPr>
          <w:p w14:paraId="22A3510E"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Community housing</w:t>
            </w:r>
          </w:p>
        </w:tc>
        <w:tc>
          <w:tcPr>
            <w:tcW w:w="1103" w:type="pct"/>
            <w:hideMark/>
          </w:tcPr>
          <w:p w14:paraId="6E695775"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Supported living </w:t>
            </w:r>
          </w:p>
        </w:tc>
      </w:tr>
      <w:tr w:rsidR="00A92410" w:rsidRPr="00B561DE" w14:paraId="75804EAC" w14:textId="77777777" w:rsidTr="00461CF0">
        <w:tc>
          <w:tcPr>
            <w:tcW w:w="309" w:type="pct"/>
            <w:hideMark/>
          </w:tcPr>
          <w:p w14:paraId="58211962"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2020</w:t>
            </w:r>
          </w:p>
        </w:tc>
        <w:tc>
          <w:tcPr>
            <w:tcW w:w="1285" w:type="pct"/>
            <w:noWrap/>
            <w:hideMark/>
          </w:tcPr>
          <w:p w14:paraId="08D7BC3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McCall Gardens (https://www.mccallgardens.org.au/)</w:t>
            </w:r>
          </w:p>
        </w:tc>
        <w:tc>
          <w:tcPr>
            <w:tcW w:w="621" w:type="pct"/>
            <w:hideMark/>
          </w:tcPr>
          <w:p w14:paraId="575B536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Box Hill, NSW</w:t>
            </w:r>
          </w:p>
        </w:tc>
        <w:tc>
          <w:tcPr>
            <w:tcW w:w="709" w:type="pct"/>
            <w:hideMark/>
          </w:tcPr>
          <w:p w14:paraId="76A6FC4D"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All disability types</w:t>
            </w:r>
          </w:p>
        </w:tc>
        <w:tc>
          <w:tcPr>
            <w:tcW w:w="974" w:type="pct"/>
            <w:hideMark/>
          </w:tcPr>
          <w:p w14:paraId="7F2A1D71"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Supported living, SDA</w:t>
            </w:r>
          </w:p>
        </w:tc>
        <w:tc>
          <w:tcPr>
            <w:tcW w:w="1103" w:type="pct"/>
            <w:hideMark/>
          </w:tcPr>
          <w:p w14:paraId="0DB8617A"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Supported living </w:t>
            </w:r>
          </w:p>
        </w:tc>
      </w:tr>
      <w:tr w:rsidR="00A92410" w:rsidRPr="00B561DE" w14:paraId="39F28A33" w14:textId="77777777" w:rsidTr="00461CF0">
        <w:tc>
          <w:tcPr>
            <w:tcW w:w="309" w:type="pct"/>
            <w:hideMark/>
          </w:tcPr>
          <w:p w14:paraId="56571604"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2020</w:t>
            </w:r>
          </w:p>
        </w:tc>
        <w:tc>
          <w:tcPr>
            <w:tcW w:w="1285" w:type="pct"/>
            <w:noWrap/>
            <w:hideMark/>
          </w:tcPr>
          <w:p w14:paraId="65F48944"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Bridges Care (http://www.bridgescare.com.au/)</w:t>
            </w:r>
          </w:p>
        </w:tc>
        <w:tc>
          <w:tcPr>
            <w:tcW w:w="621" w:type="pct"/>
            <w:hideMark/>
          </w:tcPr>
          <w:p w14:paraId="7142F288"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Campbelltown, NSW</w:t>
            </w:r>
          </w:p>
        </w:tc>
        <w:tc>
          <w:tcPr>
            <w:tcW w:w="709" w:type="pct"/>
            <w:hideMark/>
          </w:tcPr>
          <w:p w14:paraId="50AB4B06"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All disability types</w:t>
            </w:r>
          </w:p>
        </w:tc>
        <w:tc>
          <w:tcPr>
            <w:tcW w:w="974" w:type="pct"/>
            <w:hideMark/>
          </w:tcPr>
          <w:p w14:paraId="566A0FE0"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Supported independent living</w:t>
            </w:r>
          </w:p>
        </w:tc>
        <w:tc>
          <w:tcPr>
            <w:tcW w:w="1103" w:type="pct"/>
            <w:hideMark/>
          </w:tcPr>
          <w:p w14:paraId="3DEFF764"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Supported living </w:t>
            </w:r>
          </w:p>
        </w:tc>
      </w:tr>
      <w:tr w:rsidR="00A92410" w:rsidRPr="00B561DE" w14:paraId="5935DC3C" w14:textId="77777777" w:rsidTr="00461CF0">
        <w:tc>
          <w:tcPr>
            <w:tcW w:w="309" w:type="pct"/>
            <w:hideMark/>
          </w:tcPr>
          <w:p w14:paraId="28AC9C52"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2020</w:t>
            </w:r>
          </w:p>
        </w:tc>
        <w:tc>
          <w:tcPr>
            <w:tcW w:w="1285" w:type="pct"/>
            <w:hideMark/>
          </w:tcPr>
          <w:p w14:paraId="00F5CECF"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Resourcing Inclusive Communities (an initiative of Family Advocacy - My Own Home (https://www.ric.org.au/my-own-home/)</w:t>
            </w:r>
          </w:p>
        </w:tc>
        <w:tc>
          <w:tcPr>
            <w:tcW w:w="621" w:type="pct"/>
            <w:hideMark/>
          </w:tcPr>
          <w:p w14:paraId="710B8694"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NSW </w:t>
            </w:r>
          </w:p>
        </w:tc>
        <w:tc>
          <w:tcPr>
            <w:tcW w:w="709" w:type="pct"/>
            <w:hideMark/>
          </w:tcPr>
          <w:p w14:paraId="6E9BAB0D"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All disability types</w:t>
            </w:r>
          </w:p>
        </w:tc>
        <w:tc>
          <w:tcPr>
            <w:tcW w:w="974" w:type="pct"/>
            <w:hideMark/>
          </w:tcPr>
          <w:p w14:paraId="64FE032A"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Support services</w:t>
            </w:r>
          </w:p>
        </w:tc>
        <w:tc>
          <w:tcPr>
            <w:tcW w:w="1103" w:type="pct"/>
            <w:hideMark/>
          </w:tcPr>
          <w:p w14:paraId="7FCC3C65"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Support service</w:t>
            </w:r>
          </w:p>
        </w:tc>
      </w:tr>
      <w:tr w:rsidR="00A92410" w:rsidRPr="00B561DE" w14:paraId="421F5479" w14:textId="77777777" w:rsidTr="00461CF0">
        <w:tc>
          <w:tcPr>
            <w:tcW w:w="309" w:type="pct"/>
            <w:hideMark/>
          </w:tcPr>
          <w:p w14:paraId="024ED938"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2020</w:t>
            </w:r>
          </w:p>
        </w:tc>
        <w:tc>
          <w:tcPr>
            <w:tcW w:w="1285" w:type="pct"/>
            <w:hideMark/>
          </w:tcPr>
          <w:p w14:paraId="25EFF0A5"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Kemira at IRT Kanahooka (https://www.irt.org.au/location/kemira-at-irt-kanahooka/)</w:t>
            </w:r>
          </w:p>
        </w:tc>
        <w:tc>
          <w:tcPr>
            <w:tcW w:w="621" w:type="pct"/>
            <w:hideMark/>
          </w:tcPr>
          <w:p w14:paraId="00EF9F5F"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Illawarra, NSW</w:t>
            </w:r>
          </w:p>
        </w:tc>
        <w:tc>
          <w:tcPr>
            <w:tcW w:w="709" w:type="pct"/>
            <w:hideMark/>
          </w:tcPr>
          <w:p w14:paraId="399D5E57"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Intellectual disability </w:t>
            </w:r>
          </w:p>
        </w:tc>
        <w:tc>
          <w:tcPr>
            <w:tcW w:w="974" w:type="pct"/>
            <w:hideMark/>
          </w:tcPr>
          <w:p w14:paraId="653913E4"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Supported independent living </w:t>
            </w:r>
          </w:p>
        </w:tc>
        <w:tc>
          <w:tcPr>
            <w:tcW w:w="1103" w:type="pct"/>
            <w:hideMark/>
          </w:tcPr>
          <w:p w14:paraId="59BCFC13"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Supported living </w:t>
            </w:r>
          </w:p>
        </w:tc>
      </w:tr>
      <w:tr w:rsidR="00A92410" w:rsidRPr="00B561DE" w14:paraId="4BEEBB3B" w14:textId="77777777" w:rsidTr="00461CF0">
        <w:tc>
          <w:tcPr>
            <w:tcW w:w="309" w:type="pct"/>
            <w:hideMark/>
          </w:tcPr>
          <w:p w14:paraId="46F86B31"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lastRenderedPageBreak/>
              <w:t>2018</w:t>
            </w:r>
          </w:p>
        </w:tc>
        <w:tc>
          <w:tcPr>
            <w:tcW w:w="1285" w:type="pct"/>
            <w:hideMark/>
          </w:tcPr>
          <w:p w14:paraId="43350A59"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Melbourne Disability Innovation Institute, NDIS Housing Pathways Project (https://disability.unimelb.edu.au/housing)</w:t>
            </w:r>
          </w:p>
        </w:tc>
        <w:tc>
          <w:tcPr>
            <w:tcW w:w="621" w:type="pct"/>
            <w:hideMark/>
          </w:tcPr>
          <w:p w14:paraId="64DAC01D"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Australia (nationwide)</w:t>
            </w:r>
          </w:p>
        </w:tc>
        <w:tc>
          <w:tcPr>
            <w:tcW w:w="709" w:type="pct"/>
            <w:hideMark/>
          </w:tcPr>
          <w:p w14:paraId="6D585DC5" w14:textId="7014FC02"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 </w:t>
            </w:r>
            <w:r w:rsidR="006677A8">
              <w:rPr>
                <w:rFonts w:ascii="Calibri" w:eastAsia="Times New Roman" w:hAnsi="Calibri" w:cs="Calibri"/>
                <w:color w:val="000000"/>
                <w:lang w:eastAsia="en-AU"/>
              </w:rPr>
              <w:t xml:space="preserve">All disability types </w:t>
            </w:r>
          </w:p>
        </w:tc>
        <w:tc>
          <w:tcPr>
            <w:tcW w:w="974" w:type="pct"/>
            <w:hideMark/>
          </w:tcPr>
          <w:p w14:paraId="72123597"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Better housing for Australia's National Disability Insurance Scheme Participants</w:t>
            </w:r>
          </w:p>
        </w:tc>
        <w:tc>
          <w:tcPr>
            <w:tcW w:w="1103" w:type="pct"/>
            <w:hideMark/>
          </w:tcPr>
          <w:p w14:paraId="3F9ED8C4" w14:textId="77777777" w:rsidR="00A92410" w:rsidRPr="00B561DE" w:rsidRDefault="00A92410" w:rsidP="00F02853">
            <w:pPr>
              <w:keepNext/>
              <w:rPr>
                <w:rFonts w:ascii="Calibri" w:eastAsia="Times New Roman" w:hAnsi="Calibri" w:cs="Calibri"/>
                <w:color w:val="000000"/>
                <w:lang w:eastAsia="en-AU"/>
              </w:rPr>
            </w:pPr>
            <w:r w:rsidRPr="00B561DE">
              <w:rPr>
                <w:rFonts w:ascii="Calibri" w:eastAsia="Times New Roman" w:hAnsi="Calibri" w:cs="Calibri"/>
                <w:color w:val="000000"/>
                <w:lang w:eastAsia="en-AU"/>
              </w:rPr>
              <w:t>Accessible housing</w:t>
            </w:r>
          </w:p>
        </w:tc>
      </w:tr>
      <w:tr w:rsidR="00A92410" w:rsidRPr="00B561DE" w14:paraId="6B02C90C" w14:textId="77777777" w:rsidTr="00461CF0">
        <w:tc>
          <w:tcPr>
            <w:tcW w:w="309" w:type="pct"/>
            <w:hideMark/>
          </w:tcPr>
          <w:p w14:paraId="2091B315"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2019</w:t>
            </w:r>
          </w:p>
        </w:tc>
        <w:tc>
          <w:tcPr>
            <w:tcW w:w="1285" w:type="pct"/>
            <w:hideMark/>
          </w:tcPr>
          <w:p w14:paraId="108FEEA5"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Melbourne Disability Institute &amp; Mount Alexander Shire Accommodation &amp; Respite Group, NDIS Housing Pathways Project , Whole of Community Pilot: MASARG Castlemaine (https://disability.unimelb.edu.au/__data/assets/pdf_file/0007/3079870/Whole-of-Community-Plan-Pilot-MASRG-Castlemaine-Workplan-final-version-PDF.pdf)</w:t>
            </w:r>
          </w:p>
        </w:tc>
        <w:tc>
          <w:tcPr>
            <w:tcW w:w="621" w:type="pct"/>
            <w:hideMark/>
          </w:tcPr>
          <w:p w14:paraId="7CC2E463"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Australia (Victoria)</w:t>
            </w:r>
          </w:p>
        </w:tc>
        <w:tc>
          <w:tcPr>
            <w:tcW w:w="709" w:type="pct"/>
            <w:hideMark/>
          </w:tcPr>
          <w:p w14:paraId="0A277B8B"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xml:space="preserve">People living with intellectual disability who wish to live in Castlemaine, Victoria. 18 respondents to the study. </w:t>
            </w:r>
          </w:p>
        </w:tc>
        <w:tc>
          <w:tcPr>
            <w:tcW w:w="974" w:type="pct"/>
            <w:hideMark/>
          </w:tcPr>
          <w:p w14:paraId="27BB3733"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Broader community interest in housing and the development of new housing options for NDIS participants</w:t>
            </w:r>
          </w:p>
        </w:tc>
        <w:tc>
          <w:tcPr>
            <w:tcW w:w="1103" w:type="pct"/>
            <w:hideMark/>
          </w:tcPr>
          <w:p w14:paraId="54415FBD"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Accessible housing</w:t>
            </w:r>
          </w:p>
        </w:tc>
      </w:tr>
      <w:tr w:rsidR="00A92410" w:rsidRPr="00B561DE" w14:paraId="7121FD49" w14:textId="77777777" w:rsidTr="00461CF0">
        <w:tc>
          <w:tcPr>
            <w:tcW w:w="309" w:type="pct"/>
            <w:hideMark/>
          </w:tcPr>
          <w:p w14:paraId="64E7C712"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2016</w:t>
            </w:r>
          </w:p>
        </w:tc>
        <w:tc>
          <w:tcPr>
            <w:tcW w:w="1285" w:type="pct"/>
            <w:hideMark/>
          </w:tcPr>
          <w:p w14:paraId="2ACCE52B"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The Harvard Joint Center for Housing Studies, Disability Housing: What's happening? What's challenging? What's needed? (https://www.jchs.harvard.edu/sites/default/files/connery_disabilityhousing_april2016_v2.pdf)</w:t>
            </w:r>
          </w:p>
        </w:tc>
        <w:tc>
          <w:tcPr>
            <w:tcW w:w="621" w:type="pct"/>
            <w:hideMark/>
          </w:tcPr>
          <w:p w14:paraId="11805E1E"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United States of America</w:t>
            </w:r>
          </w:p>
        </w:tc>
        <w:tc>
          <w:tcPr>
            <w:tcW w:w="709" w:type="pct"/>
            <w:hideMark/>
          </w:tcPr>
          <w:p w14:paraId="243DDDCE" w14:textId="3C8A3333"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r w:rsidR="006677A8" w:rsidRPr="00B561DE">
              <w:rPr>
                <w:rFonts w:ascii="Calibri" w:eastAsia="Times New Roman" w:hAnsi="Calibri" w:cs="Calibri"/>
                <w:color w:val="000000"/>
                <w:lang w:eastAsia="en-AU"/>
              </w:rPr>
              <w:t> </w:t>
            </w:r>
            <w:r w:rsidR="006677A8">
              <w:rPr>
                <w:rFonts w:ascii="Calibri" w:eastAsia="Times New Roman" w:hAnsi="Calibri" w:cs="Calibri"/>
                <w:color w:val="000000"/>
                <w:lang w:eastAsia="en-AU"/>
              </w:rPr>
              <w:t>All disability types</w:t>
            </w:r>
          </w:p>
        </w:tc>
        <w:tc>
          <w:tcPr>
            <w:tcW w:w="974" w:type="pct"/>
            <w:hideMark/>
          </w:tcPr>
          <w:p w14:paraId="7472F7C8"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Accessing appropriate disability housing</w:t>
            </w:r>
          </w:p>
        </w:tc>
        <w:tc>
          <w:tcPr>
            <w:tcW w:w="1103" w:type="pct"/>
            <w:hideMark/>
          </w:tcPr>
          <w:p w14:paraId="7998AC96" w14:textId="77777777" w:rsidR="00A92410" w:rsidRPr="00B561DE" w:rsidRDefault="00A92410" w:rsidP="000038F8">
            <w:pPr>
              <w:rPr>
                <w:rFonts w:ascii="Calibri" w:eastAsia="Times New Roman" w:hAnsi="Calibri" w:cs="Calibri"/>
                <w:color w:val="000000"/>
                <w:lang w:eastAsia="en-AU"/>
              </w:rPr>
            </w:pPr>
            <w:r>
              <w:rPr>
                <w:rFonts w:ascii="Calibri" w:eastAsia="Times New Roman" w:hAnsi="Calibri" w:cs="Calibri"/>
                <w:color w:val="000000"/>
                <w:lang w:eastAsia="en-AU"/>
              </w:rPr>
              <w:t>Accessible housing</w:t>
            </w:r>
          </w:p>
        </w:tc>
      </w:tr>
      <w:tr w:rsidR="00A92410" w:rsidRPr="00B561DE" w14:paraId="348285CF" w14:textId="77777777" w:rsidTr="00461CF0">
        <w:tc>
          <w:tcPr>
            <w:tcW w:w="309" w:type="pct"/>
            <w:hideMark/>
          </w:tcPr>
          <w:p w14:paraId="3FFED108"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2016</w:t>
            </w:r>
          </w:p>
        </w:tc>
        <w:tc>
          <w:tcPr>
            <w:tcW w:w="1285" w:type="pct"/>
            <w:hideMark/>
          </w:tcPr>
          <w:p w14:paraId="2DA5EEF5"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Care &amp; Repair, Innovation in home adaptions - a fresh chance (http://careandrepair-england.org.uk/wp-content/uploads/2014/12/Integration-Briefing-3-final.pdf)</w:t>
            </w:r>
          </w:p>
        </w:tc>
        <w:tc>
          <w:tcPr>
            <w:tcW w:w="621" w:type="pct"/>
            <w:hideMark/>
          </w:tcPr>
          <w:p w14:paraId="51CCF8AE"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United Kingdom</w:t>
            </w:r>
          </w:p>
        </w:tc>
        <w:tc>
          <w:tcPr>
            <w:tcW w:w="709" w:type="pct"/>
            <w:hideMark/>
          </w:tcPr>
          <w:p w14:paraId="57083722" w14:textId="1CDAF569"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 </w:t>
            </w:r>
            <w:r w:rsidR="006677A8" w:rsidRPr="00B561DE">
              <w:rPr>
                <w:rFonts w:ascii="Calibri" w:eastAsia="Times New Roman" w:hAnsi="Calibri" w:cs="Calibri"/>
                <w:color w:val="000000"/>
                <w:lang w:eastAsia="en-AU"/>
              </w:rPr>
              <w:t> </w:t>
            </w:r>
            <w:r w:rsidR="006677A8">
              <w:rPr>
                <w:rFonts w:ascii="Calibri" w:eastAsia="Times New Roman" w:hAnsi="Calibri" w:cs="Calibri"/>
                <w:color w:val="000000"/>
                <w:lang w:eastAsia="en-AU"/>
              </w:rPr>
              <w:t>All disability types</w:t>
            </w:r>
          </w:p>
        </w:tc>
        <w:tc>
          <w:tcPr>
            <w:tcW w:w="974" w:type="pct"/>
            <w:hideMark/>
          </w:tcPr>
          <w:p w14:paraId="7137E77E" w14:textId="77777777" w:rsidR="00A92410" w:rsidRPr="00B561DE" w:rsidRDefault="00A92410" w:rsidP="000038F8">
            <w:pPr>
              <w:rPr>
                <w:rFonts w:ascii="Calibri" w:eastAsia="Times New Roman" w:hAnsi="Calibri" w:cs="Calibri"/>
                <w:color w:val="000000"/>
                <w:lang w:eastAsia="en-AU"/>
              </w:rPr>
            </w:pPr>
            <w:r w:rsidRPr="00B561DE">
              <w:rPr>
                <w:rFonts w:ascii="Calibri" w:eastAsia="Times New Roman" w:hAnsi="Calibri" w:cs="Calibri"/>
                <w:color w:val="000000"/>
                <w:lang w:eastAsia="en-AU"/>
              </w:rPr>
              <w:t>Budgets for home adaptions</w:t>
            </w:r>
          </w:p>
        </w:tc>
        <w:tc>
          <w:tcPr>
            <w:tcW w:w="1103" w:type="pct"/>
            <w:hideMark/>
          </w:tcPr>
          <w:p w14:paraId="08B8CC4E" w14:textId="77777777" w:rsidR="00A92410" w:rsidRPr="00B561DE" w:rsidRDefault="00A92410" w:rsidP="000038F8">
            <w:pPr>
              <w:rPr>
                <w:rFonts w:ascii="Calibri" w:eastAsia="Times New Roman" w:hAnsi="Calibri" w:cs="Calibri"/>
                <w:color w:val="000000"/>
                <w:lang w:eastAsia="en-AU"/>
              </w:rPr>
            </w:pPr>
            <w:r>
              <w:rPr>
                <w:rFonts w:ascii="Calibri" w:eastAsia="Times New Roman" w:hAnsi="Calibri" w:cs="Calibri"/>
                <w:color w:val="000000"/>
                <w:lang w:eastAsia="en-AU"/>
              </w:rPr>
              <w:t>Accessible housing</w:t>
            </w:r>
          </w:p>
        </w:tc>
      </w:tr>
    </w:tbl>
    <w:p w14:paraId="5BBCBE40" w14:textId="77777777" w:rsidR="001767A2" w:rsidRDefault="001767A2" w:rsidP="00B016FD"/>
    <w:p w14:paraId="78CFE5A4" w14:textId="77777777" w:rsidR="003802FE" w:rsidRDefault="003802FE" w:rsidP="00B016FD"/>
    <w:p w14:paraId="33612B07" w14:textId="5E9798DB" w:rsidR="003802FE" w:rsidRDefault="003802FE" w:rsidP="00B016FD">
      <w:pPr>
        <w:sectPr w:rsidR="003802FE" w:rsidSect="001767A2">
          <w:headerReference w:type="default" r:id="rId68"/>
          <w:footerReference w:type="default" r:id="rId69"/>
          <w:pgSz w:w="15840" w:h="12240" w:orient="landscape"/>
          <w:pgMar w:top="1440" w:right="1440" w:bottom="1440" w:left="1440" w:header="720" w:footer="720" w:gutter="0"/>
          <w:cols w:space="720"/>
          <w:docGrid w:linePitch="360"/>
        </w:sectPr>
      </w:pPr>
    </w:p>
    <w:p w14:paraId="671BE559" w14:textId="77777777" w:rsidR="003802FE" w:rsidRDefault="003802FE" w:rsidP="003802FE">
      <w:pPr>
        <w:pStyle w:val="Heading2"/>
      </w:pPr>
      <w:bookmarkStart w:id="66" w:name="_Toc73535973"/>
      <w:r>
        <w:lastRenderedPageBreak/>
        <w:t>Type of housing model and supports:</w:t>
      </w:r>
      <w:bookmarkEnd w:id="66"/>
      <w:r>
        <w:t xml:space="preserve"> </w:t>
      </w:r>
    </w:p>
    <w:p w14:paraId="343A8823" w14:textId="77777777" w:rsidR="003802FE" w:rsidRPr="005A26C7" w:rsidRDefault="003802FE" w:rsidP="00716136">
      <w:pPr>
        <w:spacing w:before="120" w:line="360" w:lineRule="auto"/>
        <w:jc w:val="both"/>
        <w:rPr>
          <w:rFonts w:eastAsia="Times New Roman"/>
          <w:lang w:val="en-AU"/>
        </w:rPr>
      </w:pPr>
      <w:r w:rsidRPr="005A26C7">
        <w:rPr>
          <w:rFonts w:eastAsia="Times New Roman"/>
          <w:lang w:val="en-AU"/>
        </w:rPr>
        <w:t xml:space="preserve">The environmental scan identified four overarching types of housing models or supports available from disability organisations in Australia – specialist disability accommodation (n=26), shared homes/group homes (n=5), affordable housing (n=3) and consulting and information services on housing issues (n=21). </w:t>
      </w:r>
    </w:p>
    <w:p w14:paraId="44856368" w14:textId="77777777" w:rsidR="003802FE" w:rsidRPr="005A26C7" w:rsidRDefault="003802FE" w:rsidP="005A26C7">
      <w:pPr>
        <w:spacing w:before="120" w:line="360" w:lineRule="auto"/>
        <w:jc w:val="both"/>
        <w:rPr>
          <w:rFonts w:eastAsia="Times New Roman"/>
          <w:lang w:val="en-AU"/>
        </w:rPr>
      </w:pPr>
      <w:r w:rsidRPr="005A26C7">
        <w:rPr>
          <w:rFonts w:eastAsia="Times New Roman"/>
          <w:lang w:val="en-AU"/>
        </w:rPr>
        <w:t>In addition to these models and supports one provider specifically focused on adaptations to the wider living ecology. Sylvandale offers sensory gardens at some of their disability housing sites to improve the wellbeing and physical health for residents with disability and their employees (https://www.sylvanvale.com.au/supported-independent-living/). One anecdotal testimonial affirmed: “The staff are thrilled to see customers making the most out of their new space – particularly the positive impact it’s having on their health and wellbeing”.</w:t>
      </w:r>
    </w:p>
    <w:p w14:paraId="51826AE6" w14:textId="77777777" w:rsidR="003802FE" w:rsidRPr="005A26C7" w:rsidRDefault="003802FE" w:rsidP="005A26C7">
      <w:pPr>
        <w:spacing w:before="120" w:line="360" w:lineRule="auto"/>
        <w:jc w:val="both"/>
        <w:rPr>
          <w:rFonts w:eastAsia="Times New Roman"/>
          <w:lang w:val="en-AU"/>
        </w:rPr>
      </w:pPr>
      <w:r w:rsidRPr="005A26C7">
        <w:rPr>
          <w:rFonts w:eastAsia="Times New Roman"/>
          <w:lang w:val="en-AU"/>
        </w:rPr>
        <w:t xml:space="preserve">Housing standards, quality and sustainability also featured in the work of one organisation. Link Housing partnered with the University of New South Wales in a research project to generate ideas about how to improve sustainability in social housing through “repairs, maintenance, retrofitting and tinkering” (https://www.linkhousing.org.au/). The project involved 59 students inspecting properties in groups to observe the layout, design, how the tenants used their homes and the impact on their energy bills (https://www.linkhousing.org.au/). Compass Housing Services also emphasised sustainability, including the use of environmentally friendly products; ethical shopping; and “brain food”. It was noted that Compass Housing Services have previously won awards for their commitment to sustainability, as evidenced here: https://www.compasshousing.org/news/compass-housing-gets-gold-sustainability. </w:t>
      </w:r>
    </w:p>
    <w:p w14:paraId="5E642216" w14:textId="77777777" w:rsidR="003802FE" w:rsidRPr="005A26C7" w:rsidRDefault="003802FE" w:rsidP="005A26C7">
      <w:pPr>
        <w:spacing w:before="120" w:line="360" w:lineRule="auto"/>
        <w:jc w:val="both"/>
        <w:rPr>
          <w:rFonts w:eastAsia="Times New Roman"/>
          <w:lang w:val="en-AU"/>
        </w:rPr>
      </w:pPr>
      <w:r w:rsidRPr="005A26C7">
        <w:rPr>
          <w:rFonts w:eastAsia="Times New Roman"/>
          <w:lang w:val="en-AU"/>
        </w:rPr>
        <w:t xml:space="preserve">Co-operative sharing options were provided by two overseas organisations (Center for Independent Futures / https://dccil.org/ and Homeshare International / https://homeshare.org/). Individuals and communities are actively encouraged and facilitated by these organisations to liaise and co-operate in sharing and/or building accessible housing and living support services for a broad range of disabilities. </w:t>
      </w:r>
    </w:p>
    <w:p w14:paraId="408DFA07" w14:textId="77777777" w:rsidR="003802FE" w:rsidRPr="005A26C7" w:rsidRDefault="003802FE" w:rsidP="00716136">
      <w:pPr>
        <w:pStyle w:val="Heading2"/>
        <w:rPr>
          <w:rFonts w:eastAsia="Times New Roman"/>
          <w:lang w:val="en-AU"/>
        </w:rPr>
      </w:pPr>
      <w:bookmarkStart w:id="67" w:name="_Toc73535974"/>
      <w:r w:rsidRPr="005A26C7">
        <w:rPr>
          <w:rFonts w:eastAsia="Times New Roman"/>
          <w:lang w:val="en-AU"/>
        </w:rPr>
        <w:t>Enablers to transition to independent living:</w:t>
      </w:r>
      <w:bookmarkEnd w:id="67"/>
    </w:p>
    <w:p w14:paraId="08AD3E61" w14:textId="03FA7596" w:rsidR="003802FE" w:rsidRPr="005A26C7" w:rsidRDefault="003802FE" w:rsidP="005A26C7">
      <w:pPr>
        <w:spacing w:before="120" w:line="360" w:lineRule="auto"/>
        <w:jc w:val="both"/>
        <w:rPr>
          <w:rFonts w:eastAsia="Times New Roman"/>
          <w:lang w:val="en-AU"/>
        </w:rPr>
      </w:pPr>
      <w:r w:rsidRPr="005A26C7">
        <w:rPr>
          <w:rFonts w:eastAsia="Times New Roman"/>
          <w:lang w:val="en-AU"/>
        </w:rPr>
        <w:t>Though not explicitly described as enablers on the websites reviewed, 16 organisations provided living support services ranging from intensive 24-hour support, to living skills programmes, to developing individuals living skills (n=16 organisations); matching individuals to homes services (n=7 organisations), and other organisations offered a design and building services for accessible homes, or pre-existing purpose-built homes.</w:t>
      </w:r>
    </w:p>
    <w:p w14:paraId="793EB513" w14:textId="77777777" w:rsidR="003802FE" w:rsidRPr="005A26C7" w:rsidRDefault="003802FE" w:rsidP="00716136">
      <w:pPr>
        <w:spacing w:before="120" w:line="360" w:lineRule="auto"/>
        <w:rPr>
          <w:rFonts w:eastAsia="Times New Roman"/>
          <w:lang w:val="en-AU"/>
        </w:rPr>
      </w:pPr>
      <w:r w:rsidRPr="005A26C7">
        <w:rPr>
          <w:rFonts w:eastAsia="Times New Roman"/>
          <w:lang w:val="en-AU"/>
        </w:rPr>
        <w:lastRenderedPageBreak/>
        <w:t xml:space="preserve">The use of assistive technology to support independent living was also notable in a group home developed by Accord, emphasising the inclusion of “smart home innovations, digital processes, colour therapy and access control” (https://www.accorddisability.org.au/about-us/innovative-housing/). Moreover, a key stakeholder who was interviewed mentioned that the “…future of disability housing design must be heavily informed by the use and embrace of modern technology” (https://www.accorddisability.org.au/about-us/innovative-housing/). Northcott reported on a new specialist disability accommodation facility in Coffs Harbour, New South Wales, which would: “…make space for innovation; link disability and other housing needs; engage with millennials; and attempt to understand disability as people age” (https://northcott.com.au/new-specialist-disability-accommodation-coming-to-coffs-harbour/). </w:t>
      </w:r>
    </w:p>
    <w:p w14:paraId="51564175" w14:textId="77777777" w:rsidR="003802FE" w:rsidRPr="005A26C7" w:rsidRDefault="003802FE" w:rsidP="005A26C7">
      <w:pPr>
        <w:spacing w:before="120" w:line="360" w:lineRule="auto"/>
        <w:jc w:val="both"/>
        <w:rPr>
          <w:rFonts w:eastAsia="Times New Roman"/>
          <w:lang w:val="en-AU"/>
        </w:rPr>
      </w:pPr>
      <w:r w:rsidRPr="005A26C7">
        <w:rPr>
          <w:rFonts w:eastAsia="Times New Roman"/>
          <w:lang w:val="en-AU"/>
        </w:rPr>
        <w:t xml:space="preserve">To access the housing and living supports, specific eligibility criteria were outlined: </w:t>
      </w:r>
    </w:p>
    <w:p w14:paraId="7519FC58" w14:textId="2CC6B1BF" w:rsidR="003802FE" w:rsidRPr="00716136" w:rsidRDefault="003802FE" w:rsidP="00716136">
      <w:pPr>
        <w:pStyle w:val="ListParagraph"/>
        <w:numPr>
          <w:ilvl w:val="0"/>
          <w:numId w:val="29"/>
        </w:numPr>
        <w:spacing w:before="120" w:line="360" w:lineRule="auto"/>
        <w:jc w:val="both"/>
        <w:rPr>
          <w:rFonts w:eastAsia="Times New Roman"/>
          <w:lang w:val="en-AU"/>
        </w:rPr>
      </w:pPr>
      <w:r w:rsidRPr="00716136">
        <w:rPr>
          <w:rFonts w:eastAsia="Times New Roman"/>
          <w:lang w:val="en-AU"/>
        </w:rPr>
        <w:t>1 organisation required that a person with disability lives in the home, and had specific eligibility requirements for specific properties;</w:t>
      </w:r>
    </w:p>
    <w:p w14:paraId="00F2A9D1" w14:textId="06354E7E" w:rsidR="003802FE" w:rsidRPr="00716136" w:rsidRDefault="003802FE" w:rsidP="00716136">
      <w:pPr>
        <w:pStyle w:val="ListParagraph"/>
        <w:numPr>
          <w:ilvl w:val="0"/>
          <w:numId w:val="29"/>
        </w:numPr>
        <w:spacing w:before="120" w:line="360" w:lineRule="auto"/>
        <w:jc w:val="both"/>
        <w:rPr>
          <w:rFonts w:eastAsia="Times New Roman"/>
          <w:lang w:val="en-AU"/>
        </w:rPr>
      </w:pPr>
      <w:r w:rsidRPr="00716136">
        <w:rPr>
          <w:rFonts w:eastAsia="Times New Roman"/>
          <w:lang w:val="en-AU"/>
        </w:rPr>
        <w:t>1 organisation required potential tenants to have, or be eligible to have, Assistive Technology, SDA and On Site Support funding in their NDIS plan to be eligible for a tenancy;</w:t>
      </w:r>
    </w:p>
    <w:p w14:paraId="7869757D" w14:textId="105D5C1A" w:rsidR="003802FE" w:rsidRPr="00716136" w:rsidRDefault="003802FE" w:rsidP="00716136">
      <w:pPr>
        <w:pStyle w:val="ListParagraph"/>
        <w:numPr>
          <w:ilvl w:val="0"/>
          <w:numId w:val="29"/>
        </w:numPr>
        <w:spacing w:before="120" w:line="360" w:lineRule="auto"/>
        <w:jc w:val="both"/>
        <w:rPr>
          <w:rFonts w:eastAsia="Times New Roman"/>
          <w:lang w:val="en-AU"/>
        </w:rPr>
      </w:pPr>
      <w:r w:rsidRPr="00716136">
        <w:rPr>
          <w:rFonts w:eastAsia="Times New Roman"/>
          <w:lang w:val="en-AU"/>
        </w:rPr>
        <w:t>1 organisation offered affordable housing which was not specific to people with disability.</w:t>
      </w:r>
    </w:p>
    <w:p w14:paraId="00CD2FF4" w14:textId="4F8AF438" w:rsidR="003802FE" w:rsidRPr="00716136" w:rsidRDefault="003802FE" w:rsidP="00716136">
      <w:pPr>
        <w:pStyle w:val="ListParagraph"/>
        <w:numPr>
          <w:ilvl w:val="0"/>
          <w:numId w:val="29"/>
        </w:numPr>
        <w:spacing w:before="120" w:line="360" w:lineRule="auto"/>
        <w:jc w:val="both"/>
        <w:rPr>
          <w:rFonts w:eastAsia="Times New Roman"/>
          <w:lang w:val="en-AU"/>
        </w:rPr>
      </w:pPr>
      <w:r w:rsidRPr="00716136">
        <w:rPr>
          <w:rFonts w:eastAsia="Times New Roman"/>
          <w:lang w:val="en-AU"/>
        </w:rPr>
        <w:t xml:space="preserve">2 organisations (in Australia) required NDIA funding for eligibility; and </w:t>
      </w:r>
    </w:p>
    <w:p w14:paraId="5AB5661A" w14:textId="2EF7F9DA" w:rsidR="003802FE" w:rsidRPr="00716136" w:rsidRDefault="003802FE" w:rsidP="00716136">
      <w:pPr>
        <w:pStyle w:val="ListParagraph"/>
        <w:numPr>
          <w:ilvl w:val="0"/>
          <w:numId w:val="29"/>
        </w:numPr>
        <w:spacing w:before="120" w:line="360" w:lineRule="auto"/>
        <w:jc w:val="both"/>
        <w:rPr>
          <w:rFonts w:eastAsia="Times New Roman"/>
          <w:lang w:val="en-AU"/>
        </w:rPr>
      </w:pPr>
      <w:r w:rsidRPr="00716136">
        <w:rPr>
          <w:rFonts w:eastAsia="Times New Roman"/>
          <w:lang w:val="en-AU"/>
        </w:rPr>
        <w:t xml:space="preserve">the other organisations (n=50) did not specify any specific inclusion criteria. </w:t>
      </w:r>
    </w:p>
    <w:p w14:paraId="2BEBDF07" w14:textId="77777777" w:rsidR="003802FE" w:rsidRDefault="003802FE" w:rsidP="003802FE">
      <w:pPr>
        <w:pStyle w:val="Heading2"/>
      </w:pPr>
      <w:bookmarkStart w:id="68" w:name="_Toc73535975"/>
      <w:r>
        <w:t>Outcomes:</w:t>
      </w:r>
      <w:bookmarkEnd w:id="68"/>
    </w:p>
    <w:p w14:paraId="12D7D41B" w14:textId="77777777" w:rsidR="003802FE" w:rsidRPr="005A26C7" w:rsidRDefault="003802FE" w:rsidP="005A26C7">
      <w:pPr>
        <w:spacing w:before="120" w:line="360" w:lineRule="auto"/>
        <w:jc w:val="both"/>
        <w:rPr>
          <w:rFonts w:eastAsia="Times New Roman"/>
          <w:lang w:val="en-AU"/>
        </w:rPr>
      </w:pPr>
      <w:r w:rsidRPr="005A26C7">
        <w:rPr>
          <w:rFonts w:eastAsia="Times New Roman"/>
          <w:lang w:val="en-AU"/>
        </w:rPr>
        <w:t>Most organisational websites simply detailed what housing and living support options were on offer at their organisation. Those organisations that did report on contemporary and innovative disability housing and living support options, did not report any measurable evaluative data (with the exception of anecdotal customer testimonials, stories and reviews – some of which have been included in this narrative). St John of God Accord, which described an evaluation plan, as well as an independent research project conducted by Deakin University; however, no results were presented.</w:t>
      </w:r>
    </w:p>
    <w:p w14:paraId="3CA8ABDF" w14:textId="77777777" w:rsidR="003802FE" w:rsidRPr="005A26C7" w:rsidRDefault="003802FE" w:rsidP="005A26C7">
      <w:pPr>
        <w:spacing w:before="120" w:line="360" w:lineRule="auto"/>
        <w:jc w:val="both"/>
        <w:rPr>
          <w:rFonts w:eastAsia="Times New Roman"/>
          <w:lang w:val="en-AU"/>
        </w:rPr>
      </w:pPr>
      <w:r w:rsidRPr="005A26C7">
        <w:rPr>
          <w:rFonts w:eastAsia="Times New Roman"/>
          <w:lang w:val="en-AU"/>
        </w:rPr>
        <w:t xml:space="preserve">One Aotearoa New Zealand based organisation (Donald Beasley Institute / https://www.donaldbeasley.org.nz/) conducted a project on housing and completed further research on disability themes including community participation and inclusion. Organisations providing consulting services </w:t>
      </w:r>
      <w:r w:rsidRPr="005A26C7">
        <w:rPr>
          <w:rFonts w:eastAsia="Times New Roman"/>
          <w:lang w:val="en-AU"/>
        </w:rPr>
        <w:lastRenderedPageBreak/>
        <w:t xml:space="preserve">maintain a narrative content themed on social inclusion and fair treatment for people with disabilities; however, limited or no information was provided on fees for consulting services.  </w:t>
      </w:r>
    </w:p>
    <w:p w14:paraId="145438C9" w14:textId="77777777" w:rsidR="003802FE" w:rsidRDefault="003802FE" w:rsidP="003802FE">
      <w:pPr>
        <w:pStyle w:val="Heading2"/>
      </w:pPr>
      <w:bookmarkStart w:id="69" w:name="_Toc73535976"/>
      <w:r>
        <w:t>Summary:</w:t>
      </w:r>
      <w:bookmarkEnd w:id="69"/>
    </w:p>
    <w:p w14:paraId="7E132D30" w14:textId="77777777" w:rsidR="003802FE" w:rsidRPr="005A26C7" w:rsidRDefault="003802FE" w:rsidP="005A26C7">
      <w:pPr>
        <w:spacing w:before="120" w:line="360" w:lineRule="auto"/>
        <w:jc w:val="both"/>
        <w:rPr>
          <w:rFonts w:eastAsia="Times New Roman"/>
          <w:lang w:val="en-AU"/>
        </w:rPr>
      </w:pPr>
      <w:r w:rsidRPr="005A26C7">
        <w:rPr>
          <w:rFonts w:eastAsia="Times New Roman"/>
          <w:lang w:val="en-AU"/>
        </w:rPr>
        <w:t xml:space="preserve">Overall, the environmental scan found that there is a need for more innovative practices across the board to cater for the demands of people living with disability (Connery, 2016; Melbourne Disability Institute &amp; MASARG, 2019); people with disability want "a place to call home" (Connery, 2016, p. 35); and the right home and living environment is essential for one's wellbeing (Care &amp; Repair, 2016). </w:t>
      </w:r>
    </w:p>
    <w:p w14:paraId="61A33FBB" w14:textId="40B99727" w:rsidR="00B016FD" w:rsidRPr="005A26C7" w:rsidRDefault="003802FE" w:rsidP="005A26C7">
      <w:pPr>
        <w:spacing w:before="120" w:line="360" w:lineRule="auto"/>
        <w:jc w:val="both"/>
        <w:rPr>
          <w:rFonts w:eastAsia="Times New Roman"/>
          <w:lang w:val="en-AU"/>
        </w:rPr>
      </w:pPr>
      <w:r w:rsidRPr="005A26C7">
        <w:rPr>
          <w:rFonts w:eastAsia="Times New Roman"/>
          <w:lang w:val="en-AU"/>
        </w:rPr>
        <w:t>Very few of the organisations that were reviewed appear to have any formal evaluation programmes for their services it highlights a strong need for an evaluation process in the area of housing/disability support services. This is to ascertain and ensure that both private and public funding of these services results to appropriate value for service.</w:t>
      </w:r>
    </w:p>
    <w:p w14:paraId="3F4ACEAE" w14:textId="77777777" w:rsidR="003802FE" w:rsidRDefault="003802FE" w:rsidP="00B016FD"/>
    <w:p w14:paraId="2C63E6E3" w14:textId="77777777" w:rsidR="00B016FD" w:rsidRPr="00B016FD" w:rsidRDefault="00B016FD" w:rsidP="00B016FD"/>
    <w:p w14:paraId="28A60112" w14:textId="77777777" w:rsidR="00EC4C2C" w:rsidRDefault="00EC4C2C"/>
    <w:p w14:paraId="4F038054" w14:textId="77777777" w:rsidR="00EC4C2C" w:rsidRDefault="00EC4C2C">
      <w:pPr>
        <w:sectPr w:rsidR="00EC4C2C" w:rsidSect="00EC4C2C">
          <w:headerReference w:type="default" r:id="rId70"/>
          <w:footerReference w:type="default" r:id="rId71"/>
          <w:pgSz w:w="15840" w:h="12240" w:orient="landscape"/>
          <w:pgMar w:top="1440" w:right="1440" w:bottom="1440" w:left="1440" w:header="720" w:footer="720" w:gutter="0"/>
          <w:cols w:space="720"/>
          <w:docGrid w:linePitch="360"/>
        </w:sectPr>
      </w:pPr>
    </w:p>
    <w:p w14:paraId="4818B100" w14:textId="77777777" w:rsidR="004D36D0" w:rsidRDefault="004D36D0" w:rsidP="004D36D0">
      <w:pPr>
        <w:pStyle w:val="Heading1"/>
      </w:pPr>
      <w:bookmarkStart w:id="70" w:name="_Toc73535978"/>
      <w:bookmarkStart w:id="71" w:name="_Hlk65229824"/>
      <w:r>
        <w:lastRenderedPageBreak/>
        <w:t>Implications and conclusions</w:t>
      </w:r>
      <w:bookmarkEnd w:id="70"/>
    </w:p>
    <w:p w14:paraId="764B293C" w14:textId="77777777" w:rsidR="004D36D0" w:rsidRDefault="004D36D0" w:rsidP="004D36D0">
      <w:pPr>
        <w:pStyle w:val="Heading2"/>
      </w:pPr>
      <w:bookmarkStart w:id="72" w:name="_Toc73535979"/>
      <w:r>
        <w:t>Summary of findings</w:t>
      </w:r>
      <w:bookmarkEnd w:id="72"/>
    </w:p>
    <w:p w14:paraId="3C79D3A4" w14:textId="194117E2" w:rsidR="004D36D0" w:rsidRDefault="004D36D0" w:rsidP="00A92410">
      <w:pPr>
        <w:spacing w:before="120" w:line="360" w:lineRule="auto"/>
        <w:jc w:val="both"/>
      </w:pPr>
      <w:r>
        <w:t xml:space="preserve">There is consensus across the literature, policy and practice evidence that people with disabilities, regardless of level of need, can and should have the choice to live in a home that suits their own goals. There is evidence across the literature that, when done well, transition not only improves choice and independence for the individual, it improves wellbeing and has multiple potential secondary benefits for the individual and social inclusion, their families and relationships, and society as a whole. Mainstream housing options, whether rental or ownership, can be feasible. Access to supports is required as well as flexibility in funding programs needed. The combination of formal and informal support networks, highlighting the role of staff, family, neighbours, and friends, are key to achieving independent or individual supported living. </w:t>
      </w:r>
    </w:p>
    <w:p w14:paraId="28B90356" w14:textId="77777777" w:rsidR="004D36D0" w:rsidRDefault="004D36D0" w:rsidP="004D36D0">
      <w:pPr>
        <w:pStyle w:val="Heading2"/>
        <w:rPr>
          <w:lang w:val="en-GB"/>
        </w:rPr>
      </w:pPr>
      <w:bookmarkStart w:id="73" w:name="_Toc73535980"/>
      <w:r>
        <w:rPr>
          <w:lang w:val="en-GB"/>
        </w:rPr>
        <w:t>Implications</w:t>
      </w:r>
      <w:bookmarkEnd w:id="73"/>
    </w:p>
    <w:p w14:paraId="5CC1BC07" w14:textId="77777777" w:rsidR="004D36D0" w:rsidRDefault="004D36D0" w:rsidP="00A92410">
      <w:pPr>
        <w:spacing w:before="120"/>
        <w:rPr>
          <w:lang w:val="en-GB"/>
        </w:rPr>
      </w:pPr>
      <w:r>
        <w:rPr>
          <w:lang w:val="en-GB"/>
        </w:rPr>
        <w:t>A number of implications can be drawn from the findings of this review:</w:t>
      </w:r>
    </w:p>
    <w:p w14:paraId="0F5744D1" w14:textId="77777777" w:rsidR="004D36D0" w:rsidRPr="00790998" w:rsidRDefault="004D36D0" w:rsidP="004D36D0">
      <w:pPr>
        <w:rPr>
          <w:lang w:val="en-GB"/>
        </w:rPr>
      </w:pPr>
    </w:p>
    <w:p w14:paraId="21F7CB76" w14:textId="4DB82686" w:rsidR="004D36D0" w:rsidRPr="00A121F6" w:rsidRDefault="004D36D0" w:rsidP="00B06301">
      <w:pPr>
        <w:pStyle w:val="ListParagraph"/>
        <w:numPr>
          <w:ilvl w:val="0"/>
          <w:numId w:val="12"/>
        </w:numPr>
        <w:spacing w:line="360" w:lineRule="auto"/>
        <w:rPr>
          <w:lang w:val="en-GB"/>
        </w:rPr>
      </w:pPr>
      <w:r w:rsidRPr="00847E85">
        <w:rPr>
          <w:lang w:val="en-GB"/>
        </w:rPr>
        <w:t xml:space="preserve">People with disabilities should direct the choice of where and who to live with </w:t>
      </w:r>
      <w:r w:rsidR="00812E56">
        <w:rPr>
          <w:lang w:val="en-GB"/>
        </w:rPr>
        <w:t xml:space="preserve">and </w:t>
      </w:r>
      <w:r w:rsidRPr="00847E85">
        <w:rPr>
          <w:lang w:val="en-GB"/>
        </w:rPr>
        <w:t xml:space="preserve">flexibility in how individualised funding is used is crucial. </w:t>
      </w:r>
    </w:p>
    <w:p w14:paraId="3A4536EC" w14:textId="77777777" w:rsidR="004D36D0" w:rsidRDefault="004D36D0" w:rsidP="00B06301">
      <w:pPr>
        <w:pStyle w:val="ListParagraph"/>
        <w:numPr>
          <w:ilvl w:val="0"/>
          <w:numId w:val="12"/>
        </w:numPr>
        <w:spacing w:line="360" w:lineRule="auto"/>
        <w:rPr>
          <w:lang w:val="en-GB"/>
        </w:rPr>
      </w:pPr>
      <w:r>
        <w:rPr>
          <w:lang w:val="en-GB"/>
        </w:rPr>
        <w:t xml:space="preserve">Transitions that promote independence and choice will offer greatest potential to improve well-being of the individual, their family, and result in broader societal benefits. These can include potential benefits for health, justice and economic systems. </w:t>
      </w:r>
    </w:p>
    <w:p w14:paraId="0C58D966" w14:textId="0D0D5712" w:rsidR="004D36D0" w:rsidRDefault="004D36D0" w:rsidP="00B06301">
      <w:pPr>
        <w:pStyle w:val="ListParagraph"/>
        <w:numPr>
          <w:ilvl w:val="0"/>
          <w:numId w:val="12"/>
        </w:numPr>
        <w:spacing w:line="360" w:lineRule="auto"/>
        <w:rPr>
          <w:lang w:val="en-GB"/>
        </w:rPr>
      </w:pPr>
      <w:r w:rsidRPr="00020C3B">
        <w:rPr>
          <w:lang w:val="en-GB"/>
        </w:rPr>
        <w:t>An agreed definition of successful transition is needed</w:t>
      </w:r>
      <w:r>
        <w:rPr>
          <w:lang w:val="en-GB"/>
        </w:rPr>
        <w:t xml:space="preserve"> to be clearly articulated and consistently used in the literature, for service providers, and for policy makers</w:t>
      </w:r>
      <w:r w:rsidRPr="00020C3B">
        <w:rPr>
          <w:lang w:val="en-GB"/>
        </w:rPr>
        <w:t>.</w:t>
      </w:r>
      <w:r>
        <w:rPr>
          <w:lang w:val="en-GB"/>
        </w:rPr>
        <w:t xml:space="preserve"> This is to ensure that what it means to have a successful transition to independent living</w:t>
      </w:r>
      <w:r w:rsidR="00812E56" w:rsidRPr="00812E56">
        <w:rPr>
          <w:lang w:val="en-GB"/>
        </w:rPr>
        <w:t xml:space="preserve"> </w:t>
      </w:r>
      <w:r w:rsidR="00812E56">
        <w:rPr>
          <w:lang w:val="en-GB"/>
        </w:rPr>
        <w:t>is articulated in an unambiguous way</w:t>
      </w:r>
      <w:r>
        <w:rPr>
          <w:lang w:val="en-GB"/>
        </w:rPr>
        <w:t>. Important components of s</w:t>
      </w:r>
      <w:r w:rsidRPr="00020C3B">
        <w:rPr>
          <w:lang w:val="en-GB"/>
        </w:rPr>
        <w:t xml:space="preserve">uccessful transition to independent housing </w:t>
      </w:r>
      <w:r>
        <w:rPr>
          <w:lang w:val="en-GB"/>
        </w:rPr>
        <w:t xml:space="preserve">includes the </w:t>
      </w:r>
      <w:r w:rsidRPr="00020C3B">
        <w:rPr>
          <w:lang w:val="en-GB"/>
        </w:rPr>
        <w:t>promot</w:t>
      </w:r>
      <w:r>
        <w:rPr>
          <w:lang w:val="en-GB"/>
        </w:rPr>
        <w:t>ion of</w:t>
      </w:r>
      <w:r w:rsidRPr="00020C3B">
        <w:rPr>
          <w:lang w:val="en-GB"/>
        </w:rPr>
        <w:t xml:space="preserve"> personal agency </w:t>
      </w:r>
      <w:r>
        <w:rPr>
          <w:lang w:val="en-GB"/>
        </w:rPr>
        <w:t xml:space="preserve">to </w:t>
      </w:r>
      <w:r w:rsidRPr="00020C3B">
        <w:rPr>
          <w:lang w:val="en-GB"/>
        </w:rPr>
        <w:t>meets the</w:t>
      </w:r>
      <w:r>
        <w:rPr>
          <w:lang w:val="en-GB"/>
        </w:rPr>
        <w:t>ir</w:t>
      </w:r>
      <w:r w:rsidRPr="00020C3B">
        <w:rPr>
          <w:lang w:val="en-GB"/>
        </w:rPr>
        <w:t xml:space="preserve"> goals</w:t>
      </w:r>
      <w:r>
        <w:rPr>
          <w:lang w:val="en-GB"/>
        </w:rPr>
        <w:t>,</w:t>
      </w:r>
      <w:r w:rsidRPr="00020C3B">
        <w:rPr>
          <w:lang w:val="en-GB"/>
        </w:rPr>
        <w:t xml:space="preserve"> </w:t>
      </w:r>
      <w:r>
        <w:rPr>
          <w:lang w:val="en-GB"/>
        </w:rPr>
        <w:t xml:space="preserve">supporting the </w:t>
      </w:r>
      <w:r w:rsidRPr="00020C3B">
        <w:rPr>
          <w:lang w:val="en-GB"/>
        </w:rPr>
        <w:t>needs o</w:t>
      </w:r>
      <w:r>
        <w:rPr>
          <w:lang w:val="en-GB"/>
        </w:rPr>
        <w:t>f</w:t>
      </w:r>
      <w:r w:rsidRPr="00020C3B">
        <w:rPr>
          <w:lang w:val="en-GB"/>
        </w:rPr>
        <w:t xml:space="preserve"> th</w:t>
      </w:r>
      <w:r>
        <w:rPr>
          <w:lang w:val="en-GB"/>
        </w:rPr>
        <w:t>at</w:t>
      </w:r>
      <w:r w:rsidRPr="00020C3B">
        <w:rPr>
          <w:lang w:val="en-GB"/>
        </w:rPr>
        <w:t xml:space="preserve"> individual</w:t>
      </w:r>
      <w:r>
        <w:rPr>
          <w:lang w:val="en-GB"/>
        </w:rPr>
        <w:t xml:space="preserve"> during this process and in a timeline that is commensurate with goals of the individual</w:t>
      </w:r>
      <w:r w:rsidRPr="00020C3B">
        <w:rPr>
          <w:lang w:val="en-GB"/>
        </w:rPr>
        <w:t xml:space="preserve">. </w:t>
      </w:r>
    </w:p>
    <w:p w14:paraId="4798D37A" w14:textId="77777777" w:rsidR="004D36D0" w:rsidRDefault="004D36D0" w:rsidP="00B06301">
      <w:pPr>
        <w:pStyle w:val="ListParagraph"/>
        <w:numPr>
          <w:ilvl w:val="0"/>
          <w:numId w:val="12"/>
        </w:numPr>
        <w:spacing w:line="360" w:lineRule="auto"/>
        <w:rPr>
          <w:lang w:val="en-GB"/>
        </w:rPr>
      </w:pPr>
      <w:r>
        <w:rPr>
          <w:lang w:val="en-GB"/>
        </w:rPr>
        <w:t>Transition to more independent housing includes both</w:t>
      </w:r>
      <w:r w:rsidRPr="00020C3B">
        <w:rPr>
          <w:lang w:val="en-GB"/>
        </w:rPr>
        <w:t xml:space="preserve"> modifications to </w:t>
      </w:r>
      <w:r>
        <w:rPr>
          <w:lang w:val="en-GB"/>
        </w:rPr>
        <w:t xml:space="preserve">an </w:t>
      </w:r>
      <w:r w:rsidRPr="00020C3B">
        <w:rPr>
          <w:lang w:val="en-GB"/>
        </w:rPr>
        <w:t xml:space="preserve">existing </w:t>
      </w:r>
      <w:r>
        <w:rPr>
          <w:lang w:val="en-GB"/>
        </w:rPr>
        <w:t>living environment</w:t>
      </w:r>
      <w:r w:rsidRPr="00020C3B">
        <w:rPr>
          <w:lang w:val="en-GB"/>
        </w:rPr>
        <w:t xml:space="preserve"> </w:t>
      </w:r>
      <w:r>
        <w:rPr>
          <w:lang w:val="en-GB"/>
        </w:rPr>
        <w:t xml:space="preserve">to enable greater independence </w:t>
      </w:r>
      <w:r w:rsidRPr="005134EE">
        <w:rPr>
          <w:lang w:val="en-GB"/>
        </w:rPr>
        <w:t>and</w:t>
      </w:r>
      <w:r>
        <w:rPr>
          <w:lang w:val="en-GB"/>
        </w:rPr>
        <w:t xml:space="preserve"> also </w:t>
      </w:r>
      <w:r w:rsidRPr="005134EE">
        <w:rPr>
          <w:lang w:val="en-GB"/>
        </w:rPr>
        <w:t>a physical move</w:t>
      </w:r>
      <w:r>
        <w:rPr>
          <w:lang w:val="en-GB"/>
        </w:rPr>
        <w:t xml:space="preserve"> to a different location</w:t>
      </w:r>
      <w:r w:rsidRPr="005134EE">
        <w:rPr>
          <w:lang w:val="en-GB"/>
        </w:rPr>
        <w:t xml:space="preserve">. </w:t>
      </w:r>
    </w:p>
    <w:p w14:paraId="4CF5DCB7" w14:textId="132F31DE" w:rsidR="004D36D0" w:rsidRDefault="004D36D0" w:rsidP="00B06301">
      <w:pPr>
        <w:pStyle w:val="ListParagraph"/>
        <w:numPr>
          <w:ilvl w:val="0"/>
          <w:numId w:val="12"/>
        </w:numPr>
        <w:spacing w:line="360" w:lineRule="auto"/>
        <w:rPr>
          <w:lang w:val="en-GB"/>
        </w:rPr>
      </w:pPr>
      <w:r>
        <w:rPr>
          <w:lang w:val="en-GB"/>
        </w:rPr>
        <w:t xml:space="preserve">This review has highlighted the many different ways readiness to transition to housing has been assessed. An agreed and comprehensive assessment approach is needed that captures the different systems levels of transition readiness. Such an assessment is required to identify important enablers and barriers early in the process so that </w:t>
      </w:r>
      <w:r w:rsidRPr="005134EE">
        <w:rPr>
          <w:lang w:val="en-GB"/>
        </w:rPr>
        <w:t>p</w:t>
      </w:r>
      <w:r>
        <w:rPr>
          <w:lang w:val="en-GB"/>
        </w:rPr>
        <w:t xml:space="preserve">eople with disabilities are given the best chance to achieve their best outcomes. </w:t>
      </w:r>
    </w:p>
    <w:p w14:paraId="0F2139D1" w14:textId="77777777" w:rsidR="004D36D0" w:rsidRDefault="004D36D0" w:rsidP="00B06301">
      <w:pPr>
        <w:pStyle w:val="ListParagraph"/>
        <w:numPr>
          <w:ilvl w:val="0"/>
          <w:numId w:val="12"/>
        </w:numPr>
        <w:spacing w:line="360" w:lineRule="auto"/>
        <w:rPr>
          <w:lang w:val="en-GB"/>
        </w:rPr>
      </w:pPr>
      <w:r>
        <w:rPr>
          <w:lang w:val="en-GB"/>
        </w:rPr>
        <w:lastRenderedPageBreak/>
        <w:t xml:space="preserve">In cases where a person is transition ready, the community or housing market may not be, as accessible, affordable and appropriate housing supply does not currently meet demand. </w:t>
      </w:r>
      <w:r w:rsidRPr="00A121F6">
        <w:rPr>
          <w:lang w:val="en-GB"/>
        </w:rPr>
        <w:t>Subsequently, collaboration across sectors housing and disability sector</w:t>
      </w:r>
      <w:r>
        <w:rPr>
          <w:lang w:val="en-GB"/>
        </w:rPr>
        <w:t xml:space="preserve"> is required.</w:t>
      </w:r>
    </w:p>
    <w:p w14:paraId="08B3B888" w14:textId="7765F2E2" w:rsidR="004D36D0" w:rsidRPr="004E55C4" w:rsidRDefault="004D36D0" w:rsidP="00B06301">
      <w:pPr>
        <w:pStyle w:val="ListParagraph"/>
        <w:numPr>
          <w:ilvl w:val="0"/>
          <w:numId w:val="12"/>
        </w:numPr>
        <w:spacing w:line="360" w:lineRule="auto"/>
        <w:jc w:val="both"/>
      </w:pPr>
      <w:r w:rsidRPr="00F51DA2">
        <w:t xml:space="preserve">Partnership </w:t>
      </w:r>
      <w:r>
        <w:t xml:space="preserve">is </w:t>
      </w:r>
      <w:r w:rsidRPr="00F51DA2">
        <w:t>needed between ageing and disability sectors/policies</w:t>
      </w:r>
      <w:r>
        <w:t xml:space="preserve"> to address specific issues of </w:t>
      </w:r>
      <w:r w:rsidRPr="00F51DA2">
        <w:t>ageing in place</w:t>
      </w:r>
      <w:r>
        <w:t xml:space="preserve"> and the </w:t>
      </w:r>
      <w:r w:rsidRPr="00F51DA2">
        <w:t>inappropriate placement of young people with disability in aged care</w:t>
      </w:r>
      <w:r>
        <w:t xml:space="preserve">. There is also a specific need for policy to address the future planning needs of young people with disability living at home with family and/or carers but who wish to live independently.  </w:t>
      </w:r>
    </w:p>
    <w:p w14:paraId="71BAF652" w14:textId="77777777" w:rsidR="004D36D0" w:rsidRDefault="004D36D0" w:rsidP="00B06301">
      <w:pPr>
        <w:pStyle w:val="ListParagraph"/>
        <w:numPr>
          <w:ilvl w:val="0"/>
          <w:numId w:val="12"/>
        </w:numPr>
        <w:spacing w:line="360" w:lineRule="auto"/>
        <w:rPr>
          <w:lang w:val="en-GB"/>
        </w:rPr>
      </w:pPr>
      <w:r>
        <w:rPr>
          <w:lang w:val="en-GB"/>
        </w:rPr>
        <w:t xml:space="preserve">There are specific implications for building regulations to ensure new builds are accessible, affordable and appropriate with mandating of Universal and Liveable Design concepts in all new housing builds. </w:t>
      </w:r>
    </w:p>
    <w:p w14:paraId="2C889B7B" w14:textId="5C7D4975" w:rsidR="004D36D0" w:rsidRDefault="004D36D0" w:rsidP="00B06301">
      <w:pPr>
        <w:pStyle w:val="ListParagraph"/>
        <w:numPr>
          <w:ilvl w:val="0"/>
          <w:numId w:val="12"/>
        </w:numPr>
        <w:spacing w:line="360" w:lineRule="auto"/>
        <w:rPr>
          <w:lang w:val="en-GB"/>
        </w:rPr>
      </w:pPr>
      <w:r>
        <w:rPr>
          <w:lang w:val="en-GB"/>
        </w:rPr>
        <w:t>Support is required in the planning, navigating, process of transition as well as post transition to sustain</w:t>
      </w:r>
      <w:r w:rsidR="00812E56">
        <w:rPr>
          <w:lang w:val="en-GB"/>
        </w:rPr>
        <w:t xml:space="preserve"> the</w:t>
      </w:r>
      <w:r>
        <w:rPr>
          <w:lang w:val="en-GB"/>
        </w:rPr>
        <w:t xml:space="preserve"> preferred living option. The literature consistently shows the benefits of providing supports to improve transition rates and well-being during the transition process. The literature also s</w:t>
      </w:r>
      <w:r w:rsidR="0066106D">
        <w:rPr>
          <w:lang w:val="en-GB"/>
        </w:rPr>
        <w:t>howed</w:t>
      </w:r>
      <w:r>
        <w:rPr>
          <w:lang w:val="en-GB"/>
        </w:rPr>
        <w:t xml:space="preserve"> that supports reduce the likelihood of people returning to congregated and institutionalised settings. These supports should be built around the individual, ensure a mix of formal and informal, and varying degrees of intensity and outreach, based on individual need.</w:t>
      </w:r>
    </w:p>
    <w:p w14:paraId="0FC1828C" w14:textId="77777777" w:rsidR="004D36D0" w:rsidRDefault="004D36D0" w:rsidP="00B06301">
      <w:pPr>
        <w:pStyle w:val="ListParagraph"/>
        <w:numPr>
          <w:ilvl w:val="0"/>
          <w:numId w:val="12"/>
        </w:numPr>
        <w:spacing w:line="360" w:lineRule="auto"/>
        <w:jc w:val="both"/>
      </w:pPr>
      <w:r w:rsidRPr="00E81481">
        <w:rPr>
          <w:lang w:val="en-GB"/>
        </w:rPr>
        <w:t xml:space="preserve">No one intervention enables transition in isolation. Enablers involve a multitude of factors that can work synergistically together, or cause barriers at different levels of policy, organisational, community, interpersonal and individual levels. For example, </w:t>
      </w:r>
      <w:r>
        <w:t xml:space="preserve">Disability Inclusion Champions, staff and family play a role in enabling successful transition by facilitating greater social inclusion after the move. Assistive technology, smart homes and other design and modification features were highlighted in the environmental and grey literature as key enablers. In addition, poor quality and poorly designed homes were barriers to successful transition and/or maintaining independent or individual supported living (McIntyre, et al. 2017). </w:t>
      </w:r>
    </w:p>
    <w:p w14:paraId="0DB9E591" w14:textId="77777777" w:rsidR="004D36D0" w:rsidRDefault="004D36D0" w:rsidP="00B06301">
      <w:pPr>
        <w:pStyle w:val="ListParagraph"/>
        <w:numPr>
          <w:ilvl w:val="0"/>
          <w:numId w:val="12"/>
        </w:numPr>
        <w:spacing w:line="360" w:lineRule="auto"/>
        <w:jc w:val="both"/>
      </w:pPr>
      <w:r>
        <w:t>Location is also a consideration in terms of accessing services. People with disabilities may be restricted in where they can live due to the need to be in a certain catchment area for services.</w:t>
      </w:r>
    </w:p>
    <w:p w14:paraId="2FA8A1B3" w14:textId="77777777" w:rsidR="004D36D0" w:rsidRDefault="004D36D0" w:rsidP="00B06301">
      <w:pPr>
        <w:pStyle w:val="ListParagraph"/>
        <w:numPr>
          <w:ilvl w:val="0"/>
          <w:numId w:val="12"/>
        </w:numPr>
        <w:spacing w:line="360" w:lineRule="auto"/>
        <w:rPr>
          <w:lang w:val="en-GB"/>
        </w:rPr>
      </w:pPr>
      <w:r>
        <w:rPr>
          <w:lang w:val="en-GB"/>
        </w:rPr>
        <w:t xml:space="preserve">Environmental factors such as transport, access to services and proximity to family, friends and social supports has implications for policy and planning; as well as for how funding models are managed. </w:t>
      </w:r>
    </w:p>
    <w:p w14:paraId="73502871" w14:textId="77777777" w:rsidR="004D36D0" w:rsidRPr="00B41274" w:rsidRDefault="004D36D0" w:rsidP="00B06301">
      <w:pPr>
        <w:pStyle w:val="ListParagraph"/>
        <w:numPr>
          <w:ilvl w:val="0"/>
          <w:numId w:val="12"/>
        </w:numPr>
        <w:spacing w:line="360" w:lineRule="auto"/>
        <w:rPr>
          <w:lang w:val="en-GB"/>
        </w:rPr>
      </w:pPr>
      <w:r w:rsidRPr="00B41274">
        <w:rPr>
          <w:lang w:val="en-GB"/>
        </w:rPr>
        <w:t xml:space="preserve">The cost of disability, as well as the likelihood that many people with disabilities are in lower socio-economic categories should be acknowledged and resourced. </w:t>
      </w:r>
    </w:p>
    <w:p w14:paraId="652C5DC7" w14:textId="77777777" w:rsidR="004D36D0" w:rsidRDefault="004D36D0" w:rsidP="00B06301">
      <w:pPr>
        <w:pStyle w:val="ListParagraph"/>
        <w:numPr>
          <w:ilvl w:val="0"/>
          <w:numId w:val="12"/>
        </w:numPr>
        <w:spacing w:line="360" w:lineRule="auto"/>
        <w:rPr>
          <w:lang w:val="en-GB"/>
        </w:rPr>
      </w:pPr>
      <w:r>
        <w:rPr>
          <w:lang w:val="en-GB"/>
        </w:rPr>
        <w:lastRenderedPageBreak/>
        <w:t xml:space="preserve">This review has highlighted the benefits of both quantitative and qualitative data collection approaches to inform on the transition process and both forms of data collection should be included in the assessment approach.  </w:t>
      </w:r>
    </w:p>
    <w:p w14:paraId="72167654" w14:textId="77777777" w:rsidR="004D36D0" w:rsidRDefault="004D36D0" w:rsidP="004D36D0">
      <w:pPr>
        <w:pStyle w:val="Heading2"/>
        <w:spacing w:line="360" w:lineRule="auto"/>
        <w:rPr>
          <w:lang w:val="en-GB"/>
        </w:rPr>
      </w:pPr>
      <w:bookmarkStart w:id="74" w:name="_Toc73535981"/>
      <w:r>
        <w:rPr>
          <w:lang w:val="en-GB"/>
        </w:rPr>
        <w:t>Gaps in knowledge</w:t>
      </w:r>
      <w:bookmarkEnd w:id="74"/>
      <w:r>
        <w:rPr>
          <w:lang w:val="en-GB"/>
        </w:rPr>
        <w:t xml:space="preserve"> </w:t>
      </w:r>
    </w:p>
    <w:p w14:paraId="62C668F4" w14:textId="77777777" w:rsidR="004D36D0" w:rsidRDefault="004D36D0" w:rsidP="004D36D0">
      <w:pPr>
        <w:spacing w:line="360" w:lineRule="auto"/>
        <w:rPr>
          <w:lang w:val="en-GB"/>
        </w:rPr>
      </w:pPr>
      <w:r>
        <w:rPr>
          <w:lang w:val="en-GB"/>
        </w:rPr>
        <w:t>A number of gaps in knowledge were identified:</w:t>
      </w:r>
    </w:p>
    <w:p w14:paraId="70B53CF8" w14:textId="77777777" w:rsidR="004D36D0" w:rsidRPr="00C66EA6" w:rsidRDefault="004D36D0" w:rsidP="00B06301">
      <w:pPr>
        <w:pStyle w:val="ListParagraph"/>
        <w:numPr>
          <w:ilvl w:val="0"/>
          <w:numId w:val="11"/>
        </w:numPr>
        <w:spacing w:line="360" w:lineRule="auto"/>
        <w:rPr>
          <w:lang w:val="en-GB"/>
        </w:rPr>
      </w:pPr>
      <w:r w:rsidRPr="00B41274">
        <w:rPr>
          <w:lang w:val="en-GB"/>
        </w:rPr>
        <w:t xml:space="preserve">There was no study or policy that explicitly examined the strategies that prevented transition into congregate setting. </w:t>
      </w:r>
      <w:r>
        <w:t>This is of particular concern for people with acquired brain injury and people with intellectual disability as they age.</w:t>
      </w:r>
    </w:p>
    <w:p w14:paraId="73F0D83F" w14:textId="77777777" w:rsidR="004D36D0" w:rsidRPr="00C66EA6" w:rsidRDefault="004D36D0" w:rsidP="00B06301">
      <w:pPr>
        <w:pStyle w:val="ListParagraph"/>
        <w:numPr>
          <w:ilvl w:val="0"/>
          <w:numId w:val="11"/>
        </w:numPr>
        <w:spacing w:line="360" w:lineRule="auto"/>
        <w:rPr>
          <w:lang w:val="en-GB"/>
        </w:rPr>
      </w:pPr>
      <w:r w:rsidRPr="00C66EA6">
        <w:t>We were unable to identify any research that specifically examined people with disabilities who had their own families to care for in the transition research. There was no research exploring the effects of transition on children, for example.</w:t>
      </w:r>
    </w:p>
    <w:p w14:paraId="79A4E74A" w14:textId="77777777" w:rsidR="004D36D0" w:rsidRDefault="004D36D0" w:rsidP="00B06301">
      <w:pPr>
        <w:pStyle w:val="ListParagraph"/>
        <w:numPr>
          <w:ilvl w:val="0"/>
          <w:numId w:val="11"/>
        </w:numPr>
        <w:spacing w:line="360" w:lineRule="auto"/>
        <w:rPr>
          <w:lang w:val="en-GB"/>
        </w:rPr>
      </w:pPr>
      <w:r>
        <w:rPr>
          <w:lang w:val="en-GB"/>
        </w:rPr>
        <w:t xml:space="preserve">The primary (e.g., well-being of the individual, choice and control) and secondary (e.g., social relationships, economic costs) outcomes that can be tracked need to be agreed upon and evaluated in a consistent manner. </w:t>
      </w:r>
    </w:p>
    <w:p w14:paraId="4649EC35" w14:textId="551A7349" w:rsidR="004D36D0" w:rsidRDefault="004D36D0" w:rsidP="00B06301">
      <w:pPr>
        <w:pStyle w:val="ListParagraph"/>
        <w:numPr>
          <w:ilvl w:val="0"/>
          <w:numId w:val="11"/>
        </w:numPr>
        <w:spacing w:line="360" w:lineRule="auto"/>
        <w:rPr>
          <w:lang w:val="en-GB"/>
        </w:rPr>
      </w:pPr>
      <w:r w:rsidRPr="00B41274">
        <w:rPr>
          <w:lang w:val="en-GB"/>
        </w:rPr>
        <w:t>Evidence on cost effectiveness</w:t>
      </w:r>
      <w:r w:rsidR="00C3042D">
        <w:rPr>
          <w:lang w:val="en-GB"/>
        </w:rPr>
        <w:t xml:space="preserve"> and cost-benefit</w:t>
      </w:r>
      <w:r w:rsidRPr="00B41274">
        <w:rPr>
          <w:lang w:val="en-GB"/>
        </w:rPr>
        <w:t xml:space="preserve"> is sparse and inconsistent</w:t>
      </w:r>
      <w:r>
        <w:rPr>
          <w:lang w:val="en-GB"/>
        </w:rPr>
        <w:t>.</w:t>
      </w:r>
    </w:p>
    <w:p w14:paraId="1CF77D81" w14:textId="34504C8E" w:rsidR="004D36D0" w:rsidRDefault="004D36D0" w:rsidP="00B06301">
      <w:pPr>
        <w:pStyle w:val="ListParagraph"/>
        <w:numPr>
          <w:ilvl w:val="0"/>
          <w:numId w:val="11"/>
        </w:numPr>
        <w:spacing w:line="360" w:lineRule="auto"/>
        <w:rPr>
          <w:lang w:val="en-GB"/>
        </w:rPr>
      </w:pPr>
      <w:r w:rsidRPr="00FA729D">
        <w:rPr>
          <w:lang w:val="en-GB"/>
        </w:rPr>
        <w:t>There is limited knowledge about enablers and outcomes for different groups of individuals.  Lit</w:t>
      </w:r>
      <w:r w:rsidRPr="003453E1">
        <w:rPr>
          <w:lang w:val="en-GB"/>
        </w:rPr>
        <w:t>erature on the benefits of specialist support progams during transition, for example, largely focus</w:t>
      </w:r>
      <w:r w:rsidRPr="00FA729D">
        <w:rPr>
          <w:lang w:val="en-GB"/>
        </w:rPr>
        <w:t>ed on those with mental health conditions</w:t>
      </w:r>
      <w:r w:rsidR="00C3042D">
        <w:rPr>
          <w:lang w:val="en-GB"/>
        </w:rPr>
        <w:t xml:space="preserve"> and to a lesser extent intellectual disability</w:t>
      </w:r>
      <w:r w:rsidRPr="00FA729D">
        <w:rPr>
          <w:lang w:val="en-GB"/>
        </w:rPr>
        <w:t>. Those with chronic health conditions were not well represented in the literature. There was almost no research in culturally and linguistically diverse populations. There has bee</w:t>
      </w:r>
      <w:r>
        <w:rPr>
          <w:lang w:val="en-GB"/>
        </w:rPr>
        <w:t>n l</w:t>
      </w:r>
      <w:r w:rsidRPr="00C66EA6">
        <w:rPr>
          <w:lang w:val="en-GB"/>
        </w:rPr>
        <w:t>imited focus on indigenous people with disability and specific challenges met and supports required. This means that assumptions in this report and others</w:t>
      </w:r>
      <w:r w:rsidRPr="00CE5047">
        <w:rPr>
          <w:lang w:val="en-GB"/>
        </w:rPr>
        <w:t xml:space="preserve"> are made about the data from different groups of people with a disability that may not necessarily apply to other groups.</w:t>
      </w:r>
      <w:r w:rsidRPr="00C66EA6">
        <w:rPr>
          <w:lang w:val="en-GB"/>
        </w:rPr>
        <w:t xml:space="preserve"> </w:t>
      </w:r>
    </w:p>
    <w:p w14:paraId="27FB1136" w14:textId="6BCA120B" w:rsidR="00E80A12" w:rsidRPr="00C66EA6" w:rsidRDefault="00B94E53" w:rsidP="00B06301">
      <w:pPr>
        <w:pStyle w:val="ListParagraph"/>
        <w:numPr>
          <w:ilvl w:val="0"/>
          <w:numId w:val="11"/>
        </w:numPr>
        <w:spacing w:line="360" w:lineRule="auto"/>
        <w:rPr>
          <w:lang w:val="en-GB"/>
        </w:rPr>
      </w:pPr>
      <w:r>
        <w:rPr>
          <w:lang w:val="en-GB"/>
        </w:rPr>
        <w:t xml:space="preserve">Detailed evidence on impact of transition on </w:t>
      </w:r>
      <w:r w:rsidR="00E80A12">
        <w:rPr>
          <w:lang w:val="en-GB"/>
        </w:rPr>
        <w:t>behaviours of concern</w:t>
      </w:r>
      <w:r>
        <w:rPr>
          <w:lang w:val="en-GB"/>
        </w:rPr>
        <w:t xml:space="preserve"> was not identified and reported as part of this review but may require future focus</w:t>
      </w:r>
      <w:r w:rsidR="00E80A12">
        <w:rPr>
          <w:lang w:val="en-GB"/>
        </w:rPr>
        <w:t xml:space="preserve">. </w:t>
      </w:r>
    </w:p>
    <w:p w14:paraId="5D9685F1" w14:textId="77777777" w:rsidR="004D36D0" w:rsidRPr="00FA729D" w:rsidRDefault="004D36D0" w:rsidP="00B06301">
      <w:pPr>
        <w:pStyle w:val="ListParagraph"/>
        <w:numPr>
          <w:ilvl w:val="0"/>
          <w:numId w:val="11"/>
        </w:numPr>
        <w:spacing w:line="360" w:lineRule="auto"/>
        <w:rPr>
          <w:lang w:val="en-GB"/>
        </w:rPr>
      </w:pPr>
      <w:r>
        <w:rPr>
          <w:lang w:val="en-GB"/>
        </w:rPr>
        <w:t xml:space="preserve">There is a need for more evaluation for interventions. While there is some data to support the benefits of personal assistant supports, training programs for staff, family and individuals   and community and integration programs, more data is needed to develop accessible best practice programs.  </w:t>
      </w:r>
    </w:p>
    <w:p w14:paraId="729D64B6" w14:textId="77777777" w:rsidR="004D36D0" w:rsidRDefault="004D36D0" w:rsidP="00B06301">
      <w:pPr>
        <w:pStyle w:val="ListParagraph"/>
        <w:numPr>
          <w:ilvl w:val="0"/>
          <w:numId w:val="11"/>
        </w:numPr>
        <w:spacing w:line="360" w:lineRule="auto"/>
        <w:rPr>
          <w:lang w:val="en-GB"/>
        </w:rPr>
      </w:pPr>
      <w:r>
        <w:rPr>
          <w:lang w:val="en-GB"/>
        </w:rPr>
        <w:lastRenderedPageBreak/>
        <w:t xml:space="preserve">There is an urgent need for improved evaluations of different flexible funding models. There are many viable flexible approaches that have not received robust evaluation, and many require adaptation to the Australian context to be appropriately examined.   </w:t>
      </w:r>
    </w:p>
    <w:p w14:paraId="1B2D851E" w14:textId="5EB1DA41" w:rsidR="004D36D0" w:rsidRDefault="004D36D0" w:rsidP="00B06301">
      <w:pPr>
        <w:pStyle w:val="ListParagraph"/>
        <w:numPr>
          <w:ilvl w:val="0"/>
          <w:numId w:val="11"/>
        </w:numPr>
        <w:spacing w:line="360" w:lineRule="auto"/>
        <w:rPr>
          <w:lang w:val="en-GB"/>
        </w:rPr>
      </w:pPr>
      <w:r>
        <w:rPr>
          <w:lang w:val="en-GB"/>
        </w:rPr>
        <w:t xml:space="preserve">There is a very limited understanding of the effect of housing transition on factors relating to social inclusion, education, and employment. </w:t>
      </w:r>
    </w:p>
    <w:p w14:paraId="3C589210" w14:textId="77777777" w:rsidR="004D36D0" w:rsidRDefault="004D36D0" w:rsidP="00B06301">
      <w:pPr>
        <w:pStyle w:val="ListParagraph"/>
        <w:numPr>
          <w:ilvl w:val="0"/>
          <w:numId w:val="11"/>
        </w:numPr>
        <w:spacing w:line="360" w:lineRule="auto"/>
        <w:rPr>
          <w:lang w:val="en-GB"/>
        </w:rPr>
      </w:pPr>
      <w:r>
        <w:rPr>
          <w:lang w:val="en-GB"/>
        </w:rPr>
        <w:t>Sustainability of various models of independent living over time and as people age, is not known. The specific interventions to sustain people living independently in the community should be tested.</w:t>
      </w:r>
    </w:p>
    <w:p w14:paraId="2CE83233" w14:textId="77777777" w:rsidR="004D36D0" w:rsidRDefault="004D36D0" w:rsidP="00B06301">
      <w:pPr>
        <w:pStyle w:val="ListParagraph"/>
        <w:numPr>
          <w:ilvl w:val="0"/>
          <w:numId w:val="11"/>
        </w:numPr>
        <w:spacing w:line="360" w:lineRule="auto"/>
        <w:rPr>
          <w:lang w:val="en-GB"/>
        </w:rPr>
      </w:pPr>
      <w:r>
        <w:rPr>
          <w:lang w:val="en-GB"/>
        </w:rPr>
        <w:t xml:space="preserve">Very few studies examined differences in transition to independent living and options available in rural versus urban areas. Further work on housing for people with disabilities in regional and remote areas is needed, </w:t>
      </w:r>
    </w:p>
    <w:p w14:paraId="62DAA5D1" w14:textId="77777777" w:rsidR="004D36D0" w:rsidRDefault="004D36D0" w:rsidP="00B06301">
      <w:pPr>
        <w:pStyle w:val="ListParagraph"/>
        <w:numPr>
          <w:ilvl w:val="0"/>
          <w:numId w:val="11"/>
        </w:numPr>
        <w:spacing w:line="360" w:lineRule="auto"/>
        <w:rPr>
          <w:lang w:val="en-GB"/>
        </w:rPr>
      </w:pPr>
      <w:r>
        <w:rPr>
          <w:lang w:val="en-GB"/>
        </w:rPr>
        <w:t xml:space="preserve">There is a distinct lack of high quality randomized controlled trials. The best examples of high quality quantitative studies come from well powered pragmatic, clustered randomized controlled trials. There were very few of these types of trials. There is an urgent need to uplift the quality of quantitative data collection to inform future policy and decision making.   </w:t>
      </w:r>
    </w:p>
    <w:p w14:paraId="79183437" w14:textId="77777777" w:rsidR="004D36D0" w:rsidRDefault="004D36D0" w:rsidP="004D36D0">
      <w:pPr>
        <w:pStyle w:val="Heading2"/>
        <w:rPr>
          <w:lang w:val="en-GB"/>
        </w:rPr>
      </w:pPr>
      <w:bookmarkStart w:id="75" w:name="_Toc73535982"/>
      <w:r>
        <w:rPr>
          <w:lang w:val="en-GB"/>
        </w:rPr>
        <w:t>Limitations of the review</w:t>
      </w:r>
      <w:bookmarkEnd w:id="75"/>
    </w:p>
    <w:p w14:paraId="30981466" w14:textId="151C749B" w:rsidR="004D36D0" w:rsidRPr="007717F1" w:rsidRDefault="00B94E53" w:rsidP="008B572E">
      <w:pPr>
        <w:spacing w:line="360" w:lineRule="auto"/>
      </w:pPr>
      <w:r>
        <w:t>As with all reviews, t</w:t>
      </w:r>
      <w:r w:rsidR="00E80A12">
        <w:t xml:space="preserve">he review was limited by the quality </w:t>
      </w:r>
      <w:r>
        <w:t xml:space="preserve">and extent </w:t>
      </w:r>
      <w:r w:rsidR="00E80A12">
        <w:t>of available evidence.</w:t>
      </w:r>
      <w:r w:rsidR="00314334">
        <w:t xml:space="preserve"> </w:t>
      </w:r>
      <w:r>
        <w:t xml:space="preserve">Many studies were descriptive in nature, with small sample sizes and few specific studies focusing on interventions to support transition over time. </w:t>
      </w:r>
      <w:r w:rsidR="004D36D0" w:rsidRPr="007717F1">
        <w:t>The population of people with disability is a heterogenous group, with a range of abilities, skills, wants and support needs. The study was broad in its search and inclusion of disability type. However, the evidence identified was skewed towards the experiences of people with intellectual disability. This was unintended in the search with broad search terms used in the academic and grey literature. However, within the environmental scan,</w:t>
      </w:r>
      <w:r w:rsidR="004D36D0" w:rsidRPr="00B6543F">
        <w:t xml:space="preserve"> the search was likely determined by the expertise and areas of interest of the project team and the steering committee members. It is felt that any of the models of housing, support and </w:t>
      </w:r>
      <w:r w:rsidR="004D36D0" w:rsidRPr="004E5FDF">
        <w:t>enablers to ways of living that are alternative to congregate and group homes, may be applicable across disability groups. The review was limited also in its capacity to address cultural needs, only 1 document in the grey literature search focused specific</w:t>
      </w:r>
      <w:r w:rsidR="004D36D0" w:rsidRPr="007717F1">
        <w:t xml:space="preserve">ally on the needs of the indigenous population with disability and there was no studies exploring populations from minority group culturally and linguistically diverse backgrounds. </w:t>
      </w:r>
    </w:p>
    <w:p w14:paraId="55534E9E" w14:textId="77777777" w:rsidR="004D36D0" w:rsidRPr="007717F1" w:rsidRDefault="004D36D0" w:rsidP="008B572E">
      <w:pPr>
        <w:spacing w:line="360" w:lineRule="auto"/>
      </w:pPr>
      <w:r w:rsidRPr="007717F1">
        <w:t xml:space="preserve">A major challenge of reviewing the literature was the lack of a standardised or consistent definition of the different types of housing models. Considerable variation but also overlap of definitions of housing models was evident in the review.  </w:t>
      </w:r>
    </w:p>
    <w:p w14:paraId="77FBDAC3" w14:textId="77777777" w:rsidR="004D36D0" w:rsidRPr="008B572E" w:rsidRDefault="004D36D0" w:rsidP="008B572E">
      <w:pPr>
        <w:spacing w:line="360" w:lineRule="auto"/>
      </w:pPr>
      <w:r w:rsidRPr="008B572E">
        <w:lastRenderedPageBreak/>
        <w:t xml:space="preserve">It was evident that the meaning and definition of types of housing varied greatly between studies. In many cases moving to community supported living from a congregate or institutional setting meant simply moving to a smaller group home, rather than a fully independent supported living situation. Discrepancies were also noted in studies within geographical jurisdictions despite presenting research on common government policy and guidelines on housing models. No research papers were identified that specifically examined prevention of transition to congregate settings.  </w:t>
      </w:r>
    </w:p>
    <w:p w14:paraId="1404631A" w14:textId="77777777" w:rsidR="004D36D0" w:rsidRDefault="004D36D0" w:rsidP="007717F1">
      <w:pPr>
        <w:spacing w:line="360" w:lineRule="auto"/>
        <w:jc w:val="both"/>
      </w:pPr>
      <w:r>
        <w:t xml:space="preserve">This review demonstrates that there is a distinct move away from specialist housing to mainstream options with support, and greater emphasis on flexibility of funding models and supports. In particular, the review identifies work being undertaken by disability providers, housing associations, families and people with disabilities, in the development and maintenance of innovative models of housing within the mainstream housing market, that respond to the needs and desires of the person with disability.  </w:t>
      </w:r>
    </w:p>
    <w:p w14:paraId="075AA475" w14:textId="77777777" w:rsidR="004D36D0" w:rsidRDefault="004D36D0" w:rsidP="004D36D0">
      <w:pPr>
        <w:spacing w:line="360" w:lineRule="auto"/>
        <w:jc w:val="both"/>
      </w:pPr>
      <w:r>
        <w:t xml:space="preserve">In the academic literature, much is written about de-institutionalisation and moves to the community. Most of this work focuses on the move to community group homes, with less evidence available on moves to independent living settings or home ownership models. </w:t>
      </w:r>
    </w:p>
    <w:p w14:paraId="3B63BEF9" w14:textId="77777777" w:rsidR="004D36D0" w:rsidRDefault="004D36D0" w:rsidP="004D36D0">
      <w:pPr>
        <w:pStyle w:val="Heading2"/>
      </w:pPr>
      <w:bookmarkStart w:id="76" w:name="_Toc73535983"/>
      <w:r>
        <w:t>Considerations</w:t>
      </w:r>
      <w:bookmarkEnd w:id="76"/>
    </w:p>
    <w:p w14:paraId="7CA21F36" w14:textId="77777777" w:rsidR="004D36D0" w:rsidRDefault="004D36D0" w:rsidP="004D36D0">
      <w:pPr>
        <w:pStyle w:val="CommentText"/>
        <w:spacing w:line="360" w:lineRule="auto"/>
      </w:pPr>
      <w:r>
        <w:t xml:space="preserve">Based on the evidence documented in this review, that the following should be considered: </w:t>
      </w:r>
    </w:p>
    <w:p w14:paraId="729442C4" w14:textId="6C91A64F" w:rsidR="004D36D0" w:rsidRDefault="004D36D0" w:rsidP="004D36D0">
      <w:pPr>
        <w:pStyle w:val="CommentText"/>
        <w:spacing w:line="360" w:lineRule="auto"/>
      </w:pPr>
      <w:r w:rsidRPr="00FA3F18">
        <w:rPr>
          <w:b/>
          <w:bCs/>
        </w:rPr>
        <w:t>Policy and system level:</w:t>
      </w:r>
      <w:r>
        <w:t xml:space="preserve"> Implementation of policy should be reviewed and evaluated to remove current barriers identified in the system. Barriers such as, insufficient housing stock to meet needs, lack of coordination between housing and disability policy</w:t>
      </w:r>
      <w:r w:rsidR="000B13A0">
        <w:t xml:space="preserve"> and different government organisations</w:t>
      </w:r>
      <w:r>
        <w:t>, lack of affordable</w:t>
      </w:r>
      <w:r w:rsidR="000B13A0">
        <w:t xml:space="preserve">, </w:t>
      </w:r>
      <w:r>
        <w:t xml:space="preserve">accessible </w:t>
      </w:r>
      <w:r w:rsidR="000B13A0">
        <w:t xml:space="preserve">and appropriate </w:t>
      </w:r>
      <w:r>
        <w:t>housing, barriers to accessing supports until a home is secured, inflexibility in funding model.</w:t>
      </w:r>
    </w:p>
    <w:p w14:paraId="3CD245A0" w14:textId="77777777" w:rsidR="004D36D0" w:rsidRDefault="004D36D0" w:rsidP="004D36D0">
      <w:pPr>
        <w:pStyle w:val="CommentText"/>
        <w:spacing w:line="360" w:lineRule="auto"/>
      </w:pPr>
      <w:r>
        <w:rPr>
          <w:b/>
          <w:bCs/>
        </w:rPr>
        <w:t xml:space="preserve">Organisational: </w:t>
      </w:r>
      <w:r w:rsidRPr="007D3D6A">
        <w:t>Organisations</w:t>
      </w:r>
      <w:r>
        <w:rPr>
          <w:b/>
          <w:bCs/>
        </w:rPr>
        <w:t xml:space="preserve"> </w:t>
      </w:r>
      <w:r>
        <w:t xml:space="preserve">should ensure staff receive training in how to support an individual in a person-centred way to choose where to live and navigate the housing market. Active support and Person Centred Planning have been identified as effective mechanisms. Supports should be provided to individuals in securing tenancies. Organisations should consider a Housing First model as well as ensure provision of specialist services post transition continues. </w:t>
      </w:r>
    </w:p>
    <w:p w14:paraId="69C5DEAB" w14:textId="554A298D" w:rsidR="004D36D0" w:rsidRDefault="004D36D0" w:rsidP="004D36D0">
      <w:pPr>
        <w:pStyle w:val="CommentText"/>
        <w:spacing w:line="360" w:lineRule="auto"/>
      </w:pPr>
      <w:r w:rsidRPr="00FA3F18">
        <w:rPr>
          <w:b/>
          <w:bCs/>
        </w:rPr>
        <w:t>Community &amp; environmental:</w:t>
      </w:r>
      <w:r>
        <w:t xml:space="preserve"> Poor infrastructure in the community and neighbourhood, both built environment and social environment, which are key to maintaining independent living arrangements, should be addressed. </w:t>
      </w:r>
      <w:r w:rsidRPr="007D3D6A">
        <w:t>Organisations</w:t>
      </w:r>
      <w:r>
        <w:t xml:space="preserve"> within and outside the disability sector have </w:t>
      </w:r>
      <w:r w:rsidR="00812E56">
        <w:t xml:space="preserve">a </w:t>
      </w:r>
      <w:r>
        <w:t xml:space="preserve">remit here and </w:t>
      </w:r>
      <w:r w:rsidR="00812E56">
        <w:t xml:space="preserve">this </w:t>
      </w:r>
      <w:r>
        <w:t xml:space="preserve">requires intersectoral collaboration and planning. Outreach supports and technology within the community and the individual home should be resourced. Universal Design and Liveable Design should feature in all housing policy.  </w:t>
      </w:r>
    </w:p>
    <w:p w14:paraId="66FC3443" w14:textId="77777777" w:rsidR="004D36D0" w:rsidRDefault="004D36D0" w:rsidP="004D36D0">
      <w:pPr>
        <w:pStyle w:val="CommentText"/>
        <w:spacing w:line="360" w:lineRule="auto"/>
      </w:pPr>
      <w:r w:rsidRPr="00FA3F18">
        <w:rPr>
          <w:b/>
          <w:bCs/>
        </w:rPr>
        <w:lastRenderedPageBreak/>
        <w:t>Interpersonal:</w:t>
      </w:r>
      <w:r>
        <w:t xml:space="preserve"> The supports provided post transition should include supports to enable building and maintaining social relationships, and to ensure true inclusion and integration in the community. This is not the remit of disability services in isolation but involves wider community initiatives as well as incorporation into the logistics of building homes. </w:t>
      </w:r>
    </w:p>
    <w:p w14:paraId="746DEEFD" w14:textId="77777777" w:rsidR="004D36D0" w:rsidRDefault="004D36D0" w:rsidP="004D36D0">
      <w:pPr>
        <w:pStyle w:val="CommentText"/>
        <w:spacing w:line="360" w:lineRule="auto"/>
      </w:pPr>
      <w:r w:rsidRPr="00C37641">
        <w:rPr>
          <w:b/>
          <w:bCs/>
        </w:rPr>
        <w:t>Individual:</w:t>
      </w:r>
      <w:r>
        <w:t xml:space="preserve"> The person with disability should be at the forefront and centre of any transition with choice and control over where and who they live with. Access to supports during transition planning, moving and maintaining independent living arrangements are crucial. A review of people’s needs as they live in the home, as they age and as their needs and wants change should be reflected in policy and systems. </w:t>
      </w:r>
    </w:p>
    <w:p w14:paraId="38765B65" w14:textId="77777777" w:rsidR="004D36D0" w:rsidRDefault="004D36D0" w:rsidP="004D36D0">
      <w:pPr>
        <w:pStyle w:val="CommentText"/>
        <w:spacing w:line="360" w:lineRule="auto"/>
      </w:pPr>
      <w:r w:rsidRPr="00C37641">
        <w:rPr>
          <w:b/>
          <w:bCs/>
        </w:rPr>
        <w:t>Research:</w:t>
      </w:r>
      <w:r>
        <w:t xml:space="preserve"> In addition, research has a role to play to further develop the evidence base and consolidate and measure best practices, through c</w:t>
      </w:r>
      <w:r w:rsidRPr="007B43AF">
        <w:rPr>
          <w:rFonts w:eastAsia="Calibri" w:cs="Arial"/>
          <w:szCs w:val="22"/>
          <w:lang w:val="en-AU"/>
        </w:rPr>
        <w:t>ollaborat</w:t>
      </w:r>
      <w:r>
        <w:rPr>
          <w:rFonts w:eastAsia="Calibri" w:cs="Arial"/>
          <w:szCs w:val="22"/>
          <w:lang w:val="en-AU"/>
        </w:rPr>
        <w:t>ion</w:t>
      </w:r>
      <w:r w:rsidRPr="007B43AF">
        <w:rPr>
          <w:rFonts w:eastAsia="Calibri" w:cs="Arial"/>
          <w:szCs w:val="22"/>
          <w:lang w:val="en-AU"/>
        </w:rPr>
        <w:t xml:space="preserve"> with </w:t>
      </w:r>
      <w:r>
        <w:rPr>
          <w:rFonts w:eastAsia="Calibri" w:cs="Arial"/>
          <w:szCs w:val="22"/>
          <w:lang w:val="en-AU"/>
        </w:rPr>
        <w:t xml:space="preserve">researchers, individuals with disabilities and providers (private, public and disability specialist) </w:t>
      </w:r>
      <w:r w:rsidRPr="007B43AF">
        <w:rPr>
          <w:rFonts w:eastAsia="Calibri" w:cs="Arial"/>
          <w:szCs w:val="22"/>
          <w:lang w:val="en-AU"/>
        </w:rPr>
        <w:t>to co-ordinate and prog</w:t>
      </w:r>
      <w:r>
        <w:rPr>
          <w:rFonts w:eastAsia="Calibri" w:cs="Arial"/>
          <w:szCs w:val="22"/>
          <w:lang w:val="en-AU"/>
        </w:rPr>
        <w:t>ress the housing sector developments and options, including:</w:t>
      </w:r>
    </w:p>
    <w:p w14:paraId="2F9CF25B" w14:textId="77777777" w:rsidR="004D36D0" w:rsidRDefault="004D36D0" w:rsidP="00B06301">
      <w:pPr>
        <w:pStyle w:val="ListParagraph"/>
        <w:numPr>
          <w:ilvl w:val="0"/>
          <w:numId w:val="9"/>
        </w:numPr>
        <w:spacing w:before="120" w:after="120" w:line="360" w:lineRule="auto"/>
      </w:pPr>
      <w:r>
        <w:t>Development of consistent methods for measuring and evaluating impact</w:t>
      </w:r>
    </w:p>
    <w:p w14:paraId="330A5D88" w14:textId="77777777" w:rsidR="004D36D0" w:rsidRDefault="004D36D0" w:rsidP="00B06301">
      <w:pPr>
        <w:pStyle w:val="ListParagraph"/>
        <w:numPr>
          <w:ilvl w:val="0"/>
          <w:numId w:val="9"/>
        </w:numPr>
        <w:spacing w:before="120" w:after="120" w:line="360" w:lineRule="auto"/>
      </w:pPr>
      <w:r>
        <w:t xml:space="preserve">Undertaking research in unrepresented cohorts </w:t>
      </w:r>
    </w:p>
    <w:p w14:paraId="2FB30765" w14:textId="77777777" w:rsidR="004D36D0" w:rsidRDefault="004D36D0" w:rsidP="00B06301">
      <w:pPr>
        <w:pStyle w:val="ListParagraph"/>
        <w:numPr>
          <w:ilvl w:val="0"/>
          <w:numId w:val="9"/>
        </w:numPr>
        <w:spacing w:before="120" w:after="120" w:line="360" w:lineRule="auto"/>
      </w:pPr>
      <w:r>
        <w:t>Undertaking robust studies to explore the impact of SDA, including what is the optimum mix of housing types in the SDA levels.</w:t>
      </w:r>
    </w:p>
    <w:p w14:paraId="022F7122" w14:textId="77777777" w:rsidR="004D36D0" w:rsidRDefault="004D36D0" w:rsidP="00B06301">
      <w:pPr>
        <w:pStyle w:val="ListParagraph"/>
        <w:numPr>
          <w:ilvl w:val="0"/>
          <w:numId w:val="9"/>
        </w:numPr>
        <w:spacing w:line="360" w:lineRule="auto"/>
        <w:jc w:val="both"/>
      </w:pPr>
      <w:r>
        <w:t>Exploring the effectiveness of tools for matching participants to the most suitable housing.</w:t>
      </w:r>
    </w:p>
    <w:p w14:paraId="7113C4BE" w14:textId="481BEE88" w:rsidR="00256494" w:rsidRDefault="00256494">
      <w:r>
        <w:br w:type="page"/>
      </w:r>
    </w:p>
    <w:p w14:paraId="729AB66A" w14:textId="37AD370C" w:rsidR="004D36D0" w:rsidRDefault="00256494" w:rsidP="00256494">
      <w:pPr>
        <w:pStyle w:val="Heading1"/>
      </w:pPr>
      <w:bookmarkStart w:id="77" w:name="_Toc73535984"/>
      <w:r>
        <w:lastRenderedPageBreak/>
        <w:t>References</w:t>
      </w:r>
      <w:bookmarkEnd w:id="77"/>
    </w:p>
    <w:p w14:paraId="0B259031" w14:textId="3B19708F" w:rsidR="00256494" w:rsidRDefault="00256494" w:rsidP="00256494"/>
    <w:p w14:paraId="7D153DF5" w14:textId="77777777" w:rsidR="00256494" w:rsidRPr="009F7A4D" w:rsidRDefault="00256494" w:rsidP="00BF0543">
      <w:pPr>
        <w:pStyle w:val="EndNoteBibliography"/>
        <w:spacing w:after="0"/>
        <w:ind w:left="720" w:hanging="720"/>
      </w:pPr>
      <w:r w:rsidRPr="009F7A4D">
        <w:t xml:space="preserve">Alexander, R. T., Crouch, K., Halstead, S., &amp; Piachaud, J. (2006). Long-term outcome from a medium secure service for people with intellectual disability. </w:t>
      </w:r>
      <w:r w:rsidRPr="009F7A4D">
        <w:rPr>
          <w:i/>
        </w:rPr>
        <w:t>Journal of Intellectual Disability Research, 50</w:t>
      </w:r>
      <w:r w:rsidRPr="009F7A4D">
        <w:t>(4), 305-315. doi:10.1111/j.1365-2788.2006.00806.x</w:t>
      </w:r>
    </w:p>
    <w:p w14:paraId="32F6DEDC" w14:textId="77777777" w:rsidR="00256494" w:rsidRPr="009F7A4D" w:rsidRDefault="00256494" w:rsidP="00BF0543">
      <w:pPr>
        <w:pStyle w:val="EndNoteBibliography"/>
        <w:spacing w:after="0"/>
        <w:ind w:left="720" w:hanging="720"/>
      </w:pPr>
      <w:r w:rsidRPr="009F7A4D">
        <w:t xml:space="preserve">Anderson, P. (2005). Some trends in the use of accommodation support services for people with intellectual disabilities in Australia. </w:t>
      </w:r>
      <w:r w:rsidRPr="009F7A4D">
        <w:rPr>
          <w:i/>
        </w:rPr>
        <w:t>Journal of Intellectual &amp; Developmental Disability, 30</w:t>
      </w:r>
      <w:r w:rsidRPr="009F7A4D">
        <w:t>(2), 120-124. doi:10.1080/13668250500125023</w:t>
      </w:r>
    </w:p>
    <w:p w14:paraId="43D06554" w14:textId="77777777" w:rsidR="00256494" w:rsidRPr="009F7A4D" w:rsidRDefault="00256494" w:rsidP="00BF0543">
      <w:pPr>
        <w:pStyle w:val="EndNoteBibliography"/>
        <w:spacing w:after="0"/>
        <w:ind w:left="720" w:hanging="720"/>
      </w:pPr>
      <w:r w:rsidRPr="009F7A4D">
        <w:t xml:space="preserve">Angell, A. M., Goodman, L., Walker, H. R., McDonald, K. E., Kraus, L. E., Elms, E. H. J., . . . Hammel, J. (2020). "Starting to Live a Life": Understanding Full Participation for People With Disabilities After Institutionalization. </w:t>
      </w:r>
      <w:r w:rsidRPr="009F7A4D">
        <w:rPr>
          <w:i/>
        </w:rPr>
        <w:t>American Journal of Occupational Therapy, 74</w:t>
      </w:r>
      <w:r w:rsidRPr="009F7A4D">
        <w:t>(4), 1-11. doi:10.5014/ajot.2020.038489</w:t>
      </w:r>
    </w:p>
    <w:p w14:paraId="2CCC2554" w14:textId="77777777" w:rsidR="00256494" w:rsidRPr="009F7A4D" w:rsidRDefault="00256494" w:rsidP="00BF0543">
      <w:pPr>
        <w:pStyle w:val="EndNoteBibliography"/>
        <w:spacing w:after="0"/>
        <w:ind w:left="720" w:hanging="720"/>
      </w:pPr>
      <w:r w:rsidRPr="009F7A4D">
        <w:t xml:space="preserve">Arling, G., Kane, R. L., Cooke, V., &amp; Lewis, T. (2010). Targeting Residents for Transitions from Nursing Home to Community. </w:t>
      </w:r>
      <w:r w:rsidRPr="009F7A4D">
        <w:rPr>
          <w:i/>
        </w:rPr>
        <w:t>Health Services Research, 45</w:t>
      </w:r>
      <w:r w:rsidRPr="009F7A4D">
        <w:t>(3), 691-711. doi:10.1111/j.1475-6773.2010.01105.x</w:t>
      </w:r>
    </w:p>
    <w:p w14:paraId="2EC0CAE1" w14:textId="21AD24D7" w:rsidR="00256494" w:rsidRDefault="00256494" w:rsidP="00BF0543">
      <w:pPr>
        <w:pStyle w:val="EndNoteBibliography"/>
        <w:spacing w:after="0"/>
        <w:ind w:left="720" w:hanging="720"/>
      </w:pPr>
      <w:r w:rsidRPr="009F7A4D">
        <w:t xml:space="preserve">Aubry, T., Nelson, G., &amp; Tsemberis, S. (2015). Housing first for people with severe mental illness who are homeless: A review of the research and findings from the At Home-Chez soi demonstration project. </w:t>
      </w:r>
      <w:r w:rsidRPr="009F7A4D">
        <w:rPr>
          <w:i/>
        </w:rPr>
        <w:t>The Canadian Journal of Psychiatry / La Revue canadienne de psychiatrie, 60</w:t>
      </w:r>
      <w:r w:rsidRPr="009F7A4D">
        <w:t>(11), 467-474. doi:</w:t>
      </w:r>
      <w:r w:rsidRPr="00415B84">
        <w:t>http://dx.doi.org/10.1177/070674371506001102</w:t>
      </w:r>
    </w:p>
    <w:p w14:paraId="7E45645C" w14:textId="51496B5A" w:rsidR="00B8152D" w:rsidRDefault="00B8152D" w:rsidP="00BF0543">
      <w:pPr>
        <w:ind w:left="709" w:hanging="709"/>
      </w:pPr>
      <w:r w:rsidRPr="00BF0543">
        <w:rPr>
          <w:rFonts w:ascii="Calibri" w:hAnsi="Calibri" w:cs="Calibri"/>
          <w:noProof/>
        </w:rPr>
        <w:t>Baker, PA (2007) Individual and Service Factors Affecting Deinstitutionalization and Community Use of</w:t>
      </w:r>
      <w:r>
        <w:t xml:space="preserve"> People with Intellectual Disabilities, </w:t>
      </w:r>
      <w:r w:rsidRPr="00B8152D">
        <w:rPr>
          <w:i/>
          <w:iCs/>
        </w:rPr>
        <w:t>Journal of Applied Research in Intellectual Disabilities</w:t>
      </w:r>
      <w:r>
        <w:t>, (20) 105–109</w:t>
      </w:r>
    </w:p>
    <w:p w14:paraId="3533D887" w14:textId="77777777" w:rsidR="00256494" w:rsidRPr="009F7A4D" w:rsidRDefault="00256494" w:rsidP="00BF0543">
      <w:pPr>
        <w:pStyle w:val="EndNoteBibliography"/>
        <w:spacing w:after="0"/>
        <w:ind w:left="720" w:hanging="720"/>
      </w:pPr>
      <w:r w:rsidRPr="009F7A4D">
        <w:t xml:space="preserve">Bhaumik, S., Tyrer, F., &amp; Ganghadaran, S. (2011). Assessing Quality of Life and Mortality in Adults With Intellectual Disability and Complex Health Problems Following Move From a Long-Stay Hospital. </w:t>
      </w:r>
      <w:r w:rsidRPr="009F7A4D">
        <w:rPr>
          <w:i/>
        </w:rPr>
        <w:t>Journal of Policy &amp; Practice in Intellectual Disabilities, 8</w:t>
      </w:r>
      <w:r w:rsidRPr="009F7A4D">
        <w:t>(3), 183-190. doi:10.1111/j.1741-1130.2011.00308.x</w:t>
      </w:r>
    </w:p>
    <w:p w14:paraId="21069520" w14:textId="77777777" w:rsidR="00256494" w:rsidRPr="009F7A4D" w:rsidRDefault="00256494" w:rsidP="00BF0543">
      <w:pPr>
        <w:pStyle w:val="EndNoteBibliography"/>
        <w:spacing w:after="0"/>
        <w:ind w:left="720" w:hanging="720"/>
      </w:pPr>
      <w:r w:rsidRPr="009F7A4D">
        <w:t xml:space="preserve">Bhaumik, S., Watson, J. M., Devapriam, J., Raju, L. B., Tin, N. N., Kiani, R., . . . Tyrer, F. (2009). Aggressive challenging behaviour in adults with intellectual disability following community resettlement. </w:t>
      </w:r>
      <w:r w:rsidRPr="009F7A4D">
        <w:rPr>
          <w:i/>
        </w:rPr>
        <w:t>Journal of Intellectual Disability Research, 53</w:t>
      </w:r>
      <w:r w:rsidRPr="009F7A4D">
        <w:t>(3), 298-302. doi:10.1111/j.1365-2788.2008.01111.x</w:t>
      </w:r>
    </w:p>
    <w:p w14:paraId="1493BD8D" w14:textId="77777777" w:rsidR="00256494" w:rsidRPr="009F7A4D" w:rsidRDefault="00256494" w:rsidP="00BF0543">
      <w:pPr>
        <w:pStyle w:val="EndNoteBibliography"/>
        <w:spacing w:after="0"/>
        <w:ind w:left="720" w:hanging="720"/>
      </w:pPr>
      <w:r w:rsidRPr="009F7A4D">
        <w:t xml:space="preserve">Bigby, C. (2006). Shifting Models of Welfare: Issues in Relocation from an Institution and the Organization of Community Living. </w:t>
      </w:r>
      <w:r w:rsidRPr="009F7A4D">
        <w:rPr>
          <w:i/>
        </w:rPr>
        <w:t>Journal of Policy &amp; Practice in Intellectual Disabilities, 3</w:t>
      </w:r>
      <w:r w:rsidRPr="009F7A4D">
        <w:t>(3), 147-154. doi:10.1111/j.1741-1130.2006.00074.x</w:t>
      </w:r>
    </w:p>
    <w:p w14:paraId="02DB844C" w14:textId="77777777" w:rsidR="00256494" w:rsidRPr="009F7A4D" w:rsidRDefault="00256494" w:rsidP="00BF0543">
      <w:pPr>
        <w:pStyle w:val="EndNoteBibliography"/>
        <w:spacing w:after="0"/>
        <w:ind w:left="720" w:hanging="720"/>
      </w:pPr>
      <w:r w:rsidRPr="009F7A4D">
        <w:t xml:space="preserve">Bigby, C. (2008). Known well by no-one: Trends in the informal social networks of middle-aged and older people with intellectual disability five years after moving to the community. </w:t>
      </w:r>
      <w:r w:rsidRPr="009F7A4D">
        <w:rPr>
          <w:i/>
        </w:rPr>
        <w:t>Journal of Intellectual &amp; Developmental Disability, 33</w:t>
      </w:r>
      <w:r w:rsidRPr="009F7A4D">
        <w:t>(2), 148-157. doi:10.1080/13668250802094141</w:t>
      </w:r>
    </w:p>
    <w:p w14:paraId="3A6F0252" w14:textId="77777777" w:rsidR="00256494" w:rsidRDefault="00256494" w:rsidP="00BF0543">
      <w:pPr>
        <w:pStyle w:val="EndNoteBibliography"/>
        <w:spacing w:after="0"/>
        <w:ind w:left="720" w:hanging="720"/>
      </w:pPr>
      <w:r w:rsidRPr="009F7A4D">
        <w:t xml:space="preserve">Bigby, C., &amp; Fyffe, C. (2006). Tensions between institutional closure and deinstitutionalisation: what can be learned from Victoria’s institutional redevelopment? </w:t>
      </w:r>
      <w:r w:rsidRPr="009F7A4D">
        <w:rPr>
          <w:i/>
        </w:rPr>
        <w:t>Disability &amp; Society, 21</w:t>
      </w:r>
      <w:r w:rsidRPr="009F7A4D">
        <w:t>(6), 567-581. doi:10.1080/09687590600918032</w:t>
      </w:r>
    </w:p>
    <w:p w14:paraId="4FB8CBCC" w14:textId="77777777" w:rsidR="00256494" w:rsidRDefault="00256494" w:rsidP="00BF0543">
      <w:pPr>
        <w:pStyle w:val="EndNoteBibliography"/>
        <w:spacing w:after="0"/>
        <w:ind w:left="720" w:hanging="720"/>
      </w:pPr>
      <w:r w:rsidRPr="003A3ED5">
        <w:t>Bigby, C., Bould, E., &amp; Beadle-Brown, J. (2018). Comparing costs and outcomes of supported living with group homes in Australia. Journal of Intellectual &amp; Developmental Disability, 43(3), 295-307.</w:t>
      </w:r>
    </w:p>
    <w:p w14:paraId="7F6F30F0" w14:textId="77777777" w:rsidR="00256494" w:rsidRPr="009F7A4D" w:rsidRDefault="00256494" w:rsidP="00BF0543">
      <w:pPr>
        <w:pStyle w:val="EndNoteBibliography"/>
        <w:spacing w:after="0"/>
        <w:ind w:left="720" w:hanging="720"/>
      </w:pPr>
      <w:r w:rsidRPr="00CC1925">
        <w:t>Bleasdale, M. (2007) Supporting the housing of people with complex needs, AHURI Final Report No. 104, Australian Housing and Urban Research Institute Limited, Melbourne, https://www.ahuri.edu.au/research/final-reports/104.</w:t>
      </w:r>
    </w:p>
    <w:p w14:paraId="15721F61" w14:textId="7BDFBDF7" w:rsidR="00BF0543" w:rsidRDefault="00256494" w:rsidP="00BF0543">
      <w:pPr>
        <w:pStyle w:val="EndNoteBibliography"/>
        <w:spacing w:after="0"/>
        <w:ind w:left="720" w:hanging="720"/>
      </w:pPr>
      <w:r w:rsidRPr="009F7A4D">
        <w:t xml:space="preserve">Blumberg, E. R., Ferguson, P. M., &amp; Ferguson, D. L. (2000). Slidin' into home: supporting self-determination through personal support agents and service brokerage strategies. </w:t>
      </w:r>
      <w:r w:rsidRPr="009F7A4D">
        <w:rPr>
          <w:i/>
        </w:rPr>
        <w:t>Journal of Vocational Rehabilitation, 15</w:t>
      </w:r>
      <w:r w:rsidRPr="009F7A4D">
        <w:t xml:space="preserve">(2/3), 111-119. </w:t>
      </w:r>
    </w:p>
    <w:p w14:paraId="3720C412" w14:textId="77777777" w:rsidR="00256494" w:rsidRDefault="00256494" w:rsidP="00BF0543">
      <w:pPr>
        <w:pStyle w:val="EndNoteBibliography"/>
        <w:spacing w:after="0"/>
        <w:ind w:left="720" w:hanging="720"/>
      </w:pPr>
      <w:r w:rsidRPr="009F7A4D">
        <w:lastRenderedPageBreak/>
        <w:t xml:space="preserve">Borbasi, S., Bottroff, V., Williams, R. P., Jones, J., &amp; Douglas, H. (2008). 'No going back' to institutional care for people with severe disability: reflections on practice through an interpretive study. </w:t>
      </w:r>
      <w:r w:rsidRPr="009F7A4D">
        <w:rPr>
          <w:i/>
        </w:rPr>
        <w:t>Disability &amp; Rehabilitation, 30</w:t>
      </w:r>
      <w:r w:rsidRPr="009F7A4D">
        <w:t>(11), 837-847. doi:10.1080/09638280701419359</w:t>
      </w:r>
    </w:p>
    <w:p w14:paraId="730E4562" w14:textId="79CA519A" w:rsidR="00256494" w:rsidRPr="009F7A4D" w:rsidRDefault="00256494" w:rsidP="00BF0543">
      <w:pPr>
        <w:pStyle w:val="EndNoteBibliography"/>
        <w:spacing w:after="0"/>
        <w:ind w:left="720" w:hanging="720"/>
      </w:pPr>
      <w:r>
        <w:t>Bostock, Lisa; Gleeson, Brendan; McPherson, Ailsa; Pang, Lilian</w:t>
      </w:r>
      <w:r w:rsidR="00E83005">
        <w:t>. (</w:t>
      </w:r>
      <w:r w:rsidR="00223389">
        <w:t>2004</w:t>
      </w:r>
      <w:r w:rsidR="00E83005">
        <w:t>)</w:t>
      </w:r>
      <w:r>
        <w:t xml:space="preserve"> Contested Housing Landscapes? Social Inclusion, Deinstitutionalisation and Housing Policy in Australia</w:t>
      </w:r>
      <w:r w:rsidR="00223389">
        <w:t xml:space="preserve">, </w:t>
      </w:r>
      <w:r w:rsidRPr="00223389">
        <w:rPr>
          <w:i/>
          <w:iCs/>
        </w:rPr>
        <w:t>Australian Journal of Social Issues</w:t>
      </w:r>
      <w:r>
        <w:t xml:space="preserve"> (Australian Council of Social Service);</w:t>
      </w:r>
      <w:r w:rsidRPr="00223389">
        <w:rPr>
          <w:i/>
          <w:iCs/>
        </w:rPr>
        <w:t>39(</w:t>
      </w:r>
      <w:r>
        <w:t>1):41-62</w:t>
      </w:r>
    </w:p>
    <w:p w14:paraId="0588B4F8" w14:textId="77777777" w:rsidR="00256494" w:rsidRPr="009F7A4D" w:rsidRDefault="00256494" w:rsidP="00BF0543">
      <w:pPr>
        <w:pStyle w:val="EndNoteBibliography"/>
        <w:spacing w:after="0"/>
        <w:ind w:left="720" w:hanging="720"/>
      </w:pPr>
      <w:r w:rsidRPr="009F7A4D">
        <w:t xml:space="preserve">Brennan, C., Traustadóttir, R., Rice, J., &amp; Anderberg, P. (2016). Negotiating independence, choice and autonomy: experiences of parents who coordinate personal assistance on behalf of their adult son or daughter. </w:t>
      </w:r>
      <w:r w:rsidRPr="009F7A4D">
        <w:rPr>
          <w:i/>
        </w:rPr>
        <w:t>Disability &amp; Society, 31</w:t>
      </w:r>
      <w:r w:rsidRPr="009F7A4D">
        <w:t>(5), 604-621. doi:10.1080/09687599.2016.1188768</w:t>
      </w:r>
    </w:p>
    <w:p w14:paraId="68934504" w14:textId="77777777" w:rsidR="00256494" w:rsidRPr="009F7A4D" w:rsidRDefault="00256494" w:rsidP="00BF0543">
      <w:pPr>
        <w:pStyle w:val="EndNoteBibliography"/>
        <w:spacing w:after="0"/>
        <w:ind w:left="720" w:hanging="720"/>
      </w:pPr>
      <w:r w:rsidRPr="009F7A4D">
        <w:t xml:space="preserve">Broadley, K. (2015). Is there a Role for Adult Protection Services in the Lives of Young People with Disabilities Transitioning from Out-of-home Care? </w:t>
      </w:r>
      <w:r w:rsidRPr="009F7A4D">
        <w:rPr>
          <w:i/>
        </w:rPr>
        <w:t>Australian Social Work, 68</w:t>
      </w:r>
      <w:r w:rsidRPr="009F7A4D">
        <w:t>(1), 84-98. doi:10.1080/0312407X.2014.932400</w:t>
      </w:r>
    </w:p>
    <w:p w14:paraId="74CB89C2" w14:textId="77777777" w:rsidR="00256494" w:rsidRPr="009F7A4D" w:rsidRDefault="00256494" w:rsidP="00BF0543">
      <w:pPr>
        <w:pStyle w:val="EndNoteBibliography"/>
        <w:spacing w:after="0"/>
        <w:ind w:left="720" w:hanging="720"/>
      </w:pPr>
      <w:r w:rsidRPr="009F7A4D">
        <w:t xml:space="preserve">Browning, M., Gray, R., &amp; Tomlins, R. (2016). A community forensic team for people with intellectual disabilities. </w:t>
      </w:r>
      <w:r w:rsidRPr="009F7A4D">
        <w:rPr>
          <w:i/>
        </w:rPr>
        <w:t>Journal of Forensic Practice, 18</w:t>
      </w:r>
      <w:r w:rsidRPr="009F7A4D">
        <w:t>(4), 274-282. doi:10.1108/JFP-02-2016-0012</w:t>
      </w:r>
    </w:p>
    <w:p w14:paraId="3F70D97A" w14:textId="77777777" w:rsidR="00256494" w:rsidRPr="009F7A4D" w:rsidRDefault="00256494" w:rsidP="00BF0543">
      <w:pPr>
        <w:pStyle w:val="EndNoteBibliography"/>
        <w:spacing w:after="0"/>
        <w:ind w:left="720" w:hanging="720"/>
      </w:pPr>
      <w:r w:rsidRPr="009F7A4D">
        <w:t xml:space="preserve">Browning, M., &amp; Jones, R. (2002). Using staff ratings to measure client compatibility. </w:t>
      </w:r>
      <w:r w:rsidRPr="009F7A4D">
        <w:rPr>
          <w:i/>
        </w:rPr>
        <w:t>Journal of Learning Disabilities, 6</w:t>
      </w:r>
      <w:r w:rsidRPr="009F7A4D">
        <w:t>(1), 35-46. doi:</w:t>
      </w:r>
      <w:r w:rsidRPr="00415B84">
        <w:t>http://dx.doi.org/10.1177/146900470200600103</w:t>
      </w:r>
    </w:p>
    <w:p w14:paraId="6753FCDA" w14:textId="77777777" w:rsidR="00256494" w:rsidRDefault="00256494" w:rsidP="00BF0543">
      <w:pPr>
        <w:pStyle w:val="EndNoteBibliography"/>
        <w:spacing w:after="0"/>
        <w:ind w:left="720" w:hanging="720"/>
      </w:pPr>
      <w:r w:rsidRPr="009F7A4D">
        <w:t xml:space="preserve">Cambridge, P., Carpenter, J., Beecham, J., Hallam, A., Knapp, M., Forrester-Jones, R., &amp; Tate, A. (2002). Twelve years on: the long-term outcomes and costs of deinstitutionalisation and community care for people with learning disabilities. </w:t>
      </w:r>
      <w:r w:rsidRPr="009F7A4D">
        <w:rPr>
          <w:i/>
        </w:rPr>
        <w:t>Tizard Learning Disability Review, 7</w:t>
      </w:r>
      <w:r w:rsidRPr="009F7A4D">
        <w:t xml:space="preserve">(3), 34-42. </w:t>
      </w:r>
    </w:p>
    <w:p w14:paraId="1C1827BD" w14:textId="77777777" w:rsidR="00256494" w:rsidRDefault="00256494" w:rsidP="00BF0543">
      <w:pPr>
        <w:pStyle w:val="EndNoteBibliography"/>
        <w:spacing w:after="0"/>
        <w:ind w:left="720" w:hanging="720"/>
      </w:pPr>
      <w:r>
        <w:t>Carnemolla, P. (</w:t>
      </w:r>
      <w:r w:rsidRPr="00CC1925">
        <w:t xml:space="preserve"> </w:t>
      </w:r>
      <w:r>
        <w:t>Aug 2020)Individualized Apartment Accommodation for People With Intellectual Disability: Protocol for a Qualitative Study Examining the Well-Being and Support Outcomes Linking Housing and Health JMIR Research Protocols;9(8):8</w:t>
      </w:r>
    </w:p>
    <w:p w14:paraId="65B950C1" w14:textId="77777777" w:rsidR="00256494" w:rsidRPr="009F7A4D" w:rsidRDefault="00256494" w:rsidP="00BF0543">
      <w:pPr>
        <w:pStyle w:val="EndNoteBibliography"/>
        <w:spacing w:after="0"/>
        <w:ind w:left="720" w:hanging="720"/>
      </w:pPr>
      <w:r>
        <w:t>Certo, Nicholas J.; Brown, Lou; Courey, Susan; Belanger, Denise; Luecking, Richard G.; Murphy, Sara (2008) Seamless Transition and Long-Term Support for Individuals With Severe Intellectual DisabilitiesResearch &amp; Practice for Persons with Severe Disabilities Fall2008;33(3):85-95</w:t>
      </w:r>
    </w:p>
    <w:p w14:paraId="115BE6D0" w14:textId="77777777" w:rsidR="00256494" w:rsidRDefault="00256494" w:rsidP="00BF0543">
      <w:pPr>
        <w:pStyle w:val="EndNoteBibliography"/>
        <w:spacing w:after="0"/>
        <w:ind w:left="720" w:hanging="720"/>
      </w:pPr>
      <w:r w:rsidRPr="00497449">
        <w:t>Chan, K. P. K., Kathryn, K., Igoumenou, A., &amp; Killaspy, H. (2021). Predictors of successful move-on to more independent accommodation amongst users of the community mental health rehabilitation team: a prospective cohort study in inner London. Social Psychiatry and Psychiatric Epidemiology, 56(1), 75-84.</w:t>
      </w:r>
    </w:p>
    <w:p w14:paraId="0DB28638" w14:textId="77777777" w:rsidR="00256494" w:rsidRPr="009F7A4D" w:rsidRDefault="00256494" w:rsidP="00BF0543">
      <w:pPr>
        <w:pStyle w:val="EndNoteBibliography"/>
        <w:spacing w:after="0"/>
        <w:ind w:left="720" w:hanging="720"/>
      </w:pPr>
      <w:r w:rsidRPr="009F7A4D">
        <w:t xml:space="preserve">Chen, F.-p. (2010). Assisting adults with severe mental illness in transitioning from parental homes to independent living. </w:t>
      </w:r>
      <w:r w:rsidRPr="009F7A4D">
        <w:rPr>
          <w:i/>
        </w:rPr>
        <w:t>Community Mental Health Journal, 46</w:t>
      </w:r>
      <w:r w:rsidRPr="009F7A4D">
        <w:t>(4), 372-380. doi:</w:t>
      </w:r>
      <w:r w:rsidRPr="00415B84">
        <w:t>http://dx.doi.org/10.1007/s10597-009-9263-y</w:t>
      </w:r>
    </w:p>
    <w:p w14:paraId="14D3BEDB" w14:textId="77777777" w:rsidR="00256494" w:rsidRPr="009F7A4D" w:rsidRDefault="00256494" w:rsidP="00BF0543">
      <w:pPr>
        <w:pStyle w:val="EndNoteBibliography"/>
        <w:spacing w:after="0"/>
        <w:ind w:left="720" w:hanging="720"/>
      </w:pPr>
      <w:r w:rsidRPr="009F7A4D">
        <w:t xml:space="preserve">Chester, V., Brown, A. S., Devapriam, J., Axby, S., Hargreaves, C., &amp; Shankar, R. (2017). Discharging inpatients with intellectual disability from secure to community services: risk assessment and management considerations. </w:t>
      </w:r>
      <w:r w:rsidRPr="009F7A4D">
        <w:rPr>
          <w:i/>
        </w:rPr>
        <w:t>Advances in Mental Health &amp; Intellectual Disabilities, 11</w:t>
      </w:r>
      <w:r w:rsidRPr="009F7A4D">
        <w:t>(3), 98-109. doi:10.1108/AMHID-01-2017-0003</w:t>
      </w:r>
    </w:p>
    <w:p w14:paraId="1A4D86FE" w14:textId="77777777" w:rsidR="00256494" w:rsidRPr="009F7A4D" w:rsidRDefault="00256494" w:rsidP="00BF0543">
      <w:pPr>
        <w:pStyle w:val="EndNoteBibliography"/>
        <w:spacing w:after="0"/>
        <w:ind w:left="720" w:hanging="720"/>
      </w:pPr>
      <w:r w:rsidRPr="009F7A4D">
        <w:t xml:space="preserve">Chou, Y. C., Lin, L. C., Pu, C. Y., Lee, W. P., &amp; Chang, S. C. (2008). Outcomes and costs of residential services for adults with intellectual disabilities in Taiwan: A comparative evaluation. </w:t>
      </w:r>
      <w:r w:rsidRPr="009F7A4D">
        <w:rPr>
          <w:i/>
        </w:rPr>
        <w:t>Journal of Applied Research in Intellectual Disabilities, 21</w:t>
      </w:r>
      <w:r w:rsidRPr="009F7A4D">
        <w:t>(2), 114-125. doi:10.1111/j.1468-3148.2007.00373.x</w:t>
      </w:r>
    </w:p>
    <w:p w14:paraId="2B4070ED" w14:textId="77777777" w:rsidR="00256494" w:rsidRPr="009F7A4D" w:rsidRDefault="00256494" w:rsidP="00BF0543">
      <w:pPr>
        <w:pStyle w:val="EndNoteBibliography"/>
        <w:spacing w:after="0"/>
        <w:ind w:left="720" w:hanging="720"/>
      </w:pPr>
      <w:r w:rsidRPr="009F7A4D">
        <w:t xml:space="preserve">Chou, Y. C., Pu, C., Kröger, T., Lee, W., &amp; Chang, S. (2011). Outcomes of a new residential scheme for adults with intellectual disabilities in Taiwan: a 2-year follow-up. </w:t>
      </w:r>
      <w:r w:rsidRPr="009F7A4D">
        <w:rPr>
          <w:i/>
        </w:rPr>
        <w:t>Journal of Intellectual Disability Research, 55</w:t>
      </w:r>
      <w:r w:rsidRPr="009F7A4D">
        <w:t>(9), 823-831. doi:10.1111/j.1365-2788.2011.01394.x</w:t>
      </w:r>
    </w:p>
    <w:p w14:paraId="623905D8" w14:textId="32D94405" w:rsidR="00BF0543" w:rsidRDefault="00256494" w:rsidP="00BF0543">
      <w:pPr>
        <w:pStyle w:val="EndNoteBibliography"/>
        <w:spacing w:after="0"/>
        <w:ind w:left="720" w:hanging="720"/>
      </w:pPr>
      <w:r w:rsidRPr="009F7A4D">
        <w:t xml:space="preserve">Cocks, E., &amp; Boaden, R. (2011). A quality framework for personalised residential supports for adults with developmental disabilities. </w:t>
      </w:r>
      <w:r w:rsidRPr="009F7A4D">
        <w:rPr>
          <w:i/>
        </w:rPr>
        <w:t>Journal of Intellectual Disability Research, 55</w:t>
      </w:r>
      <w:r w:rsidRPr="009F7A4D">
        <w:t>, 720-731. doi:10.1111/j.1365-2788.2010.01296.x</w:t>
      </w:r>
    </w:p>
    <w:p w14:paraId="54133C92" w14:textId="77777777" w:rsidR="00BF0543" w:rsidRDefault="00BF0543">
      <w:pPr>
        <w:rPr>
          <w:rFonts w:ascii="Calibri" w:hAnsi="Calibri" w:cs="Calibri"/>
          <w:noProof/>
        </w:rPr>
      </w:pPr>
      <w:r>
        <w:br w:type="page"/>
      </w:r>
    </w:p>
    <w:p w14:paraId="40A20FD4" w14:textId="77777777" w:rsidR="00256494" w:rsidRPr="009F7A4D" w:rsidRDefault="00256494" w:rsidP="00BF0543">
      <w:pPr>
        <w:pStyle w:val="EndNoteBibliography"/>
        <w:spacing w:after="0"/>
        <w:ind w:left="720" w:hanging="720"/>
      </w:pPr>
      <w:r w:rsidRPr="00497449">
        <w:lastRenderedPageBreak/>
        <w:t>Cocks, E., Thoresen, S. H., O’Brien, P., McVilly, K., Thomson, A., Gadow, F., ... &amp; Prain, M. (2016). Examples of individual supported living for adults with intellectual disability. Journal of Intellectual Disabilities, 20(2), 100-108.</w:t>
      </w:r>
    </w:p>
    <w:p w14:paraId="2CCC2B64" w14:textId="77777777" w:rsidR="00256494" w:rsidRDefault="00256494" w:rsidP="00BF0543">
      <w:pPr>
        <w:pStyle w:val="EndNoteBibliography"/>
        <w:spacing w:after="0"/>
        <w:ind w:left="720" w:hanging="720"/>
      </w:pPr>
      <w:r w:rsidRPr="00432F25">
        <w:t>Cooper, B., &amp; Picton, C. (2000). The long-term effects of relocation on people with an intellectual disability: Quality of life, behavior, and environment. Research on Social Work Practice, 10(2), 195-208.</w:t>
      </w:r>
    </w:p>
    <w:p w14:paraId="2FA963C9" w14:textId="77777777" w:rsidR="00256494" w:rsidRDefault="00256494" w:rsidP="00BF0543">
      <w:pPr>
        <w:pStyle w:val="EndNoteBibliography"/>
        <w:spacing w:after="0"/>
        <w:ind w:left="720" w:hanging="720"/>
      </w:pPr>
      <w:r>
        <w:t>Corbluth, Michael (2011)Delayed discharge and lack of housing for inpatients Mental Health Practice 2011;14(7):28-30</w:t>
      </w:r>
    </w:p>
    <w:p w14:paraId="1065E24D" w14:textId="77777777" w:rsidR="00256494" w:rsidRPr="009F7A4D" w:rsidRDefault="00256494" w:rsidP="00BF0543">
      <w:pPr>
        <w:pStyle w:val="EndNoteBibliography"/>
        <w:spacing w:after="0"/>
        <w:ind w:left="720" w:hanging="720"/>
      </w:pPr>
      <w:r w:rsidRPr="009F7A4D">
        <w:t xml:space="preserve">Cumella, S., &amp; Heslam, S. (2014). Supported housing for people with Down's syndrome. </w:t>
      </w:r>
      <w:r w:rsidRPr="009F7A4D">
        <w:rPr>
          <w:i/>
        </w:rPr>
        <w:t>British Journal of Learning Disabilities, 42</w:t>
      </w:r>
      <w:r w:rsidRPr="009F7A4D">
        <w:t>(4), 251-256. doi:10.1111/bld.12039</w:t>
      </w:r>
    </w:p>
    <w:p w14:paraId="2FA75401" w14:textId="77777777" w:rsidR="00256494" w:rsidRDefault="00256494" w:rsidP="00BF0543">
      <w:pPr>
        <w:pStyle w:val="EndNoteBibliography"/>
        <w:spacing w:after="0"/>
        <w:ind w:left="720" w:hanging="720"/>
      </w:pPr>
      <w:r w:rsidRPr="009F7A4D">
        <w:t xml:space="preserve">Cumella, S., &amp; Lyons, M. (2018). Shared‐life communities for people with a learning disability: A review of the evidence. </w:t>
      </w:r>
      <w:r w:rsidRPr="009F7A4D">
        <w:rPr>
          <w:i/>
        </w:rPr>
        <w:t>British Journal of Learning Disabilities, 46</w:t>
      </w:r>
      <w:r w:rsidRPr="009F7A4D">
        <w:t>(3), 163-171. doi:10.1111/bld.12224</w:t>
      </w:r>
    </w:p>
    <w:p w14:paraId="414E6E66" w14:textId="29CD4817" w:rsidR="00256494" w:rsidRDefault="00256494" w:rsidP="00BF0543">
      <w:pPr>
        <w:pStyle w:val="EndNoteBibliography"/>
        <w:spacing w:after="0"/>
        <w:ind w:left="720" w:hanging="720"/>
      </w:pPr>
      <w:r>
        <w:t>Dean, J. (2003)Leaving home: the housing aspirations of young disabled people Housing, Care &amp; Support ;6(2):21-2</w:t>
      </w:r>
    </w:p>
    <w:p w14:paraId="435365E2" w14:textId="715018E2" w:rsidR="00AC53BC" w:rsidRPr="009F7A4D" w:rsidRDefault="00AC53BC" w:rsidP="00BF0543">
      <w:pPr>
        <w:pStyle w:val="EndNoteBibliography"/>
        <w:spacing w:after="0"/>
        <w:ind w:left="720" w:hanging="720"/>
      </w:pPr>
      <w:r w:rsidRPr="00AC53BC">
        <w:t>Dimitriadou Ioanna (2020) Independent living of individuals with intellectual disability: a combined study of the opinions of parents, educational staff, and individuals with intellectual disability in Greece, International Journal of Developmental Disabilities, 66:2, 153-159, DOI: 10.1080/20473869.2018.1541560</w:t>
      </w:r>
    </w:p>
    <w:p w14:paraId="78EE1631" w14:textId="77777777" w:rsidR="00256494" w:rsidRDefault="00256494" w:rsidP="00BF0543">
      <w:pPr>
        <w:pStyle w:val="EndNoteBibliography"/>
        <w:spacing w:after="0"/>
        <w:ind w:left="720" w:hanging="720"/>
      </w:pPr>
      <w:r w:rsidRPr="009F7A4D">
        <w:t xml:space="preserve">Duggan, C., &amp; Linehan, C. (2013). The role of 'natural supports' in promoting independent living for people with disabilities; a review of existing literature. </w:t>
      </w:r>
      <w:r w:rsidRPr="009F7A4D">
        <w:rPr>
          <w:i/>
        </w:rPr>
        <w:t>British Journal of Learning Disabilities, 41</w:t>
      </w:r>
      <w:r w:rsidRPr="009F7A4D">
        <w:t>(3), 199-207. doi:10.1111/bld.12040</w:t>
      </w:r>
    </w:p>
    <w:p w14:paraId="60D65F84" w14:textId="77777777" w:rsidR="00256494" w:rsidRDefault="00256494" w:rsidP="00BF0543">
      <w:pPr>
        <w:pStyle w:val="EndNoteBibliography"/>
        <w:spacing w:after="0"/>
        <w:ind w:left="720" w:hanging="720"/>
      </w:pPr>
      <w:r>
        <w:t>Elder-Woodward, James; D'Aboville, Etienne; Duncan-Glancy, Pam (2015) Normalisation and personalisation: an independent living movement critique Critical and Radical Social Work Aug 2015 2019-08-23 2015;3(2):261-279</w:t>
      </w:r>
    </w:p>
    <w:p w14:paraId="1B1B45C3" w14:textId="77777777" w:rsidR="00256494" w:rsidRPr="009F7A4D" w:rsidRDefault="00256494" w:rsidP="00BF0543">
      <w:pPr>
        <w:pStyle w:val="EndNoteBibliography"/>
        <w:spacing w:after="0"/>
        <w:ind w:left="720" w:hanging="720"/>
      </w:pPr>
      <w:r w:rsidRPr="009F7A4D">
        <w:t xml:space="preserve">Emerson, E. (2004). Cluster housing for adults with intellectual disabilities. </w:t>
      </w:r>
      <w:r w:rsidRPr="009F7A4D">
        <w:rPr>
          <w:i/>
        </w:rPr>
        <w:t>Journal of Intellectual &amp; Developmental Disability, 29</w:t>
      </w:r>
      <w:r w:rsidRPr="009F7A4D">
        <w:t>(3), 187-197. doi:10.1080/13668250412331285208</w:t>
      </w:r>
    </w:p>
    <w:p w14:paraId="00501885" w14:textId="77777777" w:rsidR="00256494" w:rsidRPr="009F7A4D" w:rsidRDefault="00256494" w:rsidP="00BF0543">
      <w:pPr>
        <w:pStyle w:val="EndNoteBibliography"/>
        <w:spacing w:after="0"/>
        <w:ind w:left="720" w:hanging="720"/>
      </w:pPr>
      <w:r w:rsidRPr="009F7A4D">
        <w:t xml:space="preserve">Emerson, E., Robertson, J., Gregory, N., Hatton, C., Kessissoglou, S., Hallam, A., . . . Netten, A. (2000). Quality and costs of community-based residential supports, village communities, and residential campuses in the United Kingdom. </w:t>
      </w:r>
      <w:r w:rsidRPr="009F7A4D">
        <w:rPr>
          <w:i/>
        </w:rPr>
        <w:t>American Journal on Mental Retardation, 105</w:t>
      </w:r>
      <w:r w:rsidRPr="009F7A4D">
        <w:t>(2), 81-102. doi:</w:t>
      </w:r>
      <w:r w:rsidRPr="00415B84">
        <w:t>http://dx.doi.org/10.1352/0895-8017(2000)105</w:t>
      </w:r>
      <w:r w:rsidRPr="009F7A4D">
        <w:t>&lt;0081:QACOCR&gt;2.0.CO;2</w:t>
      </w:r>
    </w:p>
    <w:p w14:paraId="1BC94F28" w14:textId="77777777" w:rsidR="00256494" w:rsidRDefault="00256494" w:rsidP="00BF0543">
      <w:pPr>
        <w:pStyle w:val="EndNoteBibliography"/>
        <w:spacing w:after="0"/>
        <w:ind w:left="720" w:hanging="720"/>
      </w:pPr>
      <w:r w:rsidRPr="009F7A4D">
        <w:t xml:space="preserve">Endermann, M. (2015). Rehabilitation for young adults with epilepsy and mild intellectual disabilities: Results of a prospective study with repeated measurements. </w:t>
      </w:r>
      <w:r w:rsidRPr="009F7A4D">
        <w:rPr>
          <w:i/>
        </w:rPr>
        <w:t>Seizure-European Journal of Epilepsy, 26</w:t>
      </w:r>
      <w:r w:rsidRPr="009F7A4D">
        <w:t>, 72-80. doi:10.1016/j.seizure.2015.02.002</w:t>
      </w:r>
    </w:p>
    <w:p w14:paraId="14EE64C9" w14:textId="585A9AB0" w:rsidR="00256494" w:rsidRPr="009F7A4D" w:rsidRDefault="00256494" w:rsidP="00BF0543">
      <w:pPr>
        <w:pStyle w:val="EndNoteBibliography"/>
        <w:spacing w:after="0"/>
        <w:ind w:left="720" w:hanging="720"/>
      </w:pPr>
      <w:r w:rsidRPr="00785D27">
        <w:t>Evans, Cassandra (2017)</w:t>
      </w:r>
      <w:r w:rsidR="00E96C60">
        <w:t xml:space="preserve"> </w:t>
      </w:r>
      <w:r w:rsidRPr="00785D27">
        <w:t>Asylum to Community and in between: Examining the Post-deinstitutionalization Transitional Experiences of Mentally Disabled Individuals in Suffolk County, Long Island 2017;():1-1</w:t>
      </w:r>
    </w:p>
    <w:p w14:paraId="189D3E2D" w14:textId="77777777" w:rsidR="00256494" w:rsidRPr="009F7A4D" w:rsidRDefault="00256494" w:rsidP="00BF0543">
      <w:pPr>
        <w:pStyle w:val="EndNoteBibliography"/>
        <w:spacing w:after="0"/>
        <w:ind w:left="720" w:hanging="720"/>
      </w:pPr>
      <w:r w:rsidRPr="009F7A4D">
        <w:t xml:space="preserve">Fahey, Á., Noonan Walsh, P., Emerson, E., &amp; Guerin, S. (2010). Characteristics, supports, and quality of life of Irish adults with intellectual disability in life-sharing residential communities. </w:t>
      </w:r>
      <w:r w:rsidRPr="009F7A4D">
        <w:rPr>
          <w:i/>
        </w:rPr>
        <w:t>Journal of Intellectual &amp; Developmental Disability, 35</w:t>
      </w:r>
      <w:r w:rsidRPr="009F7A4D">
        <w:t>(2), 66-76. doi:10.3109/13668251003724635</w:t>
      </w:r>
    </w:p>
    <w:p w14:paraId="6366FEF1" w14:textId="77777777" w:rsidR="00256494" w:rsidRPr="009F7A4D" w:rsidRDefault="00256494" w:rsidP="00BF0543">
      <w:pPr>
        <w:pStyle w:val="EndNoteBibliography"/>
        <w:spacing w:after="0"/>
        <w:ind w:left="720" w:hanging="720"/>
      </w:pPr>
      <w:r w:rsidRPr="009F7A4D">
        <w:t xml:space="preserve">Farhall, J., Trauer, T., Newton, R., &amp; Cheung, P. (2003). Minimizing adverse effects on patients of involuntary relocation from long-stay wards to community residences. </w:t>
      </w:r>
      <w:r w:rsidRPr="009F7A4D">
        <w:rPr>
          <w:i/>
        </w:rPr>
        <w:t>Psychiatric Services, 54</w:t>
      </w:r>
      <w:r w:rsidRPr="009F7A4D">
        <w:t>(7), 1022-1027. doi:</w:t>
      </w:r>
      <w:r w:rsidRPr="00415B84">
        <w:t>http://dx.doi.org/10.1176/appi.ps.54.7.1022</w:t>
      </w:r>
    </w:p>
    <w:p w14:paraId="014F3F0B" w14:textId="6B658304" w:rsidR="00256494" w:rsidRDefault="00256494" w:rsidP="00BF0543">
      <w:pPr>
        <w:pStyle w:val="EndNoteBibliography"/>
        <w:spacing w:after="0"/>
        <w:ind w:left="720" w:hanging="720"/>
      </w:pPr>
      <w:r w:rsidRPr="009F7A4D">
        <w:t xml:space="preserve">Felce, D. (2017). Community Living for Adults with Intellectual Disabilities: Unravelling the Cost Effectiveness Discourse. </w:t>
      </w:r>
      <w:r w:rsidRPr="009F7A4D">
        <w:rPr>
          <w:i/>
        </w:rPr>
        <w:t>Journal of Policy &amp; Practice in Intellectual Disabilities, 14</w:t>
      </w:r>
      <w:r w:rsidRPr="009F7A4D">
        <w:t>(3), 187-197. doi:10.1111/jppi.12180</w:t>
      </w:r>
    </w:p>
    <w:p w14:paraId="30602651" w14:textId="00B991A8" w:rsidR="00BF0543" w:rsidRDefault="003E6B69" w:rsidP="00BF0543">
      <w:pPr>
        <w:pStyle w:val="EndNoteBibliography"/>
        <w:spacing w:after="0"/>
        <w:ind w:left="720" w:hanging="720"/>
      </w:pPr>
      <w:r w:rsidRPr="003E6B69">
        <w:t>Felce, D. (2006). Both accurate interpretation of deinstitutionalization and a postinstitutional research agenda are needed. Mental retardation, 44(5), 375-382.</w:t>
      </w:r>
    </w:p>
    <w:p w14:paraId="6A158839" w14:textId="77777777" w:rsidR="00BF0543" w:rsidRDefault="00BF0543">
      <w:pPr>
        <w:rPr>
          <w:rFonts w:ascii="Calibri" w:hAnsi="Calibri" w:cs="Calibri"/>
          <w:noProof/>
        </w:rPr>
      </w:pPr>
      <w:r>
        <w:br w:type="page"/>
      </w:r>
    </w:p>
    <w:p w14:paraId="58323427" w14:textId="77777777" w:rsidR="00256494" w:rsidRPr="009F7A4D" w:rsidRDefault="00256494" w:rsidP="00BF0543">
      <w:pPr>
        <w:pStyle w:val="EndNoteBibliography"/>
        <w:spacing w:after="0"/>
        <w:ind w:left="720" w:hanging="720"/>
      </w:pPr>
      <w:r w:rsidRPr="009F7A4D">
        <w:lastRenderedPageBreak/>
        <w:t xml:space="preserve">Felce, D., &amp; Emerson, E. (2001). Living with support in a home in the community: Predictors of behavioral development and household and community activity. </w:t>
      </w:r>
      <w:r w:rsidRPr="009F7A4D">
        <w:rPr>
          <w:i/>
        </w:rPr>
        <w:t>Mental Retardation &amp; Developmental Disabilities Research Reviews, 7</w:t>
      </w:r>
      <w:r w:rsidRPr="009F7A4D">
        <w:t>(2), 75-83. doi:10.1002/mrdd.1011</w:t>
      </w:r>
    </w:p>
    <w:p w14:paraId="1907ADFD" w14:textId="77777777" w:rsidR="00256494" w:rsidRPr="009F7A4D" w:rsidRDefault="00256494" w:rsidP="00BF0543">
      <w:pPr>
        <w:pStyle w:val="EndNoteBibliography"/>
        <w:spacing w:after="0"/>
        <w:ind w:left="720" w:hanging="720"/>
      </w:pPr>
      <w:r w:rsidRPr="009F7A4D">
        <w:t xml:space="preserve">Fionnola, K., &amp; McConkey, R. (2012). Changes in the provision of residential care for adults with an intellectual disability: a national longitudinal study. </w:t>
      </w:r>
      <w:r w:rsidRPr="009F7A4D">
        <w:rPr>
          <w:i/>
        </w:rPr>
        <w:t>Tizard Learning Disability Review, 17</w:t>
      </w:r>
      <w:r w:rsidRPr="009F7A4D">
        <w:t>(1), 4-10. doi:</w:t>
      </w:r>
      <w:r w:rsidRPr="00415B84">
        <w:t>http://dx.doi.org/10.1108/13595471211207075</w:t>
      </w:r>
    </w:p>
    <w:p w14:paraId="56AA7E7A" w14:textId="77777777" w:rsidR="00256494" w:rsidRPr="009F7A4D" w:rsidRDefault="00256494" w:rsidP="00BF0543">
      <w:pPr>
        <w:pStyle w:val="EndNoteBibliography"/>
        <w:spacing w:after="0"/>
        <w:ind w:left="720" w:hanging="720"/>
      </w:pPr>
      <w:r w:rsidRPr="009F7A4D">
        <w:t xml:space="preserve">Fish, R., &amp; Lobley, J. (2001). Evaluating a forensic service for people with learning disabilities: Comparing approaches. </w:t>
      </w:r>
      <w:r w:rsidRPr="009F7A4D">
        <w:rPr>
          <w:i/>
        </w:rPr>
        <w:t>Journal of Learning Disabilities, 5</w:t>
      </w:r>
      <w:r w:rsidRPr="009F7A4D">
        <w:t>(2), 97-109. doi:10.1177/146900470100500201</w:t>
      </w:r>
    </w:p>
    <w:p w14:paraId="65C2F7AB" w14:textId="77777777" w:rsidR="00256494" w:rsidRPr="009F7A4D" w:rsidRDefault="00256494" w:rsidP="00BF0543">
      <w:pPr>
        <w:pStyle w:val="EndNoteBibliography"/>
        <w:spacing w:after="0"/>
        <w:ind w:left="720" w:hanging="720"/>
      </w:pPr>
      <w:r w:rsidRPr="009F7A4D">
        <w:t xml:space="preserve">Fish, R., &amp; Morgan, H. (2019). "Moving on" through the locked ward system for women with intellectual disabilities. </w:t>
      </w:r>
      <w:r w:rsidRPr="009F7A4D">
        <w:rPr>
          <w:i/>
        </w:rPr>
        <w:t>Journal of Applied Research in Intellectual Disabilities, 32</w:t>
      </w:r>
      <w:r w:rsidRPr="009F7A4D">
        <w:t>(4), 932-941. doi:10.1111/jar.12586</w:t>
      </w:r>
    </w:p>
    <w:p w14:paraId="03A443CD" w14:textId="77777777" w:rsidR="00256494" w:rsidRPr="009F7A4D" w:rsidRDefault="00256494" w:rsidP="00BF0543">
      <w:pPr>
        <w:pStyle w:val="EndNoteBibliography"/>
        <w:spacing w:after="0"/>
        <w:ind w:left="720" w:hanging="720"/>
      </w:pPr>
      <w:r w:rsidRPr="009F7A4D">
        <w:t xml:space="preserve">Fisher, K. R., Lutz, D., Gadow, F., Robinson, S., &amp; Gendera, S. (2015). A Transformative Framework for Deinstitutionalisation. </w:t>
      </w:r>
      <w:r w:rsidRPr="009F7A4D">
        <w:rPr>
          <w:i/>
        </w:rPr>
        <w:t>Research and Practice in Intellectual and Developmental Disabilities, 2</w:t>
      </w:r>
      <w:r w:rsidRPr="009F7A4D">
        <w:t>(1), 60-72. doi:10.1080/23297018.2015.1028089</w:t>
      </w:r>
    </w:p>
    <w:p w14:paraId="4FC9B96F" w14:textId="6FEA750D" w:rsidR="00256494" w:rsidRDefault="00256494" w:rsidP="00BF0543">
      <w:pPr>
        <w:pStyle w:val="EndNoteBibliography"/>
        <w:spacing w:after="0"/>
        <w:ind w:left="720" w:hanging="720"/>
      </w:pPr>
      <w:r w:rsidRPr="009F7A4D">
        <w:t xml:space="preserve">Fisher, K. R., Parker, S., &amp; Purcal, C. (2009). Measuring the Effectiveness of New Approaches to Housing Support Policy for Persons with Disabilities. </w:t>
      </w:r>
      <w:r w:rsidRPr="009F7A4D">
        <w:rPr>
          <w:i/>
        </w:rPr>
        <w:t>Australian Journal of Public Administration, 68</w:t>
      </w:r>
      <w:r w:rsidRPr="009F7A4D">
        <w:t>(3), 319-332. doi:10.1111/j.1467-8500.2009.00642.x</w:t>
      </w:r>
    </w:p>
    <w:p w14:paraId="10997427" w14:textId="1A866B9F" w:rsidR="00B8152D" w:rsidRPr="009F7A4D" w:rsidRDefault="00B8152D" w:rsidP="00BF0543">
      <w:pPr>
        <w:pStyle w:val="EndNoteBibliography"/>
        <w:spacing w:after="0"/>
        <w:ind w:left="720" w:hanging="720"/>
      </w:pPr>
      <w:r w:rsidRPr="00B8152D">
        <w:t>Fisher, K., Parker, S., Purcal, C., Thaler, O., Abelson, P., Pickering, E. Robinson, S. &amp; Griffiths, M. (2008) Effectiveness of support living in relation to shared accommodation: final report. University of New South Wales: University of New South Wales Consortium</w:t>
      </w:r>
    </w:p>
    <w:p w14:paraId="08DBA661" w14:textId="77777777" w:rsidR="00256494" w:rsidRDefault="00256494" w:rsidP="00BF0543">
      <w:pPr>
        <w:pStyle w:val="EndNoteBibliography"/>
        <w:spacing w:after="0"/>
        <w:ind w:left="720" w:hanging="720"/>
      </w:pPr>
      <w:r w:rsidRPr="009F7A4D">
        <w:t xml:space="preserve">Fleming, P., McGilloway, S., &amp; Barry, S. (2016). The successes and challenges of implementing individualised funding and supports for disabled people: an Irish perspective. </w:t>
      </w:r>
      <w:r w:rsidRPr="009F7A4D">
        <w:rPr>
          <w:i/>
        </w:rPr>
        <w:t>Disability &amp; Society, 31</w:t>
      </w:r>
      <w:r w:rsidRPr="009F7A4D">
        <w:t>(10), 1369-1384. doi:10.1080/09687599.2016.1261692</w:t>
      </w:r>
    </w:p>
    <w:p w14:paraId="6D8A7C8D" w14:textId="77777777" w:rsidR="00256494" w:rsidRDefault="00256494" w:rsidP="00BF0543">
      <w:pPr>
        <w:pStyle w:val="EndNoteBibliography"/>
        <w:spacing w:after="0"/>
        <w:ind w:left="720" w:hanging="720"/>
      </w:pPr>
      <w:r>
        <w:t>Foley, Simon (2014) ‘Their families or the disability services will take care of them’: the invisible homeless and how Irish government policy is designed not to help themDisability &amp; Society 2014;29(4):556-567</w:t>
      </w:r>
    </w:p>
    <w:p w14:paraId="74D91898" w14:textId="77777777" w:rsidR="00256494" w:rsidRDefault="00256494" w:rsidP="00BF0543">
      <w:pPr>
        <w:pStyle w:val="EndNoteBibliography"/>
        <w:spacing w:after="0"/>
        <w:ind w:left="720" w:hanging="720"/>
      </w:pPr>
      <w:r>
        <w:t>Glynn, Aisling ‘Disabled people are trapped in their homes’: The ‘choice’ has comedown to 42 minutes aday at home or 24 hoursa day in residential care Irish Times 11/20/ 2018 Nov 20 2018;():3</w:t>
      </w:r>
    </w:p>
    <w:p w14:paraId="4791644C" w14:textId="77777777" w:rsidR="00256494" w:rsidRDefault="00256494" w:rsidP="00BF0543">
      <w:pPr>
        <w:pStyle w:val="EndNoteBibliography"/>
        <w:spacing w:after="0"/>
        <w:ind w:left="720" w:hanging="720"/>
      </w:pPr>
      <w:r w:rsidRPr="001B6232">
        <w:t>Golding, L., Emerson, E., &amp; Thornton, A. (2005). An evaluation of specialized community-based residential supports for people with challenging behaviour. Journal of Intellectual Disabilities, 9(2), 145-154.</w:t>
      </w:r>
    </w:p>
    <w:p w14:paraId="2FC192CC" w14:textId="77777777" w:rsidR="00256494" w:rsidRPr="009F7A4D" w:rsidRDefault="00256494" w:rsidP="00BF0543">
      <w:pPr>
        <w:pStyle w:val="EndNoteBibliography"/>
        <w:spacing w:after="0"/>
        <w:ind w:left="720" w:hanging="720"/>
      </w:pPr>
      <w:r w:rsidRPr="001B6232">
        <w:t>Grant et al (2017) Housing &amp; Indigenous disability: lived experiences of housing and community infrastructure. AHURI</w:t>
      </w:r>
    </w:p>
    <w:p w14:paraId="3029781F" w14:textId="7E50B70D" w:rsidR="00256494" w:rsidRDefault="00256494" w:rsidP="00BF0543">
      <w:pPr>
        <w:pStyle w:val="EndNoteBibliography"/>
        <w:spacing w:after="0"/>
        <w:ind w:left="720" w:hanging="720"/>
      </w:pPr>
      <w:r w:rsidRPr="009F7A4D">
        <w:t xml:space="preserve">Griffiths, D. M., Owen, F., &amp; Condillac, R. (2015). Family Feedback on the Closure of Institutions for Persons with Intellectual Disabilities in Ontario. </w:t>
      </w:r>
      <w:r w:rsidRPr="009F7A4D">
        <w:rPr>
          <w:i/>
        </w:rPr>
        <w:t>Journal on Developmental Disabilities, 21</w:t>
      </w:r>
      <w:r w:rsidRPr="009F7A4D">
        <w:t xml:space="preserve">(2), 28-37. </w:t>
      </w:r>
    </w:p>
    <w:p w14:paraId="798B65E8" w14:textId="004777CF" w:rsidR="00274BC5" w:rsidRPr="009F7A4D" w:rsidRDefault="00274BC5" w:rsidP="00BF0543">
      <w:pPr>
        <w:pStyle w:val="EndNoteBibliography"/>
        <w:spacing w:after="0"/>
        <w:ind w:left="720" w:hanging="720"/>
      </w:pPr>
      <w:r>
        <w:t>Griffiths, M. (2011) Younger disabled still stuck in aged care; Many younger people with serious disabilities are still being forced to live in aged care homes despite a COAG push to move them out of nursing homes, disability support advocates say, ABC Premium News 07/21/ 2011 Jul 21</w:t>
      </w:r>
    </w:p>
    <w:p w14:paraId="41F21933" w14:textId="77777777" w:rsidR="00256494" w:rsidRPr="009F7A4D" w:rsidRDefault="00256494" w:rsidP="00BF0543">
      <w:pPr>
        <w:pStyle w:val="EndNoteBibliography"/>
        <w:spacing w:after="0"/>
        <w:ind w:left="720" w:hanging="720"/>
      </w:pPr>
      <w:r w:rsidRPr="009F7A4D">
        <w:t xml:space="preserve">Gutman, S. A., &amp; Raphael-Greenfield, E. I. (2017). Effectiveness of a supportive housing program for homeless adults with mental illness and substance use: A two-group controlled trial. </w:t>
      </w:r>
      <w:r w:rsidRPr="009F7A4D">
        <w:rPr>
          <w:i/>
        </w:rPr>
        <w:t>The British Journal of Occupational Therapy, 80</w:t>
      </w:r>
      <w:r w:rsidRPr="009F7A4D">
        <w:t>(5), 286-293. doi:</w:t>
      </w:r>
      <w:r w:rsidRPr="00415B84">
        <w:t>http://dx.doi.org/10.1177/0308022616680368</w:t>
      </w:r>
    </w:p>
    <w:p w14:paraId="7FBD8E7E" w14:textId="5281B4FE" w:rsidR="00BF0543" w:rsidRDefault="00256494" w:rsidP="00BF0543">
      <w:pPr>
        <w:pStyle w:val="EndNoteBibliography"/>
        <w:spacing w:after="0"/>
        <w:ind w:left="720" w:hanging="720"/>
      </w:pPr>
      <w:r w:rsidRPr="009F7A4D">
        <w:t xml:space="preserve">Gutman, S. A., Raphael-Greenfield, E. I., &amp; Simon, P. M. (2016). Feasibility and acceptability of a pilot housing transition program for homeless adults with mental illness and substance use. </w:t>
      </w:r>
      <w:r w:rsidRPr="009F7A4D">
        <w:rPr>
          <w:i/>
        </w:rPr>
        <w:t>Occupational Therapy in Health Care, 30</w:t>
      </w:r>
      <w:r w:rsidRPr="009F7A4D">
        <w:t>(2), 124-138. doi:</w:t>
      </w:r>
      <w:r w:rsidRPr="00415B84">
        <w:t>http://dx.doi.org/10.3109/07380577.2015.1060660</w:t>
      </w:r>
    </w:p>
    <w:p w14:paraId="55095288" w14:textId="77777777" w:rsidR="00BF0543" w:rsidRDefault="00BF0543">
      <w:pPr>
        <w:rPr>
          <w:rFonts w:ascii="Calibri" w:hAnsi="Calibri" w:cs="Calibri"/>
          <w:noProof/>
        </w:rPr>
      </w:pPr>
      <w:r>
        <w:br w:type="page"/>
      </w:r>
    </w:p>
    <w:p w14:paraId="2610773A" w14:textId="77777777" w:rsidR="00256494" w:rsidRPr="009F7A4D" w:rsidRDefault="00256494" w:rsidP="00BF0543">
      <w:pPr>
        <w:pStyle w:val="EndNoteBibliography"/>
        <w:spacing w:after="0"/>
        <w:ind w:left="720" w:hanging="720"/>
      </w:pPr>
      <w:r w:rsidRPr="009F7A4D">
        <w:lastRenderedPageBreak/>
        <w:t xml:space="preserve">Hallam, A., Knapp, M., Jarbrink, K., Netten, A., Emerson, E., Robertson, J., . . . Durkan, J. (2002). Costs of village community, residential campus and dispersed housing provision for people with intellectual disability. </w:t>
      </w:r>
      <w:r w:rsidRPr="009F7A4D">
        <w:rPr>
          <w:i/>
        </w:rPr>
        <w:t>Journal of Intellectual Disability Research, 46</w:t>
      </w:r>
      <w:r w:rsidRPr="009F7A4D">
        <w:t>, 394-404. doi:10.1046/j.1365-2788.2002.00409.x</w:t>
      </w:r>
    </w:p>
    <w:p w14:paraId="60BAC4DC" w14:textId="77777777" w:rsidR="00256494" w:rsidRPr="009F7A4D" w:rsidRDefault="00256494" w:rsidP="00BF0543">
      <w:pPr>
        <w:pStyle w:val="EndNoteBibliography"/>
        <w:spacing w:after="0"/>
        <w:ind w:left="720" w:hanging="720"/>
      </w:pPr>
      <w:r w:rsidRPr="009F7A4D">
        <w:t xml:space="preserve">Hayashi, R., &amp; Okuhira, M. (2008). The independent living movement in Asia: solidarity from Japan. </w:t>
      </w:r>
      <w:r w:rsidRPr="009F7A4D">
        <w:rPr>
          <w:i/>
        </w:rPr>
        <w:t>Disability &amp; Society, 23</w:t>
      </w:r>
      <w:r w:rsidRPr="009F7A4D">
        <w:t>(5), 417-429. doi:10.1080/09687590802176991</w:t>
      </w:r>
    </w:p>
    <w:p w14:paraId="781F0F20" w14:textId="77777777" w:rsidR="00256494" w:rsidRPr="009F7A4D" w:rsidRDefault="00256494" w:rsidP="00BF0543">
      <w:pPr>
        <w:pStyle w:val="EndNoteBibliography"/>
        <w:spacing w:after="0"/>
        <w:ind w:left="720" w:hanging="720"/>
      </w:pPr>
      <w:r w:rsidRPr="009F7A4D">
        <w:t xml:space="preserve">Head, A., Ellis‐Caird, H., Rhodes, L., &amp; Parkinson, K. (2018). Transforming identities through Transforming Care: How people with learning disabilities experience moving out of hospital. </w:t>
      </w:r>
      <w:r w:rsidRPr="009F7A4D">
        <w:rPr>
          <w:i/>
        </w:rPr>
        <w:t>British Journal of Learning Disabilities, 46</w:t>
      </w:r>
      <w:r w:rsidRPr="009F7A4D">
        <w:t>(1), 64-70. doi:10.1111/bld.12213</w:t>
      </w:r>
    </w:p>
    <w:p w14:paraId="5A942B58" w14:textId="77777777" w:rsidR="00256494" w:rsidRPr="009F7A4D" w:rsidRDefault="00256494" w:rsidP="00BF0543">
      <w:pPr>
        <w:pStyle w:val="EndNoteBibliography"/>
        <w:spacing w:after="0"/>
        <w:ind w:left="720" w:hanging="720"/>
      </w:pPr>
      <w:r w:rsidRPr="009F7A4D">
        <w:t xml:space="preserve">Helgøy, I., Ravneberg, B., &amp; Solvang, P. (2003). Service Provision for an Independent Life. </w:t>
      </w:r>
      <w:r w:rsidRPr="009F7A4D">
        <w:rPr>
          <w:i/>
        </w:rPr>
        <w:t>Disability &amp; Society, 18</w:t>
      </w:r>
      <w:r w:rsidRPr="009F7A4D">
        <w:t>(4), 471-487. doi:10.1080/0968759032000081011</w:t>
      </w:r>
    </w:p>
    <w:p w14:paraId="014FBE64" w14:textId="77777777" w:rsidR="00256494" w:rsidRPr="009F7A4D" w:rsidRDefault="00256494" w:rsidP="00BF0543">
      <w:pPr>
        <w:pStyle w:val="EndNoteBibliography"/>
        <w:spacing w:after="0"/>
        <w:ind w:left="720" w:hanging="720"/>
      </w:pPr>
      <w:r w:rsidRPr="009F7A4D">
        <w:t xml:space="preserve">Hobbs, C., Newton, L., Tennant, C., Rosen, A., &amp; Tribe, K. (2002). Deinstitutionalization for long-term mental illness: a six-year evaluation. </w:t>
      </w:r>
      <w:r w:rsidRPr="009F7A4D">
        <w:rPr>
          <w:i/>
        </w:rPr>
        <w:t>Australian and New Zealand Journal of Psychiatry, 36</w:t>
      </w:r>
      <w:r w:rsidRPr="009F7A4D">
        <w:t>(1), 60-66. doi:</w:t>
      </w:r>
      <w:r w:rsidRPr="00415B84">
        <w:t>http://dx.doi.org/10.1046/j.1440-1614.2002.00984.x</w:t>
      </w:r>
    </w:p>
    <w:p w14:paraId="6B47B99F" w14:textId="77777777" w:rsidR="00256494" w:rsidRPr="009F7A4D" w:rsidRDefault="00256494" w:rsidP="00BF0543">
      <w:pPr>
        <w:pStyle w:val="EndNoteBibliography"/>
        <w:spacing w:after="0"/>
        <w:ind w:left="720" w:hanging="720"/>
      </w:pPr>
      <w:r w:rsidRPr="009F7A4D">
        <w:t xml:space="preserve">Hoffman, D., Kehn, M. E., &amp; Lipson, D. J. (2017). The Missing Link: Examining the Impact of Housing Vouchers and Community-Based Services and Supports on Transitions From Nursing Facilities to the Community. </w:t>
      </w:r>
      <w:r w:rsidRPr="009F7A4D">
        <w:rPr>
          <w:i/>
        </w:rPr>
        <w:t>Journal of Disability Policy Studies, 27</w:t>
      </w:r>
      <w:r w:rsidRPr="009F7A4D">
        <w:t>(4), 243-251. doi:</w:t>
      </w:r>
      <w:r w:rsidRPr="00415B84">
        <w:t>http://dx.doi.org/10.1177/1044207317694847</w:t>
      </w:r>
    </w:p>
    <w:p w14:paraId="39A90AEA" w14:textId="77777777" w:rsidR="00256494" w:rsidRPr="009F7A4D" w:rsidRDefault="00256494" w:rsidP="00BF0543">
      <w:pPr>
        <w:pStyle w:val="EndNoteBibliography"/>
        <w:spacing w:after="0"/>
        <w:ind w:left="720" w:hanging="720"/>
      </w:pPr>
      <w:r w:rsidRPr="009F7A4D">
        <w:t xml:space="preserve">Houseworth, J., Stancliffe, R. J., &amp; Tichá, R. (2018). Association of state-level and individual-level factors with choice making of individuals with intellectual and developmental disabilities. </w:t>
      </w:r>
      <w:r w:rsidRPr="009F7A4D">
        <w:rPr>
          <w:i/>
        </w:rPr>
        <w:t>Research in Developmental Disabilities, 83</w:t>
      </w:r>
      <w:r w:rsidRPr="009F7A4D">
        <w:t>, 77-90. doi:10.1016/j.ridd.2018.08.008</w:t>
      </w:r>
    </w:p>
    <w:p w14:paraId="251485A8" w14:textId="77777777" w:rsidR="00256494" w:rsidRPr="009F7A4D" w:rsidRDefault="00256494" w:rsidP="00BF0543">
      <w:pPr>
        <w:pStyle w:val="EndNoteBibliography"/>
        <w:spacing w:after="0"/>
        <w:ind w:left="720" w:hanging="720"/>
      </w:pPr>
      <w:r w:rsidRPr="009F7A4D">
        <w:t xml:space="preserve">Ioanna, D. (2020). Independent living of individuals with intellectual disability: a combined study of the opinions of parents, educational staff, and individuals with intellectual disability in Greece. </w:t>
      </w:r>
      <w:r w:rsidRPr="009F7A4D">
        <w:rPr>
          <w:i/>
        </w:rPr>
        <w:t>International Journal of Developmental Disabilities, 66</w:t>
      </w:r>
      <w:r w:rsidRPr="009F7A4D">
        <w:t>(2), 153-159. doi:</w:t>
      </w:r>
      <w:r w:rsidRPr="00415B84">
        <w:t>http://dx.doi.org/10.1080/20473869.2018.1541560</w:t>
      </w:r>
    </w:p>
    <w:p w14:paraId="1F583EEC" w14:textId="77777777" w:rsidR="00256494" w:rsidRPr="009F7A4D" w:rsidRDefault="00256494" w:rsidP="00BF0543">
      <w:pPr>
        <w:pStyle w:val="EndNoteBibliography"/>
        <w:spacing w:after="0"/>
        <w:ind w:left="720" w:hanging="720"/>
      </w:pPr>
      <w:r w:rsidRPr="009F7A4D">
        <w:t xml:space="preserve">Iriarte, E. G., McConkey, R., &amp; Vilda, D. (2020). Family experiences of personalised accommodation and support for people with intellectual disability. </w:t>
      </w:r>
      <w:r w:rsidRPr="009F7A4D">
        <w:rPr>
          <w:i/>
        </w:rPr>
        <w:t>Journal of intellectual disabilities : JOID</w:t>
      </w:r>
      <w:r w:rsidRPr="009F7A4D">
        <w:t>, 1744629520905207. doi:</w:t>
      </w:r>
      <w:r w:rsidRPr="00415B84">
        <w:t>http://dx.doi.org/10.1177/1744629520905207</w:t>
      </w:r>
    </w:p>
    <w:p w14:paraId="1772A2C0" w14:textId="53E6D5A1" w:rsidR="00256494" w:rsidRPr="009F7A4D" w:rsidRDefault="00256494" w:rsidP="00BF0543">
      <w:pPr>
        <w:pStyle w:val="EndNoteBibliography"/>
        <w:spacing w:after="0"/>
        <w:ind w:left="720" w:hanging="720"/>
      </w:pPr>
      <w:r w:rsidRPr="009F7A4D">
        <w:t xml:space="preserve">Iriarte, E. G., Stockdale, J., McConkey, R., </w:t>
      </w:r>
      <w:r w:rsidR="00C67F42">
        <w:t xml:space="preserve">&amp; </w:t>
      </w:r>
      <w:r w:rsidRPr="009F7A4D">
        <w:t xml:space="preserve">Keogh, F. (2016). The role of support staff as people move from congregated settings to group homes and personalized arrangements in Ireland. </w:t>
      </w:r>
      <w:r w:rsidRPr="009F7A4D">
        <w:rPr>
          <w:i/>
        </w:rPr>
        <w:t>Journal of Intellectual Disabilities, 20</w:t>
      </w:r>
      <w:r w:rsidRPr="009F7A4D">
        <w:t>(2), 152-164. doi:10.1177/1744629516633966</w:t>
      </w:r>
    </w:p>
    <w:p w14:paraId="23DA7060" w14:textId="77777777" w:rsidR="00256494" w:rsidRPr="009F7A4D" w:rsidRDefault="00256494" w:rsidP="00BF0543">
      <w:pPr>
        <w:pStyle w:val="EndNoteBibliography"/>
        <w:spacing w:after="0"/>
        <w:ind w:left="720" w:hanging="720"/>
      </w:pPr>
      <w:r w:rsidRPr="009F7A4D">
        <w:t xml:space="preserve">Jones, J. L., &amp; Gallus, K. L. (2016). Understanding Deinstitutionalization. </w:t>
      </w:r>
      <w:r w:rsidRPr="009F7A4D">
        <w:rPr>
          <w:i/>
        </w:rPr>
        <w:t>Research &amp; Practice for Persons with Severe Disabilities, 41</w:t>
      </w:r>
      <w:r w:rsidRPr="009F7A4D">
        <w:t>(2), 116-131. doi:10.1177/1540796916637050</w:t>
      </w:r>
    </w:p>
    <w:p w14:paraId="0E15D770" w14:textId="77777777" w:rsidR="00256494" w:rsidRDefault="00256494" w:rsidP="00BF0543">
      <w:pPr>
        <w:pStyle w:val="EndNoteBibliography"/>
        <w:spacing w:after="0"/>
        <w:ind w:left="720" w:hanging="720"/>
      </w:pPr>
      <w:r w:rsidRPr="009F7A4D">
        <w:t xml:space="preserve">Karban, K., Paley, C., &amp; Willcock, K. (2013). Towards support: evaluating a move to independent living. </w:t>
      </w:r>
      <w:r w:rsidRPr="009F7A4D">
        <w:rPr>
          <w:i/>
        </w:rPr>
        <w:t>Housing, Care &amp; Support, 16</w:t>
      </w:r>
      <w:r w:rsidRPr="009F7A4D">
        <w:t>(2), 85-94. doi:10.1108/HCS-02-2013-0001</w:t>
      </w:r>
    </w:p>
    <w:p w14:paraId="76F69EE1" w14:textId="628C5FA1" w:rsidR="00256494" w:rsidRPr="009F7A4D" w:rsidRDefault="00256494" w:rsidP="00BF0543">
      <w:pPr>
        <w:pStyle w:val="EndNoteBibliography"/>
        <w:spacing w:after="0"/>
        <w:ind w:left="720" w:hanging="720"/>
      </w:pPr>
      <w:r>
        <w:t xml:space="preserve">Killaspy, H. </w:t>
      </w:r>
      <w:r w:rsidR="003356F9">
        <w:t xml:space="preserve">(2016). </w:t>
      </w:r>
      <w:r>
        <w:t>Supported accommodation for people with mental health problems</w:t>
      </w:r>
      <w:r w:rsidR="003356F9">
        <w:t xml:space="preserve"> </w:t>
      </w:r>
      <w:r w:rsidRPr="00223389">
        <w:rPr>
          <w:i/>
          <w:iCs/>
        </w:rPr>
        <w:t>World Psychiatry</w:t>
      </w:r>
      <w:r>
        <w:t xml:space="preserve"> </w:t>
      </w:r>
      <w:r w:rsidRPr="00223389">
        <w:rPr>
          <w:i/>
          <w:iCs/>
        </w:rPr>
        <w:t>15</w:t>
      </w:r>
      <w:r>
        <w:t>(1):74-75</w:t>
      </w:r>
    </w:p>
    <w:p w14:paraId="6E3A0A9B" w14:textId="77777777" w:rsidR="00256494" w:rsidRPr="009F7A4D" w:rsidRDefault="00256494" w:rsidP="00BF0543">
      <w:pPr>
        <w:pStyle w:val="EndNoteBibliography"/>
        <w:spacing w:after="0"/>
        <w:ind w:left="720" w:hanging="720"/>
      </w:pPr>
      <w:r w:rsidRPr="009F7A4D">
        <w:t xml:space="preserve">Kilroy, S., Egan, J., Walsh, M., McManus, S., &amp; Sarma, K. M. (2015). Staff perceptions of the quality of life of individuals with an intellectual disability who transition from a residential campus to community living in Ireland: An exploratory study. </w:t>
      </w:r>
      <w:r w:rsidRPr="009F7A4D">
        <w:rPr>
          <w:i/>
        </w:rPr>
        <w:t>Journal of Intellectual &amp; Developmental Disability, 40</w:t>
      </w:r>
      <w:r w:rsidRPr="009F7A4D">
        <w:t>(1), 68-77. doi:10.3109/13668250.2014.984666</w:t>
      </w:r>
    </w:p>
    <w:p w14:paraId="43B5D9AA" w14:textId="77777777" w:rsidR="00256494" w:rsidRPr="009F7A4D" w:rsidRDefault="00256494" w:rsidP="00BF0543">
      <w:pPr>
        <w:pStyle w:val="EndNoteBibliography"/>
        <w:spacing w:after="0"/>
        <w:ind w:left="720" w:hanging="720"/>
      </w:pPr>
      <w:r w:rsidRPr="009F7A4D">
        <w:t xml:space="preserve">Kim, K. M., &amp; Fox, M. H. (2004). Knocking on the door: The integration of emerging disability groups into dependent living. </w:t>
      </w:r>
      <w:r w:rsidRPr="009F7A4D">
        <w:rPr>
          <w:i/>
        </w:rPr>
        <w:t>Journal of Vocational Rehabilitation, 20</w:t>
      </w:r>
      <w:r w:rsidRPr="009F7A4D">
        <w:t xml:space="preserve">(2), 91-98. </w:t>
      </w:r>
    </w:p>
    <w:p w14:paraId="326C2441" w14:textId="44DFE621" w:rsidR="00BF0543" w:rsidRDefault="00256494" w:rsidP="00BF0543">
      <w:pPr>
        <w:pStyle w:val="EndNoteBibliography"/>
        <w:spacing w:after="0"/>
        <w:ind w:left="720" w:hanging="720"/>
      </w:pPr>
      <w:r w:rsidRPr="009F7A4D">
        <w:t xml:space="preserve">King, E., Okodogbe, T., Burke, E., McCarron, M., McCallion, P., &amp; O'Donovan, M. A. (2017). Activities of daily living and transition to community living for adults with intellectual disabilities. </w:t>
      </w:r>
      <w:r w:rsidRPr="009F7A4D">
        <w:rPr>
          <w:i/>
        </w:rPr>
        <w:t>Scandinavian Journal of Occupational Therapy, 24</w:t>
      </w:r>
      <w:r w:rsidRPr="009F7A4D">
        <w:t>(5), 357-365. doi:10.1080/11038128.2016.1227369</w:t>
      </w:r>
    </w:p>
    <w:p w14:paraId="5C8C6225" w14:textId="77777777" w:rsidR="00BF0543" w:rsidRDefault="00BF0543">
      <w:pPr>
        <w:rPr>
          <w:rFonts w:ascii="Calibri" w:hAnsi="Calibri" w:cs="Calibri"/>
          <w:noProof/>
        </w:rPr>
      </w:pPr>
      <w:r>
        <w:br w:type="page"/>
      </w:r>
    </w:p>
    <w:p w14:paraId="79B78EC0" w14:textId="77777777" w:rsidR="00256494" w:rsidRPr="009F7A4D" w:rsidRDefault="00256494" w:rsidP="00BF0543">
      <w:pPr>
        <w:pStyle w:val="EndNoteBibliography"/>
        <w:spacing w:after="0"/>
        <w:ind w:left="720" w:hanging="720"/>
      </w:pPr>
      <w:r w:rsidRPr="009F7A4D">
        <w:lastRenderedPageBreak/>
        <w:t xml:space="preserve">Kirkpatrick, H., &amp; Byrne, C. (2011). A narrative inquiry of a program that provides permanent housing with supports to homeless individuals with severe mental illness. </w:t>
      </w:r>
      <w:r w:rsidRPr="009F7A4D">
        <w:rPr>
          <w:i/>
        </w:rPr>
        <w:t>Canadian Journal of Community Mental Health, 30</w:t>
      </w:r>
      <w:r w:rsidRPr="009F7A4D">
        <w:t>(1), 31-43. doi:</w:t>
      </w:r>
      <w:r w:rsidRPr="00415B84">
        <w:t>http://dx.doi.org/10.7870/cjcmh-2011-0003</w:t>
      </w:r>
    </w:p>
    <w:p w14:paraId="11EC6459" w14:textId="77777777" w:rsidR="00256494" w:rsidRPr="009F7A4D" w:rsidRDefault="00256494" w:rsidP="00BF0543">
      <w:pPr>
        <w:pStyle w:val="EndNoteBibliography"/>
        <w:spacing w:after="0"/>
        <w:ind w:left="720" w:hanging="720"/>
      </w:pPr>
      <w:r w:rsidRPr="00E82AE5">
        <w:t>Kroehn, M., Hutson, K., Faulkner, D., &amp; Beer, A. (2007). The housing careers of persons with a disability and family members with care responsibilities for persons with a disability. Research Paper, National Research Venture, 2, 21st.</w:t>
      </w:r>
    </w:p>
    <w:p w14:paraId="34D262E7" w14:textId="77777777" w:rsidR="00256494" w:rsidRPr="009F7A4D" w:rsidRDefault="00256494" w:rsidP="00BF0543">
      <w:pPr>
        <w:pStyle w:val="EndNoteBibliography"/>
        <w:spacing w:after="0"/>
        <w:ind w:left="720" w:hanging="720"/>
      </w:pPr>
      <w:r w:rsidRPr="009F7A4D">
        <w:t xml:space="preserve">La Motte‐Kerr, W., Rhoades, H., Henwood, B., Rice, E., &amp; Wenzel, S. (2020). Exploring the Association of Community Integration in Mental Health among Formerly Homeless Individuals Living in Permanent Supportive Housing. </w:t>
      </w:r>
      <w:r w:rsidRPr="009F7A4D">
        <w:rPr>
          <w:i/>
        </w:rPr>
        <w:t>American Journal of Community Psychology, 66</w:t>
      </w:r>
      <w:r w:rsidRPr="009F7A4D">
        <w:t>(1/2), 3-13. doi:10.1002/ajcp.12459</w:t>
      </w:r>
    </w:p>
    <w:p w14:paraId="06291715" w14:textId="77777777" w:rsidR="00256494" w:rsidRPr="009F7A4D" w:rsidRDefault="00256494" w:rsidP="00BF0543">
      <w:pPr>
        <w:pStyle w:val="EndNoteBibliography"/>
        <w:spacing w:after="0"/>
        <w:ind w:left="720" w:hanging="720"/>
      </w:pPr>
      <w:r w:rsidRPr="009F7A4D">
        <w:t xml:space="preserve">Lee, C. C., Liem, S. K., Leung, J., Young, V., Wu, K., Kenny, K. K., . . . Lo, W. (2015). From deinstitutionalization to recovery-oriented assertive community treatment in Hong Kong: What we have achieved. </w:t>
      </w:r>
      <w:r w:rsidRPr="009F7A4D">
        <w:rPr>
          <w:i/>
        </w:rPr>
        <w:t>Psychiatry Research, 228</w:t>
      </w:r>
      <w:r w:rsidRPr="009F7A4D">
        <w:t>(3), 243-250. doi:</w:t>
      </w:r>
      <w:r w:rsidRPr="00415B84">
        <w:t>http://dx.doi.org/10.1016/j.psychres.2015.05.106</w:t>
      </w:r>
    </w:p>
    <w:p w14:paraId="716727F7" w14:textId="77777777" w:rsidR="00256494" w:rsidRDefault="00256494" w:rsidP="00BF0543">
      <w:pPr>
        <w:pStyle w:val="EndNoteBibliography"/>
        <w:spacing w:after="0"/>
        <w:ind w:left="720" w:hanging="720"/>
      </w:pPr>
      <w:r w:rsidRPr="009F7A4D">
        <w:t xml:space="preserve">Lerman, P., Apgar, D. H., &amp; Jordan, T. (2003). Deconstitutionalization and Mortality: Findings of a Controlled Research Design in New Jersey. </w:t>
      </w:r>
      <w:r w:rsidRPr="009F7A4D">
        <w:rPr>
          <w:i/>
        </w:rPr>
        <w:t>Mental Retardation, 41</w:t>
      </w:r>
      <w:r w:rsidRPr="009F7A4D">
        <w:t>(4), 225. doi:10.1352/0047-6765(2003)41&lt;225:DAMFOA&gt;2.0.CO;2</w:t>
      </w:r>
    </w:p>
    <w:p w14:paraId="1D75166F" w14:textId="6F131ECD" w:rsidR="00256494" w:rsidRPr="009F7A4D" w:rsidRDefault="00256494" w:rsidP="00BF0543">
      <w:pPr>
        <w:pStyle w:val="EndNoteBibliography"/>
        <w:spacing w:after="0"/>
        <w:ind w:left="720" w:hanging="720"/>
      </w:pPr>
      <w:r w:rsidRPr="00D521F6">
        <w:t xml:space="preserve">Lojanica, V.; Colic-Damjanovic, V.M.; Jankovic, N. </w:t>
      </w:r>
      <w:r w:rsidR="00A275F6">
        <w:t xml:space="preserve">(2018). </w:t>
      </w:r>
      <w:r w:rsidRPr="00D521F6">
        <w:t>Housing of the future: Housing design of the fourth industrial revolution. In Proceedings of the 2018 5th International Symposium on Environment-Friendly Energies and Applications (EFEA), Rome, Italy, 24–26 September 2018.</w:t>
      </w:r>
    </w:p>
    <w:p w14:paraId="2FEA62C9" w14:textId="77777777" w:rsidR="00256494" w:rsidRPr="009F7A4D" w:rsidRDefault="00256494" w:rsidP="00BF0543">
      <w:pPr>
        <w:pStyle w:val="EndNoteBibliography"/>
        <w:spacing w:after="0"/>
        <w:ind w:left="720" w:hanging="720"/>
      </w:pPr>
      <w:r w:rsidRPr="009F7A4D">
        <w:t xml:space="preserve">Longtin, V., Dufour, S., &amp; Morin, D. (2020). Typology of Community Living Transitions for People with Intellectual Disabilities: Are Current Experience in Rehabilitation Centers Tied to the Best Practices? </w:t>
      </w:r>
      <w:r w:rsidRPr="009F7A4D">
        <w:rPr>
          <w:i/>
        </w:rPr>
        <w:t>Journal of Policy &amp; Practice in Intellectual Disabilities, 17</w:t>
      </w:r>
      <w:r w:rsidRPr="009F7A4D">
        <w:t>(2), 176-184. doi:10.1111/jppi.12331</w:t>
      </w:r>
    </w:p>
    <w:p w14:paraId="4DDC9747" w14:textId="77777777" w:rsidR="00256494" w:rsidRPr="009F7A4D" w:rsidRDefault="00256494" w:rsidP="00BF0543">
      <w:pPr>
        <w:pStyle w:val="EndNoteBibliography"/>
        <w:spacing w:after="0"/>
        <w:ind w:left="720" w:hanging="720"/>
      </w:pPr>
      <w:r w:rsidRPr="009F7A4D">
        <w:t xml:space="preserve">Malone, D. K. (2009). Assessing criminal history as a predictor of future housing success for homeless adults with behavioral health disorders. </w:t>
      </w:r>
      <w:r w:rsidRPr="009F7A4D">
        <w:rPr>
          <w:i/>
        </w:rPr>
        <w:t>Psychiatric Services, 60</w:t>
      </w:r>
      <w:r w:rsidRPr="009F7A4D">
        <w:t>(2), 224-230. doi:</w:t>
      </w:r>
      <w:r w:rsidRPr="00415B84">
        <w:t>http://dx.doi.org/10.1176/appi.ps.60.2.224</w:t>
      </w:r>
    </w:p>
    <w:p w14:paraId="22A46BF7" w14:textId="2D76E6BF" w:rsidR="00256494" w:rsidRDefault="00256494" w:rsidP="00BF0543">
      <w:pPr>
        <w:pStyle w:val="EndNoteBibliography"/>
        <w:spacing w:after="0"/>
        <w:ind w:left="720" w:hanging="720"/>
      </w:pPr>
      <w:r w:rsidRPr="00D521F6">
        <w:t>Mansell, J</w:t>
      </w:r>
      <w:r w:rsidR="003356F9">
        <w:t>. (</w:t>
      </w:r>
      <w:r w:rsidR="003356F9" w:rsidRPr="00D521F6">
        <w:t>2005</w:t>
      </w:r>
      <w:r w:rsidR="003356F9">
        <w:t xml:space="preserve">). </w:t>
      </w:r>
      <w:r w:rsidRPr="00D521F6">
        <w:t xml:space="preserve"> Deinstitutionalisation and community living: An international perspective </w:t>
      </w:r>
      <w:r w:rsidRPr="00223389">
        <w:rPr>
          <w:i/>
          <w:iCs/>
        </w:rPr>
        <w:t>Housing, Care &amp; Support</w:t>
      </w:r>
      <w:r w:rsidR="003356F9">
        <w:rPr>
          <w:i/>
          <w:iCs/>
        </w:rPr>
        <w:t>,</w:t>
      </w:r>
      <w:r w:rsidR="003356F9">
        <w:t xml:space="preserve"> </w:t>
      </w:r>
      <w:r w:rsidRPr="00223389">
        <w:rPr>
          <w:i/>
          <w:iCs/>
        </w:rPr>
        <w:t>8</w:t>
      </w:r>
      <w:r w:rsidRPr="00D521F6">
        <w:t xml:space="preserve">(3):26-33 </w:t>
      </w:r>
    </w:p>
    <w:p w14:paraId="18CEAF29" w14:textId="77777777" w:rsidR="00256494" w:rsidRPr="009F7A4D" w:rsidRDefault="00256494" w:rsidP="00BF0543">
      <w:pPr>
        <w:pStyle w:val="EndNoteBibliography"/>
        <w:spacing w:after="0"/>
        <w:ind w:left="720" w:hanging="720"/>
      </w:pPr>
      <w:r w:rsidRPr="009F7A4D">
        <w:t xml:space="preserve">Marlow, E., &amp; Walker, N. (2015). Does supported living work for people with severe intellectual disabilities? </w:t>
      </w:r>
      <w:r w:rsidRPr="009F7A4D">
        <w:rPr>
          <w:i/>
        </w:rPr>
        <w:t>Advances in Mental Health &amp; Intellectual Disabilities, 9</w:t>
      </w:r>
      <w:r w:rsidRPr="009F7A4D">
        <w:t>(6), 338-351. doi:10.1108/AMHID-02-2015-0006</w:t>
      </w:r>
    </w:p>
    <w:p w14:paraId="4C2275DC" w14:textId="77777777" w:rsidR="00256494" w:rsidRPr="009F7A4D" w:rsidRDefault="00256494" w:rsidP="00BF0543">
      <w:pPr>
        <w:pStyle w:val="EndNoteBibliography"/>
        <w:spacing w:after="0"/>
        <w:ind w:left="720" w:hanging="720"/>
      </w:pPr>
      <w:r w:rsidRPr="009F7A4D">
        <w:t xml:space="preserve">Martin, L., &amp; Ashworth, M. (2010). Deinstitutionalization in Ontario, Canada: Understanding Who Moved When. </w:t>
      </w:r>
      <w:r w:rsidRPr="009F7A4D">
        <w:rPr>
          <w:i/>
        </w:rPr>
        <w:t>Journal of Policy and Practice in Intellectual Disabilities, 7</w:t>
      </w:r>
      <w:r w:rsidRPr="009F7A4D">
        <w:t>(3), 167-176. doi:10.1111/j.1741-1130.2010.00261.x</w:t>
      </w:r>
    </w:p>
    <w:p w14:paraId="61105B14" w14:textId="77777777" w:rsidR="00256494" w:rsidRPr="009F7A4D" w:rsidRDefault="00256494" w:rsidP="00BF0543">
      <w:pPr>
        <w:pStyle w:val="EndNoteBibliography"/>
        <w:spacing w:after="0"/>
        <w:ind w:left="720" w:hanging="720"/>
      </w:pPr>
      <w:r w:rsidRPr="009F7A4D">
        <w:t xml:space="preserve">Martin, L., Ashworth, M., &amp; Montague, P. (2012). A longitudinal study of institutional downsizing and challenging behaviors among adults with intellectual disability. </w:t>
      </w:r>
      <w:r w:rsidRPr="009F7A4D">
        <w:rPr>
          <w:i/>
        </w:rPr>
        <w:t>International Journal on Disability and Human Development, 11</w:t>
      </w:r>
      <w:r w:rsidRPr="009F7A4D">
        <w:t>(1), 51-59. doi:</w:t>
      </w:r>
      <w:r w:rsidRPr="00415B84">
        <w:t>http://dx.doi.org/10.1515/IJDHD.2012.008</w:t>
      </w:r>
    </w:p>
    <w:p w14:paraId="4B82E628" w14:textId="77777777" w:rsidR="00256494" w:rsidRPr="009F7A4D" w:rsidRDefault="00256494" w:rsidP="00BF0543">
      <w:pPr>
        <w:pStyle w:val="EndNoteBibliography"/>
        <w:spacing w:after="0"/>
        <w:ind w:left="720" w:hanging="720"/>
      </w:pPr>
      <w:r w:rsidRPr="009F7A4D">
        <w:t xml:space="preserve">Mathews, E. S. (2015). Towards an independent future: Life skills training and vulnerable Deaf adults. </w:t>
      </w:r>
      <w:r w:rsidRPr="009F7A4D">
        <w:rPr>
          <w:i/>
        </w:rPr>
        <w:t>Irish Journal of Applied Social Studies, 15</w:t>
      </w:r>
      <w:r w:rsidRPr="009F7A4D">
        <w:t xml:space="preserve">(1), 1-14. </w:t>
      </w:r>
    </w:p>
    <w:p w14:paraId="77C468D7" w14:textId="77777777" w:rsidR="00256494" w:rsidRPr="009F7A4D" w:rsidRDefault="00256494" w:rsidP="00BF0543">
      <w:pPr>
        <w:pStyle w:val="EndNoteBibliography"/>
        <w:spacing w:after="0"/>
        <w:ind w:left="720" w:hanging="720"/>
      </w:pPr>
      <w:r w:rsidRPr="009F7A4D">
        <w:t xml:space="preserve">May, P., Lombard Vance, R., Murphy, E., O'Donovan, M. A., Webb, N., Sheaf, G., . . . McCarron, M. (2019). Effect of deinstitutionalisation for adults with intellectual disabilities on costs: A systematic review. </w:t>
      </w:r>
      <w:r w:rsidRPr="009F7A4D">
        <w:rPr>
          <w:i/>
        </w:rPr>
        <w:t>BMJ Open, 9</w:t>
      </w:r>
      <w:r w:rsidRPr="009F7A4D">
        <w:t>(9). doi:</w:t>
      </w:r>
      <w:r w:rsidRPr="00415B84">
        <w:t>http://dx.doi.org/10.1136/bmjopen-2018-025736</w:t>
      </w:r>
    </w:p>
    <w:p w14:paraId="44F6F7EA" w14:textId="77777777" w:rsidR="00256494" w:rsidRDefault="00256494" w:rsidP="00BF0543">
      <w:pPr>
        <w:pStyle w:val="EndNoteBibliography"/>
        <w:spacing w:after="0"/>
        <w:ind w:left="720" w:hanging="720"/>
      </w:pPr>
      <w:r w:rsidRPr="009F7A4D">
        <w:t xml:space="preserve">McCarron, M., Lombard-Vance, R., Murphy, E., May, P., Webb, N., Sheaf, G., . . . O'Donovan, M. A. (2019). Effect of deinstitutionalisation on quality of life for adults with intellectual disabilities: A systematic review. </w:t>
      </w:r>
      <w:r w:rsidRPr="009F7A4D">
        <w:rPr>
          <w:i/>
        </w:rPr>
        <w:t>BMJ Open, 9</w:t>
      </w:r>
      <w:r w:rsidRPr="009F7A4D">
        <w:t>(4). doi:</w:t>
      </w:r>
      <w:r w:rsidRPr="00415B84">
        <w:t>http://dx.doi.org/10.1136/bmjopen-2018-025735</w:t>
      </w:r>
    </w:p>
    <w:p w14:paraId="0B4B52BD" w14:textId="63B1D0E2" w:rsidR="00BF0543" w:rsidRDefault="00256494" w:rsidP="00BF0543">
      <w:pPr>
        <w:pStyle w:val="EndNoteBibliography"/>
        <w:spacing w:after="0"/>
        <w:ind w:left="720" w:hanging="720"/>
      </w:pPr>
      <w:r w:rsidRPr="00F57B76">
        <w:t xml:space="preserve">McCauley, Karen; Matheson, Duncan </w:t>
      </w:r>
      <w:r w:rsidR="00A275F6">
        <w:t>(</w:t>
      </w:r>
      <w:r w:rsidR="00A275F6" w:rsidRPr="00F57B76">
        <w:t>2016</w:t>
      </w:r>
      <w:r w:rsidR="00A275F6">
        <w:t xml:space="preserve">). </w:t>
      </w:r>
      <w:r w:rsidRPr="00F57B76">
        <w:t xml:space="preserve">PERSPECTIVE: From Institution to Community Living, to Social Inclusion - Unrealized Policy Promises </w:t>
      </w:r>
      <w:r w:rsidRPr="00223389">
        <w:rPr>
          <w:i/>
          <w:iCs/>
        </w:rPr>
        <w:t>Journal on Developmental Disabilities</w:t>
      </w:r>
      <w:r w:rsidR="00A275F6">
        <w:rPr>
          <w:i/>
          <w:iCs/>
        </w:rPr>
        <w:t>,</w:t>
      </w:r>
      <w:r w:rsidRPr="00223389">
        <w:rPr>
          <w:i/>
          <w:iCs/>
        </w:rPr>
        <w:t>22</w:t>
      </w:r>
      <w:r w:rsidRPr="00F57B76">
        <w:t>(1):3-9</w:t>
      </w:r>
      <w:r w:rsidR="00BF0543">
        <w:br w:type="page"/>
      </w:r>
    </w:p>
    <w:p w14:paraId="5E23AA04" w14:textId="77777777" w:rsidR="00256494" w:rsidRPr="009F7A4D" w:rsidRDefault="00256494" w:rsidP="00BF0543">
      <w:pPr>
        <w:pStyle w:val="EndNoteBibliography"/>
        <w:spacing w:after="0"/>
        <w:ind w:left="720" w:hanging="720"/>
      </w:pPr>
      <w:r w:rsidRPr="009F7A4D">
        <w:lastRenderedPageBreak/>
        <w:t xml:space="preserve">McConkey, R. (2016). Relocating people with intellectual disabilities to new accommodation and support settings: Contrasts between personalised arrangements and group home placements. </w:t>
      </w:r>
      <w:r w:rsidRPr="009F7A4D">
        <w:rPr>
          <w:i/>
        </w:rPr>
        <w:t>Journal of Intellectual Disability Research, 60 (7-8)</w:t>
      </w:r>
      <w:r w:rsidRPr="009F7A4D">
        <w:t xml:space="preserve">, 704. </w:t>
      </w:r>
    </w:p>
    <w:p w14:paraId="193E4854" w14:textId="77777777" w:rsidR="00256494" w:rsidRPr="009F7A4D" w:rsidRDefault="00256494" w:rsidP="00BF0543">
      <w:pPr>
        <w:pStyle w:val="EndNoteBibliography"/>
        <w:spacing w:after="0"/>
        <w:ind w:left="720" w:hanging="720"/>
      </w:pPr>
      <w:r w:rsidRPr="009F7A4D">
        <w:t xml:space="preserve">McConkey, R., Bunting, B., Iriarte, E. G., Watson, S. F., Keogh, F., &amp; Garcia Iriarte, E. (2016). Relocating people with intellectual disability to new accommodation and support settings: Contrasts between personalized arrangements and group home placements. </w:t>
      </w:r>
      <w:r w:rsidRPr="009F7A4D">
        <w:rPr>
          <w:i/>
        </w:rPr>
        <w:t>Journal of Intellectual Disabilities, 20</w:t>
      </w:r>
      <w:r w:rsidRPr="009F7A4D">
        <w:t>(2), 109-120. doi:10.1177/1744629515624639</w:t>
      </w:r>
    </w:p>
    <w:p w14:paraId="05696F13" w14:textId="77777777" w:rsidR="00256494" w:rsidRPr="009F7A4D" w:rsidRDefault="00256494" w:rsidP="00BF0543">
      <w:pPr>
        <w:pStyle w:val="EndNoteBibliography"/>
        <w:spacing w:after="0"/>
        <w:ind w:left="720" w:hanging="720"/>
      </w:pPr>
      <w:r w:rsidRPr="009F7A4D">
        <w:t xml:space="preserve">McConkey, R., Bunting, B., Keogh, F., &amp; Garcia Iriarte, E. (2019). The impact on social relationships of moving from congregated settings to personalized accommodation. </w:t>
      </w:r>
      <w:r w:rsidRPr="009F7A4D">
        <w:rPr>
          <w:i/>
        </w:rPr>
        <w:t>Journal of Intellectual Disabilities, 23</w:t>
      </w:r>
      <w:r w:rsidRPr="009F7A4D">
        <w:t>(2), 149-159. doi:10.1177/1744629517716546</w:t>
      </w:r>
    </w:p>
    <w:p w14:paraId="38D6D3FD" w14:textId="77777777" w:rsidR="00256494" w:rsidRPr="009F7A4D" w:rsidRDefault="00256494" w:rsidP="00BF0543">
      <w:pPr>
        <w:pStyle w:val="EndNoteBibliography"/>
        <w:spacing w:after="0"/>
        <w:ind w:left="720" w:hanging="720"/>
      </w:pPr>
      <w:r w:rsidRPr="009F7A4D">
        <w:t xml:space="preserve">McConkey, R., &amp; Craig, S. (2018). Change over 12 years in residential provision for adult persons with intellectual disabilities in Ireland. </w:t>
      </w:r>
      <w:r w:rsidRPr="009F7A4D">
        <w:rPr>
          <w:i/>
        </w:rPr>
        <w:t>Tizard Learning Disability Review, 23</w:t>
      </w:r>
      <w:r w:rsidRPr="009F7A4D">
        <w:t>(1), 1-7. doi:10.1108/TLDR-01-2017-0001</w:t>
      </w:r>
    </w:p>
    <w:p w14:paraId="248F7192" w14:textId="77777777" w:rsidR="00256494" w:rsidRPr="009F7A4D" w:rsidRDefault="00256494" w:rsidP="00BF0543">
      <w:pPr>
        <w:pStyle w:val="EndNoteBibliography"/>
        <w:spacing w:after="0"/>
        <w:ind w:left="720" w:hanging="720"/>
      </w:pPr>
      <w:r w:rsidRPr="009F7A4D">
        <w:t xml:space="preserve">McConkey, R., &amp; Garcia-Iriarte, E. (2016). The role of management and support staff as people move from congregated settings. </w:t>
      </w:r>
      <w:r w:rsidRPr="009F7A4D">
        <w:rPr>
          <w:i/>
        </w:rPr>
        <w:t>Journal of Intellectual Disability Research, 60 (7-8)</w:t>
      </w:r>
      <w:r w:rsidRPr="009F7A4D">
        <w:t xml:space="preserve">, 704. </w:t>
      </w:r>
    </w:p>
    <w:p w14:paraId="2E04ADA8" w14:textId="77777777" w:rsidR="00256494" w:rsidRPr="009F7A4D" w:rsidRDefault="00256494" w:rsidP="00BF0543">
      <w:pPr>
        <w:pStyle w:val="EndNoteBibliography"/>
        <w:spacing w:after="0"/>
        <w:ind w:left="720" w:hanging="720"/>
      </w:pPr>
      <w:r w:rsidRPr="009F7A4D">
        <w:t xml:space="preserve">McConkey, R., Kelly, F., Mannan, H., &amp; Craig, S. (2011). Moving from family care to residential and supported accommodation: national, longitudinal study of people with intellectual disabilities. </w:t>
      </w:r>
      <w:r w:rsidRPr="009F7A4D">
        <w:rPr>
          <w:i/>
        </w:rPr>
        <w:t>American Journal on Intellectual &amp; Developmental Disabilities, 116</w:t>
      </w:r>
      <w:r w:rsidRPr="009F7A4D">
        <w:t>(4), 305-314. doi:10.1352/1944-7558-116.4.305</w:t>
      </w:r>
    </w:p>
    <w:p w14:paraId="0486C1AE" w14:textId="31DB74B3" w:rsidR="00256494" w:rsidRDefault="00256494" w:rsidP="00BF0543">
      <w:pPr>
        <w:pStyle w:val="EndNoteBibliography"/>
        <w:spacing w:after="0"/>
        <w:ind w:left="720" w:hanging="720"/>
      </w:pPr>
      <w:r w:rsidRPr="009F7A4D">
        <w:t xml:space="preserve">McConkey, R., Keogh, F., Bunting, B., &amp; Iriarte, E. G. (2018). Changes in the self-rated well-being of people who move from congregated settings to personalized arrangements and group home placements. </w:t>
      </w:r>
      <w:r w:rsidRPr="009F7A4D">
        <w:rPr>
          <w:i/>
        </w:rPr>
        <w:t>Journal of Intellectual Disabilities, 22</w:t>
      </w:r>
      <w:r w:rsidRPr="009F7A4D">
        <w:t>(1), 49-60. doi:10.1177/1744629516674086</w:t>
      </w:r>
    </w:p>
    <w:p w14:paraId="4B18CADF" w14:textId="27AC8D15" w:rsidR="00B8152D" w:rsidRPr="009F7A4D" w:rsidRDefault="00B8152D" w:rsidP="00BF0543">
      <w:pPr>
        <w:pStyle w:val="EndNoteBibliography"/>
        <w:spacing w:after="0"/>
        <w:ind w:left="720" w:hanging="720"/>
      </w:pPr>
      <w:r>
        <w:t xml:space="preserve">McConkey, R. (2000) Community care and resettlement, </w:t>
      </w:r>
      <w:r w:rsidRPr="00B8152D">
        <w:rPr>
          <w:i/>
          <w:iCs/>
        </w:rPr>
        <w:t>Current Opinion in Psychiatry</w:t>
      </w:r>
      <w:r>
        <w:t>, 13(5):491-495</w:t>
      </w:r>
    </w:p>
    <w:p w14:paraId="40C0D3CD" w14:textId="37658297" w:rsidR="00256494" w:rsidRDefault="00256494" w:rsidP="00BF0543">
      <w:pPr>
        <w:pStyle w:val="EndNoteBibliography"/>
        <w:spacing w:after="0"/>
        <w:ind w:left="720" w:hanging="720"/>
      </w:pPr>
      <w:r w:rsidRPr="009F7A4D">
        <w:t xml:space="preserve">McIntyre, D., Fleming, J., Foster, M., &amp; Tweedy, S. (2017). Experiences of adults with high-care needs and their family members with housing and support pathways in Australia. </w:t>
      </w:r>
      <w:r w:rsidRPr="009F7A4D">
        <w:rPr>
          <w:i/>
        </w:rPr>
        <w:t>Disability &amp; Rehabilitation, 39</w:t>
      </w:r>
      <w:r w:rsidRPr="009F7A4D">
        <w:t>(18), 1829-1839. doi:10.1080/09638288.2016.1212108</w:t>
      </w:r>
    </w:p>
    <w:p w14:paraId="4C4FAB54" w14:textId="158C2A6C" w:rsidR="00B8152D" w:rsidRPr="008E7F05" w:rsidRDefault="00B8152D" w:rsidP="00BF0543">
      <w:pPr>
        <w:pStyle w:val="EndNoteBibliography"/>
        <w:spacing w:after="0"/>
        <w:ind w:left="720" w:hanging="720"/>
        <w:rPr>
          <w:rFonts w:asciiTheme="minorHAnsi" w:hAnsiTheme="minorHAnsi" w:cstheme="minorHAnsi"/>
        </w:rPr>
      </w:pPr>
      <w:r w:rsidRPr="008E7F05">
        <w:rPr>
          <w:rFonts w:asciiTheme="minorHAnsi" w:hAnsiTheme="minorHAnsi" w:cstheme="minorHAnsi"/>
          <w:color w:val="333333"/>
          <w:shd w:val="clear" w:color="auto" w:fill="FFFFFF"/>
        </w:rPr>
        <w:t xml:space="preserve">Meehan T, Stedman T, Robertson S, Drake S, King R. </w:t>
      </w:r>
      <w:r>
        <w:rPr>
          <w:rFonts w:asciiTheme="minorHAnsi" w:hAnsiTheme="minorHAnsi" w:cstheme="minorHAnsi"/>
          <w:color w:val="333333"/>
          <w:shd w:val="clear" w:color="auto" w:fill="FFFFFF"/>
        </w:rPr>
        <w:t xml:space="preserve">(2011) </w:t>
      </w:r>
      <w:r w:rsidRPr="008E7F05">
        <w:rPr>
          <w:rFonts w:asciiTheme="minorHAnsi" w:hAnsiTheme="minorHAnsi" w:cstheme="minorHAnsi"/>
          <w:color w:val="333333"/>
          <w:shd w:val="clear" w:color="auto" w:fill="FFFFFF"/>
        </w:rPr>
        <w:t>Does Supported Accommodation Improve the Clinical and Social Outcomes for People with</w:t>
      </w:r>
      <w:r>
        <w:rPr>
          <w:rFonts w:asciiTheme="minorHAnsi" w:hAnsiTheme="minorHAnsi" w:cstheme="minorHAnsi"/>
          <w:color w:val="333333"/>
          <w:shd w:val="clear" w:color="auto" w:fill="FFFFFF"/>
        </w:rPr>
        <w:t xml:space="preserve"> </w:t>
      </w:r>
      <w:r w:rsidRPr="008E7F05">
        <w:rPr>
          <w:rFonts w:asciiTheme="minorHAnsi" w:hAnsiTheme="minorHAnsi" w:cstheme="minorHAnsi"/>
          <w:color w:val="333333"/>
          <w:shd w:val="clear" w:color="auto" w:fill="FFFFFF"/>
        </w:rPr>
        <w:t>Severe Psychiatric Disability? The Project 300 Experience. </w:t>
      </w:r>
      <w:r w:rsidRPr="008E7F05">
        <w:rPr>
          <w:rFonts w:asciiTheme="minorHAnsi" w:hAnsiTheme="minorHAnsi" w:cstheme="minorHAnsi"/>
          <w:i/>
          <w:iCs/>
          <w:color w:val="333333"/>
          <w:shd w:val="clear" w:color="auto" w:fill="FFFFFF"/>
        </w:rPr>
        <w:t>Australian &amp; New Zealand Journal of Psychiatry</w:t>
      </w:r>
      <w:r w:rsidRPr="008E7F05">
        <w:rPr>
          <w:rFonts w:asciiTheme="minorHAnsi" w:hAnsiTheme="minorHAnsi" w:cstheme="minorHAnsi"/>
          <w:color w:val="333333"/>
          <w:shd w:val="clear" w:color="auto" w:fill="FFFFFF"/>
        </w:rPr>
        <w:t>;45(7):586-592. doi:</w:t>
      </w:r>
      <w:hyperlink r:id="rId72" w:history="1">
        <w:r w:rsidRPr="008E7F05">
          <w:rPr>
            <w:rStyle w:val="Hyperlink"/>
            <w:rFonts w:asciiTheme="minorHAnsi" w:hAnsiTheme="minorHAnsi" w:cstheme="minorHAnsi"/>
            <w:color w:val="006ACC"/>
            <w:shd w:val="clear" w:color="auto" w:fill="FFFFFF"/>
          </w:rPr>
          <w:t>10.3109/00048674.2011.559634</w:t>
        </w:r>
      </w:hyperlink>
    </w:p>
    <w:p w14:paraId="408A4407" w14:textId="77777777" w:rsidR="00256494" w:rsidRPr="009F7A4D" w:rsidRDefault="00256494" w:rsidP="00BF0543">
      <w:pPr>
        <w:pStyle w:val="EndNoteBibliography"/>
        <w:spacing w:after="0"/>
        <w:ind w:left="720" w:hanging="720"/>
      </w:pPr>
      <w:r w:rsidRPr="009F7A4D">
        <w:t xml:space="preserve">Melnick, I. (2016). Passageway: A Novel Approach to Success of Conditional Release - Principles and Constructs of the Model Residential Program for the Forensic Mentally III Patient. </w:t>
      </w:r>
      <w:r w:rsidRPr="009F7A4D">
        <w:rPr>
          <w:i/>
        </w:rPr>
        <w:t>Behavioral Sciences &amp; the Law, 34</w:t>
      </w:r>
      <w:r w:rsidRPr="009F7A4D">
        <w:t>(2/3), 396-406. doi:10.1002/bsl.2227</w:t>
      </w:r>
    </w:p>
    <w:p w14:paraId="1360913E" w14:textId="77777777" w:rsidR="00256494" w:rsidRDefault="00256494" w:rsidP="00BF0543">
      <w:pPr>
        <w:pStyle w:val="EndNoteBibliography"/>
        <w:spacing w:after="0"/>
        <w:ind w:left="720" w:hanging="720"/>
      </w:pPr>
      <w:r w:rsidRPr="009F7A4D">
        <w:t xml:space="preserve">Mendes, P., &amp; Snow, P. (2014). The needs and experiences of young people with a disability transitioning from out-of-home care: The views of practitioners in Victoria, Australia. </w:t>
      </w:r>
      <w:r w:rsidRPr="009F7A4D">
        <w:rPr>
          <w:i/>
        </w:rPr>
        <w:t>Children &amp; Youth Services Review, 36</w:t>
      </w:r>
      <w:r w:rsidRPr="009F7A4D">
        <w:t>, 115-123. doi:10.1016/j.childyouth.2013.11.019</w:t>
      </w:r>
    </w:p>
    <w:p w14:paraId="37D6BED7" w14:textId="6E65BA87" w:rsidR="00696B8B" w:rsidRPr="009F7A4D" w:rsidRDefault="00256494" w:rsidP="00BF0543">
      <w:pPr>
        <w:pStyle w:val="EndNoteBibliography"/>
        <w:spacing w:after="0"/>
        <w:ind w:left="720" w:hanging="720"/>
      </w:pPr>
      <w:r>
        <w:t xml:space="preserve">Mental Health Weekly </w:t>
      </w:r>
      <w:r w:rsidR="00A275F6">
        <w:t>(2011).</w:t>
      </w:r>
      <w:r>
        <w:t xml:space="preserve"> </w:t>
      </w:r>
      <w:r w:rsidRPr="00223389">
        <w:rPr>
          <w:i/>
          <w:iCs/>
        </w:rPr>
        <w:t>Moves forward with recovery programme for SMI population.</w:t>
      </w:r>
      <w:r w:rsidR="00A275F6">
        <w:rPr>
          <w:i/>
          <w:iCs/>
        </w:rPr>
        <w:t xml:space="preserve"> </w:t>
      </w:r>
      <w:r w:rsidRPr="00223389">
        <w:rPr>
          <w:i/>
          <w:iCs/>
        </w:rPr>
        <w:t>21</w:t>
      </w:r>
      <w:r>
        <w:t>(30):3-2011</w:t>
      </w:r>
    </w:p>
    <w:p w14:paraId="6136859F" w14:textId="4A0A1877" w:rsidR="00696B8B" w:rsidRPr="009F7A4D" w:rsidRDefault="00256494" w:rsidP="00BF0543">
      <w:pPr>
        <w:pStyle w:val="EndNoteBibliography"/>
        <w:spacing w:after="0"/>
        <w:ind w:left="720" w:hanging="720"/>
      </w:pPr>
      <w:r w:rsidRPr="00F57B76">
        <w:t>Miettinen, Sonja</w:t>
      </w:r>
      <w:r w:rsidR="00A275F6">
        <w:t>. (</w:t>
      </w:r>
      <w:r w:rsidR="00A275F6" w:rsidRPr="00F57B76">
        <w:t>201</w:t>
      </w:r>
      <w:r w:rsidR="00696B8B">
        <w:t xml:space="preserve">). </w:t>
      </w:r>
      <w:r w:rsidRPr="00F57B76">
        <w:t xml:space="preserve"> Family Care of Adults With Intellectual Disabilities: Analysis of Finnish Policies and Practices</w:t>
      </w:r>
      <w:r w:rsidR="00696B8B">
        <w:t xml:space="preserve"> </w:t>
      </w:r>
      <w:r w:rsidRPr="00223389">
        <w:rPr>
          <w:i/>
          <w:iCs/>
        </w:rPr>
        <w:t>Journal of Policy &amp; Practice in Intellectual Disabilities</w:t>
      </w:r>
      <w:r w:rsidR="00696B8B" w:rsidRPr="00223389">
        <w:rPr>
          <w:i/>
          <w:iCs/>
        </w:rPr>
        <w:t xml:space="preserve">, </w:t>
      </w:r>
      <w:r w:rsidRPr="00223389">
        <w:rPr>
          <w:i/>
          <w:iCs/>
        </w:rPr>
        <w:t>9</w:t>
      </w:r>
      <w:r w:rsidRPr="00F57B76">
        <w:t>(1):1-9</w:t>
      </w:r>
    </w:p>
    <w:p w14:paraId="56360154" w14:textId="468C44DD" w:rsidR="00696B8B" w:rsidRDefault="00256494" w:rsidP="00BF0543">
      <w:pPr>
        <w:pStyle w:val="EndNoteBibliography"/>
        <w:spacing w:after="0"/>
        <w:ind w:left="720" w:hanging="720"/>
      </w:pPr>
      <w:r w:rsidRPr="009F7A4D">
        <w:t xml:space="preserve">Miglioretti, M., Roffarello, A. M., Ercole, M., &amp; Zucca, F. (2016). A quali-quantitative study on the definition of types of non-hospital residential facilities for psychiatric patients. </w:t>
      </w:r>
      <w:r w:rsidRPr="009F7A4D">
        <w:rPr>
          <w:i/>
        </w:rPr>
        <w:t>Applied Psychology Bulletin, 277</w:t>
      </w:r>
      <w:r w:rsidRPr="009F7A4D">
        <w:t xml:space="preserve">(64), 2-10. </w:t>
      </w:r>
    </w:p>
    <w:p w14:paraId="0E3ABCFD" w14:textId="0515C651" w:rsidR="00BF0543" w:rsidRDefault="00F657E6" w:rsidP="00BF0543">
      <w:pPr>
        <w:pStyle w:val="EndNoteBibliography"/>
        <w:spacing w:after="0"/>
        <w:ind w:left="720" w:hanging="720"/>
      </w:pPr>
      <w:r w:rsidRPr="00F657E6">
        <w:t>Moher D, Liberati A, Tetzlaff J, Altman DG, The PRISMA Group (2009). Preferred Reporting Items for Systematic Reviews and Meta-Analyses: The PRISMA Statement. PLoS Med 6(7): e1000097. doi:10.1371/journal.pmed1000097</w:t>
      </w:r>
    </w:p>
    <w:p w14:paraId="2F65B9F7" w14:textId="77777777" w:rsidR="00BF0543" w:rsidRDefault="00BF0543">
      <w:pPr>
        <w:rPr>
          <w:rFonts w:ascii="Calibri" w:hAnsi="Calibri" w:cs="Calibri"/>
          <w:noProof/>
        </w:rPr>
      </w:pPr>
      <w:r>
        <w:br w:type="page"/>
      </w:r>
    </w:p>
    <w:p w14:paraId="0F9387A8" w14:textId="77777777" w:rsidR="00696B8B" w:rsidRPr="009F7A4D" w:rsidRDefault="00256494" w:rsidP="00BF0543">
      <w:pPr>
        <w:pStyle w:val="EndNoteBibliography"/>
        <w:spacing w:after="0"/>
        <w:ind w:left="720" w:hanging="720"/>
      </w:pPr>
      <w:r w:rsidRPr="009F7A4D">
        <w:lastRenderedPageBreak/>
        <w:t xml:space="preserve">Muenchberger, H., Ehrlich, C., Kendall, E., &amp; Vit, M. (2012). Experience of place for young adults under 65 years with complex disabilities moving into purpose-built residential care. </w:t>
      </w:r>
      <w:r w:rsidRPr="009F7A4D">
        <w:rPr>
          <w:i/>
        </w:rPr>
        <w:t>Social Science &amp; Medicine, 75</w:t>
      </w:r>
      <w:r w:rsidRPr="009F7A4D">
        <w:t>(12), 2151-2159. doi:10.1016/j.socscimed.2012.08.002</w:t>
      </w:r>
    </w:p>
    <w:p w14:paraId="06FE059C" w14:textId="77777777" w:rsidR="00696B8B" w:rsidRPr="009F7A4D" w:rsidRDefault="00256494" w:rsidP="00BF0543">
      <w:pPr>
        <w:pStyle w:val="EndNoteBibliography"/>
        <w:spacing w:after="0"/>
        <w:ind w:left="720" w:hanging="720"/>
      </w:pPr>
      <w:r>
        <w:t>Murray, Kate  (2012) Society: The price of independence: Fears that a council's move to cap the cost of caring for under-65s in their home will force many into institutions The Guardian 07/18/ 2012 Jul 18 2012;():30</w:t>
      </w:r>
    </w:p>
    <w:p w14:paraId="51035097" w14:textId="77777777" w:rsidR="00696B8B" w:rsidRPr="009F7A4D" w:rsidRDefault="00256494" w:rsidP="00BF0543">
      <w:pPr>
        <w:pStyle w:val="EndNoteBibliography"/>
        <w:spacing w:after="0"/>
        <w:ind w:left="720" w:hanging="720"/>
      </w:pPr>
      <w:r w:rsidRPr="009F7A4D">
        <w:t xml:space="preserve">Newcomer, R., Kang, T., Kaye, H. S., &amp; LaPlante, M. (2002). Housing changes and moves into supportive housing among adults with disabilities. </w:t>
      </w:r>
      <w:r w:rsidRPr="009F7A4D">
        <w:rPr>
          <w:i/>
        </w:rPr>
        <w:t>Journal of Disability Policy Studies, 12</w:t>
      </w:r>
      <w:r w:rsidRPr="009F7A4D">
        <w:t>(4), 268-279. doi:10.1177/104420730201200406</w:t>
      </w:r>
    </w:p>
    <w:p w14:paraId="40EB37F9" w14:textId="77777777" w:rsidR="00696B8B" w:rsidRPr="009F7A4D" w:rsidRDefault="00256494" w:rsidP="00BF0543">
      <w:pPr>
        <w:pStyle w:val="EndNoteBibliography"/>
        <w:spacing w:after="0"/>
        <w:ind w:left="720" w:hanging="720"/>
      </w:pPr>
      <w:r w:rsidRPr="00F57B76">
        <w:t>Noonan-Walsh, P; Emerson, E; Bradley, V; Schalock, R; Moseley, C; (2007) Supported Accommodation Services for People with Intellectual Disabilities: A review of models and instruments used to measure quality of life in various settings. NDA: Dublin</w:t>
      </w:r>
    </w:p>
    <w:p w14:paraId="0183E190" w14:textId="77777777" w:rsidR="00696B8B" w:rsidRPr="009F7A4D" w:rsidRDefault="00256494" w:rsidP="00BF0543">
      <w:pPr>
        <w:pStyle w:val="EndNoteBibliography"/>
        <w:spacing w:after="0"/>
        <w:ind w:left="720" w:hanging="720"/>
      </w:pPr>
      <w:r w:rsidRPr="009F7A4D">
        <w:t xml:space="preserve">Nordentoft, M., Pedersen, M. G., Pedersen, C. B., Blinkenberg, S., &amp; Mortensen, P. B. (2012). The new asylums in the community: Severely ill psychiatric patients living in psychiatric supported housing facilities. A Danish register-based study of prognostic factors, use of psychiatric services, and mortality. </w:t>
      </w:r>
      <w:r w:rsidRPr="009F7A4D">
        <w:rPr>
          <w:i/>
        </w:rPr>
        <w:t>Social Psychiatry and Psychiatric Epidemiology: The International Journal for Research in Social and Genetic Epidemiology and Mental Health Services, 47</w:t>
      </w:r>
      <w:r w:rsidRPr="009F7A4D">
        <w:t>(8), 1251-1261. doi:</w:t>
      </w:r>
      <w:r w:rsidRPr="00415B84">
        <w:t>http://dx.doi.org/10.1007/s00127-011-0432-2</w:t>
      </w:r>
    </w:p>
    <w:p w14:paraId="393FD274" w14:textId="77777777" w:rsidR="00696B8B" w:rsidRPr="009F7A4D" w:rsidRDefault="00696B8B" w:rsidP="00BF0543">
      <w:pPr>
        <w:pStyle w:val="EndNoteBibliography"/>
        <w:spacing w:after="0"/>
        <w:ind w:left="720" w:hanging="720"/>
      </w:pPr>
      <w:r>
        <w:t xml:space="preserve">Norris, Amie Lulinski; Heller, Tamar. (2014). Community capacity to provide mental/behavioral health services to people with developmental disabilities 2014;(3668615):282 Dissertation Ann Arbor University of Illinois at Chicago 2014 </w:t>
      </w:r>
    </w:p>
    <w:p w14:paraId="72E31737" w14:textId="77777777" w:rsidR="00696B8B" w:rsidRPr="009F7A4D" w:rsidRDefault="00256494" w:rsidP="00BF0543">
      <w:pPr>
        <w:pStyle w:val="EndNoteBibliography"/>
        <w:spacing w:after="0"/>
        <w:ind w:left="720" w:hanging="720"/>
      </w:pPr>
      <w:r w:rsidRPr="009F7A4D">
        <w:t xml:space="preserve">Nøttestad, J. A., &amp; Linaker, O. M. (2002). Predictors for attacks on people after deinstitutionalization. </w:t>
      </w:r>
      <w:r w:rsidRPr="009F7A4D">
        <w:rPr>
          <w:i/>
        </w:rPr>
        <w:t>Journal of Intellectual Disability Research, 46</w:t>
      </w:r>
      <w:r w:rsidRPr="009F7A4D">
        <w:t>(6), 493-502. doi:10.1046/j.1365-2788.2002.00418.x</w:t>
      </w:r>
    </w:p>
    <w:p w14:paraId="3FD40100" w14:textId="77777777" w:rsidR="00696B8B" w:rsidRPr="009F7A4D" w:rsidRDefault="00256494" w:rsidP="00BF0543">
      <w:pPr>
        <w:pStyle w:val="EndNoteBibliography"/>
        <w:spacing w:after="0"/>
        <w:ind w:left="720" w:hanging="720"/>
      </w:pPr>
      <w:r w:rsidRPr="009F7A4D">
        <w:t xml:space="preserve">Owen, F., Griffiths, D. M., &amp; Condillac, R. (2015). The Ontario Facilities Initiative: Perceptions of the Deinstitutionalization Process. </w:t>
      </w:r>
      <w:r w:rsidRPr="009F7A4D">
        <w:rPr>
          <w:i/>
        </w:rPr>
        <w:t>Journal on Developmental Disabilities, 21</w:t>
      </w:r>
      <w:r w:rsidRPr="009F7A4D">
        <w:t xml:space="preserve">(2), 49-59. </w:t>
      </w:r>
    </w:p>
    <w:p w14:paraId="494C35EF" w14:textId="77777777" w:rsidR="00696B8B" w:rsidRPr="009F7A4D" w:rsidRDefault="00256494" w:rsidP="00BF0543">
      <w:pPr>
        <w:pStyle w:val="EndNoteBibliography"/>
        <w:spacing w:after="0"/>
        <w:ind w:left="720" w:hanging="720"/>
      </w:pPr>
      <w:r w:rsidRPr="009F7A4D">
        <w:t xml:space="preserve">Owen, K., Hubert, J., &amp; Hollins, S. (2008). Moving home: the experiences of women with severe intellectual disabilities in transition from a locked ward. </w:t>
      </w:r>
      <w:r w:rsidRPr="009F7A4D">
        <w:rPr>
          <w:i/>
        </w:rPr>
        <w:t>British Journal of Learning Disabilities, 36</w:t>
      </w:r>
      <w:r w:rsidRPr="009F7A4D">
        <w:t>(4), 220-226. doi:10.1111/j.1468-3156.2007.00484.x</w:t>
      </w:r>
    </w:p>
    <w:p w14:paraId="468BF61E" w14:textId="77777777" w:rsidR="00696B8B" w:rsidRPr="009F7A4D" w:rsidRDefault="00256494" w:rsidP="00BF0543">
      <w:pPr>
        <w:pStyle w:val="EndNoteBibliography"/>
        <w:spacing w:after="0"/>
        <w:ind w:left="720" w:hanging="720"/>
      </w:pPr>
      <w:r w:rsidRPr="009F7A4D">
        <w:t xml:space="preserve">Owen, M., &amp; Waiters, C. (2006). Housing for Assisted Living in Inner-City Winnipeg: A Social Analysis of Housing Options for People with Disabilities. </w:t>
      </w:r>
      <w:r w:rsidRPr="009F7A4D">
        <w:rPr>
          <w:i/>
        </w:rPr>
        <w:t>Canadian Journal of Urban Research, 15</w:t>
      </w:r>
      <w:r w:rsidRPr="009F7A4D">
        <w:t xml:space="preserve">(1), 1-18. </w:t>
      </w:r>
    </w:p>
    <w:p w14:paraId="4C06ED9C" w14:textId="77777777" w:rsidR="00696B8B" w:rsidRPr="009F7A4D" w:rsidRDefault="00256494" w:rsidP="00BF0543">
      <w:pPr>
        <w:pStyle w:val="EndNoteBibliography"/>
        <w:spacing w:after="0"/>
        <w:ind w:left="720" w:hanging="720"/>
      </w:pPr>
      <w:r w:rsidRPr="009F7A4D">
        <w:t xml:space="preserve">Padmakar, A., de Wit, E. E., Mary, S., Regeer, E., Bunders-Aelen, J., &amp; Regeer, B. (2020). Supported Housing as a recovery option for long-stay patients with severe mental illness in a psychiatric hospital in South India: Learning from an innovative de-hospitalization process. </w:t>
      </w:r>
      <w:r w:rsidRPr="009F7A4D">
        <w:rPr>
          <w:i/>
        </w:rPr>
        <w:t>PLoS ONE, 15</w:t>
      </w:r>
      <w:r w:rsidRPr="009F7A4D">
        <w:t>(4), 1-23. doi:10.1371/journal.pone.0230074</w:t>
      </w:r>
    </w:p>
    <w:p w14:paraId="4863E56D" w14:textId="4A852F1D" w:rsidR="00256494" w:rsidRPr="009F7A4D" w:rsidRDefault="00256494" w:rsidP="00BF0543">
      <w:pPr>
        <w:pStyle w:val="EndNoteBibliography"/>
        <w:spacing w:after="0"/>
        <w:ind w:left="720" w:hanging="720"/>
      </w:pPr>
      <w:r w:rsidRPr="007D5C26">
        <w:t>Parish, Colin</w:t>
      </w:r>
      <w:r w:rsidR="00696B8B">
        <w:t>. (</w:t>
      </w:r>
      <w:r w:rsidR="00696B8B" w:rsidRPr="007D5C26">
        <w:t>2015</w:t>
      </w:r>
      <w:r w:rsidR="00696B8B">
        <w:t>).</w:t>
      </w:r>
      <w:r w:rsidRPr="007D5C26">
        <w:t xml:space="preserve"> Charities cast doubt on 'homes not hospitals' plan </w:t>
      </w:r>
      <w:r w:rsidRPr="00A06149">
        <w:rPr>
          <w:i/>
          <w:iCs/>
        </w:rPr>
        <w:t>Learning Disability Practice;18</w:t>
      </w:r>
      <w:r w:rsidRPr="007D5C26">
        <w:t>(10):7-7</w:t>
      </w:r>
    </w:p>
    <w:p w14:paraId="3B6552CD" w14:textId="77777777" w:rsidR="00256494" w:rsidRDefault="00256494" w:rsidP="00BF0543">
      <w:pPr>
        <w:pStyle w:val="EndNoteBibliography"/>
        <w:spacing w:after="0"/>
        <w:ind w:left="720" w:hanging="720"/>
      </w:pPr>
      <w:r w:rsidRPr="009F7A4D">
        <w:t xml:space="preserve">Parker, S., Hopkins, G., Siskind, D., Harris, M., McKeon, G., Dark, F., &amp; Whiteford, H. (2019). A systematic review of service models and evidence relating to the clinically operated community-based residential mental health rehabilitation for adults with severe and persisting mental illness in Australia. </w:t>
      </w:r>
      <w:r w:rsidRPr="009F7A4D">
        <w:rPr>
          <w:i/>
        </w:rPr>
        <w:t>BMC Psychiatry Vol 19 2019, ArtID 55, 19</w:t>
      </w:r>
      <w:r w:rsidRPr="009F7A4D">
        <w:t>. doi:</w:t>
      </w:r>
      <w:r w:rsidRPr="00415B84">
        <w:t>http://dx.doi.org/10.1186/s12888-019-2019-5</w:t>
      </w:r>
    </w:p>
    <w:p w14:paraId="392651E6" w14:textId="77777777" w:rsidR="00256494" w:rsidRPr="009F7A4D" w:rsidRDefault="00256494" w:rsidP="00BF0543">
      <w:pPr>
        <w:pStyle w:val="EndNoteBibliography"/>
        <w:spacing w:after="0"/>
        <w:ind w:left="720" w:hanging="720"/>
      </w:pPr>
      <w:r w:rsidRPr="007D5C26">
        <w:t>Parmenter &amp; Arnold (2008) Disability Accommodation &amp; Support Framework Report: Victoria. CDS: Sydney</w:t>
      </w:r>
    </w:p>
    <w:p w14:paraId="0E20ACB7" w14:textId="01DDCE96" w:rsidR="00BF0543" w:rsidRDefault="00256494" w:rsidP="00BF0543">
      <w:pPr>
        <w:pStyle w:val="EndNoteBibliography"/>
        <w:spacing w:after="0"/>
        <w:ind w:left="720" w:hanging="720"/>
      </w:pPr>
      <w:r w:rsidRPr="009F7A4D">
        <w:t xml:space="preserve">Piat, M. (2000). The NIMBY phenomenon: Community residents' concerns about housing for deinstitutionalized people. </w:t>
      </w:r>
      <w:r w:rsidRPr="009F7A4D">
        <w:rPr>
          <w:i/>
        </w:rPr>
        <w:t>Health &amp; Social Work, 25</w:t>
      </w:r>
      <w:r w:rsidRPr="009F7A4D">
        <w:t>(2), 127-138. doi:</w:t>
      </w:r>
      <w:r w:rsidRPr="00415B84">
        <w:t>http://dx.doi.org/10.1093/hsw/25.2.127</w:t>
      </w:r>
    </w:p>
    <w:p w14:paraId="354B0C49" w14:textId="77777777" w:rsidR="00BF0543" w:rsidRDefault="00BF0543">
      <w:pPr>
        <w:rPr>
          <w:rFonts w:ascii="Calibri" w:hAnsi="Calibri" w:cs="Calibri"/>
          <w:noProof/>
        </w:rPr>
      </w:pPr>
      <w:r>
        <w:br w:type="page"/>
      </w:r>
    </w:p>
    <w:p w14:paraId="168E98E3" w14:textId="4EEA8CB3" w:rsidR="00256494" w:rsidRPr="009F7A4D" w:rsidRDefault="00256494" w:rsidP="00BF0543">
      <w:pPr>
        <w:pStyle w:val="EndNoteBibliography"/>
        <w:spacing w:after="0"/>
        <w:ind w:left="720" w:hanging="720"/>
      </w:pPr>
      <w:r w:rsidRPr="009F7A4D">
        <w:lastRenderedPageBreak/>
        <w:t>Piat, M., Sabetti, J., &amp; Padgett, D. (2018</w:t>
      </w:r>
      <w:r w:rsidR="00046E15">
        <w:t>a</w:t>
      </w:r>
      <w:r w:rsidRPr="009F7A4D">
        <w:t xml:space="preserve">). Emergent leadership among tenants with psychiatric disabilities living in supported housing. </w:t>
      </w:r>
      <w:r w:rsidRPr="009F7A4D">
        <w:rPr>
          <w:i/>
        </w:rPr>
        <w:t>International Journal of Mental Health Nursing, 27</w:t>
      </w:r>
      <w:r w:rsidRPr="009F7A4D">
        <w:t>(3), 1127-1136. doi:10.1111/inm.12428</w:t>
      </w:r>
    </w:p>
    <w:p w14:paraId="778BFCFA" w14:textId="576A4843" w:rsidR="00256494" w:rsidRPr="009F7A4D" w:rsidRDefault="00256494" w:rsidP="00BF0543">
      <w:pPr>
        <w:pStyle w:val="EndNoteBibliography"/>
        <w:spacing w:after="0"/>
        <w:ind w:left="720" w:hanging="720"/>
      </w:pPr>
      <w:r w:rsidRPr="009F7A4D">
        <w:t>Piat, M., Sabetti, J., &amp; Padgett, D. (2018</w:t>
      </w:r>
      <w:r w:rsidR="00046E15">
        <w:t>b</w:t>
      </w:r>
      <w:r w:rsidRPr="009F7A4D">
        <w:t xml:space="preserve">). Supported housing for adults with psychiatric disabilities: How tenants confront the problem of loneliness. </w:t>
      </w:r>
      <w:r w:rsidRPr="009F7A4D">
        <w:rPr>
          <w:i/>
        </w:rPr>
        <w:t>Health &amp; Social Care in the Community, 26</w:t>
      </w:r>
      <w:r w:rsidRPr="009F7A4D">
        <w:t>(2), 191-198. doi:</w:t>
      </w:r>
      <w:r w:rsidRPr="00415B84">
        <w:t>http://dx.doi.org/10.1111/hsc.12508</w:t>
      </w:r>
    </w:p>
    <w:p w14:paraId="5074EBB8" w14:textId="3C878277" w:rsidR="00256494" w:rsidRPr="009F7A4D" w:rsidRDefault="00256494" w:rsidP="00BF0543">
      <w:pPr>
        <w:pStyle w:val="EndNoteBibliography"/>
        <w:spacing w:after="0"/>
        <w:ind w:left="720" w:hanging="720"/>
      </w:pPr>
      <w:r w:rsidRPr="009F7A4D">
        <w:t xml:space="preserve">Piat, M., Seida, K., Sabetti, J., &amp; Padgett, D. (2017). (Em)placing recovery: Sites of health and wellness for individuals with serious mental illness in supported housing. </w:t>
      </w:r>
      <w:r w:rsidRPr="009F7A4D">
        <w:rPr>
          <w:i/>
        </w:rPr>
        <w:t>Health &amp; Place, 47</w:t>
      </w:r>
      <w:r w:rsidRPr="009F7A4D">
        <w:t>, 71-79. doi:</w:t>
      </w:r>
      <w:r w:rsidRPr="00415B84">
        <w:t>http://dx.doi.org/10.1016/j.healthplace.2017.07.006</w:t>
      </w:r>
    </w:p>
    <w:p w14:paraId="3083D713" w14:textId="77777777" w:rsidR="00256494" w:rsidRDefault="00256494" w:rsidP="00BF0543">
      <w:pPr>
        <w:pStyle w:val="EndNoteBibliography"/>
        <w:spacing w:after="0"/>
        <w:ind w:left="720" w:hanging="720"/>
      </w:pPr>
      <w:r w:rsidRPr="009F7A4D">
        <w:t xml:space="preserve">Pilisuk, M. (2001). A job and a home: Social networks and the integration of the mentally disabled in the community. </w:t>
      </w:r>
      <w:r w:rsidRPr="009F7A4D">
        <w:rPr>
          <w:i/>
        </w:rPr>
        <w:t>American Journal of Orthopsychiatry, 71</w:t>
      </w:r>
      <w:r w:rsidRPr="009F7A4D">
        <w:t>(1), 49-60. doi:</w:t>
      </w:r>
      <w:r w:rsidRPr="00415B84">
        <w:t>http://dx.doi.org/10.1037/0002-9432.71.1.49</w:t>
      </w:r>
    </w:p>
    <w:p w14:paraId="4CDEB697" w14:textId="63363D78" w:rsidR="00256494" w:rsidRDefault="00256494" w:rsidP="00BF0543">
      <w:pPr>
        <w:pStyle w:val="EndNoteBibliography"/>
        <w:snapToGrid w:val="0"/>
        <w:spacing w:after="0"/>
        <w:ind w:left="720" w:hanging="720"/>
      </w:pPr>
      <w:r>
        <w:t>Pollard, Sarieta Holmes;</w:t>
      </w:r>
      <w:r w:rsidR="00046E15">
        <w:t xml:space="preserve">&amp; </w:t>
      </w:r>
      <w:r>
        <w:t>Rodriguez, Alma</w:t>
      </w:r>
      <w:r w:rsidR="00046E15">
        <w:t>.</w:t>
      </w:r>
      <w:r>
        <w:t xml:space="preserve"> </w:t>
      </w:r>
      <w:r w:rsidR="00046E15">
        <w:t xml:space="preserve">(2015). </w:t>
      </w:r>
      <w:r>
        <w:t>Ready or not, here we come: A qualitative study of successful transitions for people with intellectual disabilities</w:t>
      </w:r>
      <w:r w:rsidR="00046E15">
        <w:t>.</w:t>
      </w:r>
    </w:p>
    <w:p w14:paraId="170F8BA9" w14:textId="0CDBF356" w:rsidR="00256494" w:rsidRPr="009F7A4D" w:rsidRDefault="00256494" w:rsidP="00BF0543">
      <w:pPr>
        <w:pStyle w:val="EndNoteBibliography"/>
        <w:snapToGrid w:val="0"/>
        <w:spacing w:after="0"/>
        <w:ind w:left="720" w:hanging="720"/>
      </w:pPr>
      <w:r w:rsidRPr="007D5C26">
        <w:t xml:space="preserve">Powell, James </w:t>
      </w:r>
      <w:r w:rsidR="00046E15">
        <w:t>(</w:t>
      </w:r>
      <w:r w:rsidR="00046E15" w:rsidRPr="007D5C26">
        <w:t>2012</w:t>
      </w:r>
      <w:r w:rsidR="00046E15">
        <w:t xml:space="preserve">). </w:t>
      </w:r>
      <w:r w:rsidRPr="007D5C26">
        <w:t>Home is where the heart is</w:t>
      </w:r>
      <w:r w:rsidR="00046E15">
        <w:t>.</w:t>
      </w:r>
      <w:r w:rsidRPr="007D5C26">
        <w:t xml:space="preserve"> </w:t>
      </w:r>
      <w:r w:rsidRPr="00A06149">
        <w:rPr>
          <w:i/>
          <w:iCs/>
        </w:rPr>
        <w:t>Learning Disability Today</w:t>
      </w:r>
      <w:r w:rsidR="00046E15" w:rsidRPr="00A06149">
        <w:rPr>
          <w:i/>
          <w:iCs/>
        </w:rPr>
        <w:t>.</w:t>
      </w:r>
      <w:r w:rsidRPr="00A06149">
        <w:rPr>
          <w:i/>
          <w:iCs/>
        </w:rPr>
        <w:t>12</w:t>
      </w:r>
      <w:r w:rsidRPr="007D5C26">
        <w:t>(6):28-29</w:t>
      </w:r>
      <w:r>
        <w:t xml:space="preserve"> 2015 2015;(3701601):134</w:t>
      </w:r>
    </w:p>
    <w:p w14:paraId="4A6D8CD7" w14:textId="77777777" w:rsidR="00256494" w:rsidRPr="009F7A4D" w:rsidRDefault="00256494" w:rsidP="00BF0543">
      <w:pPr>
        <w:pStyle w:val="EndNoteBibliography"/>
        <w:snapToGrid w:val="0"/>
        <w:spacing w:after="0"/>
        <w:ind w:left="720" w:hanging="720"/>
      </w:pPr>
      <w:r w:rsidRPr="009F7A4D">
        <w:t xml:space="preserve">Puyalt, C., &amp; Pallisera, M. (2020). Living Independently in Spain: Barriers and Supports from the Views of People with Intellectual Disabilities. </w:t>
      </w:r>
      <w:r w:rsidRPr="009F7A4D">
        <w:rPr>
          <w:i/>
        </w:rPr>
        <w:t>International Journal of Disability Development and Education, 67</w:t>
      </w:r>
      <w:r w:rsidRPr="009F7A4D">
        <w:t>(3), 306-319. doi:10.1080/1034912x.2018.1546833</w:t>
      </w:r>
    </w:p>
    <w:p w14:paraId="67C0E1A7" w14:textId="77777777" w:rsidR="00256494" w:rsidRDefault="00256494" w:rsidP="00BF0543">
      <w:pPr>
        <w:pStyle w:val="EndNoteBibliography"/>
        <w:spacing w:after="0"/>
        <w:ind w:left="720" w:hanging="720"/>
      </w:pPr>
      <w:r w:rsidRPr="009F7A4D">
        <w:t xml:space="preserve">Quinsey, V. L., Book, A., &amp; Skilling, T. A. (2004). A follow-up of deinstitutionalized men with intellectual disabilities and histories of antisocial behaviour. </w:t>
      </w:r>
      <w:r w:rsidRPr="009F7A4D">
        <w:rPr>
          <w:i/>
        </w:rPr>
        <w:t>Journal of Applied Research in Intellectual Disabilities, 17</w:t>
      </w:r>
      <w:r w:rsidRPr="009F7A4D">
        <w:t>(4), 243-253. doi:10.1111/j.1468-3148.2004.00216.x</w:t>
      </w:r>
    </w:p>
    <w:p w14:paraId="6D9DC3CB" w14:textId="498DE332" w:rsidR="00256494" w:rsidRDefault="00256494" w:rsidP="00BF0543">
      <w:pPr>
        <w:pStyle w:val="EndNoteBibliography"/>
        <w:spacing w:after="0"/>
        <w:ind w:left="720" w:hanging="720"/>
      </w:pPr>
      <w:r>
        <w:t xml:space="preserve">Regnier, V.; Denton, A. </w:t>
      </w:r>
      <w:r w:rsidR="00046E15">
        <w:t xml:space="preserve">(2009). </w:t>
      </w:r>
      <w:r>
        <w:t>Ten new and emerging trends in residential group living environments</w:t>
      </w:r>
      <w:r w:rsidR="00046E15">
        <w:t>.</w:t>
      </w:r>
      <w:r>
        <w:t xml:space="preserve"> </w:t>
      </w:r>
      <w:r w:rsidRPr="00A06149">
        <w:rPr>
          <w:i/>
          <w:iCs/>
        </w:rPr>
        <w:t>NeuroRehabilitation</w:t>
      </w:r>
      <w:r w:rsidR="00046E15">
        <w:rPr>
          <w:i/>
          <w:iCs/>
        </w:rPr>
        <w:t xml:space="preserve">, </w:t>
      </w:r>
      <w:r w:rsidRPr="00A06149">
        <w:rPr>
          <w:i/>
          <w:iCs/>
        </w:rPr>
        <w:t>25</w:t>
      </w:r>
      <w:r>
        <w:t>(3):169-188</w:t>
      </w:r>
    </w:p>
    <w:p w14:paraId="586D33D0" w14:textId="1896EA1D" w:rsidR="00256494" w:rsidRDefault="00256494" w:rsidP="00BF0543">
      <w:pPr>
        <w:pStyle w:val="EndNoteBibliography"/>
        <w:spacing w:after="0"/>
        <w:ind w:left="720" w:hanging="720"/>
      </w:pPr>
      <w:r>
        <w:t>Ritchie, Heather; Blanck, Peter</w:t>
      </w:r>
      <w:r w:rsidR="00046E15">
        <w:t xml:space="preserve">, (2004). </w:t>
      </w:r>
      <w:r>
        <w:t>The promise of the Internet for disability: a study of on-line services and web site accessibility at Centers for Independent LivingThe program of research described herein is supported, in part, by grants from The University of Iowa; 21():5-26</w:t>
      </w:r>
    </w:p>
    <w:p w14:paraId="70699025" w14:textId="77777777" w:rsidR="00256494" w:rsidRPr="009F7A4D" w:rsidRDefault="00256494" w:rsidP="00BF0543">
      <w:pPr>
        <w:pStyle w:val="EndNoteBibliography"/>
        <w:spacing w:after="0"/>
        <w:ind w:left="720" w:hanging="720"/>
      </w:pPr>
      <w:r w:rsidRPr="00ED5422">
        <w:t>Ryu, Y., Mizuno, M., Sakuma, K., Munakata, S., Takebayashi, T., Murakami, M., ... &amp; Kashima, H. (2006). Deinstitutionalization of long-stay patients with schizophrenia: the 2-year social and clinical outcome of a comprehensive intervention program in Japan. Australian &amp; New Zealand Journal of Psychiatry, 40(5), 462-470.</w:t>
      </w:r>
    </w:p>
    <w:p w14:paraId="1CCBD6A0" w14:textId="77777777" w:rsidR="00256494" w:rsidRDefault="00256494" w:rsidP="00BF0543">
      <w:pPr>
        <w:pStyle w:val="EndNoteBibliography"/>
        <w:spacing w:after="0"/>
        <w:ind w:left="720" w:hanging="720"/>
      </w:pPr>
      <w:r w:rsidRPr="009F7A4D">
        <w:t xml:space="preserve">Salmon, N., Garcia Iriarte, E., Donohoe, B., Murray, L., Singleton, G., Barrett, M., &amp; Dillon, M. (2019). Our Homes: An inclusive study about what moving house is like for people with intellectual disabilities in Ireland. </w:t>
      </w:r>
      <w:r w:rsidRPr="009F7A4D">
        <w:rPr>
          <w:i/>
        </w:rPr>
        <w:t>British Journal of Learning Disabilities, 47</w:t>
      </w:r>
      <w:r w:rsidRPr="009F7A4D">
        <w:t>(1), 19-28. doi:10.1111/bld.12251</w:t>
      </w:r>
    </w:p>
    <w:p w14:paraId="52F58347" w14:textId="6E605F2D" w:rsidR="00256494" w:rsidRPr="009F7A4D" w:rsidRDefault="00256494" w:rsidP="00BF0543">
      <w:pPr>
        <w:pStyle w:val="EndNoteBibliography"/>
        <w:spacing w:after="0"/>
        <w:ind w:left="720" w:hanging="720"/>
      </w:pPr>
      <w:r w:rsidRPr="00ED5422">
        <w:t xml:space="preserve">Sardinia-Prager, Laura Ann; Feeg, Veronica D. </w:t>
      </w:r>
      <w:r w:rsidR="00046E15">
        <w:t>(</w:t>
      </w:r>
      <w:r w:rsidR="00046E15" w:rsidRPr="00ED5422">
        <w:t>2015</w:t>
      </w:r>
      <w:r w:rsidR="00046E15">
        <w:t xml:space="preserve">). </w:t>
      </w:r>
      <w:r w:rsidRPr="00ED5422">
        <w:t>A grounded theory study of how parents made the decision about residential group home placement for their adult child with intellectual/developmental disabilities 2015;</w:t>
      </w:r>
      <w:r w:rsidR="00046E15">
        <w:t xml:space="preserve"> </w:t>
      </w:r>
      <w:r w:rsidRPr="00ED5422">
        <w:t>(3725841):254 Ann Arbor Molloy College 2015</w:t>
      </w:r>
      <w:r w:rsidR="00046E15">
        <w:t>.</w:t>
      </w:r>
    </w:p>
    <w:p w14:paraId="2FBA1BC0" w14:textId="77777777" w:rsidR="00256494" w:rsidRPr="009F7A4D" w:rsidRDefault="00256494" w:rsidP="00BF0543">
      <w:pPr>
        <w:pStyle w:val="EndNoteBibliography"/>
        <w:spacing w:after="0"/>
        <w:ind w:left="720" w:hanging="720"/>
      </w:pPr>
      <w:r w:rsidRPr="009F7A4D">
        <w:t xml:space="preserve">Sato, S., Ikebuchi, E., Anzai, N., &amp; Inoue, S. (2012). Effects of psychosocial program for preparing long-term hospitalized patients with schizophrenia for discharge from hospital: Randomized controlled trial. </w:t>
      </w:r>
      <w:r w:rsidRPr="009F7A4D">
        <w:rPr>
          <w:i/>
        </w:rPr>
        <w:t>Psychiatry and Clinical Neurosciences, 66</w:t>
      </w:r>
      <w:r w:rsidRPr="009F7A4D">
        <w:t>(6), 474-481. doi:</w:t>
      </w:r>
      <w:r w:rsidRPr="00415B84">
        <w:t>http://dx.doi.org/10.1111/j.1440-1819.2012.02393.x</w:t>
      </w:r>
    </w:p>
    <w:p w14:paraId="11C7703E" w14:textId="77777777" w:rsidR="00256494" w:rsidRDefault="00256494" w:rsidP="00BF0543">
      <w:pPr>
        <w:pStyle w:val="EndNoteBibliography"/>
        <w:spacing w:after="0"/>
        <w:ind w:left="720" w:hanging="720"/>
      </w:pPr>
      <w:r w:rsidRPr="00ED5422">
        <w:t xml:space="preserve">Sharam, A., Byford, M., Karabay, B., McNelis, S. and Burke, T. (2018) Matching markets in housing and housing assistance, AHURI Final Report No. 307, Australian Housing and Urban Research Institute Limited, Melbourne, https://www.ahuri.edu.au/research/final-reports/307, doi:10.18408/ahuri-5315301. </w:t>
      </w:r>
    </w:p>
    <w:p w14:paraId="2B29A5AF" w14:textId="52AF4E3F" w:rsidR="00BF0543" w:rsidRDefault="00256494" w:rsidP="00BF0543">
      <w:pPr>
        <w:pStyle w:val="EndNoteBibliography"/>
        <w:spacing w:after="0"/>
        <w:ind w:left="720" w:hanging="720"/>
      </w:pPr>
      <w:r w:rsidRPr="009F7A4D">
        <w:t xml:space="preserve">Shaw, T. M., &amp; DeLaet, D. E. (2010). Transition of adolescents to young adulthood for vulnerable populations. </w:t>
      </w:r>
      <w:r w:rsidRPr="009F7A4D">
        <w:rPr>
          <w:i/>
        </w:rPr>
        <w:t>Pediatrics in Review, 31</w:t>
      </w:r>
      <w:r w:rsidRPr="009F7A4D">
        <w:t>(12), 497-505. doi:</w:t>
      </w:r>
      <w:r w:rsidRPr="00415B84">
        <w:t>http://dx.doi.org/10.1542/pir.31-12-497</w:t>
      </w:r>
    </w:p>
    <w:p w14:paraId="2A59B28F" w14:textId="77777777" w:rsidR="00BF0543" w:rsidRDefault="00BF0543">
      <w:pPr>
        <w:rPr>
          <w:rFonts w:ascii="Calibri" w:hAnsi="Calibri" w:cs="Calibri"/>
          <w:noProof/>
        </w:rPr>
      </w:pPr>
      <w:r>
        <w:br w:type="page"/>
      </w:r>
    </w:p>
    <w:p w14:paraId="77C5F606" w14:textId="77777777" w:rsidR="00256494" w:rsidRPr="009F7A4D" w:rsidRDefault="00256494" w:rsidP="00BF0543">
      <w:pPr>
        <w:pStyle w:val="EndNoteBibliography"/>
        <w:spacing w:after="0"/>
        <w:ind w:left="720" w:hanging="720"/>
      </w:pPr>
      <w:r w:rsidRPr="00ED5422">
        <w:lastRenderedPageBreak/>
        <w:t>Sharp, D. M. M. Return to the asylum: The search for clients with enduring mental health problems in Italy Journal of Psychiatric and Mental Health Nursing October 2004;11(5):562-568</w:t>
      </w:r>
    </w:p>
    <w:p w14:paraId="007C4104" w14:textId="77777777" w:rsidR="00256494" w:rsidRPr="009F7A4D" w:rsidRDefault="00256494" w:rsidP="00BF0543">
      <w:pPr>
        <w:pStyle w:val="EndNoteBibliography"/>
        <w:spacing w:after="0"/>
        <w:ind w:left="720" w:hanging="720"/>
      </w:pPr>
      <w:r w:rsidRPr="009F7A4D">
        <w:t xml:space="preserve">Sheerin, F., Griffiths, C., de Vries, J., &amp; Keenan, P. (2015). An evaluation of a community living initiative in Ireland. </w:t>
      </w:r>
      <w:r w:rsidRPr="009F7A4D">
        <w:rPr>
          <w:i/>
        </w:rPr>
        <w:t>Journal of Intellectual Disabilities, 19</w:t>
      </w:r>
      <w:r w:rsidRPr="009F7A4D">
        <w:t>(3), 266-281. doi:10.1177/1744629515573679</w:t>
      </w:r>
    </w:p>
    <w:p w14:paraId="39D6DB3E" w14:textId="77777777" w:rsidR="00256494" w:rsidRPr="009F7A4D" w:rsidRDefault="00256494" w:rsidP="00BF0543">
      <w:pPr>
        <w:pStyle w:val="EndNoteBibliography"/>
        <w:spacing w:after="0"/>
        <w:ind w:left="720" w:hanging="720"/>
      </w:pPr>
      <w:r w:rsidRPr="009F7A4D">
        <w:t xml:space="preserve">Sheth, A. J., McDonald, K. E., Fogg, L., Conroy, N. E., Elms, E. H. J., Kraus, L. E., . . . Hammel, J. (2019). Satisfaction, safety, and supports: Comparing people with disabilities' insider experiences about participation in institutional and community living. </w:t>
      </w:r>
      <w:r w:rsidRPr="009F7A4D">
        <w:rPr>
          <w:i/>
        </w:rPr>
        <w:t>Disability and Health Journal, 12</w:t>
      </w:r>
      <w:r w:rsidRPr="009F7A4D">
        <w:t>(4), 712-717. doi:</w:t>
      </w:r>
      <w:r w:rsidRPr="00415B84">
        <w:t>http://dx.doi.org/10.1016/j.dhjo.2019.06.011</w:t>
      </w:r>
    </w:p>
    <w:p w14:paraId="02A5BA7C" w14:textId="77777777" w:rsidR="00256494" w:rsidRPr="009F7A4D" w:rsidRDefault="00256494" w:rsidP="00BF0543">
      <w:pPr>
        <w:pStyle w:val="EndNoteBibliography"/>
        <w:spacing w:after="0"/>
        <w:ind w:left="720" w:hanging="720"/>
      </w:pPr>
      <w:r w:rsidRPr="009F7A4D">
        <w:t xml:space="preserve">Shirk, C. (2007). Trading places: Real Choice Systems Change grants and the movement to community-based long-term care supports. </w:t>
      </w:r>
      <w:r w:rsidRPr="009F7A4D">
        <w:rPr>
          <w:i/>
        </w:rPr>
        <w:t>Issue brief (George Washington University, National Health Policy Forum).</w:t>
      </w:r>
      <w:r w:rsidRPr="009F7A4D">
        <w:t xml:space="preserve">(822), 1-21. </w:t>
      </w:r>
    </w:p>
    <w:p w14:paraId="2AEFE7A3" w14:textId="77777777" w:rsidR="00256494" w:rsidRDefault="00256494" w:rsidP="00BF0543">
      <w:pPr>
        <w:pStyle w:val="EndNoteBibliography"/>
        <w:spacing w:after="0"/>
        <w:ind w:left="720" w:hanging="720"/>
      </w:pPr>
      <w:r w:rsidRPr="009F7A4D">
        <w:t xml:space="preserve">Sines, D., Hogard, E., Ellis, R., Sines, D., Hogard, E., &amp; Ellis, R. (2012). Evaluating quality of life in adults with profound learning difficulties resettled from hospital to supported living in the community. </w:t>
      </w:r>
      <w:r w:rsidRPr="009F7A4D">
        <w:rPr>
          <w:i/>
        </w:rPr>
        <w:t>Journal of Intellectual Disabilities, 16</w:t>
      </w:r>
      <w:r w:rsidRPr="009F7A4D">
        <w:t>(4), 247-263. doi:10.1177/1744629512463840</w:t>
      </w:r>
    </w:p>
    <w:p w14:paraId="509621B9" w14:textId="564C50C5" w:rsidR="00256494" w:rsidRPr="009F7A4D" w:rsidRDefault="00256494" w:rsidP="00BF0543">
      <w:pPr>
        <w:pStyle w:val="EndNoteBibliography"/>
        <w:spacing w:after="0"/>
        <w:ind w:left="720" w:hanging="720"/>
      </w:pPr>
      <w:r>
        <w:t>Snell, Janet</w:t>
      </w:r>
      <w:r w:rsidR="004873BD">
        <w:t xml:space="preserve">. (2000). </w:t>
      </w:r>
      <w:r>
        <w:t>Society: social care: The right to freedom: SSI disappointed at lack of progress over independent living The Guardian 11/01/ 2000 Nov 01 2000;():111-SOCIETY.111</w:t>
      </w:r>
    </w:p>
    <w:p w14:paraId="2A9887F5" w14:textId="235458A4" w:rsidR="00256494" w:rsidRDefault="00256494" w:rsidP="00BF0543">
      <w:pPr>
        <w:pStyle w:val="EndNoteBibliography"/>
        <w:spacing w:after="0"/>
        <w:ind w:left="720" w:hanging="720"/>
      </w:pPr>
      <w:r w:rsidRPr="009F7A4D">
        <w:t xml:space="preserve">Spreat, S., &amp; Conroy, J. W. (2002). The impact of deinstitutionalization on family contact. </w:t>
      </w:r>
      <w:r w:rsidRPr="009F7A4D">
        <w:rPr>
          <w:i/>
        </w:rPr>
        <w:t>Research in Developmental Disabilities, 23</w:t>
      </w:r>
      <w:r w:rsidRPr="009F7A4D">
        <w:t>(3), 202-210. doi:10.1016/S0891-4222(02)00098-7</w:t>
      </w:r>
    </w:p>
    <w:p w14:paraId="75D95C33" w14:textId="1C73982D" w:rsidR="008D0B99" w:rsidRPr="009F7A4D" w:rsidRDefault="008D0B99" w:rsidP="00BF0543">
      <w:pPr>
        <w:pStyle w:val="EndNoteBibliography"/>
        <w:spacing w:after="0"/>
        <w:ind w:left="720" w:hanging="720"/>
      </w:pPr>
      <w:r w:rsidRPr="008D0B99">
        <w:t>Stancliffe, R. J. (2014). Inclusion of adults with disability in Australia: Outcomes, legislation and issues. International Journal of Inclusive Education, 18(10), 1053-1063.</w:t>
      </w:r>
    </w:p>
    <w:p w14:paraId="38A47C00" w14:textId="77777777" w:rsidR="00256494" w:rsidRPr="009F7A4D" w:rsidRDefault="00256494" w:rsidP="00BF0543">
      <w:pPr>
        <w:pStyle w:val="EndNoteBibliography"/>
        <w:spacing w:after="0"/>
        <w:ind w:left="720" w:hanging="720"/>
      </w:pPr>
      <w:r w:rsidRPr="009F7A4D">
        <w:t xml:space="preserve">Stancliffe, R. J., &amp; Keane, S. (2000). Outcomes and costs of community living: A matched comparison of group homes and semi-independent living. </w:t>
      </w:r>
      <w:r w:rsidRPr="009F7A4D">
        <w:rPr>
          <w:i/>
        </w:rPr>
        <w:t>Journal of Intellectual &amp; Developmental Disability, 25</w:t>
      </w:r>
      <w:r w:rsidRPr="009F7A4D">
        <w:t>(4), 281-305. doi:10.1080/13668250020019584</w:t>
      </w:r>
    </w:p>
    <w:p w14:paraId="1935D61B" w14:textId="77777777" w:rsidR="00256494" w:rsidRPr="009F7A4D" w:rsidRDefault="00256494" w:rsidP="00BF0543">
      <w:pPr>
        <w:pStyle w:val="EndNoteBibliography"/>
        <w:spacing w:after="0"/>
        <w:ind w:left="720" w:hanging="720"/>
      </w:pPr>
      <w:r w:rsidRPr="009F7A4D">
        <w:t xml:space="preserve">Stancliffe, R. J., &amp; Lakin, K. C. (2006). Longitudinal Frequency and Stability of Family Contact in Institutional and Community Living. </w:t>
      </w:r>
      <w:r w:rsidRPr="009F7A4D">
        <w:rPr>
          <w:i/>
        </w:rPr>
        <w:t>Fréquence et stabilité longitudinales des contacts familiaux chez des personnes institutionnalisées ou vivant dans la communauté., 44</w:t>
      </w:r>
      <w:r w:rsidRPr="009F7A4D">
        <w:t>(6), 418-429. doi:10.1352/0047-6765(2006)44[418:LFASOF]2.0.CO;2</w:t>
      </w:r>
    </w:p>
    <w:p w14:paraId="416395F0" w14:textId="77777777" w:rsidR="00256494" w:rsidRDefault="00256494" w:rsidP="00BF0543">
      <w:pPr>
        <w:pStyle w:val="EndNoteBibliography"/>
        <w:spacing w:after="0"/>
        <w:ind w:left="720" w:hanging="720"/>
      </w:pPr>
      <w:r w:rsidRPr="009F7A4D">
        <w:t xml:space="preserve">Styron, T. H., O'Connell, M., Smalley, W., Rau, D., Shahar, G., Sells, D., . . . Davidson, L. (2006). Troubled youth in transition: An evaluation of Connecticut's special services for individuals aging out of adolescent mental health programs. </w:t>
      </w:r>
      <w:r w:rsidRPr="009F7A4D">
        <w:rPr>
          <w:i/>
        </w:rPr>
        <w:t>Children &amp; Youth Services Review, 28</w:t>
      </w:r>
      <w:r w:rsidRPr="009F7A4D">
        <w:t>(9), 1088-1101. doi:10.1016/j.childyouth.2005.10.010</w:t>
      </w:r>
    </w:p>
    <w:p w14:paraId="247BE0A5" w14:textId="0C042E9C" w:rsidR="00256494" w:rsidRPr="009F7A4D" w:rsidRDefault="00256494" w:rsidP="00BF0543">
      <w:pPr>
        <w:pStyle w:val="EndNoteBibliography"/>
        <w:spacing w:after="0"/>
        <w:ind w:left="720" w:hanging="720"/>
      </w:pPr>
      <w:r w:rsidRPr="0093164D">
        <w:t xml:space="preserve">Summer Foundation. </w:t>
      </w:r>
      <w:r w:rsidR="004873BD">
        <w:t>(</w:t>
      </w:r>
      <w:r w:rsidR="00EC0A64">
        <w:t>2000</w:t>
      </w:r>
      <w:r w:rsidR="004873BD">
        <w:t xml:space="preserve">) </w:t>
      </w:r>
      <w:r w:rsidRPr="0093164D">
        <w:t>Transitional Housing and Support in Australia for People with Disability: Environmental Scan</w:t>
      </w:r>
      <w:r w:rsidR="00EC0A64">
        <w:t>.</w:t>
      </w:r>
    </w:p>
    <w:p w14:paraId="3F65E638" w14:textId="77777777" w:rsidR="00256494" w:rsidRPr="009F7A4D" w:rsidRDefault="00256494" w:rsidP="00BF0543">
      <w:pPr>
        <w:pStyle w:val="EndNoteBibliography"/>
        <w:spacing w:after="0"/>
        <w:ind w:left="720" w:hanging="720"/>
      </w:pPr>
      <w:r w:rsidRPr="009F7A4D">
        <w:t xml:space="preserve">Tabatabainia, M. M. (2003). Listening to families' views regarding institutionalization &amp; deinstitutionalization. </w:t>
      </w:r>
      <w:r w:rsidRPr="009F7A4D">
        <w:rPr>
          <w:i/>
        </w:rPr>
        <w:t>Journal of Intellectual &amp; Developmental Disability, 28</w:t>
      </w:r>
      <w:r w:rsidRPr="009F7A4D">
        <w:t>(3), 241-259. doi:10.1080/1366825031000150973</w:t>
      </w:r>
    </w:p>
    <w:p w14:paraId="433DC8BC" w14:textId="77777777" w:rsidR="00256494" w:rsidRPr="009F7A4D" w:rsidRDefault="00256494" w:rsidP="00BF0543">
      <w:pPr>
        <w:pStyle w:val="EndNoteBibliography"/>
        <w:spacing w:after="0"/>
        <w:ind w:left="720" w:hanging="720"/>
      </w:pPr>
      <w:r w:rsidRPr="009F7A4D">
        <w:t xml:space="preserve">Trauer, T., Farhall, J., Newton, R., &amp; Cheung, P. (2001). From long-stay psychiatric hospital to community care unit: Evaluation at 1 year. </w:t>
      </w:r>
      <w:r w:rsidRPr="009F7A4D">
        <w:rPr>
          <w:i/>
        </w:rPr>
        <w:t>Social Psychiatry and Psychiatric Epidemiology, 36</w:t>
      </w:r>
      <w:r w:rsidRPr="009F7A4D">
        <w:t>(8), 416-419. doi:</w:t>
      </w:r>
      <w:r w:rsidRPr="00415B84">
        <w:t>http://dx.doi.org/10.1007/s001270170032</w:t>
      </w:r>
    </w:p>
    <w:p w14:paraId="344ABEB2" w14:textId="77777777" w:rsidR="00256494" w:rsidRDefault="00256494" w:rsidP="00BF0543">
      <w:pPr>
        <w:pStyle w:val="EndNoteBibliography"/>
        <w:spacing w:after="0"/>
        <w:ind w:left="720" w:hanging="720"/>
      </w:pPr>
      <w:r w:rsidRPr="009F7A4D">
        <w:t xml:space="preserve">Umansky, R., Amir, M., Fridmann, M., Zidon, E., Chen, D., &amp; Nemetz, B. (2003). Was It a Good Move? Improvement in Quality of Life Among Chronic Mental Patients Moving From a Mental Hospital to a Hostel in the Community. </w:t>
      </w:r>
      <w:r w:rsidRPr="009F7A4D">
        <w:rPr>
          <w:i/>
        </w:rPr>
        <w:t>Israel Journal of Psychiatry and Related Sciences, 40</w:t>
      </w:r>
      <w:r w:rsidRPr="009F7A4D">
        <w:t xml:space="preserve">(4), 248-257. </w:t>
      </w:r>
    </w:p>
    <w:p w14:paraId="328289CF" w14:textId="77777777" w:rsidR="00256494" w:rsidRDefault="00256494" w:rsidP="00BF0543">
      <w:pPr>
        <w:pStyle w:val="EndNoteBibliography"/>
        <w:spacing w:after="0"/>
        <w:ind w:left="720" w:hanging="720"/>
      </w:pPr>
      <w:r>
        <w:t xml:space="preserve">United Nations, </w:t>
      </w:r>
      <w:r w:rsidRPr="0035576D">
        <w:t>Universal declaration of human rights</w:t>
      </w:r>
      <w:r>
        <w:t xml:space="preserve">, 1948 </w:t>
      </w:r>
      <w:hyperlink r:id="rId73" w:history="1">
        <w:r w:rsidRPr="001E18F2">
          <w:rPr>
            <w:rStyle w:val="Hyperlink"/>
          </w:rPr>
          <w:t>https://www.un.org/en/universal-declaration-human-rights/</w:t>
        </w:r>
      </w:hyperlink>
    </w:p>
    <w:p w14:paraId="54ED8731" w14:textId="71BF3F7D" w:rsidR="00BF0543" w:rsidRDefault="00256494" w:rsidP="00BF0543">
      <w:pPr>
        <w:pStyle w:val="EndNoteBibliography"/>
        <w:spacing w:after="0"/>
        <w:ind w:left="720" w:hanging="720"/>
      </w:pPr>
      <w:r>
        <w:t>United Nations, C</w:t>
      </w:r>
      <w:r w:rsidRPr="0035576D">
        <w:t>onvention on the Rights of Persons with Disabilities (CRPD)</w:t>
      </w:r>
      <w:r>
        <w:t xml:space="preserve">, 2006 </w:t>
      </w:r>
      <w:hyperlink r:id="rId74" w:history="1">
        <w:r w:rsidRPr="001E18F2">
          <w:rPr>
            <w:rStyle w:val="Hyperlink"/>
          </w:rPr>
          <w:t>https://www.un.org/development/desa/disabilities/convention-on-the-rights-of-persons-with-disabilities.html</w:t>
        </w:r>
      </w:hyperlink>
      <w:r>
        <w:t xml:space="preserve"> </w:t>
      </w:r>
    </w:p>
    <w:p w14:paraId="50F3965F" w14:textId="77777777" w:rsidR="00BF0543" w:rsidRDefault="00BF0543">
      <w:pPr>
        <w:rPr>
          <w:rFonts w:ascii="Calibri" w:hAnsi="Calibri" w:cs="Calibri"/>
          <w:noProof/>
        </w:rPr>
      </w:pPr>
      <w:r>
        <w:br w:type="page"/>
      </w:r>
    </w:p>
    <w:p w14:paraId="37683719" w14:textId="77777777" w:rsidR="00256494" w:rsidRDefault="00256494" w:rsidP="00BF0543">
      <w:pPr>
        <w:pStyle w:val="EndNoteBibliography"/>
        <w:spacing w:after="0"/>
        <w:ind w:left="720" w:hanging="720"/>
      </w:pPr>
      <w:r w:rsidRPr="009F7A4D">
        <w:lastRenderedPageBreak/>
        <w:t xml:space="preserve">Wehmeyer, M. L., &amp; Bolding, N. (2001). Enhanced self-determination of adults with intellectual disability as an outcome of moving to community-based work or living environments. </w:t>
      </w:r>
      <w:r w:rsidRPr="009F7A4D">
        <w:rPr>
          <w:i/>
        </w:rPr>
        <w:t>Journal of Intellectual Disability Research, 45</w:t>
      </w:r>
      <w:r w:rsidRPr="009F7A4D">
        <w:t>(5), 371-383. doi:10.1046/j.1365-2788.2001.00342.x</w:t>
      </w:r>
    </w:p>
    <w:p w14:paraId="34167AD2" w14:textId="64EF9BAE" w:rsidR="00256494" w:rsidRDefault="00256494" w:rsidP="00BF0543">
      <w:pPr>
        <w:pStyle w:val="EndNoteBibliography"/>
        <w:spacing w:after="0"/>
        <w:ind w:left="720" w:hanging="720"/>
      </w:pPr>
      <w:r w:rsidRPr="0093164D">
        <w:t>Weinbach, Hanna</w:t>
      </w:r>
      <w:r w:rsidR="004873BD">
        <w:t>. (</w:t>
      </w:r>
      <w:r w:rsidR="004873BD" w:rsidRPr="0093164D">
        <w:t>2009</w:t>
      </w:r>
      <w:r w:rsidR="004873BD">
        <w:t>).</w:t>
      </w:r>
      <w:r w:rsidRPr="0093164D">
        <w:t xml:space="preserve"> Commentary on 'Deinstitutionalisation and community living for people with intellectual disabilities in Austria'Tizard </w:t>
      </w:r>
      <w:r w:rsidRPr="00A06149">
        <w:rPr>
          <w:i/>
          <w:iCs/>
        </w:rPr>
        <w:t>Learning Disability Review</w:t>
      </w:r>
      <w:r w:rsidR="004873BD">
        <w:rPr>
          <w:i/>
          <w:iCs/>
        </w:rPr>
        <w:t>,</w:t>
      </w:r>
      <w:r w:rsidR="004873BD" w:rsidRPr="00A06149">
        <w:rPr>
          <w:i/>
          <w:iCs/>
        </w:rPr>
        <w:t xml:space="preserve"> </w:t>
      </w:r>
      <w:r w:rsidRPr="00A06149">
        <w:rPr>
          <w:i/>
          <w:iCs/>
        </w:rPr>
        <w:t>14</w:t>
      </w:r>
      <w:r w:rsidRPr="0093164D">
        <w:t>(1):14-17</w:t>
      </w:r>
    </w:p>
    <w:p w14:paraId="5D72A1BB" w14:textId="77777777" w:rsidR="00256494" w:rsidRPr="009F7A4D" w:rsidRDefault="00256494" w:rsidP="00BF0543">
      <w:pPr>
        <w:pStyle w:val="EndNoteBibliography"/>
        <w:spacing w:after="0"/>
        <w:ind w:left="720" w:hanging="720"/>
      </w:pPr>
      <w:r>
        <w:t>White, G. W.; Simpson, J. L.; Gonda, C.; Ravesloot, C.; Coble, Z. Moving from independence to interdependence: a conceptual model for better understanding community participation of centers for independent living consumers Journal of Disability Policy Studies 2010;20(4):233-240 Thousand Oaks, California Sage Publications Inc. 2010</w:t>
      </w:r>
    </w:p>
    <w:p w14:paraId="30000D33" w14:textId="77777777" w:rsidR="004B06A2" w:rsidRDefault="004B06A2" w:rsidP="00BF0543">
      <w:pPr>
        <w:pStyle w:val="EndNoteBibliography"/>
        <w:spacing w:after="0"/>
        <w:ind w:left="720" w:hanging="720"/>
      </w:pPr>
      <w:r>
        <w:t xml:space="preserve">Wiesel, I., Laragy, C., Gendera, S., Fisher, K.R., Jenkinson, S., Hill, T., Finch, K., Shaw, W. and Bridge, C. (2015) Moving to my home: housing aspirations, transitions and outcomes of people with disability, AHURI Final Report No.246. Melbourne: Australian Housing and Urban Research Institute.  </w:t>
      </w:r>
    </w:p>
    <w:p w14:paraId="0D072B75" w14:textId="77777777" w:rsidR="004B06A2" w:rsidRDefault="004B06A2" w:rsidP="00BF0543">
      <w:pPr>
        <w:pStyle w:val="EndNoteBibliography"/>
        <w:spacing w:after="0"/>
        <w:ind w:left="720" w:hanging="720"/>
      </w:pPr>
      <w:r w:rsidRPr="00080519">
        <w:t>Wiesel, I., Bullen, J., Fisher, K. R., Winkler, D. and Reynolds, A. (2017) Shared home ownership by people with disability, AHURI Final Report No. 277, Australian Housing and Urban Research Institute Limited, Melbourne, https://www.ahuri.edu.au/research/final-reports/277, doi:10.18408/ahuri-7104001.</w:t>
      </w:r>
    </w:p>
    <w:p w14:paraId="671AD762" w14:textId="77777777" w:rsidR="004B06A2" w:rsidRDefault="004B06A2" w:rsidP="00BF0543">
      <w:pPr>
        <w:pStyle w:val="EndNoteBibliography"/>
        <w:spacing w:after="0"/>
        <w:ind w:left="720" w:hanging="720"/>
      </w:pPr>
      <w:r w:rsidRPr="00A9382B">
        <w:t>Wilkinson, A., Brackertz, N., Fotheringham, M., Winkler, D. (2018) Housing for people with disability: evidence review of post-occupancy evaluation instruments, AHURI Research Paper, Australian Housing and Urban Research Institute Limited, Melbourne, https://www.ahuri.edu.au/research/research-papers/housing-for-people-with-disability-evidence-review-of-post-occupancy-evaluation-instruments.</w:t>
      </w:r>
    </w:p>
    <w:p w14:paraId="28D58B49" w14:textId="77777777" w:rsidR="00256494" w:rsidRPr="009F7A4D" w:rsidRDefault="00256494" w:rsidP="00BF0543">
      <w:pPr>
        <w:pStyle w:val="EndNoteBibliography"/>
        <w:spacing w:after="0"/>
        <w:ind w:left="720" w:hanging="720"/>
      </w:pPr>
      <w:r w:rsidRPr="009F7A4D">
        <w:t xml:space="preserve">Wilson, A. B. (2013). How people with serious mental illness seek help after leaving jail. </w:t>
      </w:r>
      <w:r w:rsidRPr="009F7A4D">
        <w:rPr>
          <w:i/>
        </w:rPr>
        <w:t>Qualitative Health Research, 23</w:t>
      </w:r>
      <w:r w:rsidRPr="009F7A4D">
        <w:t>(12), 1575-1590. doi:</w:t>
      </w:r>
      <w:r w:rsidRPr="00415B84">
        <w:t>http://dx.doi.org/10.1177/1049732313508476</w:t>
      </w:r>
    </w:p>
    <w:p w14:paraId="234D31C2" w14:textId="7089268C" w:rsidR="00256494" w:rsidRPr="009F7A4D" w:rsidRDefault="00256494" w:rsidP="00BF0543">
      <w:pPr>
        <w:pStyle w:val="EndNoteBibliography"/>
        <w:spacing w:after="0"/>
        <w:ind w:left="720" w:hanging="720"/>
      </w:pPr>
      <w:r w:rsidRPr="009F7A4D">
        <w:t xml:space="preserve">Wilson, N. J., Riches, V. C., Riches, T., Durvasula, S., Rodrigues, R., &amp; Pinto, S. </w:t>
      </w:r>
      <w:r w:rsidR="004873BD">
        <w:t xml:space="preserve">(2020). </w:t>
      </w:r>
      <w:r w:rsidRPr="009F7A4D">
        <w:t xml:space="preserve">Complex support needs profile of an adult cohort with intellectual disability transitioning from state-based service provision to NDIS-funded residential support. </w:t>
      </w:r>
      <w:r w:rsidRPr="009F7A4D">
        <w:rPr>
          <w:i/>
        </w:rPr>
        <w:t>Journal of Intellectual &amp; Developmental Disability</w:t>
      </w:r>
      <w:r w:rsidRPr="009F7A4D">
        <w:t>, 10. doi:10.3109/13668250.2020.1717069</w:t>
      </w:r>
    </w:p>
    <w:p w14:paraId="637AA8D4" w14:textId="77777777" w:rsidR="00256494" w:rsidRPr="009F7A4D" w:rsidRDefault="00256494" w:rsidP="00BF0543">
      <w:pPr>
        <w:pStyle w:val="EndNoteBibliography"/>
        <w:spacing w:after="0"/>
        <w:ind w:left="720" w:hanging="720"/>
      </w:pPr>
      <w:r w:rsidRPr="009F7A4D">
        <w:t xml:space="preserve">Winkler, D., Callaway, L., Sloan, S., &amp; Holgate, N. (2015). Everyday Choice Making: Outcomes of Young People with Acquired Brain Injury After Moving from Residential Aged Care to Community-Based Supported Accommodation. </w:t>
      </w:r>
      <w:r w:rsidRPr="009F7A4D">
        <w:rPr>
          <w:i/>
        </w:rPr>
        <w:t>Brain Impairment, 16</w:t>
      </w:r>
      <w:r w:rsidRPr="009F7A4D">
        <w:t>(3), 221-235. doi:10.1017/BrImp.2015.32</w:t>
      </w:r>
    </w:p>
    <w:p w14:paraId="73ABC68C" w14:textId="77777777" w:rsidR="00256494" w:rsidRPr="009F7A4D" w:rsidRDefault="00256494" w:rsidP="00BF0543">
      <w:pPr>
        <w:pStyle w:val="EndNoteBibliography"/>
        <w:spacing w:after="0"/>
        <w:ind w:left="720" w:hanging="720"/>
      </w:pPr>
      <w:r w:rsidRPr="009F7A4D">
        <w:t xml:space="preserve">Winkler, D., Farnworth, L., Sloan, S., &amp; Brown, T. (2011). Moving from aged care facilities to community-based accommodation: Outcomes and environmental factors. </w:t>
      </w:r>
      <w:r w:rsidRPr="009F7A4D">
        <w:rPr>
          <w:i/>
        </w:rPr>
        <w:t>Brain Injury, 25</w:t>
      </w:r>
      <w:r w:rsidRPr="009F7A4D">
        <w:t>(2), 153-168. doi:10.3109/02699052.2010.541403</w:t>
      </w:r>
    </w:p>
    <w:p w14:paraId="1FECDA87" w14:textId="77777777" w:rsidR="00256494" w:rsidRPr="009F7A4D" w:rsidRDefault="00256494" w:rsidP="00BF0543">
      <w:pPr>
        <w:pStyle w:val="EndNoteBibliography"/>
        <w:spacing w:after="0"/>
        <w:ind w:left="720" w:hanging="720"/>
      </w:pPr>
      <w:r w:rsidRPr="009F7A4D">
        <w:t xml:space="preserve">Wong, Y.-L. I., Filoromo, M., &amp; Tennille, J. (2007). From principles to practice: A study of implementation of supported housing for psychiatric consumers. </w:t>
      </w:r>
      <w:r w:rsidRPr="009F7A4D">
        <w:rPr>
          <w:i/>
        </w:rPr>
        <w:t>Administration and Policy in Mental Health and Mental Health Services Research, 34</w:t>
      </w:r>
      <w:r w:rsidRPr="009F7A4D">
        <w:t>(1), 13-28. doi:</w:t>
      </w:r>
      <w:r w:rsidRPr="00415B84">
        <w:t>http://dx.doi.org/10.1007/s10488-006-0058-y</w:t>
      </w:r>
    </w:p>
    <w:p w14:paraId="5C8835A6" w14:textId="183D7761" w:rsidR="00256494" w:rsidRDefault="00256494" w:rsidP="00BF0543">
      <w:pPr>
        <w:pStyle w:val="EndNoteBibliography"/>
        <w:spacing w:after="0"/>
        <w:ind w:left="720" w:hanging="720"/>
      </w:pPr>
      <w:r w:rsidRPr="009F7A4D">
        <w:t xml:space="preserve">Woodman, A. C., Mailick, M. R., Anderson, K. A., &amp; Esbensen, A. J. (2014). Residential transitions among adults with intellectual disability across 20 years. </w:t>
      </w:r>
      <w:r w:rsidRPr="009F7A4D">
        <w:rPr>
          <w:i/>
        </w:rPr>
        <w:t>American Journal on Intellectual &amp; Developmental Disabilities, 119</w:t>
      </w:r>
      <w:r w:rsidRPr="009F7A4D">
        <w:t>(6), 496-515. doi:10.1352/1944-7558-119.6.496</w:t>
      </w:r>
    </w:p>
    <w:p w14:paraId="0919952A" w14:textId="27C8CFB6" w:rsidR="004B06A2" w:rsidRPr="009F7A4D" w:rsidRDefault="004B06A2" w:rsidP="00BF0543">
      <w:pPr>
        <w:pStyle w:val="EndNoteBibliography"/>
        <w:spacing w:after="0"/>
        <w:ind w:left="720" w:hanging="720"/>
      </w:pPr>
      <w:r>
        <w:t xml:space="preserve">Woolrych, R. (2000) Reshaping services -- a practical example: moving from a local authority hostel to supported housing, </w:t>
      </w:r>
      <w:r w:rsidRPr="00A9382B">
        <w:rPr>
          <w:i/>
          <w:iCs/>
        </w:rPr>
        <w:t>Housing, Care &amp; Suppor</w:t>
      </w:r>
      <w:r>
        <w:rPr>
          <w:i/>
          <w:iCs/>
        </w:rPr>
        <w:t>t</w:t>
      </w:r>
      <w:r>
        <w:t>; 3(4):22-28</w:t>
      </w:r>
    </w:p>
    <w:p w14:paraId="707EFB84" w14:textId="77777777" w:rsidR="00256494" w:rsidRPr="009F7A4D" w:rsidRDefault="00256494" w:rsidP="00BF0543">
      <w:pPr>
        <w:pStyle w:val="EndNoteBibliography"/>
        <w:spacing w:after="0"/>
        <w:ind w:left="720" w:hanging="720"/>
      </w:pPr>
      <w:r w:rsidRPr="009F7A4D">
        <w:t xml:space="preserve">Wright, E. R., Gronfein, W. P., &amp; Owens, T. J. (2000). Deinstitutionalization, social rejection, and the self-esteem of former mental patients. </w:t>
      </w:r>
      <w:r w:rsidRPr="009F7A4D">
        <w:rPr>
          <w:i/>
        </w:rPr>
        <w:t>Journal of Health and Social Behavior, 41</w:t>
      </w:r>
      <w:r w:rsidRPr="009F7A4D">
        <w:t>(1), 68-90. doi:</w:t>
      </w:r>
      <w:r w:rsidRPr="00415B84">
        <w:t>http://dx.doi.org/10.2307/2676361</w:t>
      </w:r>
    </w:p>
    <w:bookmarkEnd w:id="71"/>
    <w:p w14:paraId="5A59AEE2" w14:textId="4E33EE21" w:rsidR="00B06301" w:rsidRDefault="00B06301">
      <w:r>
        <w:br w:type="page"/>
      </w:r>
    </w:p>
    <w:p w14:paraId="2BCCE29D" w14:textId="77777777" w:rsidR="00B06301" w:rsidRDefault="00B06301" w:rsidP="00B06301">
      <w:pPr>
        <w:pStyle w:val="Heading1"/>
      </w:pPr>
      <w:bookmarkStart w:id="78" w:name="_Toc73535985"/>
      <w:r>
        <w:lastRenderedPageBreak/>
        <w:t>Appendix A: Members of the Advisory Committee</w:t>
      </w:r>
      <w:bookmarkEnd w:id="78"/>
    </w:p>
    <w:p w14:paraId="77D2CBE6" w14:textId="77777777" w:rsidR="00D63C07" w:rsidRDefault="00D63C07" w:rsidP="00D63C07"/>
    <w:p w14:paraId="6E1E782D" w14:textId="523FE220" w:rsidR="00B06301" w:rsidRDefault="00B06301" w:rsidP="00D63C07">
      <w:pPr>
        <w:pStyle w:val="ListParagraph"/>
        <w:numPr>
          <w:ilvl w:val="0"/>
          <w:numId w:val="15"/>
        </w:numPr>
        <w:spacing w:line="360" w:lineRule="auto"/>
      </w:pPr>
      <w:r>
        <w:t xml:space="preserve">Associate Professor Mary-Ann O'Donovan, Centre for Disability Studies, affiliate of the University of Sydney School of Medicine </w:t>
      </w:r>
    </w:p>
    <w:p w14:paraId="21F539B4" w14:textId="77777777" w:rsidR="00B06301" w:rsidRDefault="00B06301" w:rsidP="00B06301">
      <w:pPr>
        <w:pStyle w:val="ListParagraph"/>
        <w:numPr>
          <w:ilvl w:val="0"/>
          <w:numId w:val="15"/>
        </w:numPr>
        <w:spacing w:line="360" w:lineRule="auto"/>
      </w:pPr>
      <w:r>
        <w:t>Professor Emerita Patricia O'Brien, Centre for Disability Studies, affiliate of the University of Sydney School of Medicine</w:t>
      </w:r>
    </w:p>
    <w:p w14:paraId="57B382D5" w14:textId="77777777" w:rsidR="00B06301" w:rsidRDefault="00B06301" w:rsidP="00B06301">
      <w:pPr>
        <w:pStyle w:val="ListParagraph"/>
        <w:numPr>
          <w:ilvl w:val="0"/>
          <w:numId w:val="15"/>
        </w:numPr>
        <w:spacing w:line="360" w:lineRule="auto"/>
      </w:pPr>
      <w:r>
        <w:t xml:space="preserve">Clinical Professor Vivienne Riches, Centre for Disability Studies, affiliate of the University of Sydney School of Medicine </w:t>
      </w:r>
    </w:p>
    <w:p w14:paraId="1CAF1A6B" w14:textId="77777777" w:rsidR="00B06301" w:rsidRDefault="00B06301" w:rsidP="00B06301">
      <w:pPr>
        <w:pStyle w:val="ListParagraph"/>
        <w:numPr>
          <w:ilvl w:val="0"/>
          <w:numId w:val="15"/>
        </w:numPr>
        <w:spacing w:line="360" w:lineRule="auto"/>
      </w:pPr>
      <w:r>
        <w:t xml:space="preserve">Emeritus Professor Trevor Parmenter, Centre for Disability Studies, affiliate of the University of Sydney School of Medicine </w:t>
      </w:r>
    </w:p>
    <w:p w14:paraId="04954A13" w14:textId="77777777" w:rsidR="00B06301" w:rsidRDefault="00B06301" w:rsidP="00B06301">
      <w:pPr>
        <w:pStyle w:val="ListParagraph"/>
        <w:numPr>
          <w:ilvl w:val="0"/>
          <w:numId w:val="15"/>
        </w:numPr>
        <w:spacing w:line="360" w:lineRule="auto"/>
      </w:pPr>
      <w:r>
        <w:t>Professor Adam Guastella, Brain and Mind Centre, the University of Sydney</w:t>
      </w:r>
    </w:p>
    <w:p w14:paraId="6E476E27" w14:textId="77777777" w:rsidR="00B06301" w:rsidRDefault="00B06301" w:rsidP="00B06301">
      <w:pPr>
        <w:pStyle w:val="ListParagraph"/>
        <w:numPr>
          <w:ilvl w:val="0"/>
          <w:numId w:val="15"/>
        </w:numPr>
        <w:spacing w:line="360" w:lineRule="auto"/>
      </w:pPr>
      <w:r>
        <w:t>Dr Zachariah Duke, Centre for Disability Studies, the University of Sydney School of Medicine</w:t>
      </w:r>
    </w:p>
    <w:p w14:paraId="4559B14C" w14:textId="77777777" w:rsidR="00B06301" w:rsidRDefault="00B06301" w:rsidP="00B06301">
      <w:pPr>
        <w:pStyle w:val="ListParagraph"/>
        <w:numPr>
          <w:ilvl w:val="0"/>
          <w:numId w:val="15"/>
        </w:numPr>
        <w:spacing w:line="360" w:lineRule="auto"/>
      </w:pPr>
      <w:r>
        <w:t>Mr Mark Toomey, Member of Participant First, NDIA</w:t>
      </w:r>
    </w:p>
    <w:p w14:paraId="1CF39670" w14:textId="77777777" w:rsidR="00B06301" w:rsidRDefault="00B06301" w:rsidP="00B06301">
      <w:pPr>
        <w:pStyle w:val="ListParagraph"/>
        <w:numPr>
          <w:ilvl w:val="0"/>
          <w:numId w:val="15"/>
        </w:numPr>
        <w:spacing w:line="360" w:lineRule="auto"/>
      </w:pPr>
      <w:r>
        <w:t xml:space="preserve">Ms Simone Stevens, Member of Participant First, NDIA </w:t>
      </w:r>
    </w:p>
    <w:p w14:paraId="47DF1AC2" w14:textId="77777777" w:rsidR="00B06301" w:rsidRDefault="00B06301" w:rsidP="00B06301">
      <w:pPr>
        <w:pStyle w:val="ListParagraph"/>
        <w:numPr>
          <w:ilvl w:val="0"/>
          <w:numId w:val="15"/>
        </w:numPr>
        <w:spacing w:line="360" w:lineRule="auto"/>
      </w:pPr>
      <w:r>
        <w:t>Professor Chris Hatton, Manchester Metropolitan University, UK</w:t>
      </w:r>
    </w:p>
    <w:p w14:paraId="551256AC" w14:textId="77777777" w:rsidR="00B06301" w:rsidRDefault="00B06301" w:rsidP="00B06301">
      <w:pPr>
        <w:pStyle w:val="ListParagraph"/>
        <w:numPr>
          <w:ilvl w:val="0"/>
          <w:numId w:val="15"/>
        </w:numPr>
        <w:spacing w:line="360" w:lineRule="auto"/>
      </w:pPr>
      <w:r>
        <w:t>Professor Karen Fisher, The University of New South Wales</w:t>
      </w:r>
    </w:p>
    <w:p w14:paraId="3B93E84A" w14:textId="77777777" w:rsidR="00B06301" w:rsidRDefault="00B06301" w:rsidP="00B06301">
      <w:pPr>
        <w:pStyle w:val="ListParagraph"/>
        <w:numPr>
          <w:ilvl w:val="0"/>
          <w:numId w:val="15"/>
        </w:numPr>
        <w:spacing w:line="360" w:lineRule="auto"/>
      </w:pPr>
      <w:r>
        <w:t>Emeritus Professor Errol Cocks, Curtin University</w:t>
      </w:r>
    </w:p>
    <w:p w14:paraId="344336A0" w14:textId="77777777" w:rsidR="00B06301" w:rsidRDefault="00B06301" w:rsidP="00B06301">
      <w:pPr>
        <w:pStyle w:val="ListParagraph"/>
        <w:numPr>
          <w:ilvl w:val="0"/>
          <w:numId w:val="15"/>
        </w:numPr>
        <w:spacing w:line="360" w:lineRule="auto"/>
      </w:pPr>
      <w:r>
        <w:t>Dr Richard Koenig, Housing Opportunity Development Corporation, USA</w:t>
      </w:r>
    </w:p>
    <w:p w14:paraId="11936681" w14:textId="77777777" w:rsidR="00B06301" w:rsidRDefault="00B06301" w:rsidP="00B06301">
      <w:pPr>
        <w:pStyle w:val="ListParagraph"/>
        <w:numPr>
          <w:ilvl w:val="0"/>
          <w:numId w:val="15"/>
        </w:numPr>
        <w:spacing w:line="360" w:lineRule="auto"/>
      </w:pPr>
      <w:r>
        <w:t>Professor Heidi Zeeman, Griffith University</w:t>
      </w:r>
    </w:p>
    <w:p w14:paraId="39434CC4" w14:textId="78ED0B91" w:rsidR="00B06301" w:rsidRDefault="00B06301">
      <w:r>
        <w:br w:type="page"/>
      </w:r>
    </w:p>
    <w:p w14:paraId="266BCE56" w14:textId="77777777" w:rsidR="00B06301" w:rsidRDefault="00B06301" w:rsidP="00B06301">
      <w:pPr>
        <w:pStyle w:val="Heading1"/>
      </w:pPr>
      <w:bookmarkStart w:id="79" w:name="_Toc73535986"/>
      <w:r>
        <w:lastRenderedPageBreak/>
        <w:t>Appendix B: PICO</w:t>
      </w:r>
      <w:bookmarkEnd w:id="79"/>
    </w:p>
    <w:p w14:paraId="10D78705" w14:textId="77777777" w:rsidR="00B06301" w:rsidRDefault="00B06301" w:rsidP="00F00CFD">
      <w:pPr>
        <w:spacing w:before="120" w:line="360" w:lineRule="auto"/>
      </w:pPr>
      <w:r>
        <w:t xml:space="preserve">Participants: an adult population (aged 18 to 65 years) of people with intellectual, physical or sensory disability, autism/ASD, psycho-social disability, cognitive impairment, acquired or life-long disability </w:t>
      </w:r>
    </w:p>
    <w:p w14:paraId="37639320" w14:textId="77777777" w:rsidR="00B06301" w:rsidRPr="00B06301" w:rsidRDefault="00B06301" w:rsidP="00B06301">
      <w:pPr>
        <w:rPr>
          <w:i/>
          <w:iCs/>
        </w:rPr>
      </w:pPr>
      <w:r w:rsidRPr="00B06301">
        <w:rPr>
          <w:i/>
          <w:iCs/>
        </w:rPr>
        <w:t xml:space="preserve">Intervention(s): </w:t>
      </w:r>
    </w:p>
    <w:p w14:paraId="020FF0F8" w14:textId="77777777" w:rsidR="00B06301" w:rsidRDefault="00B06301" w:rsidP="00B06301">
      <w:pPr>
        <w:pStyle w:val="ListParagraph"/>
        <w:numPr>
          <w:ilvl w:val="0"/>
          <w:numId w:val="16"/>
        </w:numPr>
        <w:spacing w:line="360" w:lineRule="auto"/>
      </w:pPr>
      <w:r>
        <w:t>studies that include/describe participants (as above) transition from group homes, institutional care and residential aged care facilities into community, independent or other non-congregated settings.</w:t>
      </w:r>
    </w:p>
    <w:p w14:paraId="389C125E" w14:textId="316F8520" w:rsidR="00B06301" w:rsidRDefault="00B06301" w:rsidP="00B06301">
      <w:pPr>
        <w:pStyle w:val="ListParagraph"/>
        <w:numPr>
          <w:ilvl w:val="0"/>
          <w:numId w:val="16"/>
        </w:numPr>
        <w:spacing w:line="360" w:lineRule="auto"/>
      </w:pPr>
      <w:r>
        <w:t>studies that include/describe preventative strategies for participants with a disability (as above) not to move into institutional or aged care facilities or other congregated care settings.</w:t>
      </w:r>
    </w:p>
    <w:p w14:paraId="5679636F" w14:textId="12E57974" w:rsidR="00B06301" w:rsidRDefault="00B06301" w:rsidP="00B06301">
      <w:pPr>
        <w:pStyle w:val="ListParagraph"/>
        <w:numPr>
          <w:ilvl w:val="0"/>
          <w:numId w:val="16"/>
        </w:numPr>
        <w:spacing w:line="360" w:lineRule="auto"/>
      </w:pPr>
      <w:r>
        <w:t>studies that include/describe preventative strategies for participants with a disability (as above) to support move from institutional or aged care facilities to de-congregated care settings.</w:t>
      </w:r>
    </w:p>
    <w:p w14:paraId="09E88E84" w14:textId="77777777" w:rsidR="00B06301" w:rsidRDefault="00B06301" w:rsidP="00B06301">
      <w:pPr>
        <w:spacing w:line="360" w:lineRule="auto"/>
      </w:pPr>
    </w:p>
    <w:p w14:paraId="39B014BA" w14:textId="77777777" w:rsidR="00B06301" w:rsidRDefault="00B06301" w:rsidP="00B06301">
      <w:pPr>
        <w:spacing w:line="360" w:lineRule="auto"/>
      </w:pPr>
      <w:r w:rsidRPr="00B06301">
        <w:rPr>
          <w:i/>
          <w:iCs/>
        </w:rPr>
        <w:t>Comparison(s):</w:t>
      </w:r>
      <w:r>
        <w:t xml:space="preserve"> primary comparison of pre/post transition from congregated or group home to de-congregated settings including focus of transition from congregated or group home settings to independent living arrangements. </w:t>
      </w:r>
    </w:p>
    <w:p w14:paraId="3317F4F2" w14:textId="77777777" w:rsidR="00B06301" w:rsidRDefault="00B06301" w:rsidP="00B06301">
      <w:pPr>
        <w:spacing w:line="360" w:lineRule="auto"/>
      </w:pPr>
    </w:p>
    <w:p w14:paraId="391CA56E" w14:textId="77777777" w:rsidR="00B06301" w:rsidRDefault="00B06301" w:rsidP="00B06301">
      <w:pPr>
        <w:spacing w:line="360" w:lineRule="auto"/>
      </w:pPr>
      <w:r w:rsidRPr="00B06301">
        <w:rPr>
          <w:i/>
          <w:iCs/>
        </w:rPr>
        <w:t>Outcomes:</w:t>
      </w:r>
      <w:r>
        <w:t xml:space="preserve"> the two primary outcomes comprise of (a) transition taking place (ascertained in studies presenting pre and post transition data) and (b) quality of life.  Additional participant led outcomes as described in individual studies were also summarized in the review included level of satisfaction with transition, degree of choice, self-determination, social connectedness, sense of belonging.  Cost effectiveness, efficiency, cost-benefits were also summarized in the quantitative studies when information was available. </w:t>
      </w:r>
    </w:p>
    <w:p w14:paraId="1B034BAC" w14:textId="77777777" w:rsidR="00B06301" w:rsidRDefault="00B06301" w:rsidP="00B06301">
      <w:pPr>
        <w:spacing w:line="360" w:lineRule="auto"/>
      </w:pPr>
    </w:p>
    <w:p w14:paraId="55B009B5" w14:textId="77777777" w:rsidR="00B06301" w:rsidRDefault="00B06301">
      <w:r>
        <w:br w:type="page"/>
      </w:r>
    </w:p>
    <w:p w14:paraId="687ACFBC" w14:textId="2674460C" w:rsidR="00B06301" w:rsidRDefault="00B06301" w:rsidP="00B06301">
      <w:pPr>
        <w:pStyle w:val="Heading1"/>
      </w:pPr>
      <w:bookmarkStart w:id="80" w:name="_Toc73535987"/>
      <w:r>
        <w:lastRenderedPageBreak/>
        <w:t>Appendix C: Search strategy</w:t>
      </w:r>
      <w:bookmarkEnd w:id="80"/>
      <w:r>
        <w:t xml:space="preserve"> </w:t>
      </w:r>
    </w:p>
    <w:p w14:paraId="4A805FB9" w14:textId="77777777" w:rsidR="00B06301" w:rsidRDefault="00B06301" w:rsidP="00F00CFD">
      <w:pPr>
        <w:spacing w:before="120" w:line="360" w:lineRule="auto"/>
      </w:pPr>
      <w:r w:rsidRPr="00B06301">
        <w:rPr>
          <w:b/>
          <w:bCs/>
          <w:i/>
          <w:iCs/>
        </w:rPr>
        <w:t>Search strategy</w:t>
      </w:r>
      <w:r>
        <w:t xml:space="preserve">: the search strategy for the systematic review (refer Appendix AA for detailed description) incorporated search terms on (a) living arrangement/setting type (independent living OR community group home OR community setting OR non-institutional OR non-residential OR de-congregated OR institutional OR family care OR supported apartment OR supported living OR residential aged care) (b) Movement/ change in living arrangement (De-congregation OR de-institutionalization OR de-institutionalisation OR transition OR mobility OR movement) (c)  Disability (Intellectual disability OR developmental disability OR learning disability OR mental retardation OR mental handicap OR physical disability OR sensory OR deaf OR blind OR vision loss OR sight loss OR vision impairment OR hearing loss OR psycho-social OR autism OR ASD or mental health OR cognitive impairment OR impairment) (d) Interventions (Interventions OR approaches OR supports OR enablers OR facilitators OR strategies OR measures). </w:t>
      </w:r>
    </w:p>
    <w:p w14:paraId="39E522C9" w14:textId="77777777" w:rsidR="00B06301" w:rsidRDefault="00B06301" w:rsidP="00B06301">
      <w:pPr>
        <w:spacing w:line="360" w:lineRule="auto"/>
      </w:pPr>
      <w:r w:rsidRPr="00B06301">
        <w:rPr>
          <w:b/>
          <w:bCs/>
          <w:i/>
          <w:iCs/>
        </w:rPr>
        <w:t>Databases</w:t>
      </w:r>
      <w:r>
        <w:t>: the following databases were searched for the systematic review - MEDLINE (Medical Literature Analysis and Retrieval System Online), Embase (Excerpta Medica Database), PsycINFO, Cochrane Database of Systematic Reviews, CINAHL (Cumulative Index to Nursing and Allied Health Literature), Scopus, Web of Science, ProQuest Central, Academic Search Complete, Sociology Source Complete.</w:t>
      </w:r>
    </w:p>
    <w:p w14:paraId="38E1A0C7" w14:textId="7C74DDD9" w:rsidR="00B06301" w:rsidRDefault="00B06301">
      <w:r>
        <w:br w:type="page"/>
      </w:r>
    </w:p>
    <w:p w14:paraId="2A6FD6E1" w14:textId="78C065EA" w:rsidR="002E7617" w:rsidRDefault="00B06301" w:rsidP="00B06301">
      <w:pPr>
        <w:pStyle w:val="Heading1"/>
      </w:pPr>
      <w:bookmarkStart w:id="81" w:name="_Toc73535988"/>
      <w:r w:rsidRPr="00B06301">
        <w:lastRenderedPageBreak/>
        <w:t>Appendix D: Data extraction template</w:t>
      </w:r>
      <w:bookmarkEnd w:id="81"/>
    </w:p>
    <w:p w14:paraId="0812C2D0" w14:textId="52C86254" w:rsidR="00B06301" w:rsidRDefault="00B06301" w:rsidP="00B52266">
      <w:pPr>
        <w:spacing w:line="360" w:lineRule="auto"/>
      </w:pPr>
    </w:p>
    <w:tbl>
      <w:tblPr>
        <w:tblStyle w:val="TableGrid"/>
        <w:tblW w:w="0" w:type="auto"/>
        <w:tblLook w:val="04A0" w:firstRow="1" w:lastRow="0" w:firstColumn="1" w:lastColumn="0" w:noHBand="0" w:noVBand="1"/>
      </w:tblPr>
      <w:tblGrid>
        <w:gridCol w:w="2462"/>
        <w:gridCol w:w="2254"/>
        <w:gridCol w:w="2254"/>
        <w:gridCol w:w="2254"/>
      </w:tblGrid>
      <w:tr w:rsidR="00B06301" w14:paraId="77288F3E" w14:textId="77777777" w:rsidTr="002D631B">
        <w:tc>
          <w:tcPr>
            <w:tcW w:w="2254" w:type="dxa"/>
          </w:tcPr>
          <w:p w14:paraId="0E53BCDC" w14:textId="77777777" w:rsidR="00B06301" w:rsidRDefault="00B06301" w:rsidP="002D631B">
            <w:r>
              <w:t>Source</w:t>
            </w:r>
          </w:p>
        </w:tc>
        <w:tc>
          <w:tcPr>
            <w:tcW w:w="2254" w:type="dxa"/>
          </w:tcPr>
          <w:p w14:paraId="3D810E8D" w14:textId="77777777" w:rsidR="00B06301" w:rsidRDefault="00B06301" w:rsidP="002D631B"/>
        </w:tc>
        <w:tc>
          <w:tcPr>
            <w:tcW w:w="2254" w:type="dxa"/>
          </w:tcPr>
          <w:p w14:paraId="1B180DC4" w14:textId="77777777" w:rsidR="00B06301" w:rsidRDefault="00B06301" w:rsidP="002D631B"/>
        </w:tc>
        <w:tc>
          <w:tcPr>
            <w:tcW w:w="2254" w:type="dxa"/>
          </w:tcPr>
          <w:p w14:paraId="04D4EA2E" w14:textId="77777777" w:rsidR="00B06301" w:rsidRDefault="00B06301" w:rsidP="002D631B"/>
        </w:tc>
      </w:tr>
      <w:tr w:rsidR="00B06301" w14:paraId="31818AD8" w14:textId="77777777" w:rsidTr="002D631B">
        <w:tc>
          <w:tcPr>
            <w:tcW w:w="2254" w:type="dxa"/>
          </w:tcPr>
          <w:p w14:paraId="6A0C47FD" w14:textId="77777777" w:rsidR="00B06301" w:rsidRDefault="00B06301" w:rsidP="002D631B">
            <w:r>
              <w:t>Citation</w:t>
            </w:r>
          </w:p>
        </w:tc>
        <w:tc>
          <w:tcPr>
            <w:tcW w:w="2254" w:type="dxa"/>
          </w:tcPr>
          <w:p w14:paraId="7432A886" w14:textId="77777777" w:rsidR="00B06301" w:rsidRDefault="00B06301" w:rsidP="002D631B"/>
        </w:tc>
        <w:tc>
          <w:tcPr>
            <w:tcW w:w="2254" w:type="dxa"/>
          </w:tcPr>
          <w:p w14:paraId="567800EF" w14:textId="77777777" w:rsidR="00B06301" w:rsidRDefault="00B06301" w:rsidP="002D631B"/>
        </w:tc>
        <w:tc>
          <w:tcPr>
            <w:tcW w:w="2254" w:type="dxa"/>
          </w:tcPr>
          <w:p w14:paraId="54C8AC29" w14:textId="77777777" w:rsidR="00B06301" w:rsidRDefault="00B06301" w:rsidP="002D631B"/>
        </w:tc>
      </w:tr>
      <w:tr w:rsidR="00B06301" w14:paraId="3E06D5F0" w14:textId="77777777" w:rsidTr="002D631B">
        <w:tc>
          <w:tcPr>
            <w:tcW w:w="2254" w:type="dxa"/>
          </w:tcPr>
          <w:p w14:paraId="51B8542A" w14:textId="77777777" w:rsidR="00B06301" w:rsidRDefault="00B06301" w:rsidP="002D631B">
            <w:r>
              <w:t>Country (region)</w:t>
            </w:r>
          </w:p>
        </w:tc>
        <w:tc>
          <w:tcPr>
            <w:tcW w:w="2254" w:type="dxa"/>
          </w:tcPr>
          <w:p w14:paraId="2781A4FA" w14:textId="77777777" w:rsidR="00B06301" w:rsidRDefault="00B06301" w:rsidP="002D631B"/>
        </w:tc>
        <w:tc>
          <w:tcPr>
            <w:tcW w:w="2254" w:type="dxa"/>
          </w:tcPr>
          <w:p w14:paraId="33A2DCDE" w14:textId="77777777" w:rsidR="00B06301" w:rsidRDefault="00B06301" w:rsidP="002D631B"/>
        </w:tc>
        <w:tc>
          <w:tcPr>
            <w:tcW w:w="2254" w:type="dxa"/>
          </w:tcPr>
          <w:p w14:paraId="0A000685" w14:textId="77777777" w:rsidR="00B06301" w:rsidRDefault="00B06301" w:rsidP="002D631B"/>
        </w:tc>
      </w:tr>
      <w:tr w:rsidR="00B06301" w14:paraId="41FED644" w14:textId="77777777" w:rsidTr="002D631B">
        <w:tc>
          <w:tcPr>
            <w:tcW w:w="2254" w:type="dxa"/>
          </w:tcPr>
          <w:p w14:paraId="274A25D1" w14:textId="77777777" w:rsidR="00B06301" w:rsidRDefault="00B06301" w:rsidP="002D631B">
            <w:r>
              <w:t>Year</w:t>
            </w:r>
          </w:p>
        </w:tc>
        <w:tc>
          <w:tcPr>
            <w:tcW w:w="2254" w:type="dxa"/>
          </w:tcPr>
          <w:p w14:paraId="62997D4B" w14:textId="77777777" w:rsidR="00B06301" w:rsidRDefault="00B06301" w:rsidP="002D631B"/>
        </w:tc>
        <w:tc>
          <w:tcPr>
            <w:tcW w:w="2254" w:type="dxa"/>
          </w:tcPr>
          <w:p w14:paraId="35689331" w14:textId="77777777" w:rsidR="00B06301" w:rsidRDefault="00B06301" w:rsidP="002D631B"/>
        </w:tc>
        <w:tc>
          <w:tcPr>
            <w:tcW w:w="2254" w:type="dxa"/>
          </w:tcPr>
          <w:p w14:paraId="07E39CB1" w14:textId="77777777" w:rsidR="00B06301" w:rsidRDefault="00B06301" w:rsidP="002D631B"/>
        </w:tc>
      </w:tr>
      <w:tr w:rsidR="00B06301" w14:paraId="50A99879" w14:textId="77777777" w:rsidTr="002D631B">
        <w:tc>
          <w:tcPr>
            <w:tcW w:w="2254" w:type="dxa"/>
          </w:tcPr>
          <w:p w14:paraId="686ECFBC" w14:textId="77777777" w:rsidR="00B06301" w:rsidRDefault="00B06301" w:rsidP="002D631B">
            <w:r>
              <w:t>Type of housing model</w:t>
            </w:r>
          </w:p>
        </w:tc>
        <w:tc>
          <w:tcPr>
            <w:tcW w:w="2254" w:type="dxa"/>
          </w:tcPr>
          <w:p w14:paraId="7E2441C0" w14:textId="77777777" w:rsidR="00B06301" w:rsidRDefault="00B06301" w:rsidP="002D631B"/>
        </w:tc>
        <w:tc>
          <w:tcPr>
            <w:tcW w:w="2254" w:type="dxa"/>
          </w:tcPr>
          <w:p w14:paraId="4FFB5683" w14:textId="77777777" w:rsidR="00B06301" w:rsidRDefault="00B06301" w:rsidP="002D631B"/>
        </w:tc>
        <w:tc>
          <w:tcPr>
            <w:tcW w:w="2254" w:type="dxa"/>
          </w:tcPr>
          <w:p w14:paraId="7832D1DA" w14:textId="77777777" w:rsidR="00B06301" w:rsidRDefault="00B06301" w:rsidP="002D631B"/>
        </w:tc>
      </w:tr>
      <w:tr w:rsidR="00B06301" w14:paraId="5A0341CE" w14:textId="77777777" w:rsidTr="002D631B">
        <w:tc>
          <w:tcPr>
            <w:tcW w:w="2254" w:type="dxa"/>
          </w:tcPr>
          <w:p w14:paraId="154B329A" w14:textId="77777777" w:rsidR="00B06301" w:rsidRDefault="00B06301" w:rsidP="002D631B">
            <w:r>
              <w:t>Type of living support</w:t>
            </w:r>
          </w:p>
        </w:tc>
        <w:tc>
          <w:tcPr>
            <w:tcW w:w="2254" w:type="dxa"/>
          </w:tcPr>
          <w:p w14:paraId="00E0ECDB" w14:textId="77777777" w:rsidR="00B06301" w:rsidRDefault="00B06301" w:rsidP="002D631B"/>
        </w:tc>
        <w:tc>
          <w:tcPr>
            <w:tcW w:w="2254" w:type="dxa"/>
          </w:tcPr>
          <w:p w14:paraId="4FEB35CB" w14:textId="77777777" w:rsidR="00B06301" w:rsidRDefault="00B06301" w:rsidP="002D631B"/>
        </w:tc>
        <w:tc>
          <w:tcPr>
            <w:tcW w:w="2254" w:type="dxa"/>
          </w:tcPr>
          <w:p w14:paraId="0D7B9B58" w14:textId="77777777" w:rsidR="00B06301" w:rsidRDefault="00B06301" w:rsidP="002D631B"/>
        </w:tc>
      </w:tr>
      <w:tr w:rsidR="00B06301" w14:paraId="40BCF45D" w14:textId="77777777" w:rsidTr="002D631B">
        <w:tc>
          <w:tcPr>
            <w:tcW w:w="2254" w:type="dxa"/>
          </w:tcPr>
          <w:p w14:paraId="4A005693" w14:textId="77777777" w:rsidR="00B06301" w:rsidRDefault="00B06301" w:rsidP="002D631B">
            <w:r>
              <w:t>Sample Size</w:t>
            </w:r>
          </w:p>
        </w:tc>
        <w:tc>
          <w:tcPr>
            <w:tcW w:w="2254" w:type="dxa"/>
          </w:tcPr>
          <w:p w14:paraId="0A061DF9" w14:textId="77777777" w:rsidR="00B06301" w:rsidRDefault="00B06301" w:rsidP="002D631B"/>
        </w:tc>
        <w:tc>
          <w:tcPr>
            <w:tcW w:w="2254" w:type="dxa"/>
          </w:tcPr>
          <w:p w14:paraId="27B88165" w14:textId="77777777" w:rsidR="00B06301" w:rsidRDefault="00B06301" w:rsidP="002D631B"/>
        </w:tc>
        <w:tc>
          <w:tcPr>
            <w:tcW w:w="2254" w:type="dxa"/>
          </w:tcPr>
          <w:p w14:paraId="6C48D269" w14:textId="77777777" w:rsidR="00B06301" w:rsidRDefault="00B06301" w:rsidP="002D631B"/>
        </w:tc>
      </w:tr>
      <w:tr w:rsidR="00B06301" w14:paraId="2D444F39" w14:textId="77777777" w:rsidTr="002D631B">
        <w:tc>
          <w:tcPr>
            <w:tcW w:w="2254" w:type="dxa"/>
          </w:tcPr>
          <w:p w14:paraId="2BF7751E" w14:textId="77777777" w:rsidR="00B06301" w:rsidRDefault="00B06301" w:rsidP="002D631B">
            <w:r>
              <w:t>Participant profile (age, gender, disability)</w:t>
            </w:r>
          </w:p>
        </w:tc>
        <w:tc>
          <w:tcPr>
            <w:tcW w:w="2254" w:type="dxa"/>
          </w:tcPr>
          <w:p w14:paraId="4F54D7DD" w14:textId="77777777" w:rsidR="00B06301" w:rsidRDefault="00B06301" w:rsidP="002D631B"/>
        </w:tc>
        <w:tc>
          <w:tcPr>
            <w:tcW w:w="2254" w:type="dxa"/>
          </w:tcPr>
          <w:p w14:paraId="04EA1C92" w14:textId="77777777" w:rsidR="00B06301" w:rsidRDefault="00B06301" w:rsidP="002D631B"/>
        </w:tc>
        <w:tc>
          <w:tcPr>
            <w:tcW w:w="2254" w:type="dxa"/>
          </w:tcPr>
          <w:p w14:paraId="2456B401" w14:textId="77777777" w:rsidR="00B06301" w:rsidRDefault="00B06301" w:rsidP="002D631B"/>
        </w:tc>
      </w:tr>
      <w:tr w:rsidR="00B06301" w14:paraId="1EC1BB58" w14:textId="77777777" w:rsidTr="002D631B">
        <w:tc>
          <w:tcPr>
            <w:tcW w:w="2254" w:type="dxa"/>
          </w:tcPr>
          <w:p w14:paraId="30A014C6" w14:textId="77777777" w:rsidR="00B06301" w:rsidRDefault="00B06301" w:rsidP="002D631B">
            <w:r>
              <w:t>Criteria for inclusion in programme/intervention</w:t>
            </w:r>
          </w:p>
        </w:tc>
        <w:tc>
          <w:tcPr>
            <w:tcW w:w="2254" w:type="dxa"/>
          </w:tcPr>
          <w:p w14:paraId="0849CC52" w14:textId="77777777" w:rsidR="00B06301" w:rsidRDefault="00B06301" w:rsidP="002D631B"/>
        </w:tc>
        <w:tc>
          <w:tcPr>
            <w:tcW w:w="2254" w:type="dxa"/>
          </w:tcPr>
          <w:p w14:paraId="123017D8" w14:textId="77777777" w:rsidR="00B06301" w:rsidRDefault="00B06301" w:rsidP="002D631B"/>
        </w:tc>
        <w:tc>
          <w:tcPr>
            <w:tcW w:w="2254" w:type="dxa"/>
          </w:tcPr>
          <w:p w14:paraId="5A0F79D5" w14:textId="77777777" w:rsidR="00B06301" w:rsidRDefault="00B06301" w:rsidP="002D631B"/>
        </w:tc>
      </w:tr>
      <w:tr w:rsidR="00B06301" w14:paraId="238474D1" w14:textId="77777777" w:rsidTr="002D631B">
        <w:tc>
          <w:tcPr>
            <w:tcW w:w="2254" w:type="dxa"/>
          </w:tcPr>
          <w:p w14:paraId="093CE614" w14:textId="77777777" w:rsidR="00B06301" w:rsidRDefault="00B06301" w:rsidP="002D631B">
            <w:r>
              <w:t>Overall outcome/result</w:t>
            </w:r>
          </w:p>
        </w:tc>
        <w:tc>
          <w:tcPr>
            <w:tcW w:w="2254" w:type="dxa"/>
          </w:tcPr>
          <w:p w14:paraId="00534F35" w14:textId="77777777" w:rsidR="00B06301" w:rsidRDefault="00B06301" w:rsidP="002D631B"/>
        </w:tc>
        <w:tc>
          <w:tcPr>
            <w:tcW w:w="2254" w:type="dxa"/>
          </w:tcPr>
          <w:p w14:paraId="171251BD" w14:textId="77777777" w:rsidR="00B06301" w:rsidRDefault="00B06301" w:rsidP="002D631B"/>
        </w:tc>
        <w:tc>
          <w:tcPr>
            <w:tcW w:w="2254" w:type="dxa"/>
          </w:tcPr>
          <w:p w14:paraId="34D67CF4" w14:textId="77777777" w:rsidR="00B06301" w:rsidRDefault="00B06301" w:rsidP="002D631B"/>
        </w:tc>
      </w:tr>
      <w:tr w:rsidR="00B06301" w14:paraId="7F5EDE0C" w14:textId="77777777" w:rsidTr="002D631B">
        <w:tc>
          <w:tcPr>
            <w:tcW w:w="2254" w:type="dxa"/>
          </w:tcPr>
          <w:p w14:paraId="2B822941" w14:textId="77777777" w:rsidR="00B06301" w:rsidRDefault="00B06301" w:rsidP="002D631B">
            <w:r>
              <w:t>Specific outcomes measured (description of)</w:t>
            </w:r>
          </w:p>
        </w:tc>
        <w:tc>
          <w:tcPr>
            <w:tcW w:w="2254" w:type="dxa"/>
          </w:tcPr>
          <w:p w14:paraId="3B756659" w14:textId="77777777" w:rsidR="00B06301" w:rsidRDefault="00B06301" w:rsidP="002D631B"/>
        </w:tc>
        <w:tc>
          <w:tcPr>
            <w:tcW w:w="2254" w:type="dxa"/>
          </w:tcPr>
          <w:p w14:paraId="21E445F7" w14:textId="77777777" w:rsidR="00B06301" w:rsidRDefault="00B06301" w:rsidP="002D631B"/>
        </w:tc>
        <w:tc>
          <w:tcPr>
            <w:tcW w:w="2254" w:type="dxa"/>
          </w:tcPr>
          <w:p w14:paraId="4D5CE235" w14:textId="77777777" w:rsidR="00B06301" w:rsidRDefault="00B06301" w:rsidP="002D631B"/>
        </w:tc>
      </w:tr>
      <w:tr w:rsidR="00B06301" w14:paraId="1F7D84E9" w14:textId="77777777" w:rsidTr="002D631B">
        <w:tc>
          <w:tcPr>
            <w:tcW w:w="2254" w:type="dxa"/>
          </w:tcPr>
          <w:p w14:paraId="7579678B" w14:textId="77777777" w:rsidR="00B06301" w:rsidRDefault="00B06301" w:rsidP="002D631B">
            <w:r>
              <w:t>Validation of outcomes</w:t>
            </w:r>
          </w:p>
        </w:tc>
        <w:tc>
          <w:tcPr>
            <w:tcW w:w="2254" w:type="dxa"/>
          </w:tcPr>
          <w:p w14:paraId="4D8642FF" w14:textId="77777777" w:rsidR="00B06301" w:rsidRDefault="00B06301" w:rsidP="002D631B"/>
        </w:tc>
        <w:tc>
          <w:tcPr>
            <w:tcW w:w="2254" w:type="dxa"/>
          </w:tcPr>
          <w:p w14:paraId="32C50216" w14:textId="77777777" w:rsidR="00B06301" w:rsidRDefault="00B06301" w:rsidP="002D631B"/>
        </w:tc>
        <w:tc>
          <w:tcPr>
            <w:tcW w:w="2254" w:type="dxa"/>
          </w:tcPr>
          <w:p w14:paraId="4AEDCA7A" w14:textId="77777777" w:rsidR="00B06301" w:rsidRDefault="00B06301" w:rsidP="002D631B"/>
        </w:tc>
      </w:tr>
      <w:tr w:rsidR="00B06301" w14:paraId="427FC7D8" w14:textId="77777777" w:rsidTr="002D631B">
        <w:tc>
          <w:tcPr>
            <w:tcW w:w="2254" w:type="dxa"/>
          </w:tcPr>
          <w:p w14:paraId="2D60A946" w14:textId="77777777" w:rsidR="00B06301" w:rsidRDefault="00B06301" w:rsidP="002D631B">
            <w:r>
              <w:t xml:space="preserve">Key findings and recommendations </w:t>
            </w:r>
          </w:p>
        </w:tc>
        <w:tc>
          <w:tcPr>
            <w:tcW w:w="2254" w:type="dxa"/>
          </w:tcPr>
          <w:p w14:paraId="704AB8F8" w14:textId="77777777" w:rsidR="00B06301" w:rsidRDefault="00B06301" w:rsidP="002D631B"/>
        </w:tc>
        <w:tc>
          <w:tcPr>
            <w:tcW w:w="2254" w:type="dxa"/>
          </w:tcPr>
          <w:p w14:paraId="7DA6FA6D" w14:textId="77777777" w:rsidR="00B06301" w:rsidRDefault="00B06301" w:rsidP="002D631B"/>
        </w:tc>
        <w:tc>
          <w:tcPr>
            <w:tcW w:w="2254" w:type="dxa"/>
          </w:tcPr>
          <w:p w14:paraId="09E21D04" w14:textId="77777777" w:rsidR="00B06301" w:rsidRDefault="00B06301" w:rsidP="002D631B"/>
        </w:tc>
      </w:tr>
    </w:tbl>
    <w:p w14:paraId="6C711644" w14:textId="204D2C02" w:rsidR="00B06301" w:rsidRDefault="00B06301" w:rsidP="00B52266">
      <w:pPr>
        <w:spacing w:line="360" w:lineRule="auto"/>
      </w:pPr>
    </w:p>
    <w:p w14:paraId="4B9E1394" w14:textId="77777777" w:rsidR="006E2C88" w:rsidRDefault="006E2C88" w:rsidP="00B52266">
      <w:pPr>
        <w:spacing w:line="360" w:lineRule="auto"/>
      </w:pPr>
    </w:p>
    <w:p w14:paraId="014E9C48" w14:textId="77777777" w:rsidR="006E2C88" w:rsidRDefault="006E2C88">
      <w:pPr>
        <w:sectPr w:rsidR="006E2C88" w:rsidSect="00BF0543">
          <w:headerReference w:type="default" r:id="rId75"/>
          <w:footerReference w:type="default" r:id="rId76"/>
          <w:pgSz w:w="12240" w:h="15840"/>
          <w:pgMar w:top="1440" w:right="1440" w:bottom="1440" w:left="1440" w:header="720" w:footer="720" w:gutter="0"/>
          <w:cols w:space="720"/>
          <w:docGrid w:linePitch="360"/>
        </w:sectPr>
      </w:pPr>
    </w:p>
    <w:p w14:paraId="617F8C18" w14:textId="29AB20CB" w:rsidR="00F00CFD" w:rsidRDefault="00F00CFD" w:rsidP="00A06149">
      <w:pPr>
        <w:pStyle w:val="Heading1"/>
      </w:pPr>
      <w:bookmarkStart w:id="82" w:name="_Toc73535989"/>
      <w:r>
        <w:lastRenderedPageBreak/>
        <w:t>Appendix E: Summary of Studies Reviewed</w:t>
      </w:r>
      <w:bookmarkEnd w:id="82"/>
      <w:r>
        <w:t xml:space="preserve">   </w:t>
      </w:r>
    </w:p>
    <w:p w14:paraId="283E8C16" w14:textId="77777777" w:rsidR="00F00CFD" w:rsidRDefault="00F00CFD"/>
    <w:p w14:paraId="65E8DDA9" w14:textId="5FCA1E64" w:rsidR="00F00CFD" w:rsidRPr="00317BA9" w:rsidRDefault="00F00CFD" w:rsidP="00F00CFD">
      <w:pPr>
        <w:pStyle w:val="Caption"/>
        <w:rPr>
          <w:b/>
          <w:bCs/>
        </w:rPr>
      </w:pPr>
      <w:bookmarkStart w:id="83" w:name="_Toc66355195"/>
      <w:r>
        <w:t xml:space="preserve">Table </w:t>
      </w:r>
      <w:r>
        <w:fldChar w:fldCharType="begin"/>
      </w:r>
      <w:r>
        <w:instrText>SEQ Table \* ARABIC</w:instrText>
      </w:r>
      <w:r>
        <w:fldChar w:fldCharType="separate"/>
      </w:r>
      <w:r w:rsidR="000E7FFE">
        <w:rPr>
          <w:noProof/>
        </w:rPr>
        <w:t>16</w:t>
      </w:r>
      <w:r>
        <w:fldChar w:fldCharType="end"/>
      </w:r>
      <w:r w:rsidRPr="00317BA9">
        <w:rPr>
          <w:b/>
          <w:bCs/>
        </w:rPr>
        <w:t xml:space="preserve"> Characteristics of studies included in review</w:t>
      </w:r>
      <w:bookmarkEnd w:id="83"/>
      <w:r w:rsidRPr="00317BA9">
        <w:rPr>
          <w:b/>
          <w:bCs/>
        </w:rPr>
        <w:t xml:space="preserve"> </w:t>
      </w:r>
    </w:p>
    <w:tbl>
      <w:tblPr>
        <w:tblW w:w="5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608"/>
        <w:gridCol w:w="1984"/>
        <w:gridCol w:w="1134"/>
        <w:gridCol w:w="1700"/>
        <w:gridCol w:w="1737"/>
        <w:gridCol w:w="2837"/>
        <w:gridCol w:w="2374"/>
      </w:tblGrid>
      <w:tr w:rsidR="00F00CFD" w:rsidRPr="00650916" w14:paraId="7B812D10" w14:textId="77777777" w:rsidTr="006E2C88">
        <w:trPr>
          <w:tblHeader/>
        </w:trPr>
        <w:tc>
          <w:tcPr>
            <w:tcW w:w="234" w:type="pct"/>
            <w:shd w:val="clear" w:color="auto" w:fill="FFFF00"/>
          </w:tcPr>
          <w:p w14:paraId="318C9C60" w14:textId="77777777" w:rsidR="00F00CFD" w:rsidRPr="00AD78EE" w:rsidRDefault="00F00CFD" w:rsidP="00046E15">
            <w:pPr>
              <w:rPr>
                <w:b/>
                <w:bCs/>
              </w:rPr>
            </w:pPr>
            <w:r w:rsidRPr="00AD78EE">
              <w:rPr>
                <w:b/>
                <w:bCs/>
              </w:rPr>
              <w:t>No.</w:t>
            </w:r>
          </w:p>
        </w:tc>
        <w:tc>
          <w:tcPr>
            <w:tcW w:w="573" w:type="pct"/>
            <w:shd w:val="clear" w:color="auto" w:fill="FFFF00"/>
          </w:tcPr>
          <w:p w14:paraId="7A57CBA3" w14:textId="77777777" w:rsidR="00F00CFD" w:rsidRPr="00AD78EE" w:rsidRDefault="00F00CFD" w:rsidP="00046E15">
            <w:pPr>
              <w:rPr>
                <w:b/>
                <w:bCs/>
              </w:rPr>
            </w:pPr>
            <w:r w:rsidRPr="00AD78EE">
              <w:rPr>
                <w:b/>
                <w:bCs/>
              </w:rPr>
              <w:t>Author (Year)</w:t>
            </w:r>
          </w:p>
        </w:tc>
        <w:tc>
          <w:tcPr>
            <w:tcW w:w="707" w:type="pct"/>
            <w:shd w:val="clear" w:color="auto" w:fill="FFFF00"/>
          </w:tcPr>
          <w:p w14:paraId="152C3855" w14:textId="77777777" w:rsidR="00F00CFD" w:rsidRPr="00AD78EE" w:rsidRDefault="00F00CFD" w:rsidP="00046E15">
            <w:pPr>
              <w:rPr>
                <w:b/>
                <w:bCs/>
              </w:rPr>
            </w:pPr>
            <w:r w:rsidRPr="00AD78EE">
              <w:rPr>
                <w:b/>
                <w:bCs/>
              </w:rPr>
              <w:t>Research Focus</w:t>
            </w:r>
          </w:p>
        </w:tc>
        <w:tc>
          <w:tcPr>
            <w:tcW w:w="404" w:type="pct"/>
            <w:shd w:val="clear" w:color="auto" w:fill="FFFF00"/>
          </w:tcPr>
          <w:p w14:paraId="5C79E221" w14:textId="77777777" w:rsidR="00F00CFD" w:rsidRPr="00AD78EE" w:rsidRDefault="00F00CFD" w:rsidP="00046E15">
            <w:pPr>
              <w:rPr>
                <w:b/>
                <w:bCs/>
              </w:rPr>
            </w:pPr>
            <w:r w:rsidRPr="00AD78EE">
              <w:rPr>
                <w:b/>
                <w:bCs/>
              </w:rPr>
              <w:t>Country</w:t>
            </w:r>
          </w:p>
        </w:tc>
        <w:tc>
          <w:tcPr>
            <w:tcW w:w="606" w:type="pct"/>
            <w:shd w:val="clear" w:color="auto" w:fill="FFFF00"/>
          </w:tcPr>
          <w:p w14:paraId="4AE4F03E" w14:textId="77777777" w:rsidR="00F00CFD" w:rsidRPr="00AD78EE" w:rsidRDefault="00F00CFD" w:rsidP="00046E15">
            <w:pPr>
              <w:rPr>
                <w:b/>
                <w:bCs/>
              </w:rPr>
            </w:pPr>
            <w:r w:rsidRPr="00AD78EE">
              <w:rPr>
                <w:b/>
                <w:bCs/>
              </w:rPr>
              <w:t xml:space="preserve">Study Design </w:t>
            </w:r>
          </w:p>
        </w:tc>
        <w:tc>
          <w:tcPr>
            <w:tcW w:w="619" w:type="pct"/>
            <w:shd w:val="clear" w:color="auto" w:fill="FFFF00"/>
          </w:tcPr>
          <w:p w14:paraId="4BE155B6" w14:textId="77777777" w:rsidR="00F00CFD" w:rsidRPr="00AD78EE" w:rsidRDefault="00F00CFD" w:rsidP="00046E15">
            <w:pPr>
              <w:rPr>
                <w:b/>
                <w:bCs/>
              </w:rPr>
            </w:pPr>
            <w:r w:rsidRPr="00AD78EE">
              <w:rPr>
                <w:b/>
                <w:bCs/>
              </w:rPr>
              <w:t>Population of Interest (n)</w:t>
            </w:r>
          </w:p>
        </w:tc>
        <w:tc>
          <w:tcPr>
            <w:tcW w:w="1011" w:type="pct"/>
            <w:shd w:val="clear" w:color="auto" w:fill="FFFF00"/>
          </w:tcPr>
          <w:p w14:paraId="1EA20322" w14:textId="77777777" w:rsidR="00F00CFD" w:rsidRPr="00AD78EE" w:rsidRDefault="00F00CFD" w:rsidP="00046E15">
            <w:pPr>
              <w:rPr>
                <w:b/>
                <w:bCs/>
              </w:rPr>
            </w:pPr>
            <w:r w:rsidRPr="00AD78EE">
              <w:rPr>
                <w:b/>
                <w:bCs/>
              </w:rPr>
              <w:t>Housing Model/ Type</w:t>
            </w:r>
          </w:p>
        </w:tc>
        <w:tc>
          <w:tcPr>
            <w:tcW w:w="846" w:type="pct"/>
            <w:shd w:val="clear" w:color="auto" w:fill="FFFF00"/>
          </w:tcPr>
          <w:p w14:paraId="485EE4ED" w14:textId="77777777" w:rsidR="00F00CFD" w:rsidRPr="00AD78EE" w:rsidRDefault="00F00CFD" w:rsidP="00046E15">
            <w:pPr>
              <w:rPr>
                <w:b/>
                <w:bCs/>
              </w:rPr>
            </w:pPr>
            <w:r w:rsidRPr="00AD78EE">
              <w:rPr>
                <w:b/>
                <w:bCs/>
              </w:rPr>
              <w:t>Intervention Type</w:t>
            </w:r>
          </w:p>
        </w:tc>
      </w:tr>
      <w:tr w:rsidR="00F00CFD" w:rsidRPr="00FE0180" w14:paraId="6B6AF8F5"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25AABE44" w14:textId="77777777" w:rsidR="00F00CFD" w:rsidRPr="00FE0180" w:rsidRDefault="00F00CFD" w:rsidP="00046E15">
            <w:r>
              <w:t>1</w:t>
            </w:r>
          </w:p>
        </w:tc>
        <w:tc>
          <w:tcPr>
            <w:tcW w:w="573" w:type="pct"/>
            <w:tcBorders>
              <w:top w:val="single" w:sz="4" w:space="0" w:color="auto"/>
              <w:left w:val="single" w:sz="4" w:space="0" w:color="auto"/>
              <w:bottom w:val="single" w:sz="4" w:space="0" w:color="auto"/>
              <w:right w:val="single" w:sz="4" w:space="0" w:color="auto"/>
            </w:tcBorders>
            <w:hideMark/>
          </w:tcPr>
          <w:p w14:paraId="22520F7F" w14:textId="218C6A71" w:rsidR="00F00CFD" w:rsidRPr="00FE0180" w:rsidRDefault="00F00CFD" w:rsidP="00046E15">
            <w:r w:rsidRPr="00FE0180">
              <w:t>Angell</w:t>
            </w:r>
            <w:r>
              <w:t>,</w:t>
            </w:r>
            <w:r w:rsidRPr="00FE0180">
              <w:t xml:space="preserve"> </w:t>
            </w:r>
            <w:r>
              <w:t>et al (2020)</w:t>
            </w:r>
          </w:p>
        </w:tc>
        <w:tc>
          <w:tcPr>
            <w:tcW w:w="707" w:type="pct"/>
            <w:tcBorders>
              <w:top w:val="single" w:sz="4" w:space="0" w:color="auto"/>
              <w:left w:val="single" w:sz="4" w:space="0" w:color="auto"/>
              <w:bottom w:val="single" w:sz="4" w:space="0" w:color="auto"/>
              <w:right w:val="single" w:sz="4" w:space="0" w:color="auto"/>
            </w:tcBorders>
            <w:hideMark/>
          </w:tcPr>
          <w:p w14:paraId="412937FB" w14:textId="77777777" w:rsidR="00F00CFD" w:rsidRPr="00FE0180" w:rsidRDefault="00F00CFD" w:rsidP="00046E15">
            <w:r w:rsidRPr="00FE0180">
              <w:t>To understand how people with disabilities describe full participation after transitioning from an institution to the community and to identify environmental barriers and facilitators to participation during and after this transition.</w:t>
            </w:r>
          </w:p>
        </w:tc>
        <w:tc>
          <w:tcPr>
            <w:tcW w:w="404" w:type="pct"/>
            <w:tcBorders>
              <w:top w:val="single" w:sz="4" w:space="0" w:color="auto"/>
              <w:left w:val="single" w:sz="4" w:space="0" w:color="auto"/>
              <w:bottom w:val="single" w:sz="4" w:space="0" w:color="auto"/>
              <w:right w:val="single" w:sz="4" w:space="0" w:color="auto"/>
            </w:tcBorders>
          </w:tcPr>
          <w:p w14:paraId="65555E8A" w14:textId="77777777" w:rsidR="00F00CFD" w:rsidRDefault="00F00CFD" w:rsidP="00046E15">
            <w:r w:rsidRPr="00FE0180">
              <w:t>USA</w:t>
            </w:r>
          </w:p>
        </w:tc>
        <w:tc>
          <w:tcPr>
            <w:tcW w:w="606" w:type="pct"/>
            <w:tcBorders>
              <w:top w:val="single" w:sz="4" w:space="0" w:color="auto"/>
              <w:left w:val="single" w:sz="4" w:space="0" w:color="auto"/>
              <w:bottom w:val="single" w:sz="4" w:space="0" w:color="auto"/>
              <w:right w:val="single" w:sz="4" w:space="0" w:color="auto"/>
            </w:tcBorders>
          </w:tcPr>
          <w:p w14:paraId="1718C37B" w14:textId="77777777" w:rsidR="00F00CFD" w:rsidRPr="00FE0180" w:rsidRDefault="00F00CFD" w:rsidP="00046E15">
            <w:r>
              <w:t>Semi-structured interviews (n=153)</w:t>
            </w:r>
          </w:p>
        </w:tc>
        <w:tc>
          <w:tcPr>
            <w:tcW w:w="619" w:type="pct"/>
            <w:tcBorders>
              <w:top w:val="single" w:sz="4" w:space="0" w:color="auto"/>
              <w:left w:val="single" w:sz="4" w:space="0" w:color="auto"/>
              <w:bottom w:val="single" w:sz="4" w:space="0" w:color="auto"/>
              <w:right w:val="single" w:sz="4" w:space="0" w:color="auto"/>
            </w:tcBorders>
            <w:hideMark/>
          </w:tcPr>
          <w:p w14:paraId="2C0FF604" w14:textId="77777777" w:rsidR="00F00CFD" w:rsidRPr="00FE0180" w:rsidRDefault="00F00CFD" w:rsidP="00046E15">
            <w:r w:rsidRPr="00FE0180">
              <w:t>Self-ID PWID</w:t>
            </w:r>
          </w:p>
        </w:tc>
        <w:tc>
          <w:tcPr>
            <w:tcW w:w="1011" w:type="pct"/>
            <w:tcBorders>
              <w:top w:val="single" w:sz="4" w:space="0" w:color="auto"/>
              <w:left w:val="single" w:sz="4" w:space="0" w:color="auto"/>
              <w:bottom w:val="single" w:sz="4" w:space="0" w:color="auto"/>
              <w:right w:val="single" w:sz="4" w:space="0" w:color="auto"/>
            </w:tcBorders>
            <w:hideMark/>
          </w:tcPr>
          <w:p w14:paraId="7B5DB0FF"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545C13A8" w14:textId="77777777" w:rsidR="00F00CFD" w:rsidRPr="00FE0180" w:rsidRDefault="00F00CFD" w:rsidP="00046E15">
            <w:r w:rsidRPr="00FE0180">
              <w:t xml:space="preserve">Transition to community living </w:t>
            </w:r>
          </w:p>
        </w:tc>
      </w:tr>
      <w:tr w:rsidR="00F00CFD" w:rsidRPr="00650916" w14:paraId="0162CCE2" w14:textId="77777777" w:rsidTr="006E2C88">
        <w:tc>
          <w:tcPr>
            <w:tcW w:w="234" w:type="pct"/>
          </w:tcPr>
          <w:p w14:paraId="01DDC28C" w14:textId="77777777" w:rsidR="00F00CFD" w:rsidRPr="00650916" w:rsidRDefault="00F00CFD" w:rsidP="00046E15">
            <w:r>
              <w:t>2</w:t>
            </w:r>
          </w:p>
        </w:tc>
        <w:tc>
          <w:tcPr>
            <w:tcW w:w="573" w:type="pct"/>
          </w:tcPr>
          <w:p w14:paraId="337D2BEF" w14:textId="0E6BBE76" w:rsidR="00F00CFD" w:rsidRPr="00650916" w:rsidRDefault="00F00CFD" w:rsidP="00046E15">
            <w:r w:rsidRPr="00650916">
              <w:t>Aubry</w:t>
            </w:r>
            <w:r w:rsidR="00E96C60">
              <w:t xml:space="preserve"> </w:t>
            </w:r>
            <w:r w:rsidRPr="00650916">
              <w:t>et al (2015)</w:t>
            </w:r>
          </w:p>
        </w:tc>
        <w:tc>
          <w:tcPr>
            <w:tcW w:w="707" w:type="pct"/>
          </w:tcPr>
          <w:p w14:paraId="640B36B5" w14:textId="77777777" w:rsidR="00F00CFD" w:rsidRPr="00650916" w:rsidRDefault="00F00CFD" w:rsidP="00046E15">
            <w:r w:rsidRPr="00650916">
              <w:t>Presentation of findings of a housing project 'At Home (AH)–Chez soi (CS)' for people with severe mental illness who are homeless to facilitate move into regular housing.</w:t>
            </w:r>
          </w:p>
        </w:tc>
        <w:tc>
          <w:tcPr>
            <w:tcW w:w="404" w:type="pct"/>
          </w:tcPr>
          <w:p w14:paraId="1D3EA828" w14:textId="77777777" w:rsidR="00F00CFD" w:rsidRPr="00650916" w:rsidRDefault="00F00CFD" w:rsidP="00046E15">
            <w:r w:rsidRPr="00650916">
              <w:t>Canada/ Winnipeg, Toronto, Montreal, Moncton</w:t>
            </w:r>
          </w:p>
        </w:tc>
        <w:tc>
          <w:tcPr>
            <w:tcW w:w="606" w:type="pct"/>
          </w:tcPr>
          <w:p w14:paraId="07C5B750" w14:textId="77777777" w:rsidR="00F00CFD" w:rsidRPr="00650916" w:rsidRDefault="00F00CFD" w:rsidP="00046E15">
            <w:r w:rsidRPr="00650916">
              <w:t>Randomised trial</w:t>
            </w:r>
          </w:p>
        </w:tc>
        <w:tc>
          <w:tcPr>
            <w:tcW w:w="619" w:type="pct"/>
          </w:tcPr>
          <w:p w14:paraId="4716350E" w14:textId="77777777" w:rsidR="00F00CFD" w:rsidRPr="00650916" w:rsidRDefault="00F00CFD" w:rsidP="00046E15">
            <w:r w:rsidRPr="00650916">
              <w:t>Severe mental illness</w:t>
            </w:r>
          </w:p>
        </w:tc>
        <w:tc>
          <w:tcPr>
            <w:tcW w:w="1011" w:type="pct"/>
          </w:tcPr>
          <w:p w14:paraId="39FE2E62" w14:textId="77777777" w:rsidR="00F00CFD" w:rsidRPr="00650916" w:rsidRDefault="00F00CFD" w:rsidP="00046E15">
            <w:r w:rsidRPr="00650916">
              <w:t xml:space="preserve">‘Pathways’ Housing First’ model based on two inputs/domains of (a) housing and (b) support services and four principles of: 1) Immediate provision of housing and consumer-driven services. 2) Separation of housing and clinical services. 3) Providing supports and treatment with a recovery orientation. 4) Facilitation of community </w:t>
            </w:r>
            <w:r w:rsidRPr="00650916">
              <w:lastRenderedPageBreak/>
              <w:t xml:space="preserve">integration. The primary objective is to provide assistance to rapidly procure </w:t>
            </w:r>
            <w:r>
              <w:t xml:space="preserve"> </w:t>
            </w:r>
            <w:r w:rsidRPr="00650916">
              <w:t>housing of individual's choice.</w:t>
            </w:r>
          </w:p>
          <w:p w14:paraId="67462656" w14:textId="77777777" w:rsidR="00F00CFD" w:rsidRPr="00650916" w:rsidRDefault="00F00CFD" w:rsidP="00046E15"/>
          <w:p w14:paraId="0939AF0D" w14:textId="77777777" w:rsidR="00F00CFD" w:rsidRPr="00650916" w:rsidRDefault="00F00CFD" w:rsidP="00046E15">
            <w:r w:rsidRPr="00650916">
              <w:t>Housing specialist assists in (a) firstly identifying suitable housing based on consumer's preferences and provides support for landlord negotiations, rent assistance and (b) secondly developing an individualised recovery plan</w:t>
            </w:r>
          </w:p>
        </w:tc>
        <w:tc>
          <w:tcPr>
            <w:tcW w:w="846" w:type="pct"/>
          </w:tcPr>
          <w:p w14:paraId="04FD383A" w14:textId="77777777" w:rsidR="00F00CFD" w:rsidRPr="00650916" w:rsidRDefault="00F00CFD" w:rsidP="00046E15">
            <w:r w:rsidRPr="00650916">
              <w:lastRenderedPageBreak/>
              <w:t>Housing First initiative as per principles described in 'Type of housing model'.</w:t>
            </w:r>
          </w:p>
        </w:tc>
      </w:tr>
      <w:tr w:rsidR="00F00CFD" w:rsidRPr="00650916" w14:paraId="42DE7C4F" w14:textId="77777777" w:rsidTr="006E2C88">
        <w:tc>
          <w:tcPr>
            <w:tcW w:w="234" w:type="pct"/>
          </w:tcPr>
          <w:p w14:paraId="465ABC57" w14:textId="77777777" w:rsidR="00F00CFD" w:rsidRPr="00650916" w:rsidRDefault="00F00CFD" w:rsidP="00046E15">
            <w:r>
              <w:t>3</w:t>
            </w:r>
          </w:p>
        </w:tc>
        <w:tc>
          <w:tcPr>
            <w:tcW w:w="573" w:type="pct"/>
          </w:tcPr>
          <w:p w14:paraId="21F81EF7" w14:textId="77777777" w:rsidR="00F00CFD" w:rsidRPr="00650916" w:rsidRDefault="00F00CFD" w:rsidP="00046E15">
            <w:r w:rsidRPr="00650916">
              <w:t>Baker (2007)</w:t>
            </w:r>
          </w:p>
        </w:tc>
        <w:tc>
          <w:tcPr>
            <w:tcW w:w="707" w:type="pct"/>
          </w:tcPr>
          <w:p w14:paraId="46C8A200" w14:textId="77777777" w:rsidR="00F00CFD" w:rsidRPr="00650916" w:rsidRDefault="00F00CFD" w:rsidP="00046E15">
            <w:r w:rsidRPr="00650916">
              <w:t>The aim was to evaluate the effect of the closure of a small intellectual disability hospital on the community use of those people involved.</w:t>
            </w:r>
          </w:p>
        </w:tc>
        <w:tc>
          <w:tcPr>
            <w:tcW w:w="404" w:type="pct"/>
          </w:tcPr>
          <w:p w14:paraId="19FBC3A7" w14:textId="77777777" w:rsidR="00F00CFD" w:rsidRPr="00650916" w:rsidRDefault="00F00CFD" w:rsidP="00046E15">
            <w:r w:rsidRPr="00650916">
              <w:t>UK</w:t>
            </w:r>
          </w:p>
        </w:tc>
        <w:tc>
          <w:tcPr>
            <w:tcW w:w="606" w:type="pct"/>
          </w:tcPr>
          <w:p w14:paraId="6A8D957D" w14:textId="77777777" w:rsidR="00F00CFD" w:rsidRPr="00650916" w:rsidRDefault="00F00CFD" w:rsidP="00046E15">
            <w:r w:rsidRPr="00650916">
              <w:t>Cross sectional study</w:t>
            </w:r>
          </w:p>
        </w:tc>
        <w:tc>
          <w:tcPr>
            <w:tcW w:w="619" w:type="pct"/>
          </w:tcPr>
          <w:p w14:paraId="54ACC29D" w14:textId="77777777" w:rsidR="00F00CFD" w:rsidRPr="00650916" w:rsidRDefault="00F00CFD" w:rsidP="00046E15">
            <w:r w:rsidRPr="00650916">
              <w:t>Intellectual disability</w:t>
            </w:r>
          </w:p>
        </w:tc>
        <w:tc>
          <w:tcPr>
            <w:tcW w:w="1011" w:type="pct"/>
          </w:tcPr>
          <w:p w14:paraId="02B2D196" w14:textId="77777777" w:rsidR="00F00CFD" w:rsidRPr="00650916" w:rsidRDefault="00F00CFD" w:rsidP="00046E15">
            <w:r w:rsidRPr="00650916">
              <w:t>Group home</w:t>
            </w:r>
          </w:p>
        </w:tc>
        <w:tc>
          <w:tcPr>
            <w:tcW w:w="846" w:type="pct"/>
          </w:tcPr>
          <w:p w14:paraId="211F2516" w14:textId="41F54074" w:rsidR="00F00CFD" w:rsidRPr="00650916" w:rsidRDefault="004137D1" w:rsidP="00046E15">
            <w:r>
              <w:t>De-institutionalisation following closure of a disability hospital.</w:t>
            </w:r>
          </w:p>
        </w:tc>
      </w:tr>
      <w:tr w:rsidR="00F00CFD" w:rsidRPr="00650916" w14:paraId="4647D2D3" w14:textId="77777777" w:rsidTr="006E2C88">
        <w:tc>
          <w:tcPr>
            <w:tcW w:w="234" w:type="pct"/>
          </w:tcPr>
          <w:p w14:paraId="6C53BFD5" w14:textId="77777777" w:rsidR="00F00CFD" w:rsidRPr="00650916" w:rsidRDefault="00F00CFD" w:rsidP="00046E15">
            <w:r>
              <w:t>4</w:t>
            </w:r>
          </w:p>
        </w:tc>
        <w:tc>
          <w:tcPr>
            <w:tcW w:w="573" w:type="pct"/>
          </w:tcPr>
          <w:p w14:paraId="63F3461D" w14:textId="79C7F4B1" w:rsidR="00F00CFD" w:rsidRPr="00650916" w:rsidRDefault="00F00CFD" w:rsidP="00046E15">
            <w:r w:rsidRPr="00650916">
              <w:t>Bhaumik</w:t>
            </w:r>
            <w:r>
              <w:t>, et al</w:t>
            </w:r>
            <w:r w:rsidRPr="00650916">
              <w:t xml:space="preserve"> (2011)</w:t>
            </w:r>
          </w:p>
        </w:tc>
        <w:tc>
          <w:tcPr>
            <w:tcW w:w="707" w:type="pct"/>
          </w:tcPr>
          <w:p w14:paraId="06D5AA91" w14:textId="77777777" w:rsidR="00F00CFD" w:rsidRPr="00650916" w:rsidRDefault="00F00CFD" w:rsidP="00046E15">
            <w:r w:rsidRPr="00650916">
              <w:t>Assessment of quality of life and mortality of individuals with ID following a move from a large institution.</w:t>
            </w:r>
          </w:p>
        </w:tc>
        <w:tc>
          <w:tcPr>
            <w:tcW w:w="404" w:type="pct"/>
          </w:tcPr>
          <w:p w14:paraId="4DFD42F5" w14:textId="77777777" w:rsidR="00F00CFD" w:rsidRPr="00650916" w:rsidRDefault="00F00CFD" w:rsidP="00046E15">
            <w:r w:rsidRPr="00650916">
              <w:t>England</w:t>
            </w:r>
          </w:p>
        </w:tc>
        <w:tc>
          <w:tcPr>
            <w:tcW w:w="606" w:type="pct"/>
          </w:tcPr>
          <w:p w14:paraId="07FE9962" w14:textId="77777777" w:rsidR="00F00CFD" w:rsidRPr="00650916" w:rsidRDefault="00F00CFD" w:rsidP="00046E15">
            <w:r w:rsidRPr="00650916">
              <w:t>One group repeated measures design: pre/post/follow-up</w:t>
            </w:r>
          </w:p>
        </w:tc>
        <w:tc>
          <w:tcPr>
            <w:tcW w:w="619" w:type="pct"/>
          </w:tcPr>
          <w:p w14:paraId="4D4EF90D" w14:textId="77777777" w:rsidR="00F00CFD" w:rsidRPr="00650916" w:rsidRDefault="00F00CFD" w:rsidP="00046E15">
            <w:r w:rsidRPr="00650916">
              <w:t>Intellectual Disability</w:t>
            </w:r>
          </w:p>
        </w:tc>
        <w:tc>
          <w:tcPr>
            <w:tcW w:w="1011" w:type="pct"/>
          </w:tcPr>
          <w:p w14:paraId="69B54741" w14:textId="77777777" w:rsidR="00F00CFD" w:rsidRPr="00650916" w:rsidRDefault="00F00CFD" w:rsidP="00046E15">
            <w:r w:rsidRPr="00650916">
              <w:t>Transition from long stay hospital to supported community living accommodation/ group residential homes or nursing homes. Supported living accommodation defined as 'purpose-built flats within a complex for people with</w:t>
            </w:r>
          </w:p>
          <w:p w14:paraId="6A7B7927" w14:textId="77777777" w:rsidR="00F00CFD" w:rsidRPr="00650916" w:rsidRDefault="00F00CFD" w:rsidP="00046E15">
            <w:r w:rsidRPr="00650916">
              <w:lastRenderedPageBreak/>
              <w:t>ID" no further information provided on number of residents.</w:t>
            </w:r>
          </w:p>
        </w:tc>
        <w:tc>
          <w:tcPr>
            <w:tcW w:w="846" w:type="pct"/>
            <w:shd w:val="clear" w:color="auto" w:fill="auto"/>
          </w:tcPr>
          <w:p w14:paraId="1DE3C6A1" w14:textId="7D5D362C" w:rsidR="00F00CFD" w:rsidRPr="00650916" w:rsidRDefault="004137D1" w:rsidP="00046E15">
            <w:r>
              <w:lastRenderedPageBreak/>
              <w:t>Deinstitutionalisation from l</w:t>
            </w:r>
            <w:r w:rsidRPr="004137D1">
              <w:t>ong stay hospital setting to community settings.</w:t>
            </w:r>
          </w:p>
        </w:tc>
      </w:tr>
      <w:tr w:rsidR="00F00CFD" w:rsidRPr="00650916" w14:paraId="780D48AE" w14:textId="77777777" w:rsidTr="006E2C88">
        <w:tc>
          <w:tcPr>
            <w:tcW w:w="234" w:type="pct"/>
          </w:tcPr>
          <w:p w14:paraId="4C6FB54E" w14:textId="77777777" w:rsidR="00F00CFD" w:rsidRPr="00650916" w:rsidRDefault="00F00CFD" w:rsidP="00046E15">
            <w:r>
              <w:t>5</w:t>
            </w:r>
          </w:p>
        </w:tc>
        <w:tc>
          <w:tcPr>
            <w:tcW w:w="573" w:type="pct"/>
          </w:tcPr>
          <w:p w14:paraId="748B4434" w14:textId="77777777" w:rsidR="00F00CFD" w:rsidRPr="00650916" w:rsidRDefault="00F00CFD" w:rsidP="00046E15">
            <w:r w:rsidRPr="00650916">
              <w:t>Bhaumik et al</w:t>
            </w:r>
            <w:r>
              <w:t xml:space="preserve"> </w:t>
            </w:r>
            <w:r w:rsidRPr="00650916">
              <w:t>(2009)</w:t>
            </w:r>
          </w:p>
        </w:tc>
        <w:tc>
          <w:tcPr>
            <w:tcW w:w="707" w:type="pct"/>
          </w:tcPr>
          <w:p w14:paraId="1DC47B0D" w14:textId="77777777" w:rsidR="00F00CFD" w:rsidRPr="00650916" w:rsidRDefault="00F00CFD" w:rsidP="00046E15">
            <w:r w:rsidRPr="00650916">
              <w:t>The aim of this study was to assess changes in aggressive challenging behaviour and psychotropic drug use in adults with ID following resettlement using a person-centred approach.</w:t>
            </w:r>
          </w:p>
        </w:tc>
        <w:tc>
          <w:tcPr>
            <w:tcW w:w="404" w:type="pct"/>
          </w:tcPr>
          <w:p w14:paraId="15B15474" w14:textId="77777777" w:rsidR="00F00CFD" w:rsidRPr="00650916" w:rsidRDefault="00F00CFD" w:rsidP="00046E15">
            <w:r w:rsidRPr="00650916">
              <w:t>England</w:t>
            </w:r>
          </w:p>
        </w:tc>
        <w:tc>
          <w:tcPr>
            <w:tcW w:w="606" w:type="pct"/>
          </w:tcPr>
          <w:p w14:paraId="4F01987E" w14:textId="77777777" w:rsidR="00F00CFD" w:rsidRPr="00650916" w:rsidRDefault="00F00CFD" w:rsidP="00046E15">
            <w:r w:rsidRPr="00650916">
              <w:t>One group repeated measures design: pre/post/follow-up</w:t>
            </w:r>
          </w:p>
        </w:tc>
        <w:tc>
          <w:tcPr>
            <w:tcW w:w="619" w:type="pct"/>
          </w:tcPr>
          <w:p w14:paraId="0B43F604" w14:textId="77777777" w:rsidR="00F00CFD" w:rsidRPr="00650916" w:rsidRDefault="00F00CFD" w:rsidP="00046E15">
            <w:r w:rsidRPr="00650916">
              <w:t>Intellectual disability</w:t>
            </w:r>
          </w:p>
        </w:tc>
        <w:tc>
          <w:tcPr>
            <w:tcW w:w="1011" w:type="pct"/>
          </w:tcPr>
          <w:p w14:paraId="49419B91" w14:textId="77777777" w:rsidR="00F00CFD" w:rsidRPr="00650916" w:rsidRDefault="00F00CFD" w:rsidP="00046E15">
            <w:r w:rsidRPr="00650916">
              <w:t>Transition from long stay hospital to supported community living accommodation/ group residential homes or nursing homes. Supported living accommodation defined as 'purpose-built flats within a complex for people with</w:t>
            </w:r>
          </w:p>
          <w:p w14:paraId="74F9F8A4" w14:textId="77777777" w:rsidR="00F00CFD" w:rsidRPr="00650916" w:rsidRDefault="00F00CFD" w:rsidP="00046E15">
            <w:r w:rsidRPr="00650916">
              <w:t>ID" no further information provided on number of residents.</w:t>
            </w:r>
          </w:p>
        </w:tc>
        <w:tc>
          <w:tcPr>
            <w:tcW w:w="846" w:type="pct"/>
          </w:tcPr>
          <w:p w14:paraId="34C4AC28" w14:textId="77777777" w:rsidR="00F00CFD" w:rsidRPr="00650916" w:rsidRDefault="00F00CFD" w:rsidP="00046E15">
            <w:r w:rsidRPr="00650916">
              <w:t>Transition to decongregated setting</w:t>
            </w:r>
          </w:p>
        </w:tc>
      </w:tr>
      <w:tr w:rsidR="00F00CFD" w:rsidRPr="00650916" w14:paraId="013CAEC0" w14:textId="77777777" w:rsidTr="006E2C88">
        <w:tc>
          <w:tcPr>
            <w:tcW w:w="234" w:type="pct"/>
          </w:tcPr>
          <w:p w14:paraId="30AA265C" w14:textId="77777777" w:rsidR="00F00CFD" w:rsidRPr="00650916" w:rsidRDefault="00F00CFD" w:rsidP="00046E15">
            <w:r>
              <w:t>6</w:t>
            </w:r>
          </w:p>
        </w:tc>
        <w:tc>
          <w:tcPr>
            <w:tcW w:w="573" w:type="pct"/>
          </w:tcPr>
          <w:p w14:paraId="0A8E67AC" w14:textId="77777777" w:rsidR="00F00CFD" w:rsidRPr="00650916" w:rsidRDefault="00F00CFD" w:rsidP="00046E15">
            <w:r w:rsidRPr="00650916">
              <w:t>Bigby (2008)</w:t>
            </w:r>
          </w:p>
        </w:tc>
        <w:tc>
          <w:tcPr>
            <w:tcW w:w="707" w:type="pct"/>
          </w:tcPr>
          <w:p w14:paraId="142BF992" w14:textId="77777777" w:rsidR="00F00CFD" w:rsidRPr="00650916" w:rsidRDefault="00F00CFD" w:rsidP="00046E15">
            <w:r w:rsidRPr="00650916">
              <w:t>Examination of trends in informal social network following deinstitutionalisation.</w:t>
            </w:r>
          </w:p>
        </w:tc>
        <w:tc>
          <w:tcPr>
            <w:tcW w:w="404" w:type="pct"/>
          </w:tcPr>
          <w:p w14:paraId="7611FF79" w14:textId="77777777" w:rsidR="00F00CFD" w:rsidRPr="00650916" w:rsidRDefault="00F00CFD" w:rsidP="00046E15">
            <w:r w:rsidRPr="00650916">
              <w:t>Australia</w:t>
            </w:r>
          </w:p>
        </w:tc>
        <w:tc>
          <w:tcPr>
            <w:tcW w:w="606" w:type="pct"/>
          </w:tcPr>
          <w:p w14:paraId="2B82AFF5" w14:textId="77777777" w:rsidR="00F00CFD" w:rsidRPr="00650916" w:rsidRDefault="00F00CFD" w:rsidP="00046E15">
            <w:r w:rsidRPr="00650916">
              <w:t>Repeated measures design with four measures, baseline, 1 year, 3 years, 5 years post transition. Social network analysis of data based on structured interviews and quantified.</w:t>
            </w:r>
          </w:p>
        </w:tc>
        <w:tc>
          <w:tcPr>
            <w:tcW w:w="619" w:type="pct"/>
          </w:tcPr>
          <w:p w14:paraId="4FA50C2A" w14:textId="77777777" w:rsidR="00F00CFD" w:rsidRPr="00650916" w:rsidRDefault="00F00CFD" w:rsidP="00046E15">
            <w:r w:rsidRPr="00650916">
              <w:t>Intellectual disability</w:t>
            </w:r>
          </w:p>
        </w:tc>
        <w:tc>
          <w:tcPr>
            <w:tcW w:w="1011" w:type="pct"/>
          </w:tcPr>
          <w:p w14:paraId="09D09003" w14:textId="77777777" w:rsidR="00F00CFD" w:rsidRPr="00650916" w:rsidRDefault="00F00CFD" w:rsidP="00046E15">
            <w:r w:rsidRPr="00650916">
              <w:t>'200 Places' initiative, Victorian Government, 1999-2000. Transition from institution to Group Home</w:t>
            </w:r>
          </w:p>
        </w:tc>
        <w:tc>
          <w:tcPr>
            <w:tcW w:w="846" w:type="pct"/>
            <w:shd w:val="clear" w:color="auto" w:fill="auto"/>
          </w:tcPr>
          <w:p w14:paraId="6D53A1E9" w14:textId="49DEF521" w:rsidR="004137D1" w:rsidRDefault="004137D1" w:rsidP="004137D1">
            <w:r w:rsidRPr="004137D1">
              <w:t xml:space="preserve">Deinstitutionalisation </w:t>
            </w:r>
            <w:r>
              <w:t>from a large institution</w:t>
            </w:r>
          </w:p>
          <w:p w14:paraId="48066D8D" w14:textId="12539E1D" w:rsidR="004137D1" w:rsidRDefault="004137D1" w:rsidP="004137D1">
            <w:r>
              <w:t>in Melbourne, Victorian to small group homes (houses) in the</w:t>
            </w:r>
          </w:p>
          <w:p w14:paraId="39A5884C" w14:textId="7DAA50B2" w:rsidR="004137D1" w:rsidRDefault="004137D1" w:rsidP="004137D1">
            <w:r>
              <w:t>community as part of a government</w:t>
            </w:r>
          </w:p>
          <w:p w14:paraId="21317405" w14:textId="09E6CACF" w:rsidR="00F00CFD" w:rsidRPr="00650916" w:rsidRDefault="004137D1" w:rsidP="004137D1">
            <w:r>
              <w:t>initiative known as ‘‘200 Places’’.</w:t>
            </w:r>
          </w:p>
        </w:tc>
      </w:tr>
      <w:tr w:rsidR="00F00CFD" w:rsidRPr="00F66260" w14:paraId="36E31643" w14:textId="77777777" w:rsidTr="006E2C88">
        <w:tc>
          <w:tcPr>
            <w:tcW w:w="234" w:type="pct"/>
          </w:tcPr>
          <w:p w14:paraId="1008A171" w14:textId="77777777" w:rsidR="00F00CFD" w:rsidRPr="00F66260" w:rsidRDefault="00F00CFD" w:rsidP="006E2C88">
            <w:pPr>
              <w:keepNext/>
            </w:pPr>
            <w:r>
              <w:lastRenderedPageBreak/>
              <w:t>7</w:t>
            </w:r>
          </w:p>
        </w:tc>
        <w:tc>
          <w:tcPr>
            <w:tcW w:w="573" w:type="pct"/>
            <w:noWrap/>
            <w:hideMark/>
          </w:tcPr>
          <w:p w14:paraId="36262D8A" w14:textId="15D102F9" w:rsidR="00F00CFD" w:rsidRPr="00F66260" w:rsidRDefault="00F00CFD" w:rsidP="006E2C88">
            <w:pPr>
              <w:keepNext/>
            </w:pPr>
            <w:r w:rsidRPr="00F66260">
              <w:t>Bigby</w:t>
            </w:r>
            <w:r>
              <w:t xml:space="preserve"> (</w:t>
            </w:r>
            <w:r w:rsidR="003F4FC5">
              <w:t>2008)</w:t>
            </w:r>
          </w:p>
        </w:tc>
        <w:tc>
          <w:tcPr>
            <w:tcW w:w="707" w:type="pct"/>
            <w:noWrap/>
          </w:tcPr>
          <w:p w14:paraId="71ADE308" w14:textId="77777777" w:rsidR="00F00CFD" w:rsidRPr="00F66260" w:rsidRDefault="00F00CFD" w:rsidP="006E2C88">
            <w:pPr>
              <w:keepNext/>
            </w:pPr>
            <w:r w:rsidRPr="00F66260">
              <w:t>A review of Australian policy development to support ageing in place for people with intellectual disability</w:t>
            </w:r>
          </w:p>
        </w:tc>
        <w:tc>
          <w:tcPr>
            <w:tcW w:w="404" w:type="pct"/>
            <w:noWrap/>
            <w:hideMark/>
          </w:tcPr>
          <w:p w14:paraId="36EB8E9C" w14:textId="77777777" w:rsidR="00F00CFD" w:rsidRPr="00F66260" w:rsidRDefault="00F00CFD" w:rsidP="006E2C88">
            <w:pPr>
              <w:keepNext/>
            </w:pPr>
            <w:r w:rsidRPr="00F66260">
              <w:t xml:space="preserve">Australia </w:t>
            </w:r>
          </w:p>
        </w:tc>
        <w:tc>
          <w:tcPr>
            <w:tcW w:w="606" w:type="pct"/>
            <w:noWrap/>
          </w:tcPr>
          <w:p w14:paraId="05CAD54F" w14:textId="77777777" w:rsidR="00F00CFD" w:rsidRPr="00F66260" w:rsidRDefault="00F00CFD" w:rsidP="006E2C88">
            <w:pPr>
              <w:keepNext/>
            </w:pPr>
            <w:r>
              <w:t>Policy review. Grey literature</w:t>
            </w:r>
          </w:p>
        </w:tc>
        <w:tc>
          <w:tcPr>
            <w:tcW w:w="619" w:type="pct"/>
            <w:noWrap/>
            <w:hideMark/>
          </w:tcPr>
          <w:p w14:paraId="5165FAFC" w14:textId="77777777" w:rsidR="00F00CFD" w:rsidRPr="00F66260" w:rsidRDefault="00F00CFD" w:rsidP="006E2C88">
            <w:pPr>
              <w:keepNext/>
            </w:pPr>
            <w:r w:rsidRPr="00F66260">
              <w:t xml:space="preserve">People with intellectual disability as they age </w:t>
            </w:r>
          </w:p>
        </w:tc>
        <w:tc>
          <w:tcPr>
            <w:tcW w:w="1011" w:type="pct"/>
            <w:hideMark/>
          </w:tcPr>
          <w:p w14:paraId="505A73BB" w14:textId="77777777" w:rsidR="00F00CFD" w:rsidRPr="00F66260" w:rsidRDefault="00F00CFD" w:rsidP="006E2C88">
            <w:pPr>
              <w:keepNext/>
            </w:pPr>
            <w:r w:rsidRPr="00F66260">
              <w:t>Deinstitutionalisation</w:t>
            </w:r>
            <w:r>
              <w:t xml:space="preserve">; </w:t>
            </w:r>
            <w:r w:rsidRPr="00F66260">
              <w:t>flexible funding and top up models</w:t>
            </w:r>
          </w:p>
        </w:tc>
        <w:tc>
          <w:tcPr>
            <w:tcW w:w="846" w:type="pct"/>
            <w:noWrap/>
            <w:hideMark/>
          </w:tcPr>
          <w:p w14:paraId="3916B323" w14:textId="77777777" w:rsidR="00F00CFD" w:rsidRPr="00F66260" w:rsidRDefault="00F00CFD" w:rsidP="006E2C88">
            <w:pPr>
              <w:keepNext/>
            </w:pPr>
            <w:r w:rsidRPr="00F66260">
              <w:t>Deinstitutionalisation</w:t>
            </w:r>
          </w:p>
        </w:tc>
      </w:tr>
      <w:tr w:rsidR="00F00CFD" w:rsidRPr="00650916" w14:paraId="0DC64859" w14:textId="77777777" w:rsidTr="006E2C88">
        <w:tc>
          <w:tcPr>
            <w:tcW w:w="234" w:type="pct"/>
          </w:tcPr>
          <w:p w14:paraId="40D9EC4B" w14:textId="77777777" w:rsidR="00F00CFD" w:rsidRPr="00650916" w:rsidRDefault="00F00CFD" w:rsidP="00046E15">
            <w:r>
              <w:t>8</w:t>
            </w:r>
          </w:p>
        </w:tc>
        <w:tc>
          <w:tcPr>
            <w:tcW w:w="573" w:type="pct"/>
          </w:tcPr>
          <w:p w14:paraId="034ADEEE" w14:textId="77777777" w:rsidR="00F00CFD" w:rsidRPr="00650916" w:rsidRDefault="00F00CFD" w:rsidP="00046E15">
            <w:r w:rsidRPr="00650916">
              <w:t>Bigby et al (2018)</w:t>
            </w:r>
          </w:p>
        </w:tc>
        <w:tc>
          <w:tcPr>
            <w:tcW w:w="707" w:type="pct"/>
          </w:tcPr>
          <w:p w14:paraId="6A56F03A" w14:textId="77777777" w:rsidR="00F00CFD" w:rsidRPr="00650916" w:rsidRDefault="00F00CFD" w:rsidP="00046E15">
            <w:r w:rsidRPr="00650916">
              <w:t>This study identified costs and factors associated with quality of life (QOL) in supported living and compared this with group homes</w:t>
            </w:r>
          </w:p>
        </w:tc>
        <w:tc>
          <w:tcPr>
            <w:tcW w:w="404" w:type="pct"/>
          </w:tcPr>
          <w:p w14:paraId="244AE1E0" w14:textId="77777777" w:rsidR="00F00CFD" w:rsidRPr="00650916" w:rsidRDefault="00F00CFD" w:rsidP="00046E15">
            <w:r w:rsidRPr="00650916">
              <w:t>Australia</w:t>
            </w:r>
          </w:p>
        </w:tc>
        <w:tc>
          <w:tcPr>
            <w:tcW w:w="606" w:type="pct"/>
          </w:tcPr>
          <w:p w14:paraId="67C82211" w14:textId="77777777" w:rsidR="00F00CFD" w:rsidRPr="00650916" w:rsidRDefault="00F00CFD" w:rsidP="00046E15">
            <w:r w:rsidRPr="00650916">
              <w:t>Cross sectional study</w:t>
            </w:r>
          </w:p>
        </w:tc>
        <w:tc>
          <w:tcPr>
            <w:tcW w:w="619" w:type="pct"/>
          </w:tcPr>
          <w:p w14:paraId="03CFE243" w14:textId="77777777" w:rsidR="00F00CFD" w:rsidRPr="00650916" w:rsidRDefault="00F00CFD" w:rsidP="00046E15">
            <w:r w:rsidRPr="00650916">
              <w:t>Intellectual disability</w:t>
            </w:r>
          </w:p>
        </w:tc>
        <w:tc>
          <w:tcPr>
            <w:tcW w:w="1011" w:type="pct"/>
          </w:tcPr>
          <w:p w14:paraId="5927D006" w14:textId="77777777" w:rsidR="00F00CFD" w:rsidRPr="00650916" w:rsidRDefault="00F00CFD" w:rsidP="00046E15">
            <w:r w:rsidRPr="00650916">
              <w:t>'Supported living: support tailored to the individual Group home</w:t>
            </w:r>
          </w:p>
        </w:tc>
        <w:tc>
          <w:tcPr>
            <w:tcW w:w="846" w:type="pct"/>
          </w:tcPr>
          <w:p w14:paraId="67644C0C" w14:textId="77777777" w:rsidR="00F00CFD" w:rsidRPr="00650916" w:rsidRDefault="00F00CFD" w:rsidP="00046E15">
            <w:r w:rsidRPr="00650916">
              <w:t>N/A</w:t>
            </w:r>
          </w:p>
        </w:tc>
      </w:tr>
      <w:tr w:rsidR="00F00CFD" w:rsidRPr="00F66260" w14:paraId="70FBADDC" w14:textId="77777777" w:rsidTr="006E2C88">
        <w:tc>
          <w:tcPr>
            <w:tcW w:w="234" w:type="pct"/>
          </w:tcPr>
          <w:p w14:paraId="0AD22599" w14:textId="77777777" w:rsidR="00F00CFD" w:rsidRPr="00F66260" w:rsidRDefault="00F00CFD" w:rsidP="00046E15">
            <w:r>
              <w:t>9</w:t>
            </w:r>
          </w:p>
        </w:tc>
        <w:tc>
          <w:tcPr>
            <w:tcW w:w="573" w:type="pct"/>
            <w:noWrap/>
            <w:hideMark/>
          </w:tcPr>
          <w:p w14:paraId="3AF918F4" w14:textId="77777777" w:rsidR="00F00CFD" w:rsidRPr="00F66260" w:rsidRDefault="00F00CFD" w:rsidP="00046E15">
            <w:r w:rsidRPr="00F66260">
              <w:t>Bleasdale</w:t>
            </w:r>
            <w:r>
              <w:t xml:space="preserve"> (2007)</w:t>
            </w:r>
          </w:p>
        </w:tc>
        <w:tc>
          <w:tcPr>
            <w:tcW w:w="707" w:type="pct"/>
            <w:noWrap/>
          </w:tcPr>
          <w:p w14:paraId="013F0F3A" w14:textId="77777777" w:rsidR="00F00CFD" w:rsidRPr="00F66260" w:rsidRDefault="00F00CFD" w:rsidP="00046E15">
            <w:r w:rsidRPr="00F66260">
              <w:t>Supporting the housing of people with complex needs</w:t>
            </w:r>
          </w:p>
        </w:tc>
        <w:tc>
          <w:tcPr>
            <w:tcW w:w="404" w:type="pct"/>
            <w:noWrap/>
            <w:hideMark/>
          </w:tcPr>
          <w:p w14:paraId="6B37DB97" w14:textId="77777777" w:rsidR="00F00CFD" w:rsidRPr="00F66260" w:rsidRDefault="00F00CFD" w:rsidP="00046E15">
            <w:r w:rsidRPr="00F66260">
              <w:t>Aus</w:t>
            </w:r>
            <w:r>
              <w:t>tralia</w:t>
            </w:r>
          </w:p>
        </w:tc>
        <w:tc>
          <w:tcPr>
            <w:tcW w:w="606" w:type="pct"/>
            <w:noWrap/>
          </w:tcPr>
          <w:p w14:paraId="58F0208C" w14:textId="77777777" w:rsidR="00F00CFD" w:rsidRPr="00F66260" w:rsidRDefault="00F00CFD" w:rsidP="00046E15">
            <w:r>
              <w:t>Mixed methods. Grey literature.</w:t>
            </w:r>
          </w:p>
        </w:tc>
        <w:tc>
          <w:tcPr>
            <w:tcW w:w="619" w:type="pct"/>
            <w:noWrap/>
            <w:hideMark/>
          </w:tcPr>
          <w:p w14:paraId="0F1D876F" w14:textId="77777777" w:rsidR="00F00CFD" w:rsidRPr="00F66260" w:rsidRDefault="00F00CFD" w:rsidP="00046E15">
            <w:r w:rsidRPr="00F66260">
              <w:t>People with disability with complex needs</w:t>
            </w:r>
          </w:p>
        </w:tc>
        <w:tc>
          <w:tcPr>
            <w:tcW w:w="1011" w:type="pct"/>
            <w:hideMark/>
          </w:tcPr>
          <w:p w14:paraId="7AE1685D" w14:textId="77777777" w:rsidR="00F00CFD" w:rsidRPr="00F66260" w:rsidRDefault="00F00CFD" w:rsidP="00046E15">
            <w:r w:rsidRPr="00F66260">
              <w:t>Housing for people with complex needs; community tenancy based; support to access long term tenancies</w:t>
            </w:r>
          </w:p>
        </w:tc>
        <w:tc>
          <w:tcPr>
            <w:tcW w:w="846" w:type="pct"/>
            <w:noWrap/>
            <w:hideMark/>
          </w:tcPr>
          <w:p w14:paraId="346DBD15" w14:textId="77777777" w:rsidR="00F00CFD" w:rsidRPr="00F66260" w:rsidRDefault="00F00CFD" w:rsidP="00046E15">
            <w:r w:rsidRPr="00F66260">
              <w:t>Community</w:t>
            </w:r>
          </w:p>
        </w:tc>
      </w:tr>
      <w:tr w:rsidR="00F00CFD" w:rsidRPr="00FE0180" w14:paraId="12C1EFA0"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0249CBF5" w14:textId="77777777" w:rsidR="00F00CFD" w:rsidRPr="00FE0180" w:rsidRDefault="00F00CFD" w:rsidP="00046E15">
            <w:r>
              <w:t>10</w:t>
            </w:r>
          </w:p>
        </w:tc>
        <w:tc>
          <w:tcPr>
            <w:tcW w:w="573" w:type="pct"/>
            <w:tcBorders>
              <w:top w:val="single" w:sz="4" w:space="0" w:color="auto"/>
              <w:left w:val="single" w:sz="4" w:space="0" w:color="auto"/>
              <w:bottom w:val="single" w:sz="4" w:space="0" w:color="auto"/>
              <w:right w:val="single" w:sz="4" w:space="0" w:color="auto"/>
            </w:tcBorders>
            <w:hideMark/>
          </w:tcPr>
          <w:p w14:paraId="6422335E" w14:textId="56766A97" w:rsidR="00F00CFD" w:rsidRPr="00FE0180" w:rsidRDefault="00F00CFD" w:rsidP="00046E15">
            <w:r w:rsidRPr="00FE0180">
              <w:t>Blumberg,</w:t>
            </w:r>
            <w:r w:rsidR="00FF04E9">
              <w:t xml:space="preserve"> </w:t>
            </w:r>
            <w:r>
              <w:t>et al (2000)</w:t>
            </w:r>
          </w:p>
        </w:tc>
        <w:tc>
          <w:tcPr>
            <w:tcW w:w="707" w:type="pct"/>
            <w:tcBorders>
              <w:top w:val="single" w:sz="4" w:space="0" w:color="auto"/>
              <w:left w:val="single" w:sz="4" w:space="0" w:color="auto"/>
              <w:bottom w:val="single" w:sz="4" w:space="0" w:color="auto"/>
              <w:right w:val="single" w:sz="4" w:space="0" w:color="auto"/>
            </w:tcBorders>
            <w:hideMark/>
          </w:tcPr>
          <w:p w14:paraId="0F19944A" w14:textId="77777777" w:rsidR="00F00CFD" w:rsidRPr="00FE0180" w:rsidRDefault="00F00CFD" w:rsidP="00046E15">
            <w:r w:rsidRPr="00FE0180">
              <w:t> </w:t>
            </w:r>
            <w:r>
              <w:t>To provides an informal case study of how one young man and his family have benefited from this move to selfdirected services.</w:t>
            </w:r>
          </w:p>
        </w:tc>
        <w:tc>
          <w:tcPr>
            <w:tcW w:w="404" w:type="pct"/>
            <w:tcBorders>
              <w:top w:val="single" w:sz="4" w:space="0" w:color="auto"/>
              <w:left w:val="single" w:sz="4" w:space="0" w:color="auto"/>
              <w:bottom w:val="single" w:sz="4" w:space="0" w:color="auto"/>
              <w:right w:val="single" w:sz="4" w:space="0" w:color="auto"/>
            </w:tcBorders>
          </w:tcPr>
          <w:p w14:paraId="635A9E04" w14:textId="77777777" w:rsidR="00F00CFD" w:rsidRDefault="00F00CFD" w:rsidP="00046E15">
            <w:r w:rsidRPr="00FE0180">
              <w:t>USA</w:t>
            </w:r>
          </w:p>
        </w:tc>
        <w:tc>
          <w:tcPr>
            <w:tcW w:w="606" w:type="pct"/>
            <w:tcBorders>
              <w:top w:val="single" w:sz="4" w:space="0" w:color="auto"/>
              <w:left w:val="single" w:sz="4" w:space="0" w:color="auto"/>
              <w:bottom w:val="single" w:sz="4" w:space="0" w:color="auto"/>
              <w:right w:val="single" w:sz="4" w:space="0" w:color="auto"/>
            </w:tcBorders>
          </w:tcPr>
          <w:p w14:paraId="266CF611" w14:textId="77777777" w:rsidR="00F00CFD" w:rsidRDefault="00F00CFD" w:rsidP="00046E15">
            <w:r>
              <w:t>Case study (n=1)</w:t>
            </w:r>
          </w:p>
        </w:tc>
        <w:tc>
          <w:tcPr>
            <w:tcW w:w="619" w:type="pct"/>
            <w:tcBorders>
              <w:top w:val="single" w:sz="4" w:space="0" w:color="auto"/>
              <w:left w:val="single" w:sz="4" w:space="0" w:color="auto"/>
              <w:bottom w:val="single" w:sz="4" w:space="0" w:color="auto"/>
              <w:right w:val="single" w:sz="4" w:space="0" w:color="auto"/>
            </w:tcBorders>
            <w:hideMark/>
          </w:tcPr>
          <w:p w14:paraId="3D28B242" w14:textId="77777777" w:rsidR="00F00CFD" w:rsidRPr="00FE0180" w:rsidRDefault="00F00CFD" w:rsidP="00046E15">
            <w:r>
              <w:t>ID</w:t>
            </w:r>
          </w:p>
        </w:tc>
        <w:tc>
          <w:tcPr>
            <w:tcW w:w="1011" w:type="pct"/>
            <w:tcBorders>
              <w:top w:val="single" w:sz="4" w:space="0" w:color="auto"/>
              <w:left w:val="single" w:sz="4" w:space="0" w:color="auto"/>
              <w:bottom w:val="single" w:sz="4" w:space="0" w:color="auto"/>
              <w:right w:val="single" w:sz="4" w:space="0" w:color="auto"/>
            </w:tcBorders>
            <w:hideMark/>
          </w:tcPr>
          <w:p w14:paraId="5D4B5DC6" w14:textId="77777777" w:rsidR="00F00CFD" w:rsidRPr="00FE0180" w:rsidRDefault="00F00CFD" w:rsidP="00046E15">
            <w:r w:rsidRPr="00FE0180">
              <w:t xml:space="preserve">Independent living </w:t>
            </w:r>
          </w:p>
        </w:tc>
        <w:tc>
          <w:tcPr>
            <w:tcW w:w="846" w:type="pct"/>
            <w:tcBorders>
              <w:top w:val="single" w:sz="4" w:space="0" w:color="auto"/>
              <w:left w:val="single" w:sz="4" w:space="0" w:color="auto"/>
              <w:bottom w:val="single" w:sz="4" w:space="0" w:color="auto"/>
              <w:right w:val="single" w:sz="4" w:space="0" w:color="auto"/>
            </w:tcBorders>
            <w:hideMark/>
          </w:tcPr>
          <w:p w14:paraId="2F595FEE" w14:textId="77777777" w:rsidR="00F00CFD" w:rsidRPr="00FE0180" w:rsidRDefault="00F00CFD" w:rsidP="00046E15">
            <w:r w:rsidRPr="00FE0180">
              <w:t>Case study - independent living arrang</w:t>
            </w:r>
            <w:r>
              <w:t>e</w:t>
            </w:r>
            <w:r w:rsidRPr="00FE0180">
              <w:t xml:space="preserve">ment </w:t>
            </w:r>
          </w:p>
        </w:tc>
      </w:tr>
      <w:tr w:rsidR="00F00CFD" w:rsidRPr="00FE0180" w14:paraId="387C827B"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35128F83" w14:textId="77777777" w:rsidR="00F00CFD" w:rsidRPr="00FE0180" w:rsidRDefault="00F00CFD" w:rsidP="00046E15">
            <w:r>
              <w:t>11</w:t>
            </w:r>
          </w:p>
        </w:tc>
        <w:tc>
          <w:tcPr>
            <w:tcW w:w="573" w:type="pct"/>
            <w:tcBorders>
              <w:top w:val="single" w:sz="4" w:space="0" w:color="auto"/>
              <w:left w:val="single" w:sz="4" w:space="0" w:color="auto"/>
              <w:bottom w:val="single" w:sz="4" w:space="0" w:color="auto"/>
              <w:right w:val="single" w:sz="4" w:space="0" w:color="auto"/>
            </w:tcBorders>
            <w:hideMark/>
          </w:tcPr>
          <w:p w14:paraId="24186BE2" w14:textId="0B7B6B68" w:rsidR="00F00CFD" w:rsidRPr="00FE0180" w:rsidRDefault="00F00CFD" w:rsidP="00046E15">
            <w:r w:rsidRPr="00FE0180">
              <w:t>Borbasi</w:t>
            </w:r>
            <w:r w:rsidR="00FF04E9">
              <w:t>,</w:t>
            </w:r>
            <w:r w:rsidRPr="00FE0180">
              <w:t xml:space="preserve"> </w:t>
            </w:r>
            <w:r>
              <w:t>et al</w:t>
            </w:r>
            <w:r w:rsidRPr="00FE0180">
              <w:t xml:space="preserve"> </w:t>
            </w:r>
            <w:r>
              <w:t>(2007)</w:t>
            </w:r>
          </w:p>
        </w:tc>
        <w:tc>
          <w:tcPr>
            <w:tcW w:w="707" w:type="pct"/>
            <w:tcBorders>
              <w:top w:val="single" w:sz="4" w:space="0" w:color="auto"/>
              <w:left w:val="single" w:sz="4" w:space="0" w:color="auto"/>
              <w:bottom w:val="single" w:sz="4" w:space="0" w:color="auto"/>
              <w:right w:val="single" w:sz="4" w:space="0" w:color="auto"/>
            </w:tcBorders>
            <w:hideMark/>
          </w:tcPr>
          <w:p w14:paraId="57EF8807" w14:textId="77777777" w:rsidR="00F00CFD" w:rsidRPr="00FE0180" w:rsidRDefault="00F00CFD" w:rsidP="00046E15">
            <w:r>
              <w:t xml:space="preserve">To </w:t>
            </w:r>
            <w:r w:rsidRPr="00FE0180">
              <w:t xml:space="preserve"> evaluate</w:t>
            </w:r>
            <w:r>
              <w:t xml:space="preserve"> </w:t>
            </w:r>
            <w:r w:rsidRPr="00FE0180">
              <w:t xml:space="preserve">quality of life for people with a disability with high health and high support </w:t>
            </w:r>
            <w:r w:rsidRPr="00FE0180">
              <w:lastRenderedPageBreak/>
              <w:t>needs following a move from a congregate care institution to community housing. The study explored residents’ perceptions of the service, level of community involvement, lifestyle choices, and input into decision-making.</w:t>
            </w:r>
          </w:p>
        </w:tc>
        <w:tc>
          <w:tcPr>
            <w:tcW w:w="404" w:type="pct"/>
            <w:tcBorders>
              <w:top w:val="single" w:sz="4" w:space="0" w:color="auto"/>
              <w:left w:val="single" w:sz="4" w:space="0" w:color="auto"/>
              <w:bottom w:val="single" w:sz="4" w:space="0" w:color="auto"/>
              <w:right w:val="single" w:sz="4" w:space="0" w:color="auto"/>
            </w:tcBorders>
          </w:tcPr>
          <w:p w14:paraId="1B4266F6" w14:textId="77777777" w:rsidR="00F00CFD" w:rsidRDefault="00F00CFD" w:rsidP="00046E15">
            <w:r w:rsidRPr="00FE0180">
              <w:lastRenderedPageBreak/>
              <w:t>Aus</w:t>
            </w:r>
          </w:p>
        </w:tc>
        <w:tc>
          <w:tcPr>
            <w:tcW w:w="606" w:type="pct"/>
            <w:tcBorders>
              <w:top w:val="single" w:sz="4" w:space="0" w:color="auto"/>
              <w:left w:val="single" w:sz="4" w:space="0" w:color="auto"/>
              <w:bottom w:val="single" w:sz="4" w:space="0" w:color="auto"/>
              <w:right w:val="single" w:sz="4" w:space="0" w:color="auto"/>
            </w:tcBorders>
          </w:tcPr>
          <w:p w14:paraId="5D74ACDA" w14:textId="77777777" w:rsidR="00F00CFD" w:rsidRDefault="00F00CFD" w:rsidP="00046E15">
            <w:r>
              <w:t>Semi-structured interviews</w:t>
            </w:r>
          </w:p>
          <w:p w14:paraId="60181DF4" w14:textId="77777777" w:rsidR="00F00CFD" w:rsidRPr="00FE0180" w:rsidRDefault="00F00CFD" w:rsidP="00046E15">
            <w:r>
              <w:t>(n=24)</w:t>
            </w:r>
          </w:p>
        </w:tc>
        <w:tc>
          <w:tcPr>
            <w:tcW w:w="619" w:type="pct"/>
            <w:tcBorders>
              <w:top w:val="single" w:sz="4" w:space="0" w:color="auto"/>
              <w:left w:val="single" w:sz="4" w:space="0" w:color="auto"/>
              <w:bottom w:val="single" w:sz="4" w:space="0" w:color="auto"/>
              <w:right w:val="single" w:sz="4" w:space="0" w:color="auto"/>
            </w:tcBorders>
            <w:hideMark/>
          </w:tcPr>
          <w:p w14:paraId="18421606" w14:textId="77777777" w:rsidR="00F00CFD" w:rsidRPr="00FE0180" w:rsidRDefault="00F00CFD" w:rsidP="00046E15">
            <w:r w:rsidRPr="00FE0180">
              <w:t xml:space="preserve">People with high health &amp; support needs </w:t>
            </w:r>
          </w:p>
        </w:tc>
        <w:tc>
          <w:tcPr>
            <w:tcW w:w="1011" w:type="pct"/>
            <w:tcBorders>
              <w:top w:val="single" w:sz="4" w:space="0" w:color="auto"/>
              <w:left w:val="single" w:sz="4" w:space="0" w:color="auto"/>
              <w:bottom w:val="single" w:sz="4" w:space="0" w:color="auto"/>
              <w:right w:val="single" w:sz="4" w:space="0" w:color="auto"/>
            </w:tcBorders>
            <w:hideMark/>
          </w:tcPr>
          <w:p w14:paraId="3A53ABBD"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36F0370B" w14:textId="77777777" w:rsidR="00F00CFD" w:rsidRPr="00FE0180" w:rsidRDefault="00F00CFD" w:rsidP="00046E15">
            <w:r w:rsidRPr="00FE0180">
              <w:t xml:space="preserve">Transition to community living </w:t>
            </w:r>
          </w:p>
        </w:tc>
      </w:tr>
      <w:tr w:rsidR="00F00CFD" w:rsidRPr="00F66260" w14:paraId="031AD7BD" w14:textId="77777777" w:rsidTr="006E2C88">
        <w:tc>
          <w:tcPr>
            <w:tcW w:w="234" w:type="pct"/>
          </w:tcPr>
          <w:p w14:paraId="1BA6683A" w14:textId="77777777" w:rsidR="00F00CFD" w:rsidRPr="00F66260" w:rsidRDefault="00F00CFD" w:rsidP="00046E15">
            <w:r>
              <w:t>12</w:t>
            </w:r>
          </w:p>
        </w:tc>
        <w:tc>
          <w:tcPr>
            <w:tcW w:w="573" w:type="pct"/>
            <w:hideMark/>
          </w:tcPr>
          <w:p w14:paraId="59F92DBE" w14:textId="77777777" w:rsidR="00F00CFD" w:rsidRPr="00F66260" w:rsidRDefault="00F00CFD" w:rsidP="00046E15">
            <w:r w:rsidRPr="00F66260">
              <w:t>Bostock</w:t>
            </w:r>
            <w:r>
              <w:t xml:space="preserve"> et al (2004)</w:t>
            </w:r>
          </w:p>
        </w:tc>
        <w:tc>
          <w:tcPr>
            <w:tcW w:w="707" w:type="pct"/>
          </w:tcPr>
          <w:p w14:paraId="475CC676" w14:textId="77777777" w:rsidR="00F00CFD" w:rsidRPr="00F66260" w:rsidRDefault="00F00CFD" w:rsidP="00046E15">
            <w:r w:rsidRPr="00F66260">
              <w:t>Contested Housing Landscapes? Social Inclusion, Deinstitutionalisation and Housing Policy in Australia</w:t>
            </w:r>
          </w:p>
        </w:tc>
        <w:tc>
          <w:tcPr>
            <w:tcW w:w="404" w:type="pct"/>
            <w:noWrap/>
            <w:hideMark/>
          </w:tcPr>
          <w:p w14:paraId="4D36810C" w14:textId="77777777" w:rsidR="00F00CFD" w:rsidRPr="00F66260" w:rsidRDefault="00F00CFD" w:rsidP="00046E15">
            <w:r w:rsidRPr="00F66260">
              <w:t xml:space="preserve">Australia </w:t>
            </w:r>
          </w:p>
        </w:tc>
        <w:tc>
          <w:tcPr>
            <w:tcW w:w="606" w:type="pct"/>
            <w:noWrap/>
          </w:tcPr>
          <w:p w14:paraId="3F017D94" w14:textId="77777777" w:rsidR="00F00CFD" w:rsidRPr="00F66260" w:rsidRDefault="00F00CFD" w:rsidP="00046E15">
            <w:r>
              <w:t xml:space="preserve">Mixed methods. Grey literature </w:t>
            </w:r>
          </w:p>
        </w:tc>
        <w:tc>
          <w:tcPr>
            <w:tcW w:w="619" w:type="pct"/>
            <w:noWrap/>
            <w:hideMark/>
          </w:tcPr>
          <w:p w14:paraId="373B76E6" w14:textId="77777777" w:rsidR="00F00CFD" w:rsidRPr="00F66260" w:rsidRDefault="00F00CFD" w:rsidP="00046E15">
            <w:r w:rsidRPr="00F66260">
              <w:t>Intellectual disability (n=46 key informants in disability and housing sector )</w:t>
            </w:r>
          </w:p>
        </w:tc>
        <w:tc>
          <w:tcPr>
            <w:tcW w:w="1011" w:type="pct"/>
            <w:hideMark/>
          </w:tcPr>
          <w:p w14:paraId="7F4D311D" w14:textId="77777777" w:rsidR="00F00CFD" w:rsidRPr="00F66260" w:rsidRDefault="00F00CFD" w:rsidP="00046E15">
            <w:r w:rsidRPr="00F66260">
              <w:t>Deinstitutionalization framed as a rehousing process</w:t>
            </w:r>
          </w:p>
        </w:tc>
        <w:tc>
          <w:tcPr>
            <w:tcW w:w="846" w:type="pct"/>
            <w:noWrap/>
            <w:hideMark/>
          </w:tcPr>
          <w:p w14:paraId="4F622463" w14:textId="77777777" w:rsidR="00F00CFD" w:rsidRPr="00F66260" w:rsidRDefault="00F00CFD" w:rsidP="00046E15">
            <w:r w:rsidRPr="00F66260">
              <w:t>Deinstitutionalisation</w:t>
            </w:r>
          </w:p>
        </w:tc>
      </w:tr>
      <w:tr w:rsidR="00F00CFD" w:rsidRPr="00FE0180" w14:paraId="3C37693F"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37D3251C" w14:textId="77777777" w:rsidR="00F00CFD" w:rsidRPr="00FE0180" w:rsidRDefault="00F00CFD" w:rsidP="00046E15">
            <w:r>
              <w:t>13</w:t>
            </w:r>
          </w:p>
        </w:tc>
        <w:tc>
          <w:tcPr>
            <w:tcW w:w="573" w:type="pct"/>
            <w:tcBorders>
              <w:top w:val="single" w:sz="4" w:space="0" w:color="auto"/>
              <w:left w:val="single" w:sz="4" w:space="0" w:color="auto"/>
              <w:bottom w:val="single" w:sz="4" w:space="0" w:color="auto"/>
              <w:right w:val="single" w:sz="4" w:space="0" w:color="auto"/>
            </w:tcBorders>
            <w:hideMark/>
          </w:tcPr>
          <w:p w14:paraId="3A436689" w14:textId="18D4239D" w:rsidR="00F00CFD" w:rsidRPr="00FE0180" w:rsidRDefault="00F00CFD" w:rsidP="00046E15">
            <w:r w:rsidRPr="00FE0180">
              <w:t xml:space="preserve">Brennan, </w:t>
            </w:r>
            <w:r>
              <w:t>et al (2016)</w:t>
            </w:r>
          </w:p>
        </w:tc>
        <w:tc>
          <w:tcPr>
            <w:tcW w:w="707" w:type="pct"/>
            <w:tcBorders>
              <w:top w:val="single" w:sz="4" w:space="0" w:color="auto"/>
              <w:left w:val="single" w:sz="4" w:space="0" w:color="auto"/>
              <w:bottom w:val="single" w:sz="4" w:space="0" w:color="auto"/>
              <w:right w:val="single" w:sz="4" w:space="0" w:color="auto"/>
            </w:tcBorders>
            <w:hideMark/>
          </w:tcPr>
          <w:p w14:paraId="46C16B90" w14:textId="77777777" w:rsidR="00F00CFD" w:rsidRPr="00FE0180" w:rsidRDefault="00F00CFD" w:rsidP="00046E15">
            <w:r>
              <w:t xml:space="preserve">To explore </w:t>
            </w:r>
            <w:r w:rsidRPr="00FE0180">
              <w:t xml:space="preserve">the experiences of non-disabled parents who coordinate a personal assistance scheme for their adult son or daughter, all of whom had multiple impairments, did not communicate using speech and </w:t>
            </w:r>
            <w:r w:rsidRPr="00FE0180">
              <w:lastRenderedPageBreak/>
              <w:t>required personal assistance 24 hours a day</w:t>
            </w:r>
          </w:p>
        </w:tc>
        <w:tc>
          <w:tcPr>
            <w:tcW w:w="404" w:type="pct"/>
            <w:tcBorders>
              <w:top w:val="single" w:sz="4" w:space="0" w:color="auto"/>
              <w:left w:val="single" w:sz="4" w:space="0" w:color="auto"/>
              <w:bottom w:val="single" w:sz="4" w:space="0" w:color="auto"/>
              <w:right w:val="single" w:sz="4" w:space="0" w:color="auto"/>
            </w:tcBorders>
          </w:tcPr>
          <w:p w14:paraId="05484C55" w14:textId="77777777" w:rsidR="00F00CFD" w:rsidRDefault="00F00CFD" w:rsidP="00046E15">
            <w:r w:rsidRPr="00FE0180">
              <w:lastRenderedPageBreak/>
              <w:t>Sweden &amp; Norway</w:t>
            </w:r>
          </w:p>
        </w:tc>
        <w:tc>
          <w:tcPr>
            <w:tcW w:w="606" w:type="pct"/>
            <w:tcBorders>
              <w:top w:val="single" w:sz="4" w:space="0" w:color="auto"/>
              <w:left w:val="single" w:sz="4" w:space="0" w:color="auto"/>
              <w:bottom w:val="single" w:sz="4" w:space="0" w:color="auto"/>
              <w:right w:val="single" w:sz="4" w:space="0" w:color="auto"/>
            </w:tcBorders>
          </w:tcPr>
          <w:p w14:paraId="41A50443" w14:textId="77777777" w:rsidR="00F00CFD" w:rsidRDefault="00F00CFD" w:rsidP="00046E15">
            <w:r>
              <w:t>Semi-structured interviews</w:t>
            </w:r>
          </w:p>
          <w:p w14:paraId="72A15EB2" w14:textId="77777777" w:rsidR="00F00CFD" w:rsidRPr="00FE0180" w:rsidRDefault="00F00CFD" w:rsidP="00046E15">
            <w:r>
              <w:t>(n=17)</w:t>
            </w:r>
          </w:p>
        </w:tc>
        <w:tc>
          <w:tcPr>
            <w:tcW w:w="619" w:type="pct"/>
            <w:tcBorders>
              <w:top w:val="single" w:sz="4" w:space="0" w:color="auto"/>
              <w:left w:val="single" w:sz="4" w:space="0" w:color="auto"/>
              <w:bottom w:val="single" w:sz="4" w:space="0" w:color="auto"/>
              <w:right w:val="single" w:sz="4" w:space="0" w:color="auto"/>
            </w:tcBorders>
            <w:hideMark/>
          </w:tcPr>
          <w:p w14:paraId="33BAC322" w14:textId="77777777" w:rsidR="00F00CFD" w:rsidRPr="00FE0180" w:rsidRDefault="00F00CFD" w:rsidP="00046E15">
            <w:r w:rsidRPr="00FE0180">
              <w:t>Complex needs</w:t>
            </w:r>
          </w:p>
        </w:tc>
        <w:tc>
          <w:tcPr>
            <w:tcW w:w="1011" w:type="pct"/>
            <w:tcBorders>
              <w:top w:val="single" w:sz="4" w:space="0" w:color="auto"/>
              <w:left w:val="single" w:sz="4" w:space="0" w:color="auto"/>
              <w:bottom w:val="single" w:sz="4" w:space="0" w:color="auto"/>
              <w:right w:val="single" w:sz="4" w:space="0" w:color="auto"/>
            </w:tcBorders>
            <w:hideMark/>
          </w:tcPr>
          <w:p w14:paraId="1EDCBB8E" w14:textId="77777777" w:rsidR="00F00CFD" w:rsidRPr="00FE0180" w:rsidRDefault="00F00CFD" w:rsidP="00046E15">
            <w:r w:rsidRPr="00FE0180">
              <w:t xml:space="preserve">Independent living </w:t>
            </w:r>
          </w:p>
        </w:tc>
        <w:tc>
          <w:tcPr>
            <w:tcW w:w="846" w:type="pct"/>
            <w:tcBorders>
              <w:top w:val="single" w:sz="4" w:space="0" w:color="auto"/>
              <w:left w:val="single" w:sz="4" w:space="0" w:color="auto"/>
              <w:bottom w:val="single" w:sz="4" w:space="0" w:color="auto"/>
              <w:right w:val="single" w:sz="4" w:space="0" w:color="auto"/>
            </w:tcBorders>
            <w:hideMark/>
          </w:tcPr>
          <w:p w14:paraId="15140603" w14:textId="77777777" w:rsidR="00F00CFD" w:rsidRPr="00FE0180" w:rsidRDefault="00F00CFD" w:rsidP="00046E15">
            <w:r w:rsidRPr="00FE0180">
              <w:t>Parent/family perspective</w:t>
            </w:r>
          </w:p>
        </w:tc>
      </w:tr>
      <w:tr w:rsidR="00F00CFD" w:rsidRPr="00FE0180" w14:paraId="350E9301"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34CD6CA8" w14:textId="77777777" w:rsidR="00F00CFD" w:rsidRPr="00FE0180" w:rsidRDefault="00F00CFD" w:rsidP="00046E15">
            <w:r>
              <w:t>13</w:t>
            </w:r>
          </w:p>
        </w:tc>
        <w:tc>
          <w:tcPr>
            <w:tcW w:w="573" w:type="pct"/>
            <w:tcBorders>
              <w:top w:val="single" w:sz="4" w:space="0" w:color="auto"/>
              <w:left w:val="single" w:sz="4" w:space="0" w:color="auto"/>
              <w:bottom w:val="single" w:sz="4" w:space="0" w:color="auto"/>
              <w:right w:val="single" w:sz="4" w:space="0" w:color="auto"/>
            </w:tcBorders>
            <w:hideMark/>
          </w:tcPr>
          <w:p w14:paraId="47CE298B" w14:textId="03432529" w:rsidR="00F00CFD" w:rsidRPr="00FE0180" w:rsidRDefault="00F00CFD" w:rsidP="00046E15">
            <w:r w:rsidRPr="00FE0180">
              <w:t>Broadley,</w:t>
            </w:r>
            <w:r>
              <w:t xml:space="preserve"> (2015)</w:t>
            </w:r>
          </w:p>
        </w:tc>
        <w:tc>
          <w:tcPr>
            <w:tcW w:w="707" w:type="pct"/>
            <w:tcBorders>
              <w:top w:val="single" w:sz="4" w:space="0" w:color="auto"/>
              <w:left w:val="single" w:sz="4" w:space="0" w:color="auto"/>
              <w:bottom w:val="single" w:sz="4" w:space="0" w:color="auto"/>
              <w:right w:val="single" w:sz="4" w:space="0" w:color="auto"/>
            </w:tcBorders>
            <w:hideMark/>
          </w:tcPr>
          <w:p w14:paraId="4B1CA265" w14:textId="77777777" w:rsidR="00F00CFD" w:rsidRPr="00FE0180" w:rsidRDefault="00F00CFD" w:rsidP="00046E15">
            <w:r>
              <w:t>To identify whether there is</w:t>
            </w:r>
            <w:r w:rsidRPr="00FE0180">
              <w:t xml:space="preserve"> a role for adult protection services in the lives of young</w:t>
            </w:r>
            <w:r w:rsidRPr="00FE0180">
              <w:br/>
              <w:t>people with disabilities transitioning from out-of-home care?</w:t>
            </w:r>
          </w:p>
        </w:tc>
        <w:tc>
          <w:tcPr>
            <w:tcW w:w="404" w:type="pct"/>
            <w:tcBorders>
              <w:top w:val="single" w:sz="4" w:space="0" w:color="auto"/>
              <w:left w:val="single" w:sz="4" w:space="0" w:color="auto"/>
              <w:bottom w:val="single" w:sz="4" w:space="0" w:color="auto"/>
              <w:right w:val="single" w:sz="4" w:space="0" w:color="auto"/>
            </w:tcBorders>
          </w:tcPr>
          <w:p w14:paraId="248EE1EC" w14:textId="77777777" w:rsidR="00F00CFD" w:rsidRDefault="00F00CFD" w:rsidP="00046E15">
            <w:r w:rsidRPr="00FE0180">
              <w:t>Aus</w:t>
            </w:r>
          </w:p>
        </w:tc>
        <w:tc>
          <w:tcPr>
            <w:tcW w:w="606" w:type="pct"/>
            <w:tcBorders>
              <w:top w:val="single" w:sz="4" w:space="0" w:color="auto"/>
              <w:left w:val="single" w:sz="4" w:space="0" w:color="auto"/>
              <w:bottom w:val="single" w:sz="4" w:space="0" w:color="auto"/>
              <w:right w:val="single" w:sz="4" w:space="0" w:color="auto"/>
            </w:tcBorders>
          </w:tcPr>
          <w:p w14:paraId="187DDD6C" w14:textId="77777777" w:rsidR="00F00CFD" w:rsidRDefault="00F00CFD" w:rsidP="00046E15">
            <w:r>
              <w:t xml:space="preserve">Focus groups </w:t>
            </w:r>
          </w:p>
          <w:p w14:paraId="2FA4450A" w14:textId="77777777" w:rsidR="00F00CFD" w:rsidRPr="00FE0180" w:rsidRDefault="00F00CFD" w:rsidP="00046E15">
            <w:r>
              <w:t>(n=21)</w:t>
            </w:r>
          </w:p>
        </w:tc>
        <w:tc>
          <w:tcPr>
            <w:tcW w:w="619" w:type="pct"/>
            <w:tcBorders>
              <w:top w:val="single" w:sz="4" w:space="0" w:color="auto"/>
              <w:left w:val="single" w:sz="4" w:space="0" w:color="auto"/>
              <w:bottom w:val="single" w:sz="4" w:space="0" w:color="auto"/>
              <w:right w:val="single" w:sz="4" w:space="0" w:color="auto"/>
            </w:tcBorders>
            <w:hideMark/>
          </w:tcPr>
          <w:p w14:paraId="4BF94B14" w14:textId="77777777" w:rsidR="00F00CFD" w:rsidRPr="00FE0180" w:rsidRDefault="00F00CFD" w:rsidP="00046E15">
            <w:r w:rsidRPr="00FE0180">
              <w:t xml:space="preserve">Not specified </w:t>
            </w:r>
          </w:p>
        </w:tc>
        <w:tc>
          <w:tcPr>
            <w:tcW w:w="1011" w:type="pct"/>
            <w:tcBorders>
              <w:top w:val="single" w:sz="4" w:space="0" w:color="auto"/>
              <w:left w:val="single" w:sz="4" w:space="0" w:color="auto"/>
              <w:bottom w:val="single" w:sz="4" w:space="0" w:color="auto"/>
              <w:right w:val="single" w:sz="4" w:space="0" w:color="auto"/>
            </w:tcBorders>
            <w:hideMark/>
          </w:tcPr>
          <w:p w14:paraId="35C20BD1" w14:textId="77777777" w:rsidR="00F00CFD" w:rsidRPr="00FE0180" w:rsidRDefault="00F00CFD" w:rsidP="00046E15">
            <w:r w:rsidRPr="00FE0180">
              <w:t xml:space="preserve">Independent living  </w:t>
            </w:r>
          </w:p>
        </w:tc>
        <w:tc>
          <w:tcPr>
            <w:tcW w:w="846" w:type="pct"/>
            <w:tcBorders>
              <w:top w:val="single" w:sz="4" w:space="0" w:color="auto"/>
              <w:left w:val="single" w:sz="4" w:space="0" w:color="auto"/>
              <w:bottom w:val="single" w:sz="4" w:space="0" w:color="auto"/>
              <w:right w:val="single" w:sz="4" w:space="0" w:color="auto"/>
            </w:tcBorders>
            <w:hideMark/>
          </w:tcPr>
          <w:p w14:paraId="704C2AB0" w14:textId="77777777" w:rsidR="00F00CFD" w:rsidRPr="00FE0180" w:rsidRDefault="00F00CFD" w:rsidP="00046E15">
            <w:r w:rsidRPr="00FE0180">
              <w:t xml:space="preserve">Staff support </w:t>
            </w:r>
          </w:p>
        </w:tc>
      </w:tr>
      <w:tr w:rsidR="00F00CFD" w:rsidRPr="00650916" w14:paraId="55965C13" w14:textId="77777777" w:rsidTr="006E2C88">
        <w:tc>
          <w:tcPr>
            <w:tcW w:w="234" w:type="pct"/>
          </w:tcPr>
          <w:p w14:paraId="0B2A6AF4" w14:textId="77777777" w:rsidR="00F00CFD" w:rsidRPr="00650916" w:rsidRDefault="00F00CFD" w:rsidP="00046E15">
            <w:r>
              <w:t>15</w:t>
            </w:r>
          </w:p>
        </w:tc>
        <w:tc>
          <w:tcPr>
            <w:tcW w:w="573" w:type="pct"/>
          </w:tcPr>
          <w:p w14:paraId="7555C118" w14:textId="77EBC877" w:rsidR="00F00CFD" w:rsidRPr="00650916" w:rsidRDefault="00F00CFD" w:rsidP="00046E15">
            <w:r w:rsidRPr="00650916">
              <w:t>Browning</w:t>
            </w:r>
            <w:r w:rsidR="00FF04E9">
              <w:t xml:space="preserve"> &amp; Jones</w:t>
            </w:r>
            <w:r w:rsidRPr="00650916">
              <w:t xml:space="preserve"> (2002)</w:t>
            </w:r>
          </w:p>
        </w:tc>
        <w:tc>
          <w:tcPr>
            <w:tcW w:w="707" w:type="pct"/>
          </w:tcPr>
          <w:p w14:paraId="75DDA73B" w14:textId="77777777" w:rsidR="00F00CFD" w:rsidRPr="00650916" w:rsidRDefault="00F00CFD" w:rsidP="00046E15">
            <w:r w:rsidRPr="00650916">
              <w:t>The aim of this study was to examine the reliability and validity of a simple rating instrument for the selection of compatible groups based on relationship patterns to aid in the resettlement of people with learning disabilities from hospital to group homes.</w:t>
            </w:r>
          </w:p>
        </w:tc>
        <w:tc>
          <w:tcPr>
            <w:tcW w:w="404" w:type="pct"/>
          </w:tcPr>
          <w:p w14:paraId="536589D4" w14:textId="77777777" w:rsidR="00F00CFD" w:rsidRPr="00650916" w:rsidRDefault="00F00CFD" w:rsidP="00046E15">
            <w:r w:rsidRPr="00650916">
              <w:t>UK</w:t>
            </w:r>
          </w:p>
        </w:tc>
        <w:tc>
          <w:tcPr>
            <w:tcW w:w="606" w:type="pct"/>
          </w:tcPr>
          <w:p w14:paraId="79656C8B" w14:textId="77777777" w:rsidR="00F00CFD" w:rsidRPr="00650916" w:rsidRDefault="00F00CFD" w:rsidP="00046E15">
            <w:r w:rsidRPr="00650916">
              <w:t>Other - Rating scale design and evaluation</w:t>
            </w:r>
          </w:p>
        </w:tc>
        <w:tc>
          <w:tcPr>
            <w:tcW w:w="619" w:type="pct"/>
          </w:tcPr>
          <w:p w14:paraId="43020B3B" w14:textId="77777777" w:rsidR="00F00CFD" w:rsidRPr="00650916" w:rsidRDefault="00F00CFD" w:rsidP="00046E15">
            <w:r w:rsidRPr="00650916">
              <w:t>Learning disability</w:t>
            </w:r>
          </w:p>
        </w:tc>
        <w:tc>
          <w:tcPr>
            <w:tcW w:w="1011" w:type="pct"/>
          </w:tcPr>
          <w:p w14:paraId="40759E4A" w14:textId="5113E4F3" w:rsidR="00F00CFD" w:rsidRPr="00650916" w:rsidRDefault="004137D1" w:rsidP="00046E15">
            <w:r>
              <w:t>Not applicable</w:t>
            </w:r>
          </w:p>
        </w:tc>
        <w:tc>
          <w:tcPr>
            <w:tcW w:w="846" w:type="pct"/>
          </w:tcPr>
          <w:p w14:paraId="7B465E23" w14:textId="004E25FC" w:rsidR="00F00CFD" w:rsidRPr="00650916" w:rsidRDefault="004137D1" w:rsidP="00046E15">
            <w:r>
              <w:t>Not applicable</w:t>
            </w:r>
          </w:p>
        </w:tc>
      </w:tr>
      <w:tr w:rsidR="00F00CFD" w:rsidRPr="00650916" w14:paraId="22B992E1" w14:textId="77777777" w:rsidTr="00AE0078">
        <w:tc>
          <w:tcPr>
            <w:tcW w:w="234" w:type="pct"/>
          </w:tcPr>
          <w:p w14:paraId="221CEFDE" w14:textId="1D6705AB" w:rsidR="00F00CFD" w:rsidRPr="00650916" w:rsidRDefault="00F00CFD" w:rsidP="006E2C88">
            <w:pPr>
              <w:keepNext/>
              <w:rPr>
                <w:rFonts w:ascii="Calibri" w:eastAsia="Times New Roman" w:hAnsi="Calibri" w:cs="Calibri"/>
                <w:color w:val="000000"/>
                <w:lang w:eastAsia="en-AU"/>
              </w:rPr>
            </w:pPr>
            <w:r>
              <w:rPr>
                <w:rFonts w:ascii="Calibri" w:eastAsia="Times New Roman" w:hAnsi="Calibri" w:cs="Calibri"/>
                <w:color w:val="000000"/>
                <w:lang w:eastAsia="en-AU"/>
              </w:rPr>
              <w:lastRenderedPageBreak/>
              <w:t>1</w:t>
            </w:r>
            <w:r w:rsidR="00FF04E9">
              <w:rPr>
                <w:rFonts w:ascii="Calibri" w:eastAsia="Times New Roman" w:hAnsi="Calibri" w:cs="Calibri"/>
                <w:color w:val="000000"/>
                <w:lang w:eastAsia="en-AU"/>
              </w:rPr>
              <w:t>6</w:t>
            </w:r>
          </w:p>
        </w:tc>
        <w:tc>
          <w:tcPr>
            <w:tcW w:w="573" w:type="pct"/>
            <w:hideMark/>
          </w:tcPr>
          <w:p w14:paraId="4B2AD816" w14:textId="71A47D4B"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Browning </w:t>
            </w:r>
            <w:r w:rsidR="00FF04E9">
              <w:rPr>
                <w:rFonts w:ascii="Calibri" w:eastAsia="Times New Roman" w:hAnsi="Calibri" w:cs="Calibri"/>
                <w:color w:val="000000"/>
                <w:lang w:eastAsia="en-AU"/>
              </w:rPr>
              <w:t>et al</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2016</w:t>
            </w:r>
            <w:r>
              <w:rPr>
                <w:rFonts w:ascii="Calibri" w:eastAsia="Times New Roman" w:hAnsi="Calibri" w:cs="Calibri"/>
                <w:color w:val="000000"/>
                <w:lang w:eastAsia="en-AU"/>
              </w:rPr>
              <w:t>)</w:t>
            </w:r>
          </w:p>
        </w:tc>
        <w:tc>
          <w:tcPr>
            <w:tcW w:w="707" w:type="pct"/>
            <w:hideMark/>
          </w:tcPr>
          <w:p w14:paraId="45B0A5EC"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The purpose is to explore the characteristics of adults with intellectual disabilities supported by a Community Forensic Learning Disability Team (CFT) and interventions delivered. </w:t>
            </w:r>
          </w:p>
        </w:tc>
        <w:tc>
          <w:tcPr>
            <w:tcW w:w="404" w:type="pct"/>
            <w:hideMark/>
          </w:tcPr>
          <w:p w14:paraId="24DA3816"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UK</w:t>
            </w:r>
          </w:p>
        </w:tc>
        <w:tc>
          <w:tcPr>
            <w:tcW w:w="606" w:type="pct"/>
            <w:hideMark/>
          </w:tcPr>
          <w:p w14:paraId="62A6664D"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Pre/Post programme evaluation with primary outcomes of (a) living arrangements (b) offending behaviour</w:t>
            </w:r>
          </w:p>
        </w:tc>
        <w:tc>
          <w:tcPr>
            <w:tcW w:w="619" w:type="pct"/>
            <w:hideMark/>
          </w:tcPr>
          <w:p w14:paraId="24AF8EA9"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Intellectual Disability </w:t>
            </w:r>
          </w:p>
        </w:tc>
        <w:tc>
          <w:tcPr>
            <w:tcW w:w="1011" w:type="pct"/>
            <w:shd w:val="clear" w:color="auto" w:fill="auto"/>
            <w:hideMark/>
          </w:tcPr>
          <w:p w14:paraId="079DFDC5" w14:textId="715324A3" w:rsidR="00B94E53" w:rsidRDefault="00CD0DF1" w:rsidP="00AE0078">
            <w:pPr>
              <w:ind w:firstLine="6"/>
              <w:rPr>
                <w:rFonts w:ascii="Calibri" w:eastAsia="Times New Roman" w:hAnsi="Calibri" w:cs="Calibri"/>
                <w:color w:val="000000"/>
                <w:shd w:val="clear" w:color="auto" w:fill="A8D08D" w:themeFill="accent6" w:themeFillTint="99"/>
                <w:lang w:eastAsia="en-AU"/>
              </w:rPr>
            </w:pPr>
            <w:r>
              <w:rPr>
                <w:rFonts w:ascii="Calibri" w:eastAsia="Times New Roman" w:hAnsi="Calibri" w:cs="Calibri"/>
                <w:color w:val="000000"/>
                <w:lang w:eastAsia="en-AU"/>
              </w:rPr>
              <w:t xml:space="preserve">Group homes </w:t>
            </w:r>
          </w:p>
          <w:p w14:paraId="7E00B871" w14:textId="2B3ABE29" w:rsidR="00B94E53" w:rsidRPr="00AE0078" w:rsidRDefault="00B94E53" w:rsidP="00AE0078">
            <w:pPr>
              <w:rPr>
                <w:rFonts w:ascii="Calibri" w:eastAsia="Times New Roman" w:hAnsi="Calibri" w:cs="Calibri"/>
                <w:lang w:eastAsia="en-AU"/>
              </w:rPr>
            </w:pPr>
          </w:p>
        </w:tc>
        <w:tc>
          <w:tcPr>
            <w:tcW w:w="846" w:type="pct"/>
            <w:hideMark/>
          </w:tcPr>
          <w:p w14:paraId="7CB0B917"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Community Forensic Learning Disability Team (CFT): Provided general interventions on: (1) psychology (2) speech and language (3) occupational therapy AND Forensic interventions on: (1) adapted sexual offender treatment programmes (2) fire-setter treatment programmes (3) anger management (4) thinking skills</w:t>
            </w:r>
          </w:p>
        </w:tc>
      </w:tr>
      <w:tr w:rsidR="00F00CFD" w:rsidRPr="00F66260" w14:paraId="030E5FF6" w14:textId="77777777" w:rsidTr="006E2C88">
        <w:tc>
          <w:tcPr>
            <w:tcW w:w="234" w:type="pct"/>
          </w:tcPr>
          <w:p w14:paraId="44448E64" w14:textId="14513D7A" w:rsidR="00F00CFD" w:rsidRPr="00F66260" w:rsidRDefault="00F00CFD" w:rsidP="00046E15">
            <w:r>
              <w:t>1</w:t>
            </w:r>
            <w:r w:rsidR="00FF04E9">
              <w:t>7</w:t>
            </w:r>
          </w:p>
        </w:tc>
        <w:tc>
          <w:tcPr>
            <w:tcW w:w="573" w:type="pct"/>
            <w:hideMark/>
          </w:tcPr>
          <w:p w14:paraId="15176534" w14:textId="52D894AD" w:rsidR="00F00CFD" w:rsidRPr="00F66260" w:rsidRDefault="00F00CFD" w:rsidP="00046E15">
            <w:r w:rsidRPr="00F66260">
              <w:t>Carnemolla</w:t>
            </w:r>
            <w:r w:rsidR="00FF04E9">
              <w:t>,</w:t>
            </w:r>
            <w:r>
              <w:t xml:space="preserve"> (2020)</w:t>
            </w:r>
          </w:p>
        </w:tc>
        <w:tc>
          <w:tcPr>
            <w:tcW w:w="707" w:type="pct"/>
          </w:tcPr>
          <w:p w14:paraId="3D922B52" w14:textId="0E831CA4" w:rsidR="00F00CFD" w:rsidRPr="00F66260" w:rsidRDefault="00F00CFD" w:rsidP="00046E15">
            <w:r w:rsidRPr="00F66260">
              <w:t>Individuali</w:t>
            </w:r>
            <w:r w:rsidR="00B94E53">
              <w:t>s</w:t>
            </w:r>
            <w:r w:rsidRPr="00F66260">
              <w:t>ed Apartment Accommodation for People With Intellectual Disability: Protocol for a Qualitative Study Examining the Well-Being and Support Outcomes Linking Housing and Health</w:t>
            </w:r>
          </w:p>
        </w:tc>
        <w:tc>
          <w:tcPr>
            <w:tcW w:w="404" w:type="pct"/>
            <w:noWrap/>
            <w:hideMark/>
          </w:tcPr>
          <w:p w14:paraId="2B94C1CE" w14:textId="77777777" w:rsidR="00F00CFD" w:rsidRPr="00F66260" w:rsidRDefault="00F00CFD" w:rsidP="00046E15">
            <w:r w:rsidRPr="00F66260">
              <w:t xml:space="preserve">Australia </w:t>
            </w:r>
          </w:p>
        </w:tc>
        <w:tc>
          <w:tcPr>
            <w:tcW w:w="606" w:type="pct"/>
            <w:noWrap/>
          </w:tcPr>
          <w:p w14:paraId="04DBCD96" w14:textId="77777777" w:rsidR="00F00CFD" w:rsidRPr="00F66260" w:rsidRDefault="00F00CFD" w:rsidP="00046E15">
            <w:r>
              <w:t xml:space="preserve">Protocol. </w:t>
            </w:r>
          </w:p>
        </w:tc>
        <w:tc>
          <w:tcPr>
            <w:tcW w:w="619" w:type="pct"/>
            <w:noWrap/>
            <w:hideMark/>
          </w:tcPr>
          <w:p w14:paraId="7F6AAD7C" w14:textId="77777777" w:rsidR="00F00CFD" w:rsidRPr="00F66260" w:rsidRDefault="00F00CFD" w:rsidP="00046E15">
            <w:r w:rsidRPr="00F66260">
              <w:t>Intellectual disability (n=55)</w:t>
            </w:r>
          </w:p>
        </w:tc>
        <w:tc>
          <w:tcPr>
            <w:tcW w:w="1011" w:type="pct"/>
            <w:hideMark/>
          </w:tcPr>
          <w:p w14:paraId="3A8E5E84" w14:textId="1304F58A" w:rsidR="00F00CFD" w:rsidRPr="00F66260" w:rsidRDefault="00F00CFD" w:rsidP="00046E15">
            <w:r w:rsidRPr="00F66260">
              <w:t>Indivdiuali</w:t>
            </w:r>
            <w:r w:rsidR="00B94E53">
              <w:t>s</w:t>
            </w:r>
            <w:r w:rsidRPr="00F66260">
              <w:t>ed apartment accommodation (having moved from group home)</w:t>
            </w:r>
          </w:p>
        </w:tc>
        <w:tc>
          <w:tcPr>
            <w:tcW w:w="846" w:type="pct"/>
            <w:noWrap/>
            <w:hideMark/>
          </w:tcPr>
          <w:p w14:paraId="02CCBA29" w14:textId="77777777" w:rsidR="00F00CFD" w:rsidRPr="00F66260" w:rsidRDefault="00F00CFD" w:rsidP="00046E15">
            <w:r w:rsidRPr="00F66260">
              <w:t>Independent</w:t>
            </w:r>
          </w:p>
        </w:tc>
      </w:tr>
      <w:tr w:rsidR="00F00CFD" w:rsidRPr="00F66260" w14:paraId="0B25A5FE" w14:textId="77777777" w:rsidTr="006E2C88">
        <w:tc>
          <w:tcPr>
            <w:tcW w:w="234" w:type="pct"/>
          </w:tcPr>
          <w:p w14:paraId="59840229" w14:textId="0BB02852" w:rsidR="00F00CFD" w:rsidRPr="00F66260" w:rsidRDefault="00F00CFD" w:rsidP="006E2C88">
            <w:pPr>
              <w:keepNext/>
            </w:pPr>
            <w:r>
              <w:lastRenderedPageBreak/>
              <w:t>1</w:t>
            </w:r>
            <w:r w:rsidR="00FF04E9">
              <w:t>8</w:t>
            </w:r>
          </w:p>
        </w:tc>
        <w:tc>
          <w:tcPr>
            <w:tcW w:w="573" w:type="pct"/>
            <w:hideMark/>
          </w:tcPr>
          <w:p w14:paraId="3853CCA9" w14:textId="77777777" w:rsidR="00F00CFD" w:rsidRPr="00F66260" w:rsidRDefault="00F00CFD" w:rsidP="006E2C88">
            <w:pPr>
              <w:keepNext/>
            </w:pPr>
            <w:r w:rsidRPr="00F66260">
              <w:t>Certo</w:t>
            </w:r>
            <w:r>
              <w:t xml:space="preserve"> et al (2008)</w:t>
            </w:r>
          </w:p>
        </w:tc>
        <w:tc>
          <w:tcPr>
            <w:tcW w:w="707" w:type="pct"/>
          </w:tcPr>
          <w:p w14:paraId="01DF4591" w14:textId="77777777" w:rsidR="00F00CFD" w:rsidRPr="00F66260" w:rsidRDefault="00F00CFD" w:rsidP="006E2C88">
            <w:pPr>
              <w:keepNext/>
            </w:pPr>
            <w:r w:rsidRPr="00F66260">
              <w:t>Seamless Transition and Long-Term Support for Individuals With Severe Intellectual Disabilities</w:t>
            </w:r>
          </w:p>
        </w:tc>
        <w:tc>
          <w:tcPr>
            <w:tcW w:w="404" w:type="pct"/>
            <w:noWrap/>
            <w:hideMark/>
          </w:tcPr>
          <w:p w14:paraId="6D7C7ACE" w14:textId="77777777" w:rsidR="00F00CFD" w:rsidRPr="00F66260" w:rsidRDefault="00F00CFD" w:rsidP="006E2C88">
            <w:pPr>
              <w:keepNext/>
            </w:pPr>
            <w:r w:rsidRPr="00F66260">
              <w:t>USA</w:t>
            </w:r>
          </w:p>
        </w:tc>
        <w:tc>
          <w:tcPr>
            <w:tcW w:w="606" w:type="pct"/>
            <w:noWrap/>
          </w:tcPr>
          <w:p w14:paraId="5B801457" w14:textId="77777777" w:rsidR="00F00CFD" w:rsidRPr="00F66260" w:rsidRDefault="00F00CFD" w:rsidP="006E2C88">
            <w:pPr>
              <w:keepNext/>
            </w:pPr>
            <w:r>
              <w:t xml:space="preserve">Discussion. Grey literature </w:t>
            </w:r>
          </w:p>
        </w:tc>
        <w:tc>
          <w:tcPr>
            <w:tcW w:w="619" w:type="pct"/>
            <w:noWrap/>
            <w:hideMark/>
          </w:tcPr>
          <w:p w14:paraId="5B9946EA" w14:textId="77777777" w:rsidR="00F00CFD" w:rsidRPr="00F66260" w:rsidRDefault="00F00CFD" w:rsidP="006E2C88">
            <w:pPr>
              <w:keepNext/>
            </w:pPr>
            <w:r w:rsidRPr="00F66260">
              <w:t xml:space="preserve">Severe intellectual disability </w:t>
            </w:r>
          </w:p>
        </w:tc>
        <w:tc>
          <w:tcPr>
            <w:tcW w:w="1011" w:type="pct"/>
            <w:hideMark/>
          </w:tcPr>
          <w:p w14:paraId="22425BC5" w14:textId="77777777" w:rsidR="00F00CFD" w:rsidRPr="00F66260" w:rsidRDefault="00F00CFD" w:rsidP="006E2C88">
            <w:pPr>
              <w:keepNext/>
            </w:pPr>
            <w:r w:rsidRPr="00F66260">
              <w:t>Independent living; access to education in particular post secondary options should then lead to outcomes of employment and independent living</w:t>
            </w:r>
          </w:p>
        </w:tc>
        <w:tc>
          <w:tcPr>
            <w:tcW w:w="846" w:type="pct"/>
            <w:noWrap/>
            <w:hideMark/>
          </w:tcPr>
          <w:p w14:paraId="66C76975" w14:textId="77777777" w:rsidR="00F00CFD" w:rsidRPr="00F66260" w:rsidRDefault="00F00CFD" w:rsidP="006E2C88">
            <w:pPr>
              <w:keepNext/>
            </w:pPr>
            <w:r w:rsidRPr="00F66260">
              <w:t>Independent</w:t>
            </w:r>
          </w:p>
        </w:tc>
      </w:tr>
      <w:tr w:rsidR="00F00CFD" w:rsidRPr="00650916" w14:paraId="1CBF5917" w14:textId="77777777" w:rsidTr="006E2C88">
        <w:tc>
          <w:tcPr>
            <w:tcW w:w="234" w:type="pct"/>
          </w:tcPr>
          <w:p w14:paraId="3E5DB7BF" w14:textId="000791B5" w:rsidR="00F00CFD" w:rsidRPr="00650916" w:rsidRDefault="00FF04E9" w:rsidP="00046E15">
            <w:pPr>
              <w:rPr>
                <w:rFonts w:ascii="Calibri" w:eastAsia="Times New Roman" w:hAnsi="Calibri" w:cs="Calibri"/>
                <w:color w:val="000000"/>
                <w:lang w:eastAsia="en-AU"/>
              </w:rPr>
            </w:pPr>
            <w:r>
              <w:rPr>
                <w:rFonts w:ascii="Calibri" w:eastAsia="Times New Roman" w:hAnsi="Calibri" w:cs="Calibri"/>
                <w:color w:val="000000"/>
                <w:lang w:eastAsia="en-AU"/>
              </w:rPr>
              <w:t>19</w:t>
            </w:r>
          </w:p>
        </w:tc>
        <w:tc>
          <w:tcPr>
            <w:tcW w:w="573" w:type="pct"/>
            <w:hideMark/>
          </w:tcPr>
          <w:p w14:paraId="2C5EF64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Chan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2021</w:t>
            </w:r>
            <w:r>
              <w:rPr>
                <w:rFonts w:ascii="Calibri" w:eastAsia="Times New Roman" w:hAnsi="Calibri" w:cs="Calibri"/>
                <w:color w:val="000000"/>
                <w:lang w:eastAsia="en-AU"/>
              </w:rPr>
              <w:t>)</w:t>
            </w:r>
          </w:p>
        </w:tc>
        <w:tc>
          <w:tcPr>
            <w:tcW w:w="707" w:type="pct"/>
            <w:hideMark/>
          </w:tcPr>
          <w:p w14:paraId="5219C34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The purpose of the study was to investigate longitudinal outcomes for users of a community rehabilitation team and identify service user characteristics associated with successful progress along the rehabilitation pathway</w:t>
            </w:r>
          </w:p>
        </w:tc>
        <w:tc>
          <w:tcPr>
            <w:tcW w:w="404" w:type="pct"/>
            <w:hideMark/>
          </w:tcPr>
          <w:p w14:paraId="41644B7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UK</w:t>
            </w:r>
          </w:p>
        </w:tc>
        <w:tc>
          <w:tcPr>
            <w:tcW w:w="606" w:type="pct"/>
            <w:hideMark/>
          </w:tcPr>
          <w:p w14:paraId="3FAFC635"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Cross sectional</w:t>
            </w:r>
          </w:p>
        </w:tc>
        <w:tc>
          <w:tcPr>
            <w:tcW w:w="619" w:type="pct"/>
            <w:hideMark/>
          </w:tcPr>
          <w:p w14:paraId="5553BF03"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Psychiatric diagnosis</w:t>
            </w:r>
          </w:p>
        </w:tc>
        <w:tc>
          <w:tcPr>
            <w:tcW w:w="1011" w:type="pct"/>
            <w:hideMark/>
          </w:tcPr>
          <w:p w14:paraId="08D3B52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Mixed de-congregated housing</w:t>
            </w:r>
          </w:p>
        </w:tc>
        <w:tc>
          <w:tcPr>
            <w:tcW w:w="846" w:type="pct"/>
            <w:hideMark/>
          </w:tcPr>
          <w:p w14:paraId="3CDA4615" w14:textId="77777777"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M</w:t>
            </w:r>
            <w:r w:rsidRPr="00650916">
              <w:rPr>
                <w:rFonts w:ascii="Calibri" w:eastAsia="Times New Roman" w:hAnsi="Calibri" w:cs="Calibri"/>
                <w:color w:val="000000"/>
                <w:lang w:eastAsia="en-AU"/>
              </w:rPr>
              <w:t>ental health rehabilitation support</w:t>
            </w:r>
          </w:p>
        </w:tc>
      </w:tr>
      <w:tr w:rsidR="00F00CFD" w:rsidRPr="00FE0180" w14:paraId="4E69EBB6"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73C98970" w14:textId="60F80539" w:rsidR="00F00CFD" w:rsidRPr="00FE0180" w:rsidRDefault="00F00CFD" w:rsidP="00046E15">
            <w:r>
              <w:t>2</w:t>
            </w:r>
            <w:r w:rsidR="00FF04E9">
              <w:t>0</w:t>
            </w:r>
          </w:p>
        </w:tc>
        <w:tc>
          <w:tcPr>
            <w:tcW w:w="573" w:type="pct"/>
            <w:tcBorders>
              <w:top w:val="single" w:sz="4" w:space="0" w:color="auto"/>
              <w:left w:val="single" w:sz="4" w:space="0" w:color="auto"/>
              <w:bottom w:val="single" w:sz="4" w:space="0" w:color="auto"/>
              <w:right w:val="single" w:sz="4" w:space="0" w:color="auto"/>
            </w:tcBorders>
            <w:hideMark/>
          </w:tcPr>
          <w:p w14:paraId="15AA95D6" w14:textId="2C840D1E" w:rsidR="00F00CFD" w:rsidRPr="00FE0180" w:rsidRDefault="00F00CFD" w:rsidP="00046E15">
            <w:r w:rsidRPr="00FE0180">
              <w:t>Chen</w:t>
            </w:r>
            <w:r w:rsidR="00FF04E9">
              <w:t>,</w:t>
            </w:r>
            <w:r w:rsidRPr="00FE0180">
              <w:t xml:space="preserve"> </w:t>
            </w:r>
            <w:r>
              <w:t>(2010)</w:t>
            </w:r>
          </w:p>
        </w:tc>
        <w:tc>
          <w:tcPr>
            <w:tcW w:w="707" w:type="pct"/>
            <w:tcBorders>
              <w:top w:val="single" w:sz="4" w:space="0" w:color="auto"/>
              <w:left w:val="single" w:sz="4" w:space="0" w:color="auto"/>
              <w:bottom w:val="single" w:sz="4" w:space="0" w:color="auto"/>
              <w:right w:val="single" w:sz="4" w:space="0" w:color="auto"/>
            </w:tcBorders>
            <w:hideMark/>
          </w:tcPr>
          <w:p w14:paraId="4C42E7DE" w14:textId="77777777" w:rsidR="00F00CFD" w:rsidRPr="00FE0180" w:rsidRDefault="00F00CFD" w:rsidP="00046E15">
            <w:r>
              <w:t>To</w:t>
            </w:r>
            <w:r w:rsidRPr="00FE0180">
              <w:t xml:space="preserve"> explore mental health professionals’ practices with adult clients and their parents at the departure of the clients’ transition from the parental home to independent living</w:t>
            </w:r>
          </w:p>
        </w:tc>
        <w:tc>
          <w:tcPr>
            <w:tcW w:w="404" w:type="pct"/>
            <w:tcBorders>
              <w:top w:val="single" w:sz="4" w:space="0" w:color="auto"/>
              <w:left w:val="single" w:sz="4" w:space="0" w:color="auto"/>
              <w:bottom w:val="single" w:sz="4" w:space="0" w:color="auto"/>
              <w:right w:val="single" w:sz="4" w:space="0" w:color="auto"/>
            </w:tcBorders>
          </w:tcPr>
          <w:p w14:paraId="3DC6012C" w14:textId="77777777" w:rsidR="00F00CFD" w:rsidRDefault="00F00CFD" w:rsidP="00046E15">
            <w:r w:rsidRPr="00FE0180">
              <w:t>USA</w:t>
            </w:r>
          </w:p>
        </w:tc>
        <w:tc>
          <w:tcPr>
            <w:tcW w:w="606" w:type="pct"/>
            <w:tcBorders>
              <w:top w:val="single" w:sz="4" w:space="0" w:color="auto"/>
              <w:left w:val="single" w:sz="4" w:space="0" w:color="auto"/>
              <w:bottom w:val="single" w:sz="4" w:space="0" w:color="auto"/>
              <w:right w:val="single" w:sz="4" w:space="0" w:color="auto"/>
            </w:tcBorders>
          </w:tcPr>
          <w:p w14:paraId="7027C06F" w14:textId="77777777" w:rsidR="00F00CFD" w:rsidRDefault="00F00CFD" w:rsidP="00046E15">
            <w:r>
              <w:t>Semi-structured interviews</w:t>
            </w:r>
          </w:p>
          <w:p w14:paraId="400E5F28" w14:textId="77777777" w:rsidR="00F00CFD" w:rsidRPr="00FE0180" w:rsidRDefault="00F00CFD" w:rsidP="00046E15">
            <w:r>
              <w:t>(n=24)</w:t>
            </w:r>
          </w:p>
        </w:tc>
        <w:tc>
          <w:tcPr>
            <w:tcW w:w="619" w:type="pct"/>
            <w:tcBorders>
              <w:top w:val="single" w:sz="4" w:space="0" w:color="auto"/>
              <w:left w:val="single" w:sz="4" w:space="0" w:color="auto"/>
              <w:bottom w:val="single" w:sz="4" w:space="0" w:color="auto"/>
              <w:right w:val="single" w:sz="4" w:space="0" w:color="auto"/>
            </w:tcBorders>
            <w:hideMark/>
          </w:tcPr>
          <w:p w14:paraId="02654CB0" w14:textId="77777777" w:rsidR="00F00CFD" w:rsidRPr="00FE0180" w:rsidRDefault="00F00CFD" w:rsidP="00046E15">
            <w:r w:rsidRPr="00FE0180">
              <w:t xml:space="preserve">Psychiatric disability </w:t>
            </w:r>
          </w:p>
        </w:tc>
        <w:tc>
          <w:tcPr>
            <w:tcW w:w="1011" w:type="pct"/>
            <w:tcBorders>
              <w:top w:val="single" w:sz="4" w:space="0" w:color="auto"/>
              <w:left w:val="single" w:sz="4" w:space="0" w:color="auto"/>
              <w:bottom w:val="single" w:sz="4" w:space="0" w:color="auto"/>
              <w:right w:val="single" w:sz="4" w:space="0" w:color="auto"/>
            </w:tcBorders>
            <w:hideMark/>
          </w:tcPr>
          <w:p w14:paraId="033BB689" w14:textId="77777777" w:rsidR="00F00CFD" w:rsidRPr="00FE0180" w:rsidRDefault="00F00CFD" w:rsidP="00046E15">
            <w:r w:rsidRPr="00FE0180">
              <w:t xml:space="preserve">Independent living </w:t>
            </w:r>
          </w:p>
        </w:tc>
        <w:tc>
          <w:tcPr>
            <w:tcW w:w="846" w:type="pct"/>
            <w:tcBorders>
              <w:top w:val="single" w:sz="4" w:space="0" w:color="auto"/>
              <w:left w:val="single" w:sz="4" w:space="0" w:color="auto"/>
              <w:bottom w:val="single" w:sz="4" w:space="0" w:color="auto"/>
              <w:right w:val="single" w:sz="4" w:space="0" w:color="auto"/>
            </w:tcBorders>
            <w:hideMark/>
          </w:tcPr>
          <w:p w14:paraId="24D65AE6" w14:textId="77777777" w:rsidR="00F00CFD" w:rsidRPr="00FE0180" w:rsidRDefault="00F00CFD" w:rsidP="00046E15">
            <w:r w:rsidRPr="00FE0180">
              <w:t xml:space="preserve">Transition from living at home </w:t>
            </w:r>
          </w:p>
        </w:tc>
      </w:tr>
      <w:tr w:rsidR="00F00CFD" w:rsidRPr="00FE0180" w14:paraId="7D0D949F"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50848639" w14:textId="25ED46EE" w:rsidR="00F00CFD" w:rsidRPr="00FE0180" w:rsidRDefault="00F00CFD" w:rsidP="00046E15">
            <w:r>
              <w:lastRenderedPageBreak/>
              <w:t>2</w:t>
            </w:r>
            <w:r w:rsidR="00FF04E9">
              <w:t>1</w:t>
            </w:r>
          </w:p>
        </w:tc>
        <w:tc>
          <w:tcPr>
            <w:tcW w:w="573" w:type="pct"/>
            <w:tcBorders>
              <w:top w:val="single" w:sz="4" w:space="0" w:color="auto"/>
              <w:left w:val="single" w:sz="4" w:space="0" w:color="auto"/>
              <w:bottom w:val="single" w:sz="4" w:space="0" w:color="auto"/>
              <w:right w:val="single" w:sz="4" w:space="0" w:color="auto"/>
            </w:tcBorders>
            <w:hideMark/>
          </w:tcPr>
          <w:p w14:paraId="071E2223" w14:textId="1AC6EF88" w:rsidR="00F00CFD" w:rsidRPr="00FE0180" w:rsidRDefault="00F00CFD" w:rsidP="00046E15">
            <w:r w:rsidRPr="00FE0180">
              <w:t xml:space="preserve">Chester, </w:t>
            </w:r>
            <w:r>
              <w:t>et al (2017)</w:t>
            </w:r>
          </w:p>
        </w:tc>
        <w:tc>
          <w:tcPr>
            <w:tcW w:w="707" w:type="pct"/>
            <w:tcBorders>
              <w:top w:val="single" w:sz="4" w:space="0" w:color="auto"/>
              <w:left w:val="single" w:sz="4" w:space="0" w:color="auto"/>
              <w:bottom w:val="single" w:sz="4" w:space="0" w:color="auto"/>
              <w:right w:val="single" w:sz="4" w:space="0" w:color="auto"/>
            </w:tcBorders>
            <w:hideMark/>
          </w:tcPr>
          <w:p w14:paraId="2A103BA2" w14:textId="77777777" w:rsidR="00F00CFD" w:rsidRPr="00FE0180" w:rsidRDefault="00F00CFD" w:rsidP="00046E15">
            <w:r>
              <w:t>T</w:t>
            </w:r>
            <w:r w:rsidRPr="00FE0180">
              <w:t>o explore the risk factors considered by clinicians involved in discharging people from secure services</w:t>
            </w:r>
          </w:p>
        </w:tc>
        <w:tc>
          <w:tcPr>
            <w:tcW w:w="404" w:type="pct"/>
            <w:tcBorders>
              <w:top w:val="single" w:sz="4" w:space="0" w:color="auto"/>
              <w:left w:val="single" w:sz="4" w:space="0" w:color="auto"/>
              <w:bottom w:val="single" w:sz="4" w:space="0" w:color="auto"/>
              <w:right w:val="single" w:sz="4" w:space="0" w:color="auto"/>
            </w:tcBorders>
          </w:tcPr>
          <w:p w14:paraId="4BCC820E" w14:textId="77777777" w:rsidR="00F00CFD" w:rsidRDefault="00F00CFD" w:rsidP="00046E15">
            <w:r w:rsidRPr="00FE0180">
              <w:t>UK</w:t>
            </w:r>
          </w:p>
        </w:tc>
        <w:tc>
          <w:tcPr>
            <w:tcW w:w="606" w:type="pct"/>
            <w:tcBorders>
              <w:top w:val="single" w:sz="4" w:space="0" w:color="auto"/>
              <w:left w:val="single" w:sz="4" w:space="0" w:color="auto"/>
              <w:bottom w:val="single" w:sz="4" w:space="0" w:color="auto"/>
              <w:right w:val="single" w:sz="4" w:space="0" w:color="auto"/>
            </w:tcBorders>
          </w:tcPr>
          <w:p w14:paraId="7FA62282" w14:textId="77777777" w:rsidR="00F00CFD" w:rsidRDefault="00F00CFD" w:rsidP="00046E15">
            <w:r>
              <w:t>Semi-structured interviews</w:t>
            </w:r>
          </w:p>
          <w:p w14:paraId="2386C3BF" w14:textId="77777777" w:rsidR="00F00CFD" w:rsidRPr="00FE0180" w:rsidRDefault="00F00CFD" w:rsidP="00046E15">
            <w:r>
              <w:t>(n=5)</w:t>
            </w:r>
          </w:p>
        </w:tc>
        <w:tc>
          <w:tcPr>
            <w:tcW w:w="619" w:type="pct"/>
            <w:tcBorders>
              <w:top w:val="single" w:sz="4" w:space="0" w:color="auto"/>
              <w:left w:val="single" w:sz="4" w:space="0" w:color="auto"/>
              <w:bottom w:val="single" w:sz="4" w:space="0" w:color="auto"/>
              <w:right w:val="single" w:sz="4" w:space="0" w:color="auto"/>
            </w:tcBorders>
            <w:hideMark/>
          </w:tcPr>
          <w:p w14:paraId="04104D3C" w14:textId="77777777" w:rsidR="00F00CFD" w:rsidRPr="00FE0180" w:rsidRDefault="00F00CFD" w:rsidP="00046E15">
            <w:r w:rsidRPr="00FE0180">
              <w:t xml:space="preserve">Intellectual disability </w:t>
            </w:r>
          </w:p>
        </w:tc>
        <w:tc>
          <w:tcPr>
            <w:tcW w:w="1011" w:type="pct"/>
            <w:tcBorders>
              <w:top w:val="single" w:sz="4" w:space="0" w:color="auto"/>
              <w:left w:val="single" w:sz="4" w:space="0" w:color="auto"/>
              <w:bottom w:val="single" w:sz="4" w:space="0" w:color="auto"/>
              <w:right w:val="single" w:sz="4" w:space="0" w:color="auto"/>
            </w:tcBorders>
            <w:hideMark/>
          </w:tcPr>
          <w:p w14:paraId="006F97EB" w14:textId="77777777" w:rsidR="00F00CFD" w:rsidRPr="00FE0180" w:rsidRDefault="00F00CFD" w:rsidP="00046E15">
            <w:r w:rsidRPr="00FE0180">
              <w:t xml:space="preserve">Forensic to community </w:t>
            </w:r>
          </w:p>
        </w:tc>
        <w:tc>
          <w:tcPr>
            <w:tcW w:w="846" w:type="pct"/>
            <w:tcBorders>
              <w:top w:val="single" w:sz="4" w:space="0" w:color="auto"/>
              <w:left w:val="single" w:sz="4" w:space="0" w:color="auto"/>
              <w:bottom w:val="single" w:sz="4" w:space="0" w:color="auto"/>
              <w:right w:val="single" w:sz="4" w:space="0" w:color="auto"/>
            </w:tcBorders>
            <w:hideMark/>
          </w:tcPr>
          <w:p w14:paraId="5423D0C9" w14:textId="77777777" w:rsidR="00F00CFD" w:rsidRPr="00FE0180" w:rsidRDefault="00F00CFD" w:rsidP="00046E15">
            <w:r w:rsidRPr="00FE0180">
              <w:t xml:space="preserve">Forensic transition </w:t>
            </w:r>
          </w:p>
        </w:tc>
      </w:tr>
      <w:tr w:rsidR="00F00CFD" w:rsidRPr="00650916" w14:paraId="56C285CE" w14:textId="77777777" w:rsidTr="006E2C88">
        <w:tc>
          <w:tcPr>
            <w:tcW w:w="234" w:type="pct"/>
          </w:tcPr>
          <w:p w14:paraId="0D0B88C2" w14:textId="5CDFEA6E"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2</w:t>
            </w:r>
            <w:r w:rsidR="00FF04E9">
              <w:rPr>
                <w:rFonts w:ascii="Calibri" w:eastAsia="Times New Roman" w:hAnsi="Calibri" w:cs="Calibri"/>
                <w:color w:val="000000"/>
                <w:lang w:eastAsia="en-AU"/>
              </w:rPr>
              <w:t>2</w:t>
            </w:r>
          </w:p>
        </w:tc>
        <w:tc>
          <w:tcPr>
            <w:tcW w:w="573" w:type="pct"/>
            <w:hideMark/>
          </w:tcPr>
          <w:p w14:paraId="0E8A2AA9"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Chou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2008</w:t>
            </w:r>
            <w:r>
              <w:rPr>
                <w:rFonts w:ascii="Calibri" w:eastAsia="Times New Roman" w:hAnsi="Calibri" w:cs="Calibri"/>
                <w:color w:val="000000"/>
                <w:lang w:eastAsia="en-AU"/>
              </w:rPr>
              <w:t>)</w:t>
            </w:r>
          </w:p>
        </w:tc>
        <w:tc>
          <w:tcPr>
            <w:tcW w:w="707" w:type="pct"/>
            <w:shd w:val="clear" w:color="auto" w:fill="auto"/>
            <w:hideMark/>
          </w:tcPr>
          <w:p w14:paraId="65934100" w14:textId="0057B3E0" w:rsidR="00F00CFD" w:rsidRPr="00650916" w:rsidRDefault="00E84BF8" w:rsidP="00046E15">
            <w:pPr>
              <w:rPr>
                <w:rFonts w:ascii="Calibri" w:eastAsia="Times New Roman" w:hAnsi="Calibri" w:cs="Calibri"/>
                <w:color w:val="000000"/>
                <w:lang w:eastAsia="en-AU"/>
              </w:rPr>
            </w:pPr>
            <w:r>
              <w:rPr>
                <w:rFonts w:ascii="Calibri" w:eastAsia="Times New Roman" w:hAnsi="Calibri" w:cs="Calibri"/>
                <w:color w:val="000000"/>
                <w:lang w:eastAsia="en-AU"/>
              </w:rPr>
              <w:t xml:space="preserve">Evaluation of costs and outcomes associated with </w:t>
            </w:r>
            <w:r w:rsidR="00757028">
              <w:rPr>
                <w:rFonts w:ascii="Calibri" w:eastAsia="Times New Roman" w:hAnsi="Calibri" w:cs="Calibri"/>
                <w:color w:val="000000"/>
                <w:lang w:eastAsia="en-AU"/>
              </w:rPr>
              <w:t xml:space="preserve">three different types of </w:t>
            </w:r>
            <w:r>
              <w:rPr>
                <w:rFonts w:ascii="Calibri" w:eastAsia="Times New Roman" w:hAnsi="Calibri" w:cs="Calibri"/>
                <w:color w:val="000000"/>
                <w:lang w:eastAsia="en-AU"/>
              </w:rPr>
              <w:t>residential services</w:t>
            </w:r>
            <w:r w:rsidR="00757028">
              <w:rPr>
                <w:rFonts w:ascii="Calibri" w:eastAsia="Times New Roman" w:hAnsi="Calibri" w:cs="Calibri"/>
                <w:color w:val="000000"/>
                <w:lang w:eastAsia="en-AU"/>
              </w:rPr>
              <w:t xml:space="preserve"> (refer Housing model type)</w:t>
            </w:r>
            <w:r>
              <w:rPr>
                <w:rFonts w:ascii="Calibri" w:eastAsia="Times New Roman" w:hAnsi="Calibri" w:cs="Calibri"/>
                <w:color w:val="000000"/>
                <w:lang w:eastAsia="en-AU"/>
              </w:rPr>
              <w:t>.</w:t>
            </w:r>
          </w:p>
        </w:tc>
        <w:tc>
          <w:tcPr>
            <w:tcW w:w="404" w:type="pct"/>
            <w:shd w:val="clear" w:color="auto" w:fill="auto"/>
            <w:hideMark/>
          </w:tcPr>
          <w:p w14:paraId="5D319243"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Taiwan</w:t>
            </w:r>
          </w:p>
        </w:tc>
        <w:tc>
          <w:tcPr>
            <w:tcW w:w="606" w:type="pct"/>
            <w:shd w:val="clear" w:color="auto" w:fill="auto"/>
            <w:hideMark/>
          </w:tcPr>
          <w:p w14:paraId="51C4F87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Cross-sectional study</w:t>
            </w:r>
          </w:p>
        </w:tc>
        <w:tc>
          <w:tcPr>
            <w:tcW w:w="619" w:type="pct"/>
            <w:shd w:val="clear" w:color="auto" w:fill="auto"/>
            <w:hideMark/>
          </w:tcPr>
          <w:p w14:paraId="0C7BFAA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shd w:val="clear" w:color="auto" w:fill="auto"/>
            <w:hideMark/>
          </w:tcPr>
          <w:p w14:paraId="0B4C3004"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1) Institution, &gt; 50 beds 2) community home, &lt;50 beds 3) community/residential</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living &lt; or equal to 6 beds</w:t>
            </w:r>
          </w:p>
        </w:tc>
        <w:tc>
          <w:tcPr>
            <w:tcW w:w="846" w:type="pct"/>
            <w:shd w:val="clear" w:color="auto" w:fill="auto"/>
            <w:hideMark/>
          </w:tcPr>
          <w:p w14:paraId="04DABE48" w14:textId="5E53BDFF" w:rsidR="00F00CFD" w:rsidRPr="00650916" w:rsidRDefault="00757028" w:rsidP="00046E15">
            <w:pPr>
              <w:rPr>
                <w:rFonts w:ascii="Calibri" w:eastAsia="Times New Roman" w:hAnsi="Calibri" w:cs="Calibri"/>
                <w:color w:val="000000"/>
                <w:lang w:eastAsia="en-AU"/>
              </w:rPr>
            </w:pPr>
            <w:r>
              <w:rPr>
                <w:rFonts w:ascii="Calibri" w:eastAsia="Times New Roman" w:hAnsi="Calibri" w:cs="Calibri"/>
                <w:color w:val="000000"/>
                <w:lang w:eastAsia="en-AU"/>
              </w:rPr>
              <w:t>Cross sectional study, with no direct intervention.</w:t>
            </w:r>
          </w:p>
        </w:tc>
      </w:tr>
      <w:tr w:rsidR="00F00CFD" w:rsidRPr="00650916" w14:paraId="5519DF5A" w14:textId="77777777" w:rsidTr="006E2C88">
        <w:tc>
          <w:tcPr>
            <w:tcW w:w="234" w:type="pct"/>
          </w:tcPr>
          <w:p w14:paraId="7F940BC5" w14:textId="15315661"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2</w:t>
            </w:r>
            <w:r w:rsidR="00FF04E9">
              <w:rPr>
                <w:rFonts w:ascii="Calibri" w:eastAsia="Times New Roman" w:hAnsi="Calibri" w:cs="Calibri"/>
                <w:color w:val="000000"/>
                <w:lang w:eastAsia="en-AU"/>
              </w:rPr>
              <w:t>3</w:t>
            </w:r>
          </w:p>
        </w:tc>
        <w:tc>
          <w:tcPr>
            <w:tcW w:w="573" w:type="pct"/>
            <w:hideMark/>
          </w:tcPr>
          <w:p w14:paraId="6D947FE5"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Chou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2011</w:t>
            </w:r>
            <w:r>
              <w:rPr>
                <w:rFonts w:ascii="Calibri" w:eastAsia="Times New Roman" w:hAnsi="Calibri" w:cs="Calibri"/>
                <w:color w:val="000000"/>
                <w:lang w:eastAsia="en-AU"/>
              </w:rPr>
              <w:t>)</w:t>
            </w:r>
          </w:p>
        </w:tc>
        <w:tc>
          <w:tcPr>
            <w:tcW w:w="707" w:type="pct"/>
            <w:shd w:val="clear" w:color="auto" w:fill="auto"/>
            <w:hideMark/>
          </w:tcPr>
          <w:p w14:paraId="74FB73C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An evaluation of service outcomes of a de-congregated residential scheme for people with ID.</w:t>
            </w:r>
          </w:p>
        </w:tc>
        <w:tc>
          <w:tcPr>
            <w:tcW w:w="404" w:type="pct"/>
            <w:shd w:val="clear" w:color="auto" w:fill="auto"/>
            <w:hideMark/>
          </w:tcPr>
          <w:p w14:paraId="6D96197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Taiwan</w:t>
            </w:r>
          </w:p>
        </w:tc>
        <w:tc>
          <w:tcPr>
            <w:tcW w:w="606" w:type="pct"/>
            <w:shd w:val="clear" w:color="auto" w:fill="auto"/>
            <w:hideMark/>
          </w:tcPr>
          <w:p w14:paraId="325C11F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Pre/post design of quality of life measures and face to face interviews</w:t>
            </w:r>
          </w:p>
        </w:tc>
        <w:tc>
          <w:tcPr>
            <w:tcW w:w="619" w:type="pct"/>
            <w:shd w:val="clear" w:color="auto" w:fill="auto"/>
            <w:hideMark/>
          </w:tcPr>
          <w:p w14:paraId="112B31C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shd w:val="clear" w:color="auto" w:fill="auto"/>
            <w:hideMark/>
          </w:tcPr>
          <w:p w14:paraId="4121D72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Community/residential</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living &lt; or equal to 6 beds</w:t>
            </w:r>
          </w:p>
        </w:tc>
        <w:tc>
          <w:tcPr>
            <w:tcW w:w="846" w:type="pct"/>
            <w:shd w:val="clear" w:color="auto" w:fill="auto"/>
            <w:hideMark/>
          </w:tcPr>
          <w:p w14:paraId="4A485CB8" w14:textId="4369A045" w:rsidR="00F00CFD" w:rsidRPr="00650916" w:rsidRDefault="00757028" w:rsidP="00046E15">
            <w:pPr>
              <w:rPr>
                <w:rFonts w:ascii="Calibri" w:eastAsia="Times New Roman" w:hAnsi="Calibri" w:cs="Calibri"/>
                <w:color w:val="000000"/>
                <w:lang w:eastAsia="en-AU"/>
              </w:rPr>
            </w:pPr>
            <w:r>
              <w:rPr>
                <w:rFonts w:ascii="Calibri" w:eastAsia="Times New Roman" w:hAnsi="Calibri" w:cs="Calibri"/>
                <w:color w:val="000000"/>
                <w:lang w:eastAsia="en-AU"/>
              </w:rPr>
              <w:t>Transition from either institution or family home to community living.</w:t>
            </w:r>
          </w:p>
        </w:tc>
      </w:tr>
      <w:tr w:rsidR="00F00CFD" w:rsidRPr="00F66260" w14:paraId="590698BB" w14:textId="77777777" w:rsidTr="006E2C88">
        <w:tc>
          <w:tcPr>
            <w:tcW w:w="234" w:type="pct"/>
          </w:tcPr>
          <w:p w14:paraId="5C9A57BC" w14:textId="20CB879B" w:rsidR="00F00CFD" w:rsidRPr="000335CA" w:rsidRDefault="00F00CFD" w:rsidP="00046E15">
            <w:r>
              <w:t>2</w:t>
            </w:r>
            <w:r w:rsidR="00FF04E9">
              <w:t>4</w:t>
            </w:r>
          </w:p>
        </w:tc>
        <w:tc>
          <w:tcPr>
            <w:tcW w:w="573" w:type="pct"/>
            <w:noWrap/>
          </w:tcPr>
          <w:p w14:paraId="2824B18C" w14:textId="77777777" w:rsidR="00F00CFD" w:rsidRPr="00F66260" w:rsidRDefault="00F00CFD" w:rsidP="00046E15">
            <w:r w:rsidRPr="000335CA">
              <w:t>Cocks et al (201</w:t>
            </w:r>
            <w:r>
              <w:t>6</w:t>
            </w:r>
            <w:r w:rsidRPr="000335CA">
              <w:t>)</w:t>
            </w:r>
          </w:p>
        </w:tc>
        <w:tc>
          <w:tcPr>
            <w:tcW w:w="707" w:type="pct"/>
            <w:noWrap/>
          </w:tcPr>
          <w:p w14:paraId="22BC1111" w14:textId="77777777" w:rsidR="00F00CFD" w:rsidRPr="00F66260" w:rsidRDefault="00F00CFD" w:rsidP="00046E15">
            <w:r w:rsidRPr="006908CD">
              <w:t>Quality and Outcomes of Individual Supported Living (ISL) Arrangements for Adults with Intellectual and Developmental Disabilities</w:t>
            </w:r>
          </w:p>
        </w:tc>
        <w:tc>
          <w:tcPr>
            <w:tcW w:w="404" w:type="pct"/>
            <w:noWrap/>
            <w:hideMark/>
          </w:tcPr>
          <w:p w14:paraId="23E77E69" w14:textId="77777777" w:rsidR="00F00CFD" w:rsidRPr="00F66260" w:rsidRDefault="00F00CFD" w:rsidP="00046E15">
            <w:r w:rsidRPr="00F66260">
              <w:t>Aus</w:t>
            </w:r>
            <w:r>
              <w:t>tralia</w:t>
            </w:r>
          </w:p>
        </w:tc>
        <w:tc>
          <w:tcPr>
            <w:tcW w:w="606" w:type="pct"/>
            <w:noWrap/>
          </w:tcPr>
          <w:p w14:paraId="02E955B2" w14:textId="77777777" w:rsidR="00F00CFD" w:rsidRPr="00F66260" w:rsidRDefault="00F00CFD" w:rsidP="00046E15">
            <w:r>
              <w:t xml:space="preserve">Mixed methods. Grey literature report. </w:t>
            </w:r>
          </w:p>
        </w:tc>
        <w:tc>
          <w:tcPr>
            <w:tcW w:w="619" w:type="pct"/>
            <w:noWrap/>
            <w:hideMark/>
          </w:tcPr>
          <w:p w14:paraId="4C892F15" w14:textId="77777777" w:rsidR="00F00CFD" w:rsidRPr="00F66260" w:rsidRDefault="00F00CFD" w:rsidP="00046E15">
            <w:r w:rsidRPr="00F66260">
              <w:t>People with intellectual and developmental disability (n=130)</w:t>
            </w:r>
          </w:p>
        </w:tc>
        <w:tc>
          <w:tcPr>
            <w:tcW w:w="1011" w:type="pct"/>
            <w:hideMark/>
          </w:tcPr>
          <w:p w14:paraId="45E012EB" w14:textId="77777777" w:rsidR="00F00CFD" w:rsidRPr="00F66260" w:rsidRDefault="00F00CFD" w:rsidP="00046E15">
            <w:r w:rsidRPr="00F66260">
              <w:t xml:space="preserve">Individual supported living; individual is supported to live in their own home; for example, living alone, living with partner or friend, living with a host family, living with someone without a disability who provides support (does not include people living at home with parents or in group settings). Range of </w:t>
            </w:r>
            <w:r w:rsidRPr="00F66260">
              <w:lastRenderedPageBreak/>
              <w:t xml:space="preserve">supports accessed to live in </w:t>
            </w:r>
            <w:r>
              <w:t>ISL</w:t>
            </w:r>
            <w:r w:rsidRPr="00F66260">
              <w:t xml:space="preserve"> - from little to a lot (average paid support 37 hours a week; average unpaid support 12 hours a week).</w:t>
            </w:r>
          </w:p>
        </w:tc>
        <w:tc>
          <w:tcPr>
            <w:tcW w:w="846" w:type="pct"/>
            <w:noWrap/>
            <w:hideMark/>
          </w:tcPr>
          <w:p w14:paraId="4042AD7E" w14:textId="77777777" w:rsidR="00F00CFD" w:rsidRPr="00F66260" w:rsidRDefault="00F00CFD" w:rsidP="00046E15">
            <w:r w:rsidRPr="00F66260">
              <w:lastRenderedPageBreak/>
              <w:t>Independent</w:t>
            </w:r>
          </w:p>
        </w:tc>
      </w:tr>
      <w:tr w:rsidR="00F00CFD" w:rsidRPr="00FE0180" w14:paraId="13965BB0" w14:textId="77777777" w:rsidTr="00AE0078">
        <w:tc>
          <w:tcPr>
            <w:tcW w:w="234" w:type="pct"/>
            <w:tcBorders>
              <w:top w:val="single" w:sz="4" w:space="0" w:color="auto"/>
              <w:left w:val="single" w:sz="4" w:space="0" w:color="auto"/>
              <w:bottom w:val="single" w:sz="4" w:space="0" w:color="auto"/>
              <w:right w:val="single" w:sz="4" w:space="0" w:color="auto"/>
            </w:tcBorders>
          </w:tcPr>
          <w:p w14:paraId="6D1E3597" w14:textId="3B1DF9E9" w:rsidR="00F00CFD" w:rsidRPr="00FE0180" w:rsidRDefault="00F00CFD" w:rsidP="00046E15">
            <w:r>
              <w:t>2</w:t>
            </w:r>
            <w:r w:rsidR="00FF04E9">
              <w:t>5</w:t>
            </w:r>
          </w:p>
        </w:tc>
        <w:tc>
          <w:tcPr>
            <w:tcW w:w="573" w:type="pct"/>
            <w:tcBorders>
              <w:top w:val="single" w:sz="4" w:space="0" w:color="auto"/>
              <w:left w:val="single" w:sz="4" w:space="0" w:color="auto"/>
              <w:bottom w:val="single" w:sz="4" w:space="0" w:color="auto"/>
              <w:right w:val="single" w:sz="4" w:space="0" w:color="auto"/>
            </w:tcBorders>
            <w:hideMark/>
          </w:tcPr>
          <w:p w14:paraId="3AFAE521" w14:textId="62207C0C" w:rsidR="00F00CFD" w:rsidRPr="00FE0180" w:rsidRDefault="00F00CFD" w:rsidP="00046E15">
            <w:r w:rsidRPr="00FE0180">
              <w:t xml:space="preserve">Cocks, </w:t>
            </w:r>
            <w:r w:rsidR="00FF04E9">
              <w:t>&amp;</w:t>
            </w:r>
            <w:r w:rsidRPr="00FE0180">
              <w:t xml:space="preserve"> Boaden,</w:t>
            </w:r>
            <w:r>
              <w:t xml:space="preserve"> (2011)</w:t>
            </w:r>
          </w:p>
        </w:tc>
        <w:tc>
          <w:tcPr>
            <w:tcW w:w="707" w:type="pct"/>
            <w:tcBorders>
              <w:top w:val="single" w:sz="4" w:space="0" w:color="auto"/>
              <w:left w:val="single" w:sz="4" w:space="0" w:color="auto"/>
              <w:bottom w:val="single" w:sz="4" w:space="0" w:color="auto"/>
              <w:right w:val="single" w:sz="4" w:space="0" w:color="auto"/>
            </w:tcBorders>
            <w:noWrap/>
            <w:hideMark/>
          </w:tcPr>
          <w:p w14:paraId="463505D2" w14:textId="77777777" w:rsidR="00F00CFD" w:rsidRPr="00FE0180" w:rsidRDefault="00F00CFD" w:rsidP="00046E15">
            <w:r>
              <w:t>T</w:t>
            </w:r>
            <w:r w:rsidRPr="00FE0180">
              <w:t>o develop a descriptive framework for PRS</w:t>
            </w:r>
          </w:p>
        </w:tc>
        <w:tc>
          <w:tcPr>
            <w:tcW w:w="404" w:type="pct"/>
            <w:tcBorders>
              <w:top w:val="single" w:sz="4" w:space="0" w:color="auto"/>
              <w:left w:val="single" w:sz="4" w:space="0" w:color="auto"/>
              <w:bottom w:val="single" w:sz="4" w:space="0" w:color="auto"/>
              <w:right w:val="single" w:sz="4" w:space="0" w:color="auto"/>
            </w:tcBorders>
          </w:tcPr>
          <w:p w14:paraId="7B2D132A" w14:textId="77777777" w:rsidR="00F00CFD" w:rsidRDefault="00F00CFD" w:rsidP="00046E15">
            <w:r w:rsidRPr="00FE0180">
              <w:t>Aus</w:t>
            </w:r>
          </w:p>
        </w:tc>
        <w:tc>
          <w:tcPr>
            <w:tcW w:w="606" w:type="pct"/>
            <w:tcBorders>
              <w:top w:val="single" w:sz="4" w:space="0" w:color="auto"/>
              <w:left w:val="single" w:sz="4" w:space="0" w:color="auto"/>
              <w:bottom w:val="single" w:sz="4" w:space="0" w:color="auto"/>
              <w:right w:val="single" w:sz="4" w:space="0" w:color="auto"/>
            </w:tcBorders>
          </w:tcPr>
          <w:p w14:paraId="0B453636" w14:textId="77777777" w:rsidR="00F00CFD" w:rsidRPr="00FE0180" w:rsidRDefault="00F00CFD" w:rsidP="00046E15">
            <w:r>
              <w:t>Focus groups (n=10); case studies (n=6); written responses (n=15)</w:t>
            </w:r>
          </w:p>
        </w:tc>
        <w:tc>
          <w:tcPr>
            <w:tcW w:w="619" w:type="pct"/>
            <w:tcBorders>
              <w:top w:val="single" w:sz="4" w:space="0" w:color="auto"/>
              <w:left w:val="single" w:sz="4" w:space="0" w:color="auto"/>
              <w:bottom w:val="single" w:sz="4" w:space="0" w:color="auto"/>
              <w:right w:val="single" w:sz="4" w:space="0" w:color="auto"/>
            </w:tcBorders>
            <w:hideMark/>
          </w:tcPr>
          <w:p w14:paraId="793D6425" w14:textId="77777777" w:rsidR="00F00CFD" w:rsidRPr="00FE0180" w:rsidRDefault="00F00CFD" w:rsidP="00046E15">
            <w:r w:rsidRPr="00FE0180">
              <w:t xml:space="preserve">Not specified </w:t>
            </w:r>
          </w:p>
        </w:tc>
        <w:tc>
          <w:tcPr>
            <w:tcW w:w="1011" w:type="pct"/>
            <w:tcBorders>
              <w:top w:val="single" w:sz="4" w:space="0" w:color="auto"/>
              <w:left w:val="single" w:sz="4" w:space="0" w:color="auto"/>
              <w:bottom w:val="single" w:sz="4" w:space="0" w:color="auto"/>
              <w:right w:val="single" w:sz="4" w:space="0" w:color="auto"/>
            </w:tcBorders>
            <w:hideMark/>
          </w:tcPr>
          <w:p w14:paraId="4337D7ED"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shd w:val="clear" w:color="auto" w:fill="auto"/>
            <w:hideMark/>
          </w:tcPr>
          <w:p w14:paraId="50637BEF" w14:textId="79FBE0F7" w:rsidR="00F00CFD" w:rsidRPr="00FE0180" w:rsidRDefault="00A96523" w:rsidP="00046E15">
            <w:r>
              <w:t xml:space="preserve">Framework for </w:t>
            </w:r>
            <w:r w:rsidR="00F00CFD" w:rsidRPr="00FE0180">
              <w:t>Quality assurance</w:t>
            </w:r>
          </w:p>
        </w:tc>
      </w:tr>
      <w:tr w:rsidR="00F00CFD" w:rsidRPr="00650916" w14:paraId="3FC19D85" w14:textId="77777777" w:rsidTr="006E2C88">
        <w:tc>
          <w:tcPr>
            <w:tcW w:w="234" w:type="pct"/>
          </w:tcPr>
          <w:p w14:paraId="0A483CF1" w14:textId="1343D292"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2</w:t>
            </w:r>
            <w:r w:rsidR="00FF04E9">
              <w:rPr>
                <w:rFonts w:ascii="Calibri" w:eastAsia="Times New Roman" w:hAnsi="Calibri" w:cs="Calibri"/>
                <w:color w:val="000000"/>
                <w:lang w:eastAsia="en-AU"/>
              </w:rPr>
              <w:t>6</w:t>
            </w:r>
          </w:p>
        </w:tc>
        <w:tc>
          <w:tcPr>
            <w:tcW w:w="573" w:type="pct"/>
            <w:hideMark/>
          </w:tcPr>
          <w:p w14:paraId="1056A067"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Cooper &amp; Picton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2000</w:t>
            </w:r>
            <w:r>
              <w:rPr>
                <w:rFonts w:ascii="Calibri" w:eastAsia="Times New Roman" w:hAnsi="Calibri" w:cs="Calibri"/>
                <w:color w:val="000000"/>
                <w:lang w:eastAsia="en-AU"/>
              </w:rPr>
              <w:t>)</w:t>
            </w:r>
          </w:p>
        </w:tc>
        <w:tc>
          <w:tcPr>
            <w:tcW w:w="707" w:type="pct"/>
            <w:hideMark/>
          </w:tcPr>
          <w:p w14:paraId="66544165"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This article reports on the long-term effects of relocation on a sample of 45 people with an intellectual disability who moved from an institution to the community and to other institutions</w:t>
            </w:r>
          </w:p>
        </w:tc>
        <w:tc>
          <w:tcPr>
            <w:tcW w:w="404" w:type="pct"/>
            <w:hideMark/>
          </w:tcPr>
          <w:p w14:paraId="495D9F73"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UK</w:t>
            </w:r>
          </w:p>
        </w:tc>
        <w:tc>
          <w:tcPr>
            <w:tcW w:w="606" w:type="pct"/>
            <w:hideMark/>
          </w:tcPr>
          <w:p w14:paraId="27BADDD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Pre/post with follow up design: prior to transition, 6 months and 3 years post transition </w:t>
            </w:r>
          </w:p>
        </w:tc>
        <w:tc>
          <w:tcPr>
            <w:tcW w:w="619" w:type="pct"/>
            <w:hideMark/>
          </w:tcPr>
          <w:p w14:paraId="46DE2E04"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hideMark/>
          </w:tcPr>
          <w:p w14:paraId="54983B46" w14:textId="77777777"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C</w:t>
            </w:r>
            <w:r w:rsidRPr="00650916">
              <w:rPr>
                <w:rFonts w:ascii="Calibri" w:eastAsia="Times New Roman" w:hAnsi="Calibri" w:cs="Calibri"/>
                <w:color w:val="000000"/>
                <w:lang w:eastAsia="en-AU"/>
              </w:rPr>
              <w:t>ommunity residential unit</w:t>
            </w:r>
          </w:p>
        </w:tc>
        <w:tc>
          <w:tcPr>
            <w:tcW w:w="846" w:type="pct"/>
            <w:hideMark/>
          </w:tcPr>
          <w:p w14:paraId="6F26D4E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w:t>
            </w:r>
          </w:p>
        </w:tc>
      </w:tr>
      <w:tr w:rsidR="00F00CFD" w:rsidRPr="00F66260" w14:paraId="14D20A6A" w14:textId="77777777" w:rsidTr="006E2C88">
        <w:tc>
          <w:tcPr>
            <w:tcW w:w="234" w:type="pct"/>
          </w:tcPr>
          <w:p w14:paraId="01C4D2CF" w14:textId="2BF1E855" w:rsidR="00F00CFD" w:rsidRPr="00F66260" w:rsidRDefault="00F00CFD" w:rsidP="00046E15">
            <w:r>
              <w:t>2</w:t>
            </w:r>
            <w:r w:rsidR="00FF04E9">
              <w:t>7</w:t>
            </w:r>
          </w:p>
        </w:tc>
        <w:tc>
          <w:tcPr>
            <w:tcW w:w="573" w:type="pct"/>
            <w:hideMark/>
          </w:tcPr>
          <w:p w14:paraId="76D7FA5B" w14:textId="37064325" w:rsidR="00F00CFD" w:rsidRPr="00F66260" w:rsidRDefault="00F00CFD" w:rsidP="00046E15">
            <w:r w:rsidRPr="00F66260">
              <w:t>Corbluth</w:t>
            </w:r>
            <w:r w:rsidR="00FF04E9">
              <w:t>,</w:t>
            </w:r>
            <w:r>
              <w:t xml:space="preserve"> (2011)</w:t>
            </w:r>
          </w:p>
        </w:tc>
        <w:tc>
          <w:tcPr>
            <w:tcW w:w="707" w:type="pct"/>
          </w:tcPr>
          <w:p w14:paraId="56AC66E0" w14:textId="77777777" w:rsidR="00F00CFD" w:rsidRPr="00F66260" w:rsidRDefault="00F00CFD" w:rsidP="00046E15">
            <w:r w:rsidRPr="00F66260">
              <w:t>Delayed discharge and lack of housing for inpatients</w:t>
            </w:r>
          </w:p>
        </w:tc>
        <w:tc>
          <w:tcPr>
            <w:tcW w:w="404" w:type="pct"/>
            <w:noWrap/>
            <w:hideMark/>
          </w:tcPr>
          <w:p w14:paraId="2EF38CD9" w14:textId="77777777" w:rsidR="00F00CFD" w:rsidRPr="00F66260" w:rsidRDefault="00F00CFD" w:rsidP="00046E15">
            <w:r w:rsidRPr="00F66260">
              <w:t>UK (London)</w:t>
            </w:r>
          </w:p>
        </w:tc>
        <w:tc>
          <w:tcPr>
            <w:tcW w:w="606" w:type="pct"/>
            <w:noWrap/>
          </w:tcPr>
          <w:p w14:paraId="506F22C5" w14:textId="77777777" w:rsidR="00F00CFD" w:rsidRPr="00F66260" w:rsidRDefault="00F00CFD" w:rsidP="00046E15">
            <w:r>
              <w:t>Discussion. Grey literature</w:t>
            </w:r>
          </w:p>
        </w:tc>
        <w:tc>
          <w:tcPr>
            <w:tcW w:w="619" w:type="pct"/>
            <w:noWrap/>
            <w:hideMark/>
          </w:tcPr>
          <w:p w14:paraId="5295B369" w14:textId="77777777" w:rsidR="00F00CFD" w:rsidRPr="00F66260" w:rsidRDefault="00F00CFD" w:rsidP="00046E15">
            <w:r w:rsidRPr="00F66260">
              <w:t>People who have had acute mental health problems</w:t>
            </w:r>
          </w:p>
        </w:tc>
        <w:tc>
          <w:tcPr>
            <w:tcW w:w="1011" w:type="pct"/>
            <w:hideMark/>
          </w:tcPr>
          <w:p w14:paraId="5410A6CC" w14:textId="77777777" w:rsidR="00F00CFD" w:rsidRPr="00F66260" w:rsidRDefault="00F00CFD" w:rsidP="00046E15">
            <w:r w:rsidRPr="00F66260">
              <w:t>Non inpatient options</w:t>
            </w:r>
          </w:p>
        </w:tc>
        <w:tc>
          <w:tcPr>
            <w:tcW w:w="846" w:type="pct"/>
            <w:noWrap/>
            <w:hideMark/>
          </w:tcPr>
          <w:p w14:paraId="1DDBD048" w14:textId="77777777" w:rsidR="00F00CFD" w:rsidRPr="00F66260" w:rsidRDefault="00F00CFD" w:rsidP="00046E15">
            <w:r w:rsidRPr="00F66260">
              <w:t>Community (non-inpatient options)</w:t>
            </w:r>
          </w:p>
        </w:tc>
      </w:tr>
      <w:tr w:rsidR="00F00CFD" w:rsidRPr="00650916" w14:paraId="6C51D455" w14:textId="77777777" w:rsidTr="00AE0078">
        <w:tc>
          <w:tcPr>
            <w:tcW w:w="234" w:type="pct"/>
          </w:tcPr>
          <w:p w14:paraId="58E63715" w14:textId="7A6ACEAE" w:rsidR="00F00CFD" w:rsidRPr="00650916" w:rsidRDefault="00F00CFD" w:rsidP="006E2C88">
            <w:pPr>
              <w:keepNext/>
              <w:rPr>
                <w:rFonts w:ascii="Calibri" w:eastAsia="Times New Roman" w:hAnsi="Calibri" w:cs="Calibri"/>
                <w:color w:val="000000"/>
                <w:lang w:eastAsia="en-AU"/>
              </w:rPr>
            </w:pPr>
            <w:r>
              <w:rPr>
                <w:rFonts w:ascii="Calibri" w:eastAsia="Times New Roman" w:hAnsi="Calibri" w:cs="Calibri"/>
                <w:color w:val="000000"/>
                <w:lang w:eastAsia="en-AU"/>
              </w:rPr>
              <w:lastRenderedPageBreak/>
              <w:t>2</w:t>
            </w:r>
            <w:r w:rsidR="00FF04E9">
              <w:rPr>
                <w:rFonts w:ascii="Calibri" w:eastAsia="Times New Roman" w:hAnsi="Calibri" w:cs="Calibri"/>
                <w:color w:val="000000"/>
                <w:lang w:eastAsia="en-AU"/>
              </w:rPr>
              <w:t>8</w:t>
            </w:r>
          </w:p>
        </w:tc>
        <w:tc>
          <w:tcPr>
            <w:tcW w:w="573" w:type="pct"/>
            <w:hideMark/>
          </w:tcPr>
          <w:p w14:paraId="12DC11C6"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Cumella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2014</w:t>
            </w:r>
            <w:r>
              <w:rPr>
                <w:rFonts w:ascii="Calibri" w:eastAsia="Times New Roman" w:hAnsi="Calibri" w:cs="Calibri"/>
                <w:color w:val="000000"/>
                <w:lang w:eastAsia="en-AU"/>
              </w:rPr>
              <w:t>)</w:t>
            </w:r>
          </w:p>
        </w:tc>
        <w:tc>
          <w:tcPr>
            <w:tcW w:w="707" w:type="pct"/>
            <w:hideMark/>
          </w:tcPr>
          <w:p w14:paraId="1FA2970C"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The aim of the study was to survey the attitudes of family carers of people with Down Syndrome on supported housing.</w:t>
            </w:r>
          </w:p>
        </w:tc>
        <w:tc>
          <w:tcPr>
            <w:tcW w:w="404" w:type="pct"/>
            <w:hideMark/>
          </w:tcPr>
          <w:p w14:paraId="3B897117"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England and Wales</w:t>
            </w:r>
          </w:p>
        </w:tc>
        <w:tc>
          <w:tcPr>
            <w:tcW w:w="606" w:type="pct"/>
            <w:hideMark/>
          </w:tcPr>
          <w:p w14:paraId="22C44F02"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Other - Factor Analysis/Questionnaire design</w:t>
            </w:r>
          </w:p>
        </w:tc>
        <w:tc>
          <w:tcPr>
            <w:tcW w:w="619" w:type="pct"/>
            <w:hideMark/>
          </w:tcPr>
          <w:p w14:paraId="6017B66C"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 (Down Syndrome)</w:t>
            </w:r>
          </w:p>
        </w:tc>
        <w:tc>
          <w:tcPr>
            <w:tcW w:w="1011" w:type="pct"/>
            <w:hideMark/>
          </w:tcPr>
          <w:p w14:paraId="08BE3E01"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21% in supported living, 57% with family or carer, 17% other, 1% independent living</w:t>
            </w:r>
          </w:p>
        </w:tc>
        <w:tc>
          <w:tcPr>
            <w:tcW w:w="846" w:type="pct"/>
            <w:shd w:val="clear" w:color="auto" w:fill="auto"/>
            <w:hideMark/>
          </w:tcPr>
          <w:p w14:paraId="055D6E01" w14:textId="6933C68D" w:rsidR="00F00CFD" w:rsidRPr="00650916" w:rsidRDefault="008126F1" w:rsidP="008126F1">
            <w:pPr>
              <w:keepNext/>
              <w:rPr>
                <w:rFonts w:ascii="Calibri" w:eastAsia="Times New Roman" w:hAnsi="Calibri" w:cs="Calibri"/>
                <w:color w:val="000000"/>
                <w:lang w:eastAsia="en-AU"/>
              </w:rPr>
            </w:pPr>
            <w:r>
              <w:rPr>
                <w:rFonts w:ascii="Calibri" w:eastAsia="Times New Roman" w:hAnsi="Calibri" w:cs="Calibri"/>
                <w:color w:val="000000"/>
                <w:lang w:eastAsia="en-AU"/>
              </w:rPr>
              <w:t>Exploratory</w:t>
            </w:r>
            <w:r w:rsidR="005D2E7C">
              <w:rPr>
                <w:rFonts w:ascii="Calibri" w:eastAsia="Times New Roman" w:hAnsi="Calibri" w:cs="Calibri"/>
                <w:color w:val="000000"/>
                <w:lang w:eastAsia="en-AU"/>
              </w:rPr>
              <w:t xml:space="preserve"> survey </w:t>
            </w:r>
          </w:p>
        </w:tc>
      </w:tr>
      <w:tr w:rsidR="00F00CFD" w:rsidRPr="00F66260" w14:paraId="519E7ED8" w14:textId="77777777" w:rsidTr="006E2C88">
        <w:tc>
          <w:tcPr>
            <w:tcW w:w="234" w:type="pct"/>
          </w:tcPr>
          <w:p w14:paraId="1A4BB505" w14:textId="6E87E630" w:rsidR="00F00CFD" w:rsidRPr="00F66260" w:rsidRDefault="00E96C60" w:rsidP="00046E15">
            <w:r>
              <w:t>29</w:t>
            </w:r>
          </w:p>
        </w:tc>
        <w:tc>
          <w:tcPr>
            <w:tcW w:w="573" w:type="pct"/>
            <w:noWrap/>
            <w:hideMark/>
          </w:tcPr>
          <w:p w14:paraId="656C4945" w14:textId="1D1D42D8" w:rsidR="00F00CFD" w:rsidRPr="00F66260" w:rsidRDefault="00F00CFD" w:rsidP="00046E15">
            <w:r w:rsidRPr="00F66260">
              <w:t>Dean</w:t>
            </w:r>
            <w:r w:rsidR="00E96C60">
              <w:t>,</w:t>
            </w:r>
            <w:r>
              <w:t xml:space="preserve"> (2003)</w:t>
            </w:r>
          </w:p>
        </w:tc>
        <w:tc>
          <w:tcPr>
            <w:tcW w:w="707" w:type="pct"/>
            <w:noWrap/>
          </w:tcPr>
          <w:p w14:paraId="0643CEB6" w14:textId="77777777" w:rsidR="00F00CFD" w:rsidRPr="00F66260" w:rsidRDefault="00F00CFD" w:rsidP="00046E15">
            <w:r>
              <w:t>T</w:t>
            </w:r>
            <w:r w:rsidRPr="00F66260">
              <w:t xml:space="preserve">he housing aspirations of young </w:t>
            </w:r>
            <w:r>
              <w:t xml:space="preserve">people with disabilities </w:t>
            </w:r>
          </w:p>
        </w:tc>
        <w:tc>
          <w:tcPr>
            <w:tcW w:w="404" w:type="pct"/>
            <w:noWrap/>
            <w:hideMark/>
          </w:tcPr>
          <w:p w14:paraId="725DCC25" w14:textId="77777777" w:rsidR="00F00CFD" w:rsidRPr="00F66260" w:rsidRDefault="00F00CFD" w:rsidP="00046E15">
            <w:r w:rsidRPr="00F66260">
              <w:t xml:space="preserve">Scotland </w:t>
            </w:r>
          </w:p>
        </w:tc>
        <w:tc>
          <w:tcPr>
            <w:tcW w:w="606" w:type="pct"/>
            <w:noWrap/>
          </w:tcPr>
          <w:p w14:paraId="136D91D8" w14:textId="77777777" w:rsidR="00F00CFD" w:rsidRPr="00F66260" w:rsidRDefault="00F00CFD" w:rsidP="00046E15">
            <w:r>
              <w:t xml:space="preserve">Qualitative. Grey literature </w:t>
            </w:r>
          </w:p>
        </w:tc>
        <w:tc>
          <w:tcPr>
            <w:tcW w:w="619" w:type="pct"/>
            <w:noWrap/>
            <w:hideMark/>
          </w:tcPr>
          <w:p w14:paraId="6D80BC3F" w14:textId="77777777" w:rsidR="00F00CFD" w:rsidRPr="00F66260" w:rsidRDefault="00F00CFD" w:rsidP="00046E15">
            <w:r w:rsidRPr="00F66260">
              <w:t>People with physical or learning disability aged between 18 and 34 (n=30)</w:t>
            </w:r>
          </w:p>
        </w:tc>
        <w:tc>
          <w:tcPr>
            <w:tcW w:w="1011" w:type="pct"/>
            <w:hideMark/>
          </w:tcPr>
          <w:p w14:paraId="7EC2A03D" w14:textId="77777777" w:rsidR="00F00CFD" w:rsidRPr="00F66260" w:rsidRDefault="00F00CFD" w:rsidP="00046E15">
            <w:r w:rsidRPr="00F66260">
              <w:t>Family home</w:t>
            </w:r>
          </w:p>
        </w:tc>
        <w:tc>
          <w:tcPr>
            <w:tcW w:w="846" w:type="pct"/>
            <w:noWrap/>
            <w:hideMark/>
          </w:tcPr>
          <w:p w14:paraId="0B8A3EF9" w14:textId="77777777" w:rsidR="00F00CFD" w:rsidRPr="00F66260" w:rsidRDefault="00F00CFD" w:rsidP="00046E15">
            <w:r w:rsidRPr="00F66260">
              <w:t>Family home</w:t>
            </w:r>
          </w:p>
        </w:tc>
      </w:tr>
      <w:tr w:rsidR="00F00CFD" w:rsidRPr="00650916" w14:paraId="7526C9E7" w14:textId="77777777" w:rsidTr="00AE0078">
        <w:tc>
          <w:tcPr>
            <w:tcW w:w="234" w:type="pct"/>
          </w:tcPr>
          <w:p w14:paraId="4874FAA3" w14:textId="6E96BEBD"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3</w:t>
            </w:r>
            <w:r w:rsidR="00E96C60">
              <w:rPr>
                <w:rFonts w:ascii="Calibri" w:eastAsia="Times New Roman" w:hAnsi="Calibri" w:cs="Calibri"/>
                <w:color w:val="000000"/>
                <w:lang w:eastAsia="en-AU"/>
              </w:rPr>
              <w:t>0</w:t>
            </w:r>
          </w:p>
        </w:tc>
        <w:tc>
          <w:tcPr>
            <w:tcW w:w="573" w:type="pct"/>
            <w:hideMark/>
          </w:tcPr>
          <w:p w14:paraId="4AC014B5"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Dimitriadou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2020</w:t>
            </w:r>
            <w:r>
              <w:rPr>
                <w:rFonts w:ascii="Calibri" w:eastAsia="Times New Roman" w:hAnsi="Calibri" w:cs="Calibri"/>
                <w:color w:val="000000"/>
                <w:lang w:eastAsia="en-AU"/>
              </w:rPr>
              <w:t>)</w:t>
            </w:r>
          </w:p>
        </w:tc>
        <w:tc>
          <w:tcPr>
            <w:tcW w:w="707" w:type="pct"/>
            <w:hideMark/>
          </w:tcPr>
          <w:p w14:paraId="45E7474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(1) explore the opinions of parents, educators, and individuals with ID about independent living (IL)</w:t>
            </w:r>
          </w:p>
        </w:tc>
        <w:tc>
          <w:tcPr>
            <w:tcW w:w="404" w:type="pct"/>
            <w:hideMark/>
          </w:tcPr>
          <w:p w14:paraId="54A59135"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Greece</w:t>
            </w:r>
          </w:p>
        </w:tc>
        <w:tc>
          <w:tcPr>
            <w:tcW w:w="606" w:type="pct"/>
            <w:hideMark/>
          </w:tcPr>
          <w:p w14:paraId="6EC07D1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Other - Factor Analysis/Questionnaire design</w:t>
            </w:r>
          </w:p>
        </w:tc>
        <w:tc>
          <w:tcPr>
            <w:tcW w:w="619" w:type="pct"/>
            <w:hideMark/>
          </w:tcPr>
          <w:p w14:paraId="698C99B9"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shd w:val="clear" w:color="auto" w:fill="auto"/>
            <w:hideMark/>
          </w:tcPr>
          <w:p w14:paraId="51F24677" w14:textId="133F5357" w:rsidR="00F00CFD" w:rsidRPr="00650916" w:rsidRDefault="009E11DE" w:rsidP="00046E15">
            <w:pPr>
              <w:rPr>
                <w:rFonts w:ascii="Calibri" w:eastAsia="Times New Roman" w:hAnsi="Calibri" w:cs="Calibri"/>
                <w:color w:val="000000"/>
                <w:lang w:eastAsia="en-AU"/>
              </w:rPr>
            </w:pPr>
            <w:r>
              <w:rPr>
                <w:rFonts w:ascii="Calibri" w:eastAsia="Times New Roman" w:hAnsi="Calibri" w:cs="Calibri"/>
                <w:color w:val="000000"/>
                <w:lang w:eastAsia="en-AU"/>
              </w:rPr>
              <w:t xml:space="preserve">Independent and supported living </w:t>
            </w:r>
          </w:p>
        </w:tc>
        <w:tc>
          <w:tcPr>
            <w:tcW w:w="846" w:type="pct"/>
            <w:shd w:val="clear" w:color="auto" w:fill="auto"/>
            <w:hideMark/>
          </w:tcPr>
          <w:p w14:paraId="56863186" w14:textId="44759EB4" w:rsidR="00F00CFD" w:rsidRPr="00650916" w:rsidRDefault="00757028" w:rsidP="00046E15">
            <w:pPr>
              <w:rPr>
                <w:rFonts w:ascii="Calibri" w:eastAsia="Times New Roman" w:hAnsi="Calibri" w:cs="Calibri"/>
                <w:color w:val="000000"/>
                <w:lang w:eastAsia="en-AU"/>
              </w:rPr>
            </w:pPr>
            <w:r>
              <w:rPr>
                <w:rFonts w:ascii="Calibri" w:eastAsia="Times New Roman" w:hAnsi="Calibri" w:cs="Calibri"/>
                <w:color w:val="000000"/>
                <w:lang w:eastAsia="en-AU"/>
              </w:rPr>
              <w:t>Not applicable, exploratory study based on survey design and survey outcomes.</w:t>
            </w:r>
          </w:p>
        </w:tc>
      </w:tr>
      <w:tr w:rsidR="00F00CFD" w:rsidRPr="00F66260" w14:paraId="79C9AD15" w14:textId="77777777" w:rsidTr="006E2C88">
        <w:tc>
          <w:tcPr>
            <w:tcW w:w="234" w:type="pct"/>
          </w:tcPr>
          <w:p w14:paraId="6C1C9628" w14:textId="282049E1" w:rsidR="00F00CFD" w:rsidRPr="00F66260" w:rsidRDefault="00F00CFD" w:rsidP="00046E15">
            <w:r>
              <w:t>3</w:t>
            </w:r>
            <w:r w:rsidR="00E96C60">
              <w:t>1</w:t>
            </w:r>
          </w:p>
        </w:tc>
        <w:tc>
          <w:tcPr>
            <w:tcW w:w="573" w:type="pct"/>
            <w:hideMark/>
          </w:tcPr>
          <w:p w14:paraId="1FB96476" w14:textId="595FCF65" w:rsidR="00F00CFD" w:rsidRDefault="00F00CFD" w:rsidP="00046E15">
            <w:r w:rsidRPr="00F66260">
              <w:t>Elder-Woodward</w:t>
            </w:r>
            <w:r w:rsidR="00E96C60">
              <w:t>,</w:t>
            </w:r>
            <w:r>
              <w:t xml:space="preserve"> et al (2015)</w:t>
            </w:r>
          </w:p>
          <w:p w14:paraId="264FB3F2" w14:textId="77777777" w:rsidR="00F00CFD" w:rsidRPr="00F66260" w:rsidRDefault="00F00CFD" w:rsidP="00046E15"/>
        </w:tc>
        <w:tc>
          <w:tcPr>
            <w:tcW w:w="707" w:type="pct"/>
          </w:tcPr>
          <w:p w14:paraId="5AB723C7" w14:textId="77777777" w:rsidR="00F00CFD" w:rsidRPr="00F66260" w:rsidRDefault="00F00CFD" w:rsidP="00046E15">
            <w:r>
              <w:t xml:space="preserve">Critique of </w:t>
            </w:r>
            <w:r w:rsidRPr="00F66260">
              <w:t>independent living movement critique</w:t>
            </w:r>
          </w:p>
        </w:tc>
        <w:tc>
          <w:tcPr>
            <w:tcW w:w="404" w:type="pct"/>
            <w:noWrap/>
            <w:hideMark/>
          </w:tcPr>
          <w:p w14:paraId="3EE47377" w14:textId="77777777" w:rsidR="00F00CFD" w:rsidRPr="00F66260" w:rsidRDefault="00F00CFD" w:rsidP="00046E15">
            <w:r w:rsidRPr="00F66260">
              <w:t xml:space="preserve">Scotland </w:t>
            </w:r>
          </w:p>
        </w:tc>
        <w:tc>
          <w:tcPr>
            <w:tcW w:w="606" w:type="pct"/>
            <w:noWrap/>
          </w:tcPr>
          <w:p w14:paraId="5D2E84D4" w14:textId="77777777" w:rsidR="00F00CFD" w:rsidRPr="00F66260" w:rsidRDefault="00F00CFD" w:rsidP="00046E15">
            <w:r>
              <w:t xml:space="preserve">Discussion paper. Grey literature </w:t>
            </w:r>
          </w:p>
        </w:tc>
        <w:tc>
          <w:tcPr>
            <w:tcW w:w="619" w:type="pct"/>
            <w:noWrap/>
            <w:hideMark/>
          </w:tcPr>
          <w:p w14:paraId="5CAAA8BB" w14:textId="77777777" w:rsidR="00F00CFD" w:rsidRPr="00F66260" w:rsidRDefault="00F00CFD" w:rsidP="00046E15">
            <w:r w:rsidRPr="00F66260">
              <w:t xml:space="preserve">People with disability, people with learning disability </w:t>
            </w:r>
          </w:p>
        </w:tc>
        <w:tc>
          <w:tcPr>
            <w:tcW w:w="1011" w:type="pct"/>
            <w:hideMark/>
          </w:tcPr>
          <w:p w14:paraId="1A180778" w14:textId="77777777" w:rsidR="00F00CFD" w:rsidRPr="00F66260" w:rsidRDefault="00F00CFD" w:rsidP="00046E15">
            <w:r w:rsidRPr="00F66260">
              <w:t xml:space="preserve">Independent living movement described as example of co-production of social change </w:t>
            </w:r>
          </w:p>
        </w:tc>
        <w:tc>
          <w:tcPr>
            <w:tcW w:w="846" w:type="pct"/>
            <w:noWrap/>
            <w:hideMark/>
          </w:tcPr>
          <w:p w14:paraId="26E351E6" w14:textId="77777777" w:rsidR="00F00CFD" w:rsidRPr="00F66260" w:rsidRDefault="00F00CFD" w:rsidP="00046E15">
            <w:r w:rsidRPr="00F66260">
              <w:t>Independent</w:t>
            </w:r>
          </w:p>
        </w:tc>
      </w:tr>
      <w:tr w:rsidR="00F00CFD" w:rsidRPr="00650916" w14:paraId="5C875F4E" w14:textId="77777777" w:rsidTr="006E2C88">
        <w:tc>
          <w:tcPr>
            <w:tcW w:w="234" w:type="pct"/>
          </w:tcPr>
          <w:p w14:paraId="4901F83D" w14:textId="590A6167" w:rsidR="00F00CFD" w:rsidRPr="00650916" w:rsidRDefault="00F00CFD" w:rsidP="006E2C88">
            <w:pPr>
              <w:keepNext/>
              <w:rPr>
                <w:rFonts w:ascii="Calibri" w:eastAsia="Times New Roman" w:hAnsi="Calibri" w:cs="Calibri"/>
                <w:color w:val="000000"/>
                <w:lang w:eastAsia="en-AU"/>
              </w:rPr>
            </w:pPr>
            <w:r>
              <w:rPr>
                <w:rFonts w:ascii="Calibri" w:eastAsia="Times New Roman" w:hAnsi="Calibri" w:cs="Calibri"/>
                <w:color w:val="000000"/>
                <w:lang w:eastAsia="en-AU"/>
              </w:rPr>
              <w:lastRenderedPageBreak/>
              <w:t>3</w:t>
            </w:r>
            <w:r w:rsidR="00E96C60">
              <w:rPr>
                <w:rFonts w:ascii="Calibri" w:eastAsia="Times New Roman" w:hAnsi="Calibri" w:cs="Calibri"/>
                <w:color w:val="000000"/>
                <w:lang w:eastAsia="en-AU"/>
              </w:rPr>
              <w:t>2</w:t>
            </w:r>
          </w:p>
        </w:tc>
        <w:tc>
          <w:tcPr>
            <w:tcW w:w="573" w:type="pct"/>
            <w:hideMark/>
          </w:tcPr>
          <w:p w14:paraId="6B9D0E81" w14:textId="2FB8A122"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Emerson </w:t>
            </w:r>
            <w:r w:rsidR="00E96C60">
              <w:rPr>
                <w:rFonts w:ascii="Calibri" w:eastAsia="Times New Roman" w:hAnsi="Calibri" w:cs="Calibri"/>
                <w:color w:val="000000"/>
                <w:lang w:eastAsia="en-AU"/>
              </w:rPr>
              <w:t xml:space="preserve">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w:t>
            </w:r>
            <w:r w:rsidR="00E96C60">
              <w:rPr>
                <w:rFonts w:ascii="Calibri" w:eastAsia="Times New Roman" w:hAnsi="Calibri" w:cs="Calibri"/>
                <w:color w:val="000000"/>
                <w:lang w:eastAsia="en-AU"/>
              </w:rPr>
              <w:t>0</w:t>
            </w:r>
            <w:r>
              <w:rPr>
                <w:rFonts w:ascii="Calibri" w:eastAsia="Times New Roman" w:hAnsi="Calibri" w:cs="Calibri"/>
                <w:color w:val="000000"/>
                <w:lang w:eastAsia="en-AU"/>
              </w:rPr>
              <w:t>)</w:t>
            </w:r>
          </w:p>
        </w:tc>
        <w:tc>
          <w:tcPr>
            <w:tcW w:w="707" w:type="pct"/>
            <w:hideMark/>
          </w:tcPr>
          <w:p w14:paraId="03425C9C"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Evaluation of cost-benefit of residential supports living in three housing models (a) village communities (b) residential campuses (c) small community based homes and supported living.</w:t>
            </w:r>
          </w:p>
        </w:tc>
        <w:tc>
          <w:tcPr>
            <w:tcW w:w="404" w:type="pct"/>
            <w:hideMark/>
          </w:tcPr>
          <w:p w14:paraId="23E775F6"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UK</w:t>
            </w:r>
          </w:p>
        </w:tc>
        <w:tc>
          <w:tcPr>
            <w:tcW w:w="606" w:type="pct"/>
            <w:hideMark/>
          </w:tcPr>
          <w:p w14:paraId="01A51512"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Cross sectional design</w:t>
            </w:r>
          </w:p>
        </w:tc>
        <w:tc>
          <w:tcPr>
            <w:tcW w:w="619" w:type="pct"/>
            <w:hideMark/>
          </w:tcPr>
          <w:p w14:paraId="35260E95"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hideMark/>
          </w:tcPr>
          <w:p w14:paraId="100A4911"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Residential Campus and Village Community: clustered housing on one site with shared central facilities (e.g. day centre/church/ shop). Dispersed housing: long term residential</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with 24 hour support in dispersed housing</w:t>
            </w:r>
          </w:p>
        </w:tc>
        <w:tc>
          <w:tcPr>
            <w:tcW w:w="846" w:type="pct"/>
            <w:hideMark/>
          </w:tcPr>
          <w:p w14:paraId="75A1D578"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N/A</w:t>
            </w:r>
          </w:p>
        </w:tc>
      </w:tr>
      <w:tr w:rsidR="00F00CFD" w:rsidRPr="00650916" w14:paraId="52E53EC7" w14:textId="77777777" w:rsidTr="006E2C88">
        <w:tc>
          <w:tcPr>
            <w:tcW w:w="234" w:type="pct"/>
            <w:shd w:val="clear" w:color="auto" w:fill="auto"/>
          </w:tcPr>
          <w:p w14:paraId="50601B8F" w14:textId="7E479444"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3</w:t>
            </w:r>
            <w:r w:rsidR="00E96C60">
              <w:rPr>
                <w:rFonts w:ascii="Calibri" w:eastAsia="Times New Roman" w:hAnsi="Calibri" w:cs="Calibri"/>
                <w:color w:val="000000"/>
                <w:lang w:eastAsia="en-AU"/>
              </w:rPr>
              <w:t>3</w:t>
            </w:r>
          </w:p>
        </w:tc>
        <w:tc>
          <w:tcPr>
            <w:tcW w:w="573" w:type="pct"/>
            <w:shd w:val="clear" w:color="auto" w:fill="auto"/>
            <w:hideMark/>
          </w:tcPr>
          <w:p w14:paraId="120E303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Emerson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2004</w:t>
            </w:r>
            <w:r>
              <w:rPr>
                <w:rFonts w:ascii="Calibri" w:eastAsia="Times New Roman" w:hAnsi="Calibri" w:cs="Calibri"/>
                <w:color w:val="000000"/>
                <w:lang w:eastAsia="en-AU"/>
              </w:rPr>
              <w:t>)</w:t>
            </w:r>
          </w:p>
        </w:tc>
        <w:tc>
          <w:tcPr>
            <w:tcW w:w="707" w:type="pct"/>
            <w:shd w:val="clear" w:color="auto" w:fill="auto"/>
            <w:hideMark/>
          </w:tcPr>
          <w:p w14:paraId="455B8937"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A comparison of benefits associated with living in cluster housing compared with dispersed housing.</w:t>
            </w:r>
          </w:p>
        </w:tc>
        <w:tc>
          <w:tcPr>
            <w:tcW w:w="404" w:type="pct"/>
            <w:shd w:val="clear" w:color="auto" w:fill="auto"/>
            <w:hideMark/>
          </w:tcPr>
          <w:p w14:paraId="63ABCC69"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England (Northern) </w:t>
            </w:r>
          </w:p>
        </w:tc>
        <w:tc>
          <w:tcPr>
            <w:tcW w:w="606" w:type="pct"/>
            <w:shd w:val="clear" w:color="auto" w:fill="auto"/>
            <w:hideMark/>
          </w:tcPr>
          <w:p w14:paraId="50CDB24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Cross sectional comparison </w:t>
            </w:r>
          </w:p>
        </w:tc>
        <w:tc>
          <w:tcPr>
            <w:tcW w:w="619" w:type="pct"/>
            <w:shd w:val="clear" w:color="auto" w:fill="auto"/>
            <w:hideMark/>
          </w:tcPr>
          <w:p w14:paraId="7E3D61B3"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shd w:val="clear" w:color="auto" w:fill="auto"/>
            <w:hideMark/>
          </w:tcPr>
          <w:p w14:paraId="13D9FF4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Cluster housing: accommodation located either as part of a campus development (three or more houses with an on-site day centre) or in a cluster of houses for people with intellectual disabilities (e.g., a dead-end street with three or more houses for people with intellectual disabilities). Dispersed housing: no specific details but indicated more personalised settings</w:t>
            </w:r>
          </w:p>
        </w:tc>
        <w:tc>
          <w:tcPr>
            <w:tcW w:w="846" w:type="pct"/>
            <w:shd w:val="clear" w:color="auto" w:fill="auto"/>
            <w:hideMark/>
          </w:tcPr>
          <w:p w14:paraId="2D23D669" w14:textId="08D32604" w:rsidR="00F00CFD" w:rsidRPr="00650916" w:rsidRDefault="00757028" w:rsidP="00046E15">
            <w:pPr>
              <w:rPr>
                <w:rFonts w:ascii="Calibri" w:eastAsia="Times New Roman" w:hAnsi="Calibri" w:cs="Calibri"/>
                <w:color w:val="000000"/>
                <w:lang w:eastAsia="en-AU"/>
              </w:rPr>
            </w:pPr>
            <w:r>
              <w:rPr>
                <w:rFonts w:ascii="Calibri" w:eastAsia="Times New Roman" w:hAnsi="Calibri" w:cs="Calibri"/>
                <w:color w:val="000000"/>
                <w:lang w:eastAsia="en-AU"/>
              </w:rPr>
              <w:t xml:space="preserve">Cross sectional comparison of cluster </w:t>
            </w:r>
            <w:r w:rsidRPr="001753CA">
              <w:rPr>
                <w:rFonts w:ascii="Calibri" w:eastAsia="Times New Roman" w:hAnsi="Calibri" w:cs="Calibri"/>
                <w:i/>
                <w:iCs/>
                <w:color w:val="000000"/>
                <w:lang w:eastAsia="en-AU"/>
              </w:rPr>
              <w:t>vs</w:t>
            </w:r>
            <w:r>
              <w:rPr>
                <w:rFonts w:ascii="Calibri" w:eastAsia="Times New Roman" w:hAnsi="Calibri" w:cs="Calibri"/>
                <w:color w:val="000000"/>
                <w:lang w:eastAsia="en-AU"/>
              </w:rPr>
              <w:t xml:space="preserve"> dispersed housing.</w:t>
            </w:r>
          </w:p>
        </w:tc>
      </w:tr>
      <w:tr w:rsidR="00F00CFD" w:rsidRPr="00650916" w14:paraId="5B709AF2" w14:textId="77777777" w:rsidTr="006E2C88">
        <w:tc>
          <w:tcPr>
            <w:tcW w:w="234" w:type="pct"/>
          </w:tcPr>
          <w:p w14:paraId="3FA640D1" w14:textId="4CC90A53"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3</w:t>
            </w:r>
            <w:r w:rsidR="00E96C60">
              <w:rPr>
                <w:rFonts w:ascii="Calibri" w:eastAsia="Times New Roman" w:hAnsi="Calibri" w:cs="Calibri"/>
                <w:color w:val="000000"/>
                <w:lang w:eastAsia="en-AU"/>
              </w:rPr>
              <w:t>4</w:t>
            </w:r>
          </w:p>
        </w:tc>
        <w:tc>
          <w:tcPr>
            <w:tcW w:w="573" w:type="pct"/>
            <w:hideMark/>
          </w:tcPr>
          <w:p w14:paraId="68117AAC" w14:textId="1B0FEB78"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Enderman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2015</w:t>
            </w:r>
            <w:r>
              <w:rPr>
                <w:rFonts w:ascii="Calibri" w:eastAsia="Times New Roman" w:hAnsi="Calibri" w:cs="Calibri"/>
                <w:color w:val="000000"/>
                <w:lang w:eastAsia="en-AU"/>
              </w:rPr>
              <w:t>)</w:t>
            </w:r>
          </w:p>
        </w:tc>
        <w:tc>
          <w:tcPr>
            <w:tcW w:w="707" w:type="pct"/>
            <w:hideMark/>
          </w:tcPr>
          <w:p w14:paraId="019C1625"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1)</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improvement of medical treatment</w:t>
            </w:r>
            <w:r w:rsidRPr="00650916">
              <w:rPr>
                <w:rFonts w:ascii="Calibri" w:eastAsia="Times New Roman" w:hAnsi="Calibri" w:cs="Calibri"/>
                <w:color w:val="000000"/>
                <w:lang w:eastAsia="en-AU"/>
              </w:rPr>
              <w:br/>
              <w:t>2) better self-management with regard to health</w:t>
            </w:r>
            <w:r w:rsidRPr="00650916">
              <w:rPr>
                <w:rFonts w:ascii="Calibri" w:eastAsia="Times New Roman" w:hAnsi="Calibri" w:cs="Calibri"/>
                <w:color w:val="000000"/>
                <w:lang w:eastAsia="en-AU"/>
              </w:rPr>
              <w:br/>
              <w:t xml:space="preserve">3) independence in </w:t>
            </w:r>
            <w:r w:rsidRPr="00650916">
              <w:rPr>
                <w:rFonts w:ascii="Calibri" w:eastAsia="Times New Roman" w:hAnsi="Calibri" w:cs="Calibri"/>
                <w:color w:val="000000"/>
                <w:lang w:eastAsia="en-AU"/>
              </w:rPr>
              <w:lastRenderedPageBreak/>
              <w:t>daily life</w:t>
            </w:r>
            <w:r w:rsidRPr="00650916">
              <w:rPr>
                <w:rFonts w:ascii="Calibri" w:eastAsia="Times New Roman" w:hAnsi="Calibri" w:cs="Calibri"/>
                <w:color w:val="000000"/>
                <w:lang w:eastAsia="en-AU"/>
              </w:rPr>
              <w:br/>
              <w:t>4) emotional stability</w:t>
            </w:r>
            <w:r w:rsidRPr="00650916">
              <w:rPr>
                <w:rFonts w:ascii="Calibri" w:eastAsia="Times New Roman" w:hAnsi="Calibri" w:cs="Calibri"/>
                <w:color w:val="000000"/>
                <w:lang w:eastAsia="en-AU"/>
              </w:rPr>
              <w:br/>
              <w:t>5) scheduled living structure with an occupational activity that fits to the person’s abilities</w:t>
            </w:r>
          </w:p>
        </w:tc>
        <w:tc>
          <w:tcPr>
            <w:tcW w:w="404" w:type="pct"/>
            <w:hideMark/>
          </w:tcPr>
          <w:p w14:paraId="5C0A2E0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Germany</w:t>
            </w:r>
          </w:p>
        </w:tc>
        <w:tc>
          <w:tcPr>
            <w:tcW w:w="606" w:type="pct"/>
            <w:hideMark/>
          </w:tcPr>
          <w:p w14:paraId="0D93CEC9" w14:textId="579DE0AD"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Two group</w:t>
            </w:r>
            <w:r>
              <w:rPr>
                <w:rFonts w:ascii="Calibri" w:eastAsia="Times New Roman" w:hAnsi="Calibri" w:cs="Calibri"/>
                <w:color w:val="000000"/>
                <w:lang w:eastAsia="en-AU"/>
              </w:rPr>
              <w:t>s</w:t>
            </w:r>
            <w:r w:rsidRPr="00650916">
              <w:rPr>
                <w:rFonts w:ascii="Calibri" w:eastAsia="Times New Roman" w:hAnsi="Calibri" w:cs="Calibri"/>
                <w:color w:val="000000"/>
                <w:lang w:eastAsia="en-AU"/>
              </w:rPr>
              <w:t xml:space="preserve"> repeated measures design</w:t>
            </w:r>
          </w:p>
        </w:tc>
        <w:tc>
          <w:tcPr>
            <w:tcW w:w="619" w:type="pct"/>
            <w:hideMark/>
          </w:tcPr>
          <w:p w14:paraId="7A709B9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Epilepsy </w:t>
            </w:r>
          </w:p>
        </w:tc>
        <w:tc>
          <w:tcPr>
            <w:tcW w:w="1011" w:type="pct"/>
            <w:hideMark/>
          </w:tcPr>
          <w:p w14:paraId="4D0E780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 from residential rehabilitation programme to supported housing or long term residential unit</w:t>
            </w:r>
          </w:p>
        </w:tc>
        <w:tc>
          <w:tcPr>
            <w:tcW w:w="846" w:type="pct"/>
            <w:hideMark/>
          </w:tcPr>
          <w:p w14:paraId="3F20768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RJE: rehabilitation for young adults with epilepsy</w:t>
            </w:r>
          </w:p>
        </w:tc>
      </w:tr>
      <w:tr w:rsidR="00F00CFD" w:rsidRPr="00F66260" w14:paraId="5C2F484E" w14:textId="77777777" w:rsidTr="006E2C88">
        <w:tc>
          <w:tcPr>
            <w:tcW w:w="234" w:type="pct"/>
          </w:tcPr>
          <w:p w14:paraId="09F517B3" w14:textId="5EC13479" w:rsidR="00F00CFD" w:rsidRPr="00F66260" w:rsidRDefault="00F00CFD" w:rsidP="00046E15">
            <w:r>
              <w:t>3</w:t>
            </w:r>
            <w:r w:rsidR="00E96C60">
              <w:t>5</w:t>
            </w:r>
          </w:p>
        </w:tc>
        <w:tc>
          <w:tcPr>
            <w:tcW w:w="573" w:type="pct"/>
            <w:hideMark/>
          </w:tcPr>
          <w:p w14:paraId="1A9AE314" w14:textId="77777777" w:rsidR="00F00CFD" w:rsidRPr="00F66260" w:rsidRDefault="00F00CFD" w:rsidP="00046E15">
            <w:r w:rsidRPr="00F66260">
              <w:t>Evans</w:t>
            </w:r>
            <w:r>
              <w:t xml:space="preserve"> (2017)</w:t>
            </w:r>
          </w:p>
        </w:tc>
        <w:tc>
          <w:tcPr>
            <w:tcW w:w="707" w:type="pct"/>
          </w:tcPr>
          <w:p w14:paraId="430640D2" w14:textId="77777777" w:rsidR="00F00CFD" w:rsidRPr="006E2C88" w:rsidRDefault="00F00CFD" w:rsidP="00046E15">
            <w:pPr>
              <w:rPr>
                <w:sz w:val="21"/>
                <w:szCs w:val="21"/>
              </w:rPr>
            </w:pPr>
            <w:r w:rsidRPr="006E2C88">
              <w:rPr>
                <w:sz w:val="21"/>
                <w:szCs w:val="21"/>
              </w:rPr>
              <w:t>Asylum to Community and in between: Examining the Post-deinstitutionalization Transitional Experiences of Mentally Disabled Individuals in Suffolk County, Long Island</w:t>
            </w:r>
          </w:p>
          <w:p w14:paraId="61F187DC" w14:textId="77777777" w:rsidR="00F00CFD" w:rsidRPr="00F66260" w:rsidRDefault="00F00CFD" w:rsidP="00046E15">
            <w:r w:rsidRPr="006E2C88">
              <w:rPr>
                <w:sz w:val="21"/>
                <w:szCs w:val="21"/>
              </w:rPr>
              <w:t>Asylum to Community &amp; in Between: Examining the Post-Deinstitutionalization Transitional Experiences of Mentally Disabled Individuals in Suffolk County, Long Island</w:t>
            </w:r>
          </w:p>
        </w:tc>
        <w:tc>
          <w:tcPr>
            <w:tcW w:w="404" w:type="pct"/>
            <w:noWrap/>
            <w:hideMark/>
          </w:tcPr>
          <w:p w14:paraId="09F5FF62" w14:textId="77777777" w:rsidR="00F00CFD" w:rsidRPr="00F66260" w:rsidRDefault="00F00CFD" w:rsidP="00046E15">
            <w:r w:rsidRPr="00F66260">
              <w:t>USA (New York)</w:t>
            </w:r>
          </w:p>
        </w:tc>
        <w:tc>
          <w:tcPr>
            <w:tcW w:w="606" w:type="pct"/>
            <w:noWrap/>
          </w:tcPr>
          <w:p w14:paraId="3D52FAC3" w14:textId="77777777" w:rsidR="00F00CFD" w:rsidRPr="00F66260" w:rsidRDefault="00F00CFD" w:rsidP="00046E15">
            <w:r>
              <w:t>Dissertation. Grey literature.</w:t>
            </w:r>
          </w:p>
        </w:tc>
        <w:tc>
          <w:tcPr>
            <w:tcW w:w="619" w:type="pct"/>
            <w:noWrap/>
            <w:hideMark/>
          </w:tcPr>
          <w:p w14:paraId="336AF277" w14:textId="77777777" w:rsidR="00F00CFD" w:rsidRPr="00F66260" w:rsidRDefault="00F00CFD" w:rsidP="00046E15">
            <w:r w:rsidRPr="00F66260">
              <w:t xml:space="preserve">People with serious mental health issues </w:t>
            </w:r>
          </w:p>
        </w:tc>
        <w:tc>
          <w:tcPr>
            <w:tcW w:w="1011" w:type="pct"/>
            <w:hideMark/>
          </w:tcPr>
          <w:p w14:paraId="28E4A117" w14:textId="77777777" w:rsidR="00F00CFD" w:rsidRPr="00F66260" w:rsidRDefault="00F00CFD" w:rsidP="00046E15">
            <w:r w:rsidRPr="00F66260">
              <w:t>Transition from psych hospital to community care</w:t>
            </w:r>
          </w:p>
        </w:tc>
        <w:tc>
          <w:tcPr>
            <w:tcW w:w="846" w:type="pct"/>
            <w:noWrap/>
            <w:hideMark/>
          </w:tcPr>
          <w:p w14:paraId="6604AB5F" w14:textId="77777777" w:rsidR="00F00CFD" w:rsidRPr="00F66260" w:rsidRDefault="00F00CFD" w:rsidP="00046E15">
            <w:r w:rsidRPr="00F66260">
              <w:t>To community (from psychiatric care)</w:t>
            </w:r>
          </w:p>
        </w:tc>
      </w:tr>
      <w:tr w:rsidR="00F00CFD" w:rsidRPr="00650916" w14:paraId="016FE5E7" w14:textId="77777777" w:rsidTr="006E2C88">
        <w:tc>
          <w:tcPr>
            <w:tcW w:w="234" w:type="pct"/>
            <w:shd w:val="clear" w:color="auto" w:fill="auto"/>
          </w:tcPr>
          <w:p w14:paraId="1CF5CEA6" w14:textId="3506E7D0" w:rsidR="00F00CFD" w:rsidRPr="00650916" w:rsidRDefault="00F00CFD" w:rsidP="006E2C88">
            <w:pPr>
              <w:keepNext/>
              <w:rPr>
                <w:rFonts w:ascii="Calibri" w:eastAsia="Times New Roman" w:hAnsi="Calibri" w:cs="Calibri"/>
                <w:color w:val="000000"/>
                <w:lang w:eastAsia="en-AU"/>
              </w:rPr>
            </w:pPr>
            <w:r>
              <w:rPr>
                <w:rFonts w:ascii="Calibri" w:eastAsia="Times New Roman" w:hAnsi="Calibri" w:cs="Calibri"/>
                <w:color w:val="000000"/>
                <w:lang w:eastAsia="en-AU"/>
              </w:rPr>
              <w:lastRenderedPageBreak/>
              <w:t>3</w:t>
            </w:r>
            <w:r w:rsidR="00E96C60">
              <w:rPr>
                <w:rFonts w:ascii="Calibri" w:eastAsia="Times New Roman" w:hAnsi="Calibri" w:cs="Calibri"/>
                <w:color w:val="000000"/>
                <w:lang w:eastAsia="en-AU"/>
              </w:rPr>
              <w:t>6</w:t>
            </w:r>
          </w:p>
        </w:tc>
        <w:tc>
          <w:tcPr>
            <w:tcW w:w="573" w:type="pct"/>
            <w:shd w:val="clear" w:color="auto" w:fill="auto"/>
            <w:hideMark/>
          </w:tcPr>
          <w:p w14:paraId="1D0588E1"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Fahey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2010</w:t>
            </w:r>
            <w:r>
              <w:rPr>
                <w:rFonts w:ascii="Calibri" w:eastAsia="Times New Roman" w:hAnsi="Calibri" w:cs="Calibri"/>
                <w:color w:val="000000"/>
                <w:lang w:eastAsia="en-AU"/>
              </w:rPr>
              <w:t>)</w:t>
            </w:r>
          </w:p>
        </w:tc>
        <w:tc>
          <w:tcPr>
            <w:tcW w:w="707" w:type="pct"/>
            <w:shd w:val="clear" w:color="auto" w:fill="auto"/>
            <w:hideMark/>
          </w:tcPr>
          <w:p w14:paraId="7860D9A8"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Quality of Life and outcomes for residents with intellectual disability in intentional communities (Camphill Ireland) </w:t>
            </w:r>
          </w:p>
        </w:tc>
        <w:tc>
          <w:tcPr>
            <w:tcW w:w="404" w:type="pct"/>
            <w:shd w:val="clear" w:color="auto" w:fill="auto"/>
            <w:hideMark/>
          </w:tcPr>
          <w:p w14:paraId="368AEB88"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Ireland, Camphill community</w:t>
            </w:r>
          </w:p>
        </w:tc>
        <w:tc>
          <w:tcPr>
            <w:tcW w:w="606" w:type="pct"/>
            <w:shd w:val="clear" w:color="auto" w:fill="auto"/>
            <w:hideMark/>
          </w:tcPr>
          <w:p w14:paraId="0A7A90A8"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Cross-sectional study</w:t>
            </w:r>
          </w:p>
        </w:tc>
        <w:tc>
          <w:tcPr>
            <w:tcW w:w="619" w:type="pct"/>
            <w:shd w:val="clear" w:color="auto" w:fill="auto"/>
            <w:hideMark/>
          </w:tcPr>
          <w:p w14:paraId="1B0C451D"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shd w:val="clear" w:color="auto" w:fill="auto"/>
            <w:hideMark/>
          </w:tcPr>
          <w:p w14:paraId="40C43956"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Intentional communities: (life-sharing residences purposefully devised with family guidance to the preferences of small group of individuals). Group homes and campus residences</w:t>
            </w:r>
          </w:p>
        </w:tc>
        <w:tc>
          <w:tcPr>
            <w:tcW w:w="846" w:type="pct"/>
            <w:shd w:val="clear" w:color="auto" w:fill="auto"/>
            <w:hideMark/>
          </w:tcPr>
          <w:p w14:paraId="42D85CE0" w14:textId="486A5CAC" w:rsidR="00F00CFD" w:rsidRPr="00650916" w:rsidRDefault="00757028" w:rsidP="006E2C88">
            <w:pPr>
              <w:keepNext/>
              <w:rPr>
                <w:rFonts w:ascii="Calibri" w:eastAsia="Times New Roman" w:hAnsi="Calibri" w:cs="Calibri"/>
                <w:color w:val="000000"/>
                <w:lang w:eastAsia="en-AU"/>
              </w:rPr>
            </w:pPr>
            <w:r w:rsidRPr="00757028">
              <w:rPr>
                <w:rFonts w:ascii="Calibri" w:eastAsia="Times New Roman" w:hAnsi="Calibri" w:cs="Calibri"/>
                <w:color w:val="000000"/>
                <w:lang w:eastAsia="en-AU"/>
              </w:rPr>
              <w:t>Cross sectional comparison  of</w:t>
            </w:r>
            <w:r>
              <w:rPr>
                <w:rFonts w:ascii="Calibri" w:eastAsia="Times New Roman" w:hAnsi="Calibri" w:cs="Calibri"/>
                <w:color w:val="000000"/>
                <w:lang w:eastAsia="en-AU"/>
              </w:rPr>
              <w:t xml:space="preserve"> </w:t>
            </w:r>
            <w:r w:rsidR="00F24847">
              <w:rPr>
                <w:rFonts w:ascii="Calibri" w:eastAsia="Times New Roman" w:hAnsi="Calibri" w:cs="Calibri"/>
                <w:color w:val="000000"/>
                <w:lang w:eastAsia="en-AU"/>
              </w:rPr>
              <w:t>intentional communities with group homes and campus residences.</w:t>
            </w:r>
          </w:p>
        </w:tc>
      </w:tr>
      <w:tr w:rsidR="00F00CFD" w:rsidRPr="00650916" w14:paraId="34CF7758" w14:textId="77777777" w:rsidTr="006E2C88">
        <w:tc>
          <w:tcPr>
            <w:tcW w:w="234" w:type="pct"/>
            <w:shd w:val="clear" w:color="auto" w:fill="auto"/>
          </w:tcPr>
          <w:p w14:paraId="3CD3914E" w14:textId="64F7F8F1"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3</w:t>
            </w:r>
            <w:r w:rsidR="00E96C60">
              <w:rPr>
                <w:rFonts w:ascii="Calibri" w:eastAsia="Times New Roman" w:hAnsi="Calibri" w:cs="Calibri"/>
                <w:color w:val="000000"/>
                <w:lang w:eastAsia="en-AU"/>
              </w:rPr>
              <w:t>7</w:t>
            </w:r>
          </w:p>
        </w:tc>
        <w:tc>
          <w:tcPr>
            <w:tcW w:w="573" w:type="pct"/>
            <w:shd w:val="clear" w:color="auto" w:fill="auto"/>
            <w:hideMark/>
          </w:tcPr>
          <w:p w14:paraId="1B7A34A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Farhall et al</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2003</w:t>
            </w:r>
            <w:r>
              <w:rPr>
                <w:rFonts w:ascii="Calibri" w:eastAsia="Times New Roman" w:hAnsi="Calibri" w:cs="Calibri"/>
                <w:color w:val="000000"/>
                <w:lang w:eastAsia="en-AU"/>
              </w:rPr>
              <w:t>)</w:t>
            </w:r>
          </w:p>
        </w:tc>
        <w:tc>
          <w:tcPr>
            <w:tcW w:w="707" w:type="pct"/>
            <w:shd w:val="clear" w:color="auto" w:fill="auto"/>
            <w:hideMark/>
          </w:tcPr>
          <w:p w14:paraId="3A41DAE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1) examination of the incidence of, and variables associated with, relocation trauma among 85 patients who moved from long-stay psychiatric wards to community care units</w:t>
            </w:r>
          </w:p>
        </w:tc>
        <w:tc>
          <w:tcPr>
            <w:tcW w:w="404" w:type="pct"/>
            <w:shd w:val="clear" w:color="auto" w:fill="auto"/>
            <w:hideMark/>
          </w:tcPr>
          <w:p w14:paraId="0B76D424"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Australia</w:t>
            </w:r>
          </w:p>
        </w:tc>
        <w:tc>
          <w:tcPr>
            <w:tcW w:w="606" w:type="pct"/>
            <w:shd w:val="clear" w:color="auto" w:fill="auto"/>
            <w:hideMark/>
          </w:tcPr>
          <w:p w14:paraId="68B519D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Pre/post design of relocation trauma and quality of life measures</w:t>
            </w:r>
          </w:p>
        </w:tc>
        <w:tc>
          <w:tcPr>
            <w:tcW w:w="619" w:type="pct"/>
            <w:shd w:val="clear" w:color="auto" w:fill="auto"/>
            <w:hideMark/>
          </w:tcPr>
          <w:p w14:paraId="06ADC9E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Psychiatric disorder (Schizophrenia)</w:t>
            </w:r>
          </w:p>
        </w:tc>
        <w:tc>
          <w:tcPr>
            <w:tcW w:w="1011" w:type="pct"/>
            <w:shd w:val="clear" w:color="auto" w:fill="auto"/>
            <w:hideMark/>
          </w:tcPr>
          <w:p w14:paraId="5427EA4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 from long-stay psychiatric wards to community care units or transitional residential units (no of residents not specified)</w:t>
            </w:r>
          </w:p>
        </w:tc>
        <w:tc>
          <w:tcPr>
            <w:tcW w:w="846" w:type="pct"/>
            <w:shd w:val="clear" w:color="auto" w:fill="auto"/>
            <w:hideMark/>
          </w:tcPr>
          <w:p w14:paraId="1A547314" w14:textId="0CAEEA0B" w:rsidR="00F00CFD" w:rsidRPr="00650916" w:rsidRDefault="00F24847" w:rsidP="00046E15">
            <w:pPr>
              <w:rPr>
                <w:rFonts w:ascii="Calibri" w:eastAsia="Times New Roman" w:hAnsi="Calibri" w:cs="Calibri"/>
                <w:color w:val="000000"/>
                <w:lang w:eastAsia="en-AU"/>
              </w:rPr>
            </w:pPr>
            <w:r>
              <w:rPr>
                <w:rFonts w:ascii="Calibri" w:eastAsia="Times New Roman" w:hAnsi="Calibri" w:cs="Calibri"/>
                <w:color w:val="000000"/>
                <w:lang w:eastAsia="en-AU"/>
              </w:rPr>
              <w:t>Deinstitutionalisation from psychiatric wards to either temporary transitional units or community care units.</w:t>
            </w:r>
          </w:p>
        </w:tc>
      </w:tr>
      <w:tr w:rsidR="00F00CFD" w:rsidRPr="00F66260" w14:paraId="03E6073D" w14:textId="77777777" w:rsidTr="006E2C88">
        <w:tc>
          <w:tcPr>
            <w:tcW w:w="234" w:type="pct"/>
          </w:tcPr>
          <w:p w14:paraId="162243D6" w14:textId="35FCF3C5" w:rsidR="00F00CFD" w:rsidRPr="00F66260" w:rsidRDefault="00F00CFD" w:rsidP="00046E15">
            <w:r>
              <w:t>3</w:t>
            </w:r>
            <w:r w:rsidR="00E96C60">
              <w:t>8</w:t>
            </w:r>
          </w:p>
        </w:tc>
        <w:tc>
          <w:tcPr>
            <w:tcW w:w="573" w:type="pct"/>
            <w:hideMark/>
          </w:tcPr>
          <w:p w14:paraId="3B912C8E" w14:textId="77777777" w:rsidR="00F00CFD" w:rsidRPr="00F66260" w:rsidRDefault="00F00CFD" w:rsidP="00046E15">
            <w:r w:rsidRPr="00F66260">
              <w:t>Felce</w:t>
            </w:r>
            <w:r>
              <w:t xml:space="preserve"> (2006)</w:t>
            </w:r>
          </w:p>
        </w:tc>
        <w:tc>
          <w:tcPr>
            <w:tcW w:w="707" w:type="pct"/>
          </w:tcPr>
          <w:p w14:paraId="4B6705D2" w14:textId="77777777" w:rsidR="00F00CFD" w:rsidRPr="00F66260" w:rsidRDefault="00F00CFD" w:rsidP="00046E15">
            <w:r>
              <w:t xml:space="preserve">Critique of </w:t>
            </w:r>
            <w:r w:rsidRPr="00F66260">
              <w:t xml:space="preserve">Deinstitutionalization and a Postinstitutional Research Agenda </w:t>
            </w:r>
          </w:p>
        </w:tc>
        <w:tc>
          <w:tcPr>
            <w:tcW w:w="404" w:type="pct"/>
            <w:noWrap/>
            <w:hideMark/>
          </w:tcPr>
          <w:p w14:paraId="4A573902" w14:textId="77777777" w:rsidR="00F00CFD" w:rsidRPr="00F66260" w:rsidRDefault="00F00CFD" w:rsidP="00046E15">
            <w:r w:rsidRPr="00F66260">
              <w:t>General</w:t>
            </w:r>
          </w:p>
        </w:tc>
        <w:tc>
          <w:tcPr>
            <w:tcW w:w="606" w:type="pct"/>
            <w:noWrap/>
          </w:tcPr>
          <w:p w14:paraId="0F32D4E6" w14:textId="77777777" w:rsidR="00F00CFD" w:rsidRPr="00F66260" w:rsidRDefault="00F00CFD" w:rsidP="00046E15">
            <w:r>
              <w:t xml:space="preserve">Discussion. Grey literature. </w:t>
            </w:r>
          </w:p>
        </w:tc>
        <w:tc>
          <w:tcPr>
            <w:tcW w:w="619" w:type="pct"/>
            <w:noWrap/>
            <w:hideMark/>
          </w:tcPr>
          <w:p w14:paraId="2C1E46DC" w14:textId="77777777" w:rsidR="00F00CFD" w:rsidRPr="00F66260" w:rsidRDefault="00F00CFD" w:rsidP="00046E15">
            <w:r w:rsidRPr="00F66260">
              <w:t>Intellectual disability</w:t>
            </w:r>
          </w:p>
        </w:tc>
        <w:tc>
          <w:tcPr>
            <w:tcW w:w="1011" w:type="pct"/>
            <w:hideMark/>
          </w:tcPr>
          <w:p w14:paraId="20912E74" w14:textId="77777777" w:rsidR="00F00CFD" w:rsidRPr="00F66260" w:rsidRDefault="00F00CFD" w:rsidP="00046E15">
            <w:r w:rsidRPr="00F66260">
              <w:t>Deinstitutionalisation movement</w:t>
            </w:r>
          </w:p>
        </w:tc>
        <w:tc>
          <w:tcPr>
            <w:tcW w:w="846" w:type="pct"/>
            <w:noWrap/>
            <w:hideMark/>
          </w:tcPr>
          <w:p w14:paraId="7CAFEB62" w14:textId="77777777" w:rsidR="00F00CFD" w:rsidRPr="00F66260" w:rsidRDefault="00F00CFD" w:rsidP="00046E15">
            <w:r w:rsidRPr="00F66260">
              <w:t>Deinstitutionalisation</w:t>
            </w:r>
          </w:p>
        </w:tc>
      </w:tr>
      <w:tr w:rsidR="00F00CFD" w:rsidRPr="00650916" w14:paraId="5499FED7" w14:textId="77777777" w:rsidTr="00AE0078">
        <w:tc>
          <w:tcPr>
            <w:tcW w:w="234" w:type="pct"/>
          </w:tcPr>
          <w:p w14:paraId="2AB073B9" w14:textId="4420A3C8" w:rsidR="00F00CFD" w:rsidRPr="00650916" w:rsidRDefault="00E96C60" w:rsidP="00046E15">
            <w:pPr>
              <w:rPr>
                <w:rFonts w:ascii="Calibri" w:eastAsia="Times New Roman" w:hAnsi="Calibri" w:cs="Calibri"/>
                <w:color w:val="000000"/>
                <w:lang w:eastAsia="en-AU"/>
              </w:rPr>
            </w:pPr>
            <w:r>
              <w:rPr>
                <w:rFonts w:ascii="Calibri" w:eastAsia="Times New Roman" w:hAnsi="Calibri" w:cs="Calibri"/>
                <w:color w:val="000000"/>
                <w:lang w:eastAsia="en-AU"/>
              </w:rPr>
              <w:t>39</w:t>
            </w:r>
          </w:p>
        </w:tc>
        <w:tc>
          <w:tcPr>
            <w:tcW w:w="573" w:type="pct"/>
            <w:hideMark/>
          </w:tcPr>
          <w:p w14:paraId="4E543B6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Fionnola</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 xml:space="preserve">&amp; McConkey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2012</w:t>
            </w:r>
            <w:r>
              <w:rPr>
                <w:rFonts w:ascii="Calibri" w:eastAsia="Times New Roman" w:hAnsi="Calibri" w:cs="Calibri"/>
                <w:color w:val="000000"/>
                <w:lang w:eastAsia="en-AU"/>
              </w:rPr>
              <w:t>)</w:t>
            </w:r>
          </w:p>
        </w:tc>
        <w:tc>
          <w:tcPr>
            <w:tcW w:w="707" w:type="pct"/>
            <w:hideMark/>
          </w:tcPr>
          <w:p w14:paraId="1077A4EE"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Evaluation of transition from congregated living arrangements to community based accommodation.</w:t>
            </w:r>
          </w:p>
        </w:tc>
        <w:tc>
          <w:tcPr>
            <w:tcW w:w="404" w:type="pct"/>
            <w:hideMark/>
          </w:tcPr>
          <w:p w14:paraId="58FEEF03"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Ireland</w:t>
            </w:r>
          </w:p>
        </w:tc>
        <w:tc>
          <w:tcPr>
            <w:tcW w:w="606" w:type="pct"/>
            <w:hideMark/>
          </w:tcPr>
          <w:p w14:paraId="47243AE7"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Other-Comparative changes in type of residential accommodation in a ten year period.</w:t>
            </w:r>
          </w:p>
        </w:tc>
        <w:tc>
          <w:tcPr>
            <w:tcW w:w="619" w:type="pct"/>
            <w:hideMark/>
          </w:tcPr>
          <w:p w14:paraId="53F49093"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shd w:val="clear" w:color="auto" w:fill="auto"/>
            <w:hideMark/>
          </w:tcPr>
          <w:p w14:paraId="685B3D61" w14:textId="71FF50B4" w:rsidR="00F00CFD" w:rsidRPr="00650916" w:rsidRDefault="00D63F2F" w:rsidP="00046E15">
            <w:pPr>
              <w:rPr>
                <w:rFonts w:ascii="Calibri" w:eastAsia="Times New Roman" w:hAnsi="Calibri" w:cs="Calibri"/>
                <w:color w:val="000000"/>
                <w:lang w:eastAsia="en-AU"/>
              </w:rPr>
            </w:pPr>
            <w:r>
              <w:rPr>
                <w:rFonts w:ascii="Calibri" w:eastAsia="Times New Roman" w:hAnsi="Calibri" w:cs="Calibri"/>
                <w:color w:val="000000"/>
                <w:lang w:eastAsia="en-AU"/>
              </w:rPr>
              <w:t xml:space="preserve">Community settings including congregated </w:t>
            </w:r>
          </w:p>
        </w:tc>
        <w:tc>
          <w:tcPr>
            <w:tcW w:w="846" w:type="pct"/>
            <w:hideMark/>
          </w:tcPr>
          <w:p w14:paraId="0F4E943F" w14:textId="18162259" w:rsidR="00F00CFD" w:rsidRPr="00650916" w:rsidRDefault="00F24847" w:rsidP="00046E15">
            <w:pPr>
              <w:rPr>
                <w:rFonts w:ascii="Calibri" w:eastAsia="Times New Roman" w:hAnsi="Calibri" w:cs="Calibri"/>
                <w:color w:val="000000"/>
                <w:lang w:eastAsia="en-AU"/>
              </w:rPr>
            </w:pPr>
            <w:r>
              <w:rPr>
                <w:rFonts w:ascii="Calibri" w:eastAsia="Times New Roman" w:hAnsi="Calibri" w:cs="Calibri"/>
                <w:color w:val="000000"/>
                <w:lang w:eastAsia="en-AU"/>
              </w:rPr>
              <w:t>Not applicable</w:t>
            </w:r>
          </w:p>
        </w:tc>
      </w:tr>
      <w:tr w:rsidR="00F00CFD" w:rsidRPr="00650916" w14:paraId="622F7814" w14:textId="77777777" w:rsidTr="006E2C88">
        <w:tc>
          <w:tcPr>
            <w:tcW w:w="234" w:type="pct"/>
            <w:shd w:val="clear" w:color="auto" w:fill="auto"/>
          </w:tcPr>
          <w:p w14:paraId="32D262A9" w14:textId="333819FB"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lastRenderedPageBreak/>
              <w:t>4</w:t>
            </w:r>
            <w:r w:rsidR="00E96C60">
              <w:rPr>
                <w:rFonts w:ascii="Calibri" w:eastAsia="Times New Roman" w:hAnsi="Calibri" w:cs="Calibri"/>
                <w:color w:val="000000"/>
                <w:lang w:eastAsia="en-AU"/>
              </w:rPr>
              <w:t>0</w:t>
            </w:r>
          </w:p>
        </w:tc>
        <w:tc>
          <w:tcPr>
            <w:tcW w:w="573" w:type="pct"/>
            <w:shd w:val="clear" w:color="auto" w:fill="auto"/>
            <w:hideMark/>
          </w:tcPr>
          <w:p w14:paraId="4C1FBE1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Fish and Lobley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2001</w:t>
            </w:r>
            <w:r>
              <w:rPr>
                <w:rFonts w:ascii="Calibri" w:eastAsia="Times New Roman" w:hAnsi="Calibri" w:cs="Calibri"/>
                <w:color w:val="000000"/>
                <w:lang w:eastAsia="en-AU"/>
              </w:rPr>
              <w:t>)</w:t>
            </w:r>
          </w:p>
        </w:tc>
        <w:tc>
          <w:tcPr>
            <w:tcW w:w="707" w:type="pct"/>
            <w:shd w:val="clear" w:color="auto" w:fill="auto"/>
            <w:hideMark/>
          </w:tcPr>
          <w:p w14:paraId="78CC6A3E"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Evaluation of quality of life comparing transition from an institution based secure unit to a community based unit.</w:t>
            </w:r>
          </w:p>
        </w:tc>
        <w:tc>
          <w:tcPr>
            <w:tcW w:w="404" w:type="pct"/>
            <w:shd w:val="clear" w:color="auto" w:fill="auto"/>
            <w:hideMark/>
          </w:tcPr>
          <w:p w14:paraId="5514D05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UK</w:t>
            </w:r>
          </w:p>
        </w:tc>
        <w:tc>
          <w:tcPr>
            <w:tcW w:w="606" w:type="pct"/>
            <w:shd w:val="clear" w:color="auto" w:fill="auto"/>
            <w:hideMark/>
          </w:tcPr>
          <w:p w14:paraId="1A88C71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Pre/post repeated measures design</w:t>
            </w:r>
          </w:p>
        </w:tc>
        <w:tc>
          <w:tcPr>
            <w:tcW w:w="619" w:type="pct"/>
            <w:shd w:val="clear" w:color="auto" w:fill="auto"/>
            <w:hideMark/>
          </w:tcPr>
          <w:p w14:paraId="0C4B578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Learning disability</w:t>
            </w:r>
          </w:p>
        </w:tc>
        <w:tc>
          <w:tcPr>
            <w:tcW w:w="1011" w:type="pct"/>
            <w:shd w:val="clear" w:color="auto" w:fill="auto"/>
            <w:hideMark/>
          </w:tcPr>
          <w:p w14:paraId="4169FED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Community housing (apartment)</w:t>
            </w:r>
          </w:p>
        </w:tc>
        <w:tc>
          <w:tcPr>
            <w:tcW w:w="846" w:type="pct"/>
            <w:shd w:val="clear" w:color="auto" w:fill="auto"/>
            <w:hideMark/>
          </w:tcPr>
          <w:p w14:paraId="1A62FA77" w14:textId="3C72CB04" w:rsidR="00F00CFD" w:rsidRPr="00650916" w:rsidRDefault="00F24847" w:rsidP="00046E15">
            <w:pPr>
              <w:rPr>
                <w:rFonts w:ascii="Calibri" w:eastAsia="Times New Roman" w:hAnsi="Calibri" w:cs="Calibri"/>
                <w:color w:val="000000"/>
                <w:lang w:eastAsia="en-AU"/>
              </w:rPr>
            </w:pPr>
            <w:r>
              <w:rPr>
                <w:rFonts w:ascii="Calibri" w:eastAsia="Times New Roman" w:hAnsi="Calibri" w:cs="Calibri"/>
                <w:color w:val="000000"/>
                <w:lang w:eastAsia="en-AU"/>
              </w:rPr>
              <w:t>Transition from a forensic institutionalized unit to secure community based unit.</w:t>
            </w:r>
          </w:p>
        </w:tc>
      </w:tr>
      <w:tr w:rsidR="00F00CFD" w:rsidRPr="00FE0180" w14:paraId="18B294EB"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521E70BB" w14:textId="0A49825C" w:rsidR="00F00CFD" w:rsidRPr="00FE0180" w:rsidRDefault="00F00CFD" w:rsidP="00046E15">
            <w:r>
              <w:t>4</w:t>
            </w:r>
            <w:r w:rsidR="00E96C60">
              <w:t>1</w:t>
            </w:r>
          </w:p>
        </w:tc>
        <w:tc>
          <w:tcPr>
            <w:tcW w:w="573" w:type="pct"/>
            <w:tcBorders>
              <w:top w:val="single" w:sz="4" w:space="0" w:color="auto"/>
              <w:left w:val="single" w:sz="4" w:space="0" w:color="auto"/>
              <w:bottom w:val="single" w:sz="4" w:space="0" w:color="auto"/>
              <w:right w:val="single" w:sz="4" w:space="0" w:color="auto"/>
            </w:tcBorders>
            <w:hideMark/>
          </w:tcPr>
          <w:p w14:paraId="74D78B20" w14:textId="2C78EBDB" w:rsidR="00F00CFD" w:rsidRPr="00FE0180" w:rsidRDefault="00F00CFD" w:rsidP="00046E15">
            <w:r w:rsidRPr="00FE0180">
              <w:t xml:space="preserve">Fish, </w:t>
            </w:r>
            <w:r w:rsidR="00E96C60">
              <w:t>&amp;</w:t>
            </w:r>
            <w:r w:rsidRPr="00FE0180">
              <w:t xml:space="preserve">Morgan, </w:t>
            </w:r>
            <w:r>
              <w:t>(2019)</w:t>
            </w:r>
          </w:p>
        </w:tc>
        <w:tc>
          <w:tcPr>
            <w:tcW w:w="707" w:type="pct"/>
            <w:tcBorders>
              <w:top w:val="single" w:sz="4" w:space="0" w:color="auto"/>
              <w:left w:val="single" w:sz="4" w:space="0" w:color="auto"/>
              <w:bottom w:val="single" w:sz="4" w:space="0" w:color="auto"/>
              <w:right w:val="single" w:sz="4" w:space="0" w:color="auto"/>
            </w:tcBorders>
            <w:hideMark/>
          </w:tcPr>
          <w:p w14:paraId="0C0138A0" w14:textId="77777777" w:rsidR="00F00CFD" w:rsidRPr="00FE0180" w:rsidRDefault="00F00CFD" w:rsidP="00046E15">
            <w:r w:rsidRPr="00FE0180">
              <w:t>To explore how “moving on” is defined and perceived by women in a locked ward</w:t>
            </w:r>
          </w:p>
        </w:tc>
        <w:tc>
          <w:tcPr>
            <w:tcW w:w="404" w:type="pct"/>
            <w:tcBorders>
              <w:top w:val="single" w:sz="4" w:space="0" w:color="auto"/>
              <w:left w:val="single" w:sz="4" w:space="0" w:color="auto"/>
              <w:bottom w:val="single" w:sz="4" w:space="0" w:color="auto"/>
              <w:right w:val="single" w:sz="4" w:space="0" w:color="auto"/>
            </w:tcBorders>
          </w:tcPr>
          <w:p w14:paraId="25E5F81E" w14:textId="77777777" w:rsidR="00F00CFD" w:rsidRDefault="00F00CFD" w:rsidP="00046E15">
            <w:r w:rsidRPr="00FE0180">
              <w:t>UK</w:t>
            </w:r>
          </w:p>
        </w:tc>
        <w:tc>
          <w:tcPr>
            <w:tcW w:w="606" w:type="pct"/>
            <w:tcBorders>
              <w:top w:val="single" w:sz="4" w:space="0" w:color="auto"/>
              <w:left w:val="single" w:sz="4" w:space="0" w:color="auto"/>
              <w:bottom w:val="single" w:sz="4" w:space="0" w:color="auto"/>
              <w:right w:val="single" w:sz="4" w:space="0" w:color="auto"/>
            </w:tcBorders>
          </w:tcPr>
          <w:p w14:paraId="026C4DE6" w14:textId="77777777" w:rsidR="00F00CFD" w:rsidRDefault="00F00CFD" w:rsidP="00046E15">
            <w:r>
              <w:t>Ethnography; Semi-structured interviews</w:t>
            </w:r>
          </w:p>
          <w:p w14:paraId="0FF53079" w14:textId="77777777" w:rsidR="00F00CFD" w:rsidRPr="00FE0180" w:rsidRDefault="00F00CFD" w:rsidP="00046E15">
            <w:r>
              <w:t>(n=26)</w:t>
            </w:r>
          </w:p>
        </w:tc>
        <w:tc>
          <w:tcPr>
            <w:tcW w:w="619" w:type="pct"/>
            <w:tcBorders>
              <w:top w:val="single" w:sz="4" w:space="0" w:color="auto"/>
              <w:left w:val="single" w:sz="4" w:space="0" w:color="auto"/>
              <w:bottom w:val="single" w:sz="4" w:space="0" w:color="auto"/>
              <w:right w:val="single" w:sz="4" w:space="0" w:color="auto"/>
            </w:tcBorders>
            <w:hideMark/>
          </w:tcPr>
          <w:p w14:paraId="4C51431D" w14:textId="77777777" w:rsidR="00F00CFD" w:rsidRPr="00FE0180" w:rsidRDefault="00F00CFD" w:rsidP="00046E15">
            <w:r w:rsidRPr="00FE0180">
              <w:t xml:space="preserve">Psychiatric disability </w:t>
            </w:r>
          </w:p>
        </w:tc>
        <w:tc>
          <w:tcPr>
            <w:tcW w:w="1011" w:type="pct"/>
            <w:tcBorders>
              <w:top w:val="single" w:sz="4" w:space="0" w:color="auto"/>
              <w:left w:val="single" w:sz="4" w:space="0" w:color="auto"/>
              <w:bottom w:val="single" w:sz="4" w:space="0" w:color="auto"/>
              <w:right w:val="single" w:sz="4" w:space="0" w:color="auto"/>
            </w:tcBorders>
            <w:hideMark/>
          </w:tcPr>
          <w:p w14:paraId="64888002" w14:textId="77777777" w:rsidR="00F00CFD" w:rsidRPr="00FE0180" w:rsidRDefault="00F00CFD" w:rsidP="00046E15">
            <w:r w:rsidRPr="00FE0180">
              <w:t xml:space="preserve">Locked ward to community </w:t>
            </w:r>
          </w:p>
        </w:tc>
        <w:tc>
          <w:tcPr>
            <w:tcW w:w="846" w:type="pct"/>
            <w:tcBorders>
              <w:top w:val="single" w:sz="4" w:space="0" w:color="auto"/>
              <w:left w:val="single" w:sz="4" w:space="0" w:color="auto"/>
              <w:bottom w:val="single" w:sz="4" w:space="0" w:color="auto"/>
              <w:right w:val="single" w:sz="4" w:space="0" w:color="auto"/>
            </w:tcBorders>
            <w:hideMark/>
          </w:tcPr>
          <w:p w14:paraId="63A3A9B6" w14:textId="77777777" w:rsidR="00F00CFD" w:rsidRPr="00FE0180" w:rsidRDefault="00F00CFD" w:rsidP="00046E15">
            <w:r w:rsidRPr="00FE0180">
              <w:t xml:space="preserve">Experience of deinstitutionalisation </w:t>
            </w:r>
          </w:p>
        </w:tc>
      </w:tr>
      <w:tr w:rsidR="00F00CFD" w:rsidRPr="00F66260" w14:paraId="0D62D992" w14:textId="77777777" w:rsidTr="006E2C88">
        <w:tc>
          <w:tcPr>
            <w:tcW w:w="234" w:type="pct"/>
          </w:tcPr>
          <w:p w14:paraId="1607C122" w14:textId="411AC489" w:rsidR="00F00CFD" w:rsidRPr="00F66260" w:rsidRDefault="00F00CFD" w:rsidP="00046E15">
            <w:r>
              <w:t>4</w:t>
            </w:r>
            <w:r w:rsidR="00E96C60">
              <w:t>2</w:t>
            </w:r>
          </w:p>
        </w:tc>
        <w:tc>
          <w:tcPr>
            <w:tcW w:w="573" w:type="pct"/>
            <w:noWrap/>
            <w:hideMark/>
          </w:tcPr>
          <w:p w14:paraId="4288ECF3" w14:textId="77777777" w:rsidR="00F00CFD" w:rsidRPr="00F66260" w:rsidRDefault="00F00CFD" w:rsidP="00046E15">
            <w:r w:rsidRPr="00F66260">
              <w:t>Fisher</w:t>
            </w:r>
            <w:r>
              <w:t xml:space="preserve"> et al (2008)</w:t>
            </w:r>
          </w:p>
        </w:tc>
        <w:tc>
          <w:tcPr>
            <w:tcW w:w="707" w:type="pct"/>
            <w:noWrap/>
          </w:tcPr>
          <w:p w14:paraId="19F6F794" w14:textId="77777777" w:rsidR="00F00CFD" w:rsidRPr="00F66260" w:rsidRDefault="00F00CFD" w:rsidP="00046E15">
            <w:r w:rsidRPr="00F66260">
              <w:t>Effectiveness of support living in relation to shared accommodation: final report</w:t>
            </w:r>
          </w:p>
        </w:tc>
        <w:tc>
          <w:tcPr>
            <w:tcW w:w="404" w:type="pct"/>
            <w:noWrap/>
            <w:hideMark/>
          </w:tcPr>
          <w:p w14:paraId="32849F51" w14:textId="77777777" w:rsidR="00F00CFD" w:rsidRPr="00F66260" w:rsidRDefault="00F00CFD" w:rsidP="00046E15">
            <w:r w:rsidRPr="00F66260">
              <w:t>Aus</w:t>
            </w:r>
            <w:r>
              <w:t>tralia</w:t>
            </w:r>
          </w:p>
        </w:tc>
        <w:tc>
          <w:tcPr>
            <w:tcW w:w="606" w:type="pct"/>
            <w:noWrap/>
          </w:tcPr>
          <w:p w14:paraId="24E0A2E5" w14:textId="77777777" w:rsidR="00F00CFD" w:rsidRPr="00F66260" w:rsidRDefault="00F00CFD" w:rsidP="00046E15">
            <w:r>
              <w:t xml:space="preserve">Mixed methods. Grey literature </w:t>
            </w:r>
          </w:p>
        </w:tc>
        <w:tc>
          <w:tcPr>
            <w:tcW w:w="619" w:type="pct"/>
            <w:noWrap/>
            <w:hideMark/>
          </w:tcPr>
          <w:p w14:paraId="58D5F512" w14:textId="77777777" w:rsidR="00F00CFD" w:rsidRPr="00F66260" w:rsidRDefault="00F00CFD" w:rsidP="00046E15">
            <w:r w:rsidRPr="00F66260">
              <w:t>People with disability</w:t>
            </w:r>
          </w:p>
        </w:tc>
        <w:tc>
          <w:tcPr>
            <w:tcW w:w="1011" w:type="pct"/>
            <w:hideMark/>
          </w:tcPr>
          <w:p w14:paraId="23279120" w14:textId="77777777" w:rsidR="00F00CFD" w:rsidRPr="00F66260" w:rsidRDefault="00F00CFD" w:rsidP="00046E15">
            <w:r w:rsidRPr="00F66260">
              <w:t xml:space="preserve">Supported living compared to shared accommodation; 24 hour support options </w:t>
            </w:r>
          </w:p>
        </w:tc>
        <w:tc>
          <w:tcPr>
            <w:tcW w:w="846" w:type="pct"/>
            <w:noWrap/>
            <w:hideMark/>
          </w:tcPr>
          <w:p w14:paraId="3FF74D72" w14:textId="77777777" w:rsidR="00F00CFD" w:rsidRPr="00F66260" w:rsidRDefault="00F00CFD" w:rsidP="00046E15">
            <w:r w:rsidRPr="00F66260">
              <w:t>Supported</w:t>
            </w:r>
          </w:p>
        </w:tc>
      </w:tr>
      <w:tr w:rsidR="00F00CFD" w:rsidRPr="00F66260" w14:paraId="2192C73C" w14:textId="77777777" w:rsidTr="006E2C88">
        <w:tc>
          <w:tcPr>
            <w:tcW w:w="234" w:type="pct"/>
          </w:tcPr>
          <w:p w14:paraId="244170A3" w14:textId="3AF28FB1" w:rsidR="00F00CFD" w:rsidRPr="00F66260" w:rsidRDefault="00F00CFD" w:rsidP="00046E15">
            <w:r>
              <w:t>4</w:t>
            </w:r>
            <w:r w:rsidR="00E96C60">
              <w:t>3</w:t>
            </w:r>
          </w:p>
        </w:tc>
        <w:tc>
          <w:tcPr>
            <w:tcW w:w="573" w:type="pct"/>
            <w:noWrap/>
            <w:hideMark/>
          </w:tcPr>
          <w:p w14:paraId="7D8AD256" w14:textId="77777777" w:rsidR="00F00CFD" w:rsidRPr="00F66260" w:rsidRDefault="00F00CFD" w:rsidP="00046E15">
            <w:r w:rsidRPr="00F66260">
              <w:t>Foley</w:t>
            </w:r>
            <w:r>
              <w:t xml:space="preserve"> (2014)</w:t>
            </w:r>
          </w:p>
        </w:tc>
        <w:tc>
          <w:tcPr>
            <w:tcW w:w="707" w:type="pct"/>
            <w:noWrap/>
          </w:tcPr>
          <w:p w14:paraId="51B42520" w14:textId="77777777" w:rsidR="00F00CFD" w:rsidRPr="00F66260" w:rsidRDefault="00F00CFD" w:rsidP="00046E15">
            <w:r>
              <w:t>Housing for people with disabilities living at home</w:t>
            </w:r>
            <w:r w:rsidRPr="00F66260">
              <w:t xml:space="preserve"> and how Irish government policy is designed not to help them</w:t>
            </w:r>
          </w:p>
        </w:tc>
        <w:tc>
          <w:tcPr>
            <w:tcW w:w="404" w:type="pct"/>
            <w:noWrap/>
            <w:hideMark/>
          </w:tcPr>
          <w:p w14:paraId="07012E72" w14:textId="77777777" w:rsidR="00F00CFD" w:rsidRPr="00F66260" w:rsidRDefault="00F00CFD" w:rsidP="00046E15">
            <w:r w:rsidRPr="00F66260">
              <w:t>Ireland</w:t>
            </w:r>
          </w:p>
        </w:tc>
        <w:tc>
          <w:tcPr>
            <w:tcW w:w="606" w:type="pct"/>
            <w:noWrap/>
          </w:tcPr>
          <w:p w14:paraId="535F7B84" w14:textId="77777777" w:rsidR="00F00CFD" w:rsidRPr="00F66260" w:rsidRDefault="00F00CFD" w:rsidP="00046E15">
            <w:r>
              <w:t xml:space="preserve">Policy review. Grey literature </w:t>
            </w:r>
          </w:p>
        </w:tc>
        <w:tc>
          <w:tcPr>
            <w:tcW w:w="619" w:type="pct"/>
            <w:noWrap/>
            <w:hideMark/>
          </w:tcPr>
          <w:p w14:paraId="11126853" w14:textId="77777777" w:rsidR="00F00CFD" w:rsidRPr="00F66260" w:rsidRDefault="00F00CFD" w:rsidP="00046E15">
            <w:r w:rsidRPr="00F66260">
              <w:t>Intellectual disability (n=1)</w:t>
            </w:r>
          </w:p>
        </w:tc>
        <w:tc>
          <w:tcPr>
            <w:tcW w:w="1011" w:type="pct"/>
            <w:hideMark/>
          </w:tcPr>
          <w:p w14:paraId="0A38E4D0" w14:textId="77777777" w:rsidR="00F00CFD" w:rsidRPr="00F66260" w:rsidRDefault="00F00CFD" w:rsidP="00046E15">
            <w:r w:rsidRPr="00F66260">
              <w:t>Family home</w:t>
            </w:r>
          </w:p>
        </w:tc>
        <w:tc>
          <w:tcPr>
            <w:tcW w:w="846" w:type="pct"/>
            <w:noWrap/>
            <w:hideMark/>
          </w:tcPr>
          <w:p w14:paraId="43AEBCEE" w14:textId="77777777" w:rsidR="00F00CFD" w:rsidRPr="00F66260" w:rsidRDefault="00F00CFD" w:rsidP="00046E15">
            <w:r w:rsidRPr="00F66260">
              <w:t>Family home</w:t>
            </w:r>
          </w:p>
        </w:tc>
      </w:tr>
      <w:tr w:rsidR="00F00CFD" w:rsidRPr="00F66260" w14:paraId="2AE8CB7D" w14:textId="77777777" w:rsidTr="006E2C88">
        <w:tc>
          <w:tcPr>
            <w:tcW w:w="234" w:type="pct"/>
          </w:tcPr>
          <w:p w14:paraId="16F21B4C" w14:textId="067F3D90" w:rsidR="00F00CFD" w:rsidRPr="00F66260" w:rsidRDefault="00F00CFD" w:rsidP="00046E15">
            <w:r>
              <w:t>4</w:t>
            </w:r>
            <w:r w:rsidR="00E96C60">
              <w:t>4</w:t>
            </w:r>
          </w:p>
        </w:tc>
        <w:tc>
          <w:tcPr>
            <w:tcW w:w="573" w:type="pct"/>
            <w:hideMark/>
          </w:tcPr>
          <w:p w14:paraId="610DE58F" w14:textId="77777777" w:rsidR="00F00CFD" w:rsidRPr="00F66260" w:rsidRDefault="00F00CFD" w:rsidP="00046E15">
            <w:r w:rsidRPr="00F66260">
              <w:t>Glynn</w:t>
            </w:r>
            <w:r>
              <w:t xml:space="preserve"> (2018)</w:t>
            </w:r>
          </w:p>
        </w:tc>
        <w:tc>
          <w:tcPr>
            <w:tcW w:w="707" w:type="pct"/>
          </w:tcPr>
          <w:p w14:paraId="6D2C8C91" w14:textId="77777777" w:rsidR="00F00CFD" w:rsidRPr="00F66260" w:rsidRDefault="00F00CFD" w:rsidP="00046E15">
            <w:r>
              <w:t>Reflection on real choice to access to PA services versus 24 hours residential care</w:t>
            </w:r>
          </w:p>
        </w:tc>
        <w:tc>
          <w:tcPr>
            <w:tcW w:w="404" w:type="pct"/>
            <w:noWrap/>
            <w:hideMark/>
          </w:tcPr>
          <w:p w14:paraId="61198CE9" w14:textId="77777777" w:rsidR="00F00CFD" w:rsidRPr="00F66260" w:rsidRDefault="00F00CFD" w:rsidP="00046E15">
            <w:r w:rsidRPr="00F66260">
              <w:t>Ireland</w:t>
            </w:r>
          </w:p>
        </w:tc>
        <w:tc>
          <w:tcPr>
            <w:tcW w:w="606" w:type="pct"/>
            <w:noWrap/>
          </w:tcPr>
          <w:p w14:paraId="2C3FB8C3" w14:textId="77777777" w:rsidR="00F00CFD" w:rsidRPr="00F66260" w:rsidRDefault="00F00CFD" w:rsidP="00046E15">
            <w:r>
              <w:t xml:space="preserve">Newspaper article </w:t>
            </w:r>
          </w:p>
        </w:tc>
        <w:tc>
          <w:tcPr>
            <w:tcW w:w="619" w:type="pct"/>
            <w:noWrap/>
            <w:hideMark/>
          </w:tcPr>
          <w:p w14:paraId="239FDCD2" w14:textId="77777777" w:rsidR="00F00CFD" w:rsidRPr="00F66260" w:rsidRDefault="00F00CFD" w:rsidP="00046E15">
            <w:r w:rsidRPr="00F66260">
              <w:t>Reflection of person with disability in newspaper article (n=1)</w:t>
            </w:r>
          </w:p>
        </w:tc>
        <w:tc>
          <w:tcPr>
            <w:tcW w:w="1011" w:type="pct"/>
            <w:hideMark/>
          </w:tcPr>
          <w:p w14:paraId="46E71ECF" w14:textId="77777777" w:rsidR="00F00CFD" w:rsidRPr="00F66260" w:rsidRDefault="00F00CFD" w:rsidP="00046E15">
            <w:r w:rsidRPr="00F66260">
              <w:t xml:space="preserve">Independent living; personal assistance </w:t>
            </w:r>
          </w:p>
        </w:tc>
        <w:tc>
          <w:tcPr>
            <w:tcW w:w="846" w:type="pct"/>
            <w:noWrap/>
            <w:hideMark/>
          </w:tcPr>
          <w:p w14:paraId="2B95BFB8" w14:textId="77777777" w:rsidR="00F00CFD" w:rsidRPr="00F66260" w:rsidRDefault="00F00CFD" w:rsidP="00046E15">
            <w:r w:rsidRPr="00F66260">
              <w:t>Independent</w:t>
            </w:r>
          </w:p>
        </w:tc>
      </w:tr>
      <w:tr w:rsidR="00F00CFD" w:rsidRPr="00650916" w14:paraId="2BCBEA81" w14:textId="77777777" w:rsidTr="00AE0078">
        <w:tc>
          <w:tcPr>
            <w:tcW w:w="234" w:type="pct"/>
          </w:tcPr>
          <w:p w14:paraId="3FD3457D" w14:textId="5A6982FF"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lastRenderedPageBreak/>
              <w:t>4</w:t>
            </w:r>
            <w:r w:rsidR="00E96C60">
              <w:rPr>
                <w:rFonts w:ascii="Calibri" w:eastAsia="Times New Roman" w:hAnsi="Calibri" w:cs="Calibri"/>
                <w:color w:val="000000"/>
                <w:lang w:eastAsia="en-AU"/>
              </w:rPr>
              <w:t>5</w:t>
            </w:r>
          </w:p>
        </w:tc>
        <w:tc>
          <w:tcPr>
            <w:tcW w:w="573" w:type="pct"/>
            <w:hideMark/>
          </w:tcPr>
          <w:p w14:paraId="271DA667"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Golding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2005</w:t>
            </w:r>
            <w:r>
              <w:rPr>
                <w:rFonts w:ascii="Calibri" w:eastAsia="Times New Roman" w:hAnsi="Calibri" w:cs="Calibri"/>
                <w:color w:val="000000"/>
                <w:lang w:eastAsia="en-AU"/>
              </w:rPr>
              <w:t>)</w:t>
            </w:r>
          </w:p>
        </w:tc>
        <w:tc>
          <w:tcPr>
            <w:tcW w:w="707" w:type="pct"/>
            <w:hideMark/>
          </w:tcPr>
          <w:p w14:paraId="378576A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This study explored the effects of relocation from institutional to specialized community-based residential provision for six men with mild to moderate intellectual disabilities and challenging behaviour and for a comparison group of six men with mild to moderate intellectual disabilities and challenging behaviour who were already living in specialized community based residential provision</w:t>
            </w:r>
          </w:p>
        </w:tc>
        <w:tc>
          <w:tcPr>
            <w:tcW w:w="404" w:type="pct"/>
            <w:hideMark/>
          </w:tcPr>
          <w:p w14:paraId="162628E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UK</w:t>
            </w:r>
          </w:p>
        </w:tc>
        <w:tc>
          <w:tcPr>
            <w:tcW w:w="606" w:type="pct"/>
            <w:hideMark/>
          </w:tcPr>
          <w:p w14:paraId="50FC1B4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Cross sectional study</w:t>
            </w:r>
          </w:p>
        </w:tc>
        <w:tc>
          <w:tcPr>
            <w:tcW w:w="619" w:type="pct"/>
            <w:hideMark/>
          </w:tcPr>
          <w:p w14:paraId="72AE77A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shd w:val="clear" w:color="auto" w:fill="auto"/>
            <w:hideMark/>
          </w:tcPr>
          <w:p w14:paraId="2A326412" w14:textId="166EE9AB" w:rsidR="00F00CFD" w:rsidRPr="00650916" w:rsidRDefault="005F3FE8" w:rsidP="00046E15">
            <w:pPr>
              <w:rPr>
                <w:rFonts w:ascii="Calibri" w:eastAsia="Times New Roman" w:hAnsi="Calibri" w:cs="Calibri"/>
                <w:color w:val="000000"/>
                <w:lang w:eastAsia="en-AU"/>
              </w:rPr>
            </w:pPr>
            <w:r>
              <w:rPr>
                <w:rFonts w:ascii="Calibri" w:eastAsia="Times New Roman" w:hAnsi="Calibri" w:cs="Calibri"/>
                <w:color w:val="000000"/>
                <w:lang w:eastAsia="en-AU"/>
              </w:rPr>
              <w:t>Community based residences</w:t>
            </w:r>
          </w:p>
        </w:tc>
        <w:tc>
          <w:tcPr>
            <w:tcW w:w="846" w:type="pct"/>
            <w:hideMark/>
          </w:tcPr>
          <w:p w14:paraId="6A35C4C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Transition </w:t>
            </w:r>
          </w:p>
        </w:tc>
      </w:tr>
      <w:tr w:rsidR="00F00CFD" w:rsidRPr="00F66260" w14:paraId="4780735D" w14:textId="77777777" w:rsidTr="006E2C88">
        <w:tc>
          <w:tcPr>
            <w:tcW w:w="234" w:type="pct"/>
          </w:tcPr>
          <w:p w14:paraId="48F01E45" w14:textId="0A4860D2" w:rsidR="00F00CFD" w:rsidRPr="00F66260" w:rsidRDefault="00F00CFD" w:rsidP="00046E15">
            <w:r>
              <w:t>4</w:t>
            </w:r>
            <w:r w:rsidR="00E96C60">
              <w:t>6</w:t>
            </w:r>
          </w:p>
        </w:tc>
        <w:tc>
          <w:tcPr>
            <w:tcW w:w="573" w:type="pct"/>
            <w:noWrap/>
            <w:hideMark/>
          </w:tcPr>
          <w:p w14:paraId="3EC61AE1" w14:textId="77777777" w:rsidR="00F00CFD" w:rsidRPr="00F66260" w:rsidRDefault="00F00CFD" w:rsidP="00046E15">
            <w:r w:rsidRPr="00F66260">
              <w:t>Grant et al (2017)</w:t>
            </w:r>
          </w:p>
        </w:tc>
        <w:tc>
          <w:tcPr>
            <w:tcW w:w="707" w:type="pct"/>
            <w:noWrap/>
          </w:tcPr>
          <w:p w14:paraId="5101ED19" w14:textId="77777777" w:rsidR="00F00CFD" w:rsidRPr="006E2C88" w:rsidRDefault="00F00CFD" w:rsidP="00046E15">
            <w:pPr>
              <w:rPr>
                <w:sz w:val="21"/>
                <w:szCs w:val="21"/>
              </w:rPr>
            </w:pPr>
            <w:r w:rsidRPr="006E2C88">
              <w:rPr>
                <w:sz w:val="21"/>
                <w:szCs w:val="21"/>
              </w:rPr>
              <w:t>Housing &amp; Indigenous disability: lived experiences of housing and community infrastructure</w:t>
            </w:r>
          </w:p>
        </w:tc>
        <w:tc>
          <w:tcPr>
            <w:tcW w:w="404" w:type="pct"/>
            <w:noWrap/>
            <w:hideMark/>
          </w:tcPr>
          <w:p w14:paraId="51F1BD3C" w14:textId="77777777" w:rsidR="00F00CFD" w:rsidRPr="00F66260" w:rsidRDefault="00F00CFD" w:rsidP="00046E15">
            <w:r w:rsidRPr="00F66260">
              <w:t>Aus</w:t>
            </w:r>
            <w:r>
              <w:t>tralia</w:t>
            </w:r>
          </w:p>
        </w:tc>
        <w:tc>
          <w:tcPr>
            <w:tcW w:w="606" w:type="pct"/>
            <w:noWrap/>
          </w:tcPr>
          <w:p w14:paraId="41F588E1" w14:textId="77777777" w:rsidR="00F00CFD" w:rsidRPr="00F66260" w:rsidRDefault="00F00CFD" w:rsidP="00046E15">
            <w:r>
              <w:t>Mixed methods. Grey literature.</w:t>
            </w:r>
          </w:p>
        </w:tc>
        <w:tc>
          <w:tcPr>
            <w:tcW w:w="619" w:type="pct"/>
            <w:noWrap/>
            <w:hideMark/>
          </w:tcPr>
          <w:p w14:paraId="0390F0AA" w14:textId="77777777" w:rsidR="00F00CFD" w:rsidRPr="00F66260" w:rsidRDefault="00F00CFD" w:rsidP="00046E15">
            <w:r w:rsidRPr="00F66260">
              <w:t>Indigenous people with disability (n=3 case study sites)</w:t>
            </w:r>
          </w:p>
        </w:tc>
        <w:tc>
          <w:tcPr>
            <w:tcW w:w="1011" w:type="pct"/>
            <w:hideMark/>
          </w:tcPr>
          <w:p w14:paraId="6A6D63D3" w14:textId="77777777" w:rsidR="00F00CFD" w:rsidRPr="00F66260" w:rsidRDefault="00F00CFD" w:rsidP="00046E15">
            <w:r w:rsidRPr="00F66260">
              <w:t xml:space="preserve">No one model explored. Looks at issues of moving or relocation in different study locations with variety of housing types and living supports. </w:t>
            </w:r>
          </w:p>
        </w:tc>
        <w:tc>
          <w:tcPr>
            <w:tcW w:w="846" w:type="pct"/>
            <w:noWrap/>
            <w:hideMark/>
          </w:tcPr>
          <w:p w14:paraId="019B8D18" w14:textId="77777777" w:rsidR="00F00CFD" w:rsidRPr="00F66260" w:rsidRDefault="00F00CFD" w:rsidP="00046E15">
            <w:r w:rsidRPr="00F66260">
              <w:t>Community</w:t>
            </w:r>
          </w:p>
        </w:tc>
      </w:tr>
      <w:tr w:rsidR="00F00CFD" w:rsidRPr="00F66260" w14:paraId="2DA14E54" w14:textId="77777777" w:rsidTr="006E2C88">
        <w:tc>
          <w:tcPr>
            <w:tcW w:w="234" w:type="pct"/>
          </w:tcPr>
          <w:p w14:paraId="25D67F9E" w14:textId="706FC0E7" w:rsidR="00F00CFD" w:rsidRPr="00F66260" w:rsidRDefault="00F00CFD" w:rsidP="00046E15">
            <w:r>
              <w:lastRenderedPageBreak/>
              <w:t>4</w:t>
            </w:r>
            <w:r w:rsidR="00E96C60">
              <w:t>7</w:t>
            </w:r>
          </w:p>
        </w:tc>
        <w:tc>
          <w:tcPr>
            <w:tcW w:w="573" w:type="pct"/>
            <w:hideMark/>
          </w:tcPr>
          <w:p w14:paraId="30EAA49E" w14:textId="77777777" w:rsidR="00F00CFD" w:rsidRPr="00F66260" w:rsidRDefault="00F00CFD" w:rsidP="00046E15">
            <w:r w:rsidRPr="00F66260">
              <w:t>Griffiths</w:t>
            </w:r>
            <w:r>
              <w:t xml:space="preserve"> (2011)</w:t>
            </w:r>
          </w:p>
        </w:tc>
        <w:tc>
          <w:tcPr>
            <w:tcW w:w="707" w:type="pct"/>
          </w:tcPr>
          <w:p w14:paraId="34BA2188" w14:textId="77777777" w:rsidR="00F00CFD" w:rsidRPr="00F66260" w:rsidRDefault="00F00CFD" w:rsidP="00046E15">
            <w:r>
              <w:t>Reflection on y</w:t>
            </w:r>
            <w:r w:rsidRPr="00F66260">
              <w:t xml:space="preserve">ounger disabled </w:t>
            </w:r>
            <w:r>
              <w:t xml:space="preserve">living in </w:t>
            </w:r>
            <w:r w:rsidRPr="00F66260">
              <w:t>aged care</w:t>
            </w:r>
          </w:p>
        </w:tc>
        <w:tc>
          <w:tcPr>
            <w:tcW w:w="404" w:type="pct"/>
            <w:noWrap/>
            <w:hideMark/>
          </w:tcPr>
          <w:p w14:paraId="63A539F7" w14:textId="77777777" w:rsidR="00F00CFD" w:rsidRPr="00F66260" w:rsidRDefault="00F00CFD" w:rsidP="00046E15">
            <w:r w:rsidRPr="00F66260">
              <w:t xml:space="preserve">Australia </w:t>
            </w:r>
          </w:p>
        </w:tc>
        <w:tc>
          <w:tcPr>
            <w:tcW w:w="606" w:type="pct"/>
            <w:noWrap/>
          </w:tcPr>
          <w:p w14:paraId="54ADB795" w14:textId="77777777" w:rsidR="00F00CFD" w:rsidRPr="00F66260" w:rsidRDefault="00F00CFD" w:rsidP="00046E15">
            <w:r>
              <w:t>Newspaper</w:t>
            </w:r>
          </w:p>
        </w:tc>
        <w:tc>
          <w:tcPr>
            <w:tcW w:w="619" w:type="pct"/>
            <w:noWrap/>
            <w:hideMark/>
          </w:tcPr>
          <w:p w14:paraId="2768BCD3" w14:textId="77777777" w:rsidR="00F00CFD" w:rsidRPr="00F66260" w:rsidRDefault="00F00CFD" w:rsidP="00046E15">
            <w:r w:rsidRPr="00F66260">
              <w:t>Seriously disabled aged under 50 years and in aged care/nursing home</w:t>
            </w:r>
          </w:p>
        </w:tc>
        <w:tc>
          <w:tcPr>
            <w:tcW w:w="1011" w:type="pct"/>
            <w:hideMark/>
          </w:tcPr>
          <w:p w14:paraId="7820C17E" w14:textId="77777777" w:rsidR="00F00CFD" w:rsidRPr="00F66260" w:rsidRDefault="00F00CFD" w:rsidP="00046E15">
            <w:r w:rsidRPr="00F66260">
              <w:t>Move from aged care; example of one person who is planned to move out of aged care into community group home</w:t>
            </w:r>
          </w:p>
        </w:tc>
        <w:tc>
          <w:tcPr>
            <w:tcW w:w="846" w:type="pct"/>
            <w:noWrap/>
            <w:hideMark/>
          </w:tcPr>
          <w:p w14:paraId="1BABEC9F" w14:textId="77777777" w:rsidR="00F00CFD" w:rsidRPr="00F66260" w:rsidRDefault="00F00CFD" w:rsidP="00046E15">
            <w:r w:rsidRPr="00F66260">
              <w:t>To community (from aged care)</w:t>
            </w:r>
          </w:p>
        </w:tc>
      </w:tr>
      <w:tr w:rsidR="00F00CFD" w:rsidRPr="00650916" w14:paraId="573997D2" w14:textId="77777777" w:rsidTr="006E2C88">
        <w:tc>
          <w:tcPr>
            <w:tcW w:w="234" w:type="pct"/>
          </w:tcPr>
          <w:p w14:paraId="2046B9B2" w14:textId="1CD347A2"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4</w:t>
            </w:r>
            <w:r w:rsidR="00E96C60">
              <w:rPr>
                <w:rFonts w:ascii="Calibri" w:eastAsia="Times New Roman" w:hAnsi="Calibri" w:cs="Calibri"/>
                <w:color w:val="000000"/>
                <w:lang w:eastAsia="en-AU"/>
              </w:rPr>
              <w:t>8</w:t>
            </w:r>
          </w:p>
        </w:tc>
        <w:tc>
          <w:tcPr>
            <w:tcW w:w="573" w:type="pct"/>
            <w:hideMark/>
          </w:tcPr>
          <w:p w14:paraId="544E989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Griffiths et al</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2015</w:t>
            </w:r>
            <w:r>
              <w:rPr>
                <w:rFonts w:ascii="Calibri" w:eastAsia="Times New Roman" w:hAnsi="Calibri" w:cs="Calibri"/>
                <w:color w:val="000000"/>
                <w:lang w:eastAsia="en-AU"/>
              </w:rPr>
              <w:t>)</w:t>
            </w:r>
          </w:p>
        </w:tc>
        <w:tc>
          <w:tcPr>
            <w:tcW w:w="707" w:type="pct"/>
            <w:hideMark/>
          </w:tcPr>
          <w:p w14:paraId="664091C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The current study reports on the findings from a survey that recorded the perceptions of 61 family members of former facilities residents. The surveys were distributed to families beginning one year following the final closure of the three facilities</w:t>
            </w:r>
          </w:p>
        </w:tc>
        <w:tc>
          <w:tcPr>
            <w:tcW w:w="404" w:type="pct"/>
            <w:hideMark/>
          </w:tcPr>
          <w:p w14:paraId="5626411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Canada</w:t>
            </w:r>
          </w:p>
        </w:tc>
        <w:tc>
          <w:tcPr>
            <w:tcW w:w="606" w:type="pct"/>
            <w:hideMark/>
          </w:tcPr>
          <w:p w14:paraId="149CAEA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Other - Survey design</w:t>
            </w:r>
          </w:p>
        </w:tc>
        <w:tc>
          <w:tcPr>
            <w:tcW w:w="619" w:type="pct"/>
            <w:hideMark/>
          </w:tcPr>
          <w:p w14:paraId="59E4401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hideMark/>
          </w:tcPr>
          <w:p w14:paraId="247A7D0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 from institutionalised to de-institutionalised settings</w:t>
            </w:r>
          </w:p>
        </w:tc>
        <w:tc>
          <w:tcPr>
            <w:tcW w:w="846" w:type="pct"/>
            <w:hideMark/>
          </w:tcPr>
          <w:p w14:paraId="0A1B5FD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N/A</w:t>
            </w:r>
          </w:p>
        </w:tc>
      </w:tr>
      <w:tr w:rsidR="00F00CFD" w:rsidRPr="00650916" w14:paraId="4E816BC5" w14:textId="77777777" w:rsidTr="00AE0078">
        <w:tc>
          <w:tcPr>
            <w:tcW w:w="234" w:type="pct"/>
          </w:tcPr>
          <w:p w14:paraId="57823AC4" w14:textId="2C2E1A26" w:rsidR="00F00CFD" w:rsidRPr="00650916" w:rsidRDefault="00E96C60" w:rsidP="00046E15">
            <w:pPr>
              <w:rPr>
                <w:rFonts w:ascii="Calibri" w:eastAsia="Times New Roman" w:hAnsi="Calibri" w:cs="Calibri"/>
                <w:color w:val="000000"/>
                <w:lang w:eastAsia="en-AU"/>
              </w:rPr>
            </w:pPr>
            <w:r>
              <w:rPr>
                <w:rFonts w:ascii="Calibri" w:eastAsia="Times New Roman" w:hAnsi="Calibri" w:cs="Calibri"/>
                <w:color w:val="000000"/>
                <w:lang w:eastAsia="en-AU"/>
              </w:rPr>
              <w:t>49</w:t>
            </w:r>
          </w:p>
        </w:tc>
        <w:tc>
          <w:tcPr>
            <w:tcW w:w="573" w:type="pct"/>
            <w:hideMark/>
          </w:tcPr>
          <w:p w14:paraId="3A154520" w14:textId="15B7185B"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Gutman </w:t>
            </w:r>
            <w:r w:rsidR="00E96C60">
              <w:rPr>
                <w:rFonts w:ascii="Calibri" w:eastAsia="Times New Roman" w:hAnsi="Calibri" w:cs="Calibri"/>
                <w:color w:val="000000"/>
                <w:lang w:eastAsia="en-AU"/>
              </w:rPr>
              <w:t>&amp;</w:t>
            </w:r>
            <w:r w:rsidR="00E96C60" w:rsidRPr="00650916">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 xml:space="preserve">Raphael-Greenfield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2017</w:t>
            </w:r>
            <w:r>
              <w:rPr>
                <w:rFonts w:ascii="Calibri" w:eastAsia="Times New Roman" w:hAnsi="Calibri" w:cs="Calibri"/>
                <w:color w:val="000000"/>
                <w:lang w:eastAsia="en-AU"/>
              </w:rPr>
              <w:t>)</w:t>
            </w:r>
          </w:p>
        </w:tc>
        <w:tc>
          <w:tcPr>
            <w:tcW w:w="707" w:type="pct"/>
            <w:hideMark/>
          </w:tcPr>
          <w:p w14:paraId="5D09A0E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The purpose of this study was to assess the effectiveness of a housing transition program for homeless shelter residents with chronic mental illness and substance use.</w:t>
            </w:r>
          </w:p>
        </w:tc>
        <w:tc>
          <w:tcPr>
            <w:tcW w:w="404" w:type="pct"/>
            <w:hideMark/>
          </w:tcPr>
          <w:p w14:paraId="556DEA2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USA</w:t>
            </w:r>
          </w:p>
        </w:tc>
        <w:tc>
          <w:tcPr>
            <w:tcW w:w="606" w:type="pct"/>
            <w:hideMark/>
          </w:tcPr>
          <w:p w14:paraId="74BC8AC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Two group pre/post evaluation of intervention programme</w:t>
            </w:r>
          </w:p>
        </w:tc>
        <w:tc>
          <w:tcPr>
            <w:tcW w:w="619" w:type="pct"/>
            <w:hideMark/>
          </w:tcPr>
          <w:p w14:paraId="0025898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Mental illness</w:t>
            </w:r>
          </w:p>
        </w:tc>
        <w:tc>
          <w:tcPr>
            <w:tcW w:w="1011" w:type="pct"/>
            <w:shd w:val="clear" w:color="auto" w:fill="auto"/>
            <w:hideMark/>
          </w:tcPr>
          <w:p w14:paraId="3B19DC94" w14:textId="035160C2" w:rsidR="00F00CFD" w:rsidRPr="00650916" w:rsidRDefault="00FA374D" w:rsidP="00046E15">
            <w:pPr>
              <w:rPr>
                <w:rFonts w:ascii="Calibri" w:eastAsia="Times New Roman" w:hAnsi="Calibri" w:cs="Calibri"/>
                <w:color w:val="000000"/>
                <w:lang w:eastAsia="en-AU"/>
              </w:rPr>
            </w:pPr>
            <w:r>
              <w:rPr>
                <w:rFonts w:ascii="Calibri" w:eastAsia="Times New Roman" w:hAnsi="Calibri" w:cs="Calibri"/>
                <w:color w:val="000000"/>
                <w:lang w:eastAsia="en-AU"/>
              </w:rPr>
              <w:t xml:space="preserve">Independent living </w:t>
            </w:r>
          </w:p>
        </w:tc>
        <w:tc>
          <w:tcPr>
            <w:tcW w:w="846" w:type="pct"/>
            <w:hideMark/>
          </w:tcPr>
          <w:p w14:paraId="6A30001E" w14:textId="77777777" w:rsidR="00F00CFD" w:rsidRPr="006E2C88" w:rsidRDefault="00F00CFD" w:rsidP="00046E15">
            <w:pPr>
              <w:rPr>
                <w:rFonts w:ascii="Calibri" w:eastAsia="Times New Roman" w:hAnsi="Calibri" w:cs="Calibri"/>
                <w:color w:val="000000"/>
                <w:sz w:val="21"/>
                <w:szCs w:val="21"/>
                <w:lang w:eastAsia="en-AU"/>
              </w:rPr>
            </w:pPr>
            <w:r w:rsidRPr="006E2C88">
              <w:rPr>
                <w:rFonts w:ascii="Calibri" w:eastAsia="Times New Roman" w:hAnsi="Calibri" w:cs="Calibri"/>
                <w:color w:val="000000"/>
                <w:sz w:val="21"/>
                <w:szCs w:val="21"/>
                <w:lang w:eastAsia="en-AU"/>
              </w:rPr>
              <w:t>SMART (Supporting Many to Achieve Residential Transition) Program. Six modules: 1) housing interview skills 2) apartment living skills 3) : being a good tenant and neighbour 4) community living 5) managing money 6) health and wellness</w:t>
            </w:r>
          </w:p>
        </w:tc>
      </w:tr>
      <w:tr w:rsidR="00F00CFD" w:rsidRPr="00650916" w14:paraId="01770C42" w14:textId="77777777" w:rsidTr="006E2C88">
        <w:tc>
          <w:tcPr>
            <w:tcW w:w="234" w:type="pct"/>
          </w:tcPr>
          <w:p w14:paraId="56103B7B" w14:textId="7FADFB64"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lastRenderedPageBreak/>
              <w:t>5</w:t>
            </w:r>
            <w:r w:rsidR="00E96C60">
              <w:rPr>
                <w:rFonts w:ascii="Calibri" w:eastAsia="Times New Roman" w:hAnsi="Calibri" w:cs="Calibri"/>
                <w:color w:val="000000"/>
                <w:lang w:eastAsia="en-AU"/>
              </w:rPr>
              <w:t>0</w:t>
            </w:r>
          </w:p>
        </w:tc>
        <w:tc>
          <w:tcPr>
            <w:tcW w:w="573" w:type="pct"/>
            <w:hideMark/>
          </w:tcPr>
          <w:p w14:paraId="47C6D27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Hallam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2002</w:t>
            </w:r>
            <w:r>
              <w:rPr>
                <w:rFonts w:ascii="Calibri" w:eastAsia="Times New Roman" w:hAnsi="Calibri" w:cs="Calibri"/>
                <w:color w:val="000000"/>
                <w:lang w:eastAsia="en-AU"/>
              </w:rPr>
              <w:t>)</w:t>
            </w:r>
          </w:p>
        </w:tc>
        <w:tc>
          <w:tcPr>
            <w:tcW w:w="707" w:type="pct"/>
            <w:hideMark/>
          </w:tcPr>
          <w:p w14:paraId="318632C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Evaluation of cost-effectiveness of village community settings, residential campuses and dispersed community based housing schemes</w:t>
            </w:r>
          </w:p>
        </w:tc>
        <w:tc>
          <w:tcPr>
            <w:tcW w:w="404" w:type="pct"/>
            <w:hideMark/>
          </w:tcPr>
          <w:p w14:paraId="04577BB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UK</w:t>
            </w:r>
          </w:p>
        </w:tc>
        <w:tc>
          <w:tcPr>
            <w:tcW w:w="606" w:type="pct"/>
            <w:hideMark/>
          </w:tcPr>
          <w:p w14:paraId="2B324A37"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Other - Cost benefit analysis with evaluation of higher cost predictors (based on regression analysis)</w:t>
            </w:r>
          </w:p>
        </w:tc>
        <w:tc>
          <w:tcPr>
            <w:tcW w:w="619" w:type="pct"/>
            <w:hideMark/>
          </w:tcPr>
          <w:p w14:paraId="4355E9E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hideMark/>
          </w:tcPr>
          <w:p w14:paraId="51FC5A61" w14:textId="77777777" w:rsidR="00F00CFD"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(1) Village communities</w:t>
            </w:r>
          </w:p>
          <w:p w14:paraId="59240BEF" w14:textId="77777777" w:rsidR="00F00CFD"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(2) Residential campus</w:t>
            </w:r>
          </w:p>
          <w:p w14:paraId="56EAC1B7"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(3) Dispersed housing schemes</w:t>
            </w:r>
          </w:p>
        </w:tc>
        <w:tc>
          <w:tcPr>
            <w:tcW w:w="846" w:type="pct"/>
            <w:hideMark/>
          </w:tcPr>
          <w:p w14:paraId="071666E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N/A</w:t>
            </w:r>
          </w:p>
        </w:tc>
      </w:tr>
      <w:tr w:rsidR="00F00CFD" w:rsidRPr="00FE0180" w14:paraId="67FE108B"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4F1DED02" w14:textId="16B48856" w:rsidR="00F00CFD" w:rsidRPr="00FE0180" w:rsidRDefault="00F00CFD" w:rsidP="00046E15">
            <w:r>
              <w:t>5</w:t>
            </w:r>
            <w:r w:rsidR="00E96C60">
              <w:t>1</w:t>
            </w:r>
          </w:p>
        </w:tc>
        <w:tc>
          <w:tcPr>
            <w:tcW w:w="573" w:type="pct"/>
            <w:tcBorders>
              <w:top w:val="single" w:sz="4" w:space="0" w:color="auto"/>
              <w:left w:val="single" w:sz="4" w:space="0" w:color="auto"/>
              <w:bottom w:val="single" w:sz="4" w:space="0" w:color="auto"/>
              <w:right w:val="single" w:sz="4" w:space="0" w:color="auto"/>
            </w:tcBorders>
            <w:hideMark/>
          </w:tcPr>
          <w:p w14:paraId="4A1A45EF" w14:textId="70788F0D" w:rsidR="00F00CFD" w:rsidRPr="00FE0180" w:rsidRDefault="00F00CFD" w:rsidP="00046E15">
            <w:r w:rsidRPr="00FE0180">
              <w:t xml:space="preserve">Hayashi </w:t>
            </w:r>
            <w:r w:rsidR="00E96C60">
              <w:t xml:space="preserve">&amp; </w:t>
            </w:r>
            <w:r w:rsidRPr="00FE0180">
              <w:t xml:space="preserve">Okuhira </w:t>
            </w:r>
            <w:r>
              <w:t>(2008)</w:t>
            </w:r>
            <w:r w:rsidRPr="00FE0180">
              <w:t xml:space="preserve"> </w:t>
            </w:r>
          </w:p>
        </w:tc>
        <w:tc>
          <w:tcPr>
            <w:tcW w:w="707" w:type="pct"/>
            <w:tcBorders>
              <w:top w:val="single" w:sz="4" w:space="0" w:color="auto"/>
              <w:left w:val="single" w:sz="4" w:space="0" w:color="auto"/>
              <w:bottom w:val="single" w:sz="4" w:space="0" w:color="auto"/>
              <w:right w:val="single" w:sz="4" w:space="0" w:color="auto"/>
            </w:tcBorders>
            <w:hideMark/>
          </w:tcPr>
          <w:p w14:paraId="6CF9CFD1" w14:textId="77777777" w:rsidR="00F00CFD" w:rsidRPr="00FE0180" w:rsidRDefault="00F00CFD" w:rsidP="00046E15">
            <w:r w:rsidRPr="00FE0180">
              <w:t>To explore the impact of the training program offered by Japanese ILCs to disabled people from other Asian countries</w:t>
            </w:r>
          </w:p>
        </w:tc>
        <w:tc>
          <w:tcPr>
            <w:tcW w:w="404" w:type="pct"/>
            <w:tcBorders>
              <w:top w:val="single" w:sz="4" w:space="0" w:color="auto"/>
              <w:left w:val="single" w:sz="4" w:space="0" w:color="auto"/>
              <w:bottom w:val="single" w:sz="4" w:space="0" w:color="auto"/>
              <w:right w:val="single" w:sz="4" w:space="0" w:color="auto"/>
            </w:tcBorders>
          </w:tcPr>
          <w:p w14:paraId="46A677A4" w14:textId="77777777" w:rsidR="00F00CFD" w:rsidRDefault="00F00CFD" w:rsidP="00046E15">
            <w:r w:rsidRPr="00FE0180">
              <w:t>Japan</w:t>
            </w:r>
          </w:p>
        </w:tc>
        <w:tc>
          <w:tcPr>
            <w:tcW w:w="606" w:type="pct"/>
            <w:tcBorders>
              <w:top w:val="single" w:sz="4" w:space="0" w:color="auto"/>
              <w:left w:val="single" w:sz="4" w:space="0" w:color="auto"/>
              <w:bottom w:val="single" w:sz="4" w:space="0" w:color="auto"/>
              <w:right w:val="single" w:sz="4" w:space="0" w:color="auto"/>
            </w:tcBorders>
          </w:tcPr>
          <w:p w14:paraId="7B48AC03" w14:textId="77777777" w:rsidR="00F00CFD" w:rsidRPr="00FE0180" w:rsidRDefault="00F00CFD" w:rsidP="00046E15">
            <w:r>
              <w:t>In depth interviews; focus group (n=35)</w:t>
            </w:r>
          </w:p>
        </w:tc>
        <w:tc>
          <w:tcPr>
            <w:tcW w:w="619" w:type="pct"/>
            <w:tcBorders>
              <w:top w:val="single" w:sz="4" w:space="0" w:color="auto"/>
              <w:left w:val="single" w:sz="4" w:space="0" w:color="auto"/>
              <w:bottom w:val="single" w:sz="4" w:space="0" w:color="auto"/>
              <w:right w:val="single" w:sz="4" w:space="0" w:color="auto"/>
            </w:tcBorders>
            <w:hideMark/>
          </w:tcPr>
          <w:p w14:paraId="2DFBDC56" w14:textId="77777777" w:rsidR="00F00CFD" w:rsidRPr="00FE0180" w:rsidRDefault="00F00CFD" w:rsidP="00046E15">
            <w:r w:rsidRPr="00FE0180">
              <w:t xml:space="preserve">Not specified </w:t>
            </w:r>
          </w:p>
        </w:tc>
        <w:tc>
          <w:tcPr>
            <w:tcW w:w="1011" w:type="pct"/>
            <w:tcBorders>
              <w:top w:val="single" w:sz="4" w:space="0" w:color="auto"/>
              <w:left w:val="single" w:sz="4" w:space="0" w:color="auto"/>
              <w:bottom w:val="single" w:sz="4" w:space="0" w:color="auto"/>
              <w:right w:val="single" w:sz="4" w:space="0" w:color="auto"/>
            </w:tcBorders>
            <w:hideMark/>
          </w:tcPr>
          <w:p w14:paraId="3240A2CA" w14:textId="77777777" w:rsidR="00F00CFD" w:rsidRPr="00FE0180" w:rsidRDefault="00F00CFD" w:rsidP="00046E15">
            <w:r w:rsidRPr="00FE0180">
              <w:t>Independent living centre</w:t>
            </w:r>
          </w:p>
        </w:tc>
        <w:tc>
          <w:tcPr>
            <w:tcW w:w="846" w:type="pct"/>
            <w:tcBorders>
              <w:top w:val="single" w:sz="4" w:space="0" w:color="auto"/>
              <w:left w:val="single" w:sz="4" w:space="0" w:color="auto"/>
              <w:bottom w:val="single" w:sz="4" w:space="0" w:color="auto"/>
              <w:right w:val="single" w:sz="4" w:space="0" w:color="auto"/>
            </w:tcBorders>
            <w:hideMark/>
          </w:tcPr>
          <w:p w14:paraId="74B1E729" w14:textId="77777777" w:rsidR="00F00CFD" w:rsidRPr="00FE0180" w:rsidRDefault="00F00CFD" w:rsidP="00046E15">
            <w:r w:rsidRPr="00FE0180">
              <w:t xml:space="preserve">Role of support agencies </w:t>
            </w:r>
          </w:p>
        </w:tc>
      </w:tr>
      <w:tr w:rsidR="00F00CFD" w:rsidRPr="00FE0180" w14:paraId="1311B989"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18CDA00E" w14:textId="7825A33F" w:rsidR="00F00CFD" w:rsidRPr="00FE0180" w:rsidRDefault="00F00CFD" w:rsidP="00046E15">
            <w:r>
              <w:t>5</w:t>
            </w:r>
            <w:r w:rsidR="00E96C60">
              <w:t>2</w:t>
            </w:r>
          </w:p>
        </w:tc>
        <w:tc>
          <w:tcPr>
            <w:tcW w:w="573" w:type="pct"/>
            <w:tcBorders>
              <w:top w:val="single" w:sz="4" w:space="0" w:color="auto"/>
              <w:left w:val="single" w:sz="4" w:space="0" w:color="auto"/>
              <w:bottom w:val="single" w:sz="4" w:space="0" w:color="auto"/>
              <w:right w:val="single" w:sz="4" w:space="0" w:color="auto"/>
            </w:tcBorders>
            <w:hideMark/>
          </w:tcPr>
          <w:p w14:paraId="238200B8" w14:textId="583158B9" w:rsidR="00F00CFD" w:rsidRPr="00FE0180" w:rsidRDefault="00F00CFD" w:rsidP="00046E15">
            <w:r w:rsidRPr="00FE0180">
              <w:t xml:space="preserve">Head, </w:t>
            </w:r>
            <w:r>
              <w:t>et al (2018)</w:t>
            </w:r>
          </w:p>
        </w:tc>
        <w:tc>
          <w:tcPr>
            <w:tcW w:w="707" w:type="pct"/>
            <w:tcBorders>
              <w:top w:val="single" w:sz="4" w:space="0" w:color="auto"/>
              <w:left w:val="single" w:sz="4" w:space="0" w:color="auto"/>
              <w:bottom w:val="single" w:sz="4" w:space="0" w:color="auto"/>
              <w:right w:val="single" w:sz="4" w:space="0" w:color="auto"/>
            </w:tcBorders>
            <w:hideMark/>
          </w:tcPr>
          <w:p w14:paraId="4D625F32" w14:textId="77777777" w:rsidR="00F00CFD" w:rsidRPr="00FE0180" w:rsidRDefault="00F00CFD" w:rsidP="00046E15">
            <w:r>
              <w:t>To</w:t>
            </w:r>
            <w:r w:rsidRPr="00FE0180">
              <w:t xml:space="preserve"> describe research investigating how people with learning disabilities experience moving out of hospital into the community as part of the Transforming Care programme.</w:t>
            </w:r>
          </w:p>
        </w:tc>
        <w:tc>
          <w:tcPr>
            <w:tcW w:w="404" w:type="pct"/>
            <w:tcBorders>
              <w:top w:val="single" w:sz="4" w:space="0" w:color="auto"/>
              <w:left w:val="single" w:sz="4" w:space="0" w:color="auto"/>
              <w:bottom w:val="single" w:sz="4" w:space="0" w:color="auto"/>
              <w:right w:val="single" w:sz="4" w:space="0" w:color="auto"/>
            </w:tcBorders>
          </w:tcPr>
          <w:p w14:paraId="51EADE86" w14:textId="77777777" w:rsidR="00F00CFD" w:rsidRDefault="00F00CFD" w:rsidP="00046E15">
            <w:r w:rsidRPr="00FE0180">
              <w:t>UK</w:t>
            </w:r>
          </w:p>
        </w:tc>
        <w:tc>
          <w:tcPr>
            <w:tcW w:w="606" w:type="pct"/>
            <w:tcBorders>
              <w:top w:val="single" w:sz="4" w:space="0" w:color="auto"/>
              <w:left w:val="single" w:sz="4" w:space="0" w:color="auto"/>
              <w:bottom w:val="single" w:sz="4" w:space="0" w:color="auto"/>
              <w:right w:val="single" w:sz="4" w:space="0" w:color="auto"/>
            </w:tcBorders>
          </w:tcPr>
          <w:p w14:paraId="3A67A0F5" w14:textId="77777777" w:rsidR="00F00CFD" w:rsidRPr="00FE0180" w:rsidRDefault="00F00CFD" w:rsidP="00046E15">
            <w:r>
              <w:t>Semi-structured interviews (n=9)</w:t>
            </w:r>
          </w:p>
        </w:tc>
        <w:tc>
          <w:tcPr>
            <w:tcW w:w="619" w:type="pct"/>
            <w:tcBorders>
              <w:top w:val="single" w:sz="4" w:space="0" w:color="auto"/>
              <w:left w:val="single" w:sz="4" w:space="0" w:color="auto"/>
              <w:bottom w:val="single" w:sz="4" w:space="0" w:color="auto"/>
              <w:right w:val="single" w:sz="4" w:space="0" w:color="auto"/>
            </w:tcBorders>
            <w:hideMark/>
          </w:tcPr>
          <w:p w14:paraId="3496AE85" w14:textId="77777777" w:rsidR="00F00CFD" w:rsidRPr="00FE0180" w:rsidRDefault="00F00CFD" w:rsidP="00046E15">
            <w:r w:rsidRPr="00FE0180">
              <w:t xml:space="preserve">Intellectual disability </w:t>
            </w:r>
          </w:p>
        </w:tc>
        <w:tc>
          <w:tcPr>
            <w:tcW w:w="1011" w:type="pct"/>
            <w:tcBorders>
              <w:top w:val="single" w:sz="4" w:space="0" w:color="auto"/>
              <w:left w:val="single" w:sz="4" w:space="0" w:color="auto"/>
              <w:bottom w:val="single" w:sz="4" w:space="0" w:color="auto"/>
              <w:right w:val="single" w:sz="4" w:space="0" w:color="auto"/>
            </w:tcBorders>
            <w:hideMark/>
          </w:tcPr>
          <w:p w14:paraId="13B20427"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2F560BDC" w14:textId="77777777" w:rsidR="00F00CFD" w:rsidRPr="00FE0180" w:rsidRDefault="00F00CFD" w:rsidP="00046E15">
            <w:r w:rsidRPr="00FE0180">
              <w:t xml:space="preserve">Experience of deinstitutionalisation </w:t>
            </w:r>
          </w:p>
        </w:tc>
      </w:tr>
      <w:tr w:rsidR="00F00CFD" w:rsidRPr="00FE0180" w14:paraId="2C08F654" w14:textId="77777777" w:rsidTr="006E2C88">
        <w:tc>
          <w:tcPr>
            <w:tcW w:w="234" w:type="pct"/>
            <w:tcBorders>
              <w:top w:val="single" w:sz="4" w:space="0" w:color="auto"/>
              <w:left w:val="single" w:sz="4" w:space="0" w:color="auto"/>
              <w:bottom w:val="single" w:sz="4" w:space="0" w:color="auto"/>
              <w:right w:val="single" w:sz="4" w:space="0" w:color="auto"/>
            </w:tcBorders>
          </w:tcPr>
          <w:p w14:paraId="2A07829B" w14:textId="56F49342" w:rsidR="00F00CFD" w:rsidRPr="00FE0180" w:rsidRDefault="00F00CFD" w:rsidP="006E2C88">
            <w:pPr>
              <w:keepNext/>
            </w:pPr>
            <w:r>
              <w:lastRenderedPageBreak/>
              <w:t>5</w:t>
            </w:r>
            <w:r w:rsidR="00E96C60">
              <w:t>3</w:t>
            </w:r>
          </w:p>
        </w:tc>
        <w:tc>
          <w:tcPr>
            <w:tcW w:w="573" w:type="pct"/>
            <w:tcBorders>
              <w:top w:val="single" w:sz="4" w:space="0" w:color="auto"/>
              <w:left w:val="single" w:sz="4" w:space="0" w:color="auto"/>
              <w:bottom w:val="single" w:sz="4" w:space="0" w:color="auto"/>
              <w:right w:val="single" w:sz="4" w:space="0" w:color="auto"/>
            </w:tcBorders>
            <w:hideMark/>
          </w:tcPr>
          <w:p w14:paraId="7D2A32DF" w14:textId="26DF1B91" w:rsidR="00F00CFD" w:rsidRPr="00FE0180" w:rsidRDefault="00F00CFD" w:rsidP="006E2C88">
            <w:pPr>
              <w:keepNext/>
            </w:pPr>
            <w:r w:rsidRPr="00FE0180">
              <w:t xml:space="preserve">Helgøy, </w:t>
            </w:r>
            <w:r>
              <w:t>et al (2003)</w:t>
            </w:r>
          </w:p>
        </w:tc>
        <w:tc>
          <w:tcPr>
            <w:tcW w:w="707" w:type="pct"/>
            <w:tcBorders>
              <w:top w:val="single" w:sz="4" w:space="0" w:color="auto"/>
              <w:left w:val="single" w:sz="4" w:space="0" w:color="auto"/>
              <w:bottom w:val="single" w:sz="4" w:space="0" w:color="auto"/>
              <w:right w:val="single" w:sz="4" w:space="0" w:color="auto"/>
            </w:tcBorders>
            <w:hideMark/>
          </w:tcPr>
          <w:p w14:paraId="56EE888D" w14:textId="77777777" w:rsidR="00F00CFD" w:rsidRPr="00FE0180" w:rsidRDefault="00F00CFD" w:rsidP="006E2C88">
            <w:pPr>
              <w:keepNext/>
            </w:pPr>
            <w:r w:rsidRPr="00FE0180">
              <w:t>How is an independent daily life possible for disabled people when relying</w:t>
            </w:r>
            <w:r w:rsidRPr="00FE0180">
              <w:br/>
              <w:t>upon professional service provision and the bureaucratic gate-keeping systems of the welfare</w:t>
            </w:r>
            <w:r w:rsidRPr="00FE0180">
              <w:br/>
              <w:t xml:space="preserve">state? </w:t>
            </w:r>
          </w:p>
        </w:tc>
        <w:tc>
          <w:tcPr>
            <w:tcW w:w="404" w:type="pct"/>
            <w:tcBorders>
              <w:top w:val="single" w:sz="4" w:space="0" w:color="auto"/>
              <w:left w:val="single" w:sz="4" w:space="0" w:color="auto"/>
              <w:bottom w:val="single" w:sz="4" w:space="0" w:color="auto"/>
              <w:right w:val="single" w:sz="4" w:space="0" w:color="auto"/>
            </w:tcBorders>
          </w:tcPr>
          <w:p w14:paraId="17F966A9" w14:textId="77777777" w:rsidR="00F00CFD" w:rsidRDefault="00F00CFD" w:rsidP="006E2C88">
            <w:pPr>
              <w:keepNext/>
            </w:pPr>
            <w:r w:rsidRPr="00FE0180">
              <w:t>Norway</w:t>
            </w:r>
          </w:p>
        </w:tc>
        <w:tc>
          <w:tcPr>
            <w:tcW w:w="606" w:type="pct"/>
            <w:tcBorders>
              <w:top w:val="single" w:sz="4" w:space="0" w:color="auto"/>
              <w:left w:val="single" w:sz="4" w:space="0" w:color="auto"/>
              <w:bottom w:val="single" w:sz="4" w:space="0" w:color="auto"/>
              <w:right w:val="single" w:sz="4" w:space="0" w:color="auto"/>
            </w:tcBorders>
          </w:tcPr>
          <w:p w14:paraId="55E42847" w14:textId="77777777" w:rsidR="00F00CFD" w:rsidRPr="00FE0180" w:rsidRDefault="00F00CFD" w:rsidP="006E2C88">
            <w:pPr>
              <w:keepNext/>
            </w:pPr>
            <w:r>
              <w:t>Semi-structured interviews (n=38)</w:t>
            </w:r>
          </w:p>
        </w:tc>
        <w:tc>
          <w:tcPr>
            <w:tcW w:w="619" w:type="pct"/>
            <w:tcBorders>
              <w:top w:val="single" w:sz="4" w:space="0" w:color="auto"/>
              <w:left w:val="single" w:sz="4" w:space="0" w:color="auto"/>
              <w:bottom w:val="single" w:sz="4" w:space="0" w:color="auto"/>
              <w:right w:val="single" w:sz="4" w:space="0" w:color="auto"/>
            </w:tcBorders>
            <w:shd w:val="clear" w:color="auto" w:fill="auto"/>
            <w:hideMark/>
          </w:tcPr>
          <w:p w14:paraId="2CE9FF31" w14:textId="77777777" w:rsidR="00F00CFD" w:rsidRPr="00FE0180" w:rsidRDefault="00F00CFD" w:rsidP="006E2C88">
            <w:pPr>
              <w:keepNext/>
            </w:pPr>
            <w:r w:rsidRPr="00FE0180">
              <w:t>Mobility disabled</w:t>
            </w:r>
          </w:p>
        </w:tc>
        <w:tc>
          <w:tcPr>
            <w:tcW w:w="1011" w:type="pct"/>
            <w:tcBorders>
              <w:top w:val="single" w:sz="4" w:space="0" w:color="auto"/>
              <w:left w:val="single" w:sz="4" w:space="0" w:color="auto"/>
              <w:bottom w:val="single" w:sz="4" w:space="0" w:color="auto"/>
              <w:right w:val="single" w:sz="4" w:space="0" w:color="auto"/>
            </w:tcBorders>
            <w:shd w:val="clear" w:color="auto" w:fill="auto"/>
            <w:hideMark/>
          </w:tcPr>
          <w:p w14:paraId="27EFB4A6" w14:textId="6EF3F76B" w:rsidR="00F00CFD" w:rsidRPr="00FE0180" w:rsidRDefault="00F00CFD" w:rsidP="006E2C88">
            <w:pPr>
              <w:keepNext/>
            </w:pPr>
            <w:r w:rsidRPr="00FE0180">
              <w:t> </w:t>
            </w:r>
            <w:r w:rsidR="00F24847">
              <w:t>Not discussed in study, broader discussion on how people with disability and service providers interpret independence.</w:t>
            </w:r>
          </w:p>
        </w:tc>
        <w:tc>
          <w:tcPr>
            <w:tcW w:w="846" w:type="pct"/>
            <w:tcBorders>
              <w:top w:val="single" w:sz="4" w:space="0" w:color="auto"/>
              <w:left w:val="single" w:sz="4" w:space="0" w:color="auto"/>
              <w:bottom w:val="single" w:sz="4" w:space="0" w:color="auto"/>
              <w:right w:val="single" w:sz="4" w:space="0" w:color="auto"/>
            </w:tcBorders>
            <w:shd w:val="clear" w:color="auto" w:fill="auto"/>
            <w:hideMark/>
          </w:tcPr>
          <w:p w14:paraId="31F20079" w14:textId="352FD1A3" w:rsidR="00F00CFD" w:rsidRPr="00FE0180" w:rsidRDefault="00F24847" w:rsidP="006E2C88">
            <w:pPr>
              <w:keepNext/>
            </w:pPr>
            <w:r>
              <w:t>Not applicable.</w:t>
            </w:r>
          </w:p>
        </w:tc>
      </w:tr>
      <w:tr w:rsidR="00F00CFD" w:rsidRPr="00650916" w14:paraId="297F5B7D" w14:textId="77777777" w:rsidTr="006E2C88">
        <w:tc>
          <w:tcPr>
            <w:tcW w:w="234" w:type="pct"/>
          </w:tcPr>
          <w:p w14:paraId="6EDEBC38" w14:textId="57BA6433"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5</w:t>
            </w:r>
            <w:r w:rsidR="00E96C60">
              <w:rPr>
                <w:rFonts w:ascii="Calibri" w:eastAsia="Times New Roman" w:hAnsi="Calibri" w:cs="Calibri"/>
                <w:color w:val="000000"/>
                <w:lang w:eastAsia="en-AU"/>
              </w:rPr>
              <w:t>4</w:t>
            </w:r>
          </w:p>
        </w:tc>
        <w:tc>
          <w:tcPr>
            <w:tcW w:w="573" w:type="pct"/>
            <w:hideMark/>
          </w:tcPr>
          <w:p w14:paraId="71E7AA0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Hobbs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2002</w:t>
            </w:r>
            <w:r>
              <w:rPr>
                <w:rFonts w:ascii="Calibri" w:eastAsia="Times New Roman" w:hAnsi="Calibri" w:cs="Calibri"/>
                <w:color w:val="000000"/>
                <w:lang w:eastAsia="en-AU"/>
              </w:rPr>
              <w:t>)</w:t>
            </w:r>
          </w:p>
        </w:tc>
        <w:tc>
          <w:tcPr>
            <w:tcW w:w="707" w:type="pct"/>
            <w:hideMark/>
          </w:tcPr>
          <w:p w14:paraId="5F72A7C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Evaluation of de-institutionalisation from long term psychiatric setting to community housing (2-3 residents).</w:t>
            </w:r>
          </w:p>
        </w:tc>
        <w:tc>
          <w:tcPr>
            <w:tcW w:w="404" w:type="pct"/>
            <w:hideMark/>
          </w:tcPr>
          <w:p w14:paraId="4C9B8A6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Australia</w:t>
            </w:r>
          </w:p>
        </w:tc>
        <w:tc>
          <w:tcPr>
            <w:tcW w:w="606" w:type="pct"/>
            <w:hideMark/>
          </w:tcPr>
          <w:p w14:paraId="0618AC9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Repeated measures design</w:t>
            </w:r>
          </w:p>
        </w:tc>
        <w:tc>
          <w:tcPr>
            <w:tcW w:w="619" w:type="pct"/>
            <w:shd w:val="clear" w:color="auto" w:fill="auto"/>
            <w:hideMark/>
          </w:tcPr>
          <w:p w14:paraId="7BA0FDC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Psychiatric disability </w:t>
            </w:r>
          </w:p>
        </w:tc>
        <w:tc>
          <w:tcPr>
            <w:tcW w:w="1011" w:type="pct"/>
            <w:shd w:val="clear" w:color="auto" w:fill="auto"/>
            <w:hideMark/>
          </w:tcPr>
          <w:p w14:paraId="6A34C9F4"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Community housing (2-3 residents per unit)</w:t>
            </w:r>
          </w:p>
        </w:tc>
        <w:tc>
          <w:tcPr>
            <w:tcW w:w="846" w:type="pct"/>
            <w:shd w:val="clear" w:color="auto" w:fill="auto"/>
            <w:hideMark/>
          </w:tcPr>
          <w:p w14:paraId="06348FDA" w14:textId="44C413FE" w:rsidR="00F00CFD" w:rsidRPr="00650916" w:rsidRDefault="00F24847" w:rsidP="00046E15">
            <w:pPr>
              <w:rPr>
                <w:rFonts w:ascii="Calibri" w:eastAsia="Times New Roman" w:hAnsi="Calibri" w:cs="Calibri"/>
                <w:color w:val="000000"/>
                <w:lang w:eastAsia="en-AU"/>
              </w:rPr>
            </w:pPr>
            <w:r>
              <w:rPr>
                <w:rFonts w:ascii="Calibri" w:eastAsia="Times New Roman" w:hAnsi="Calibri" w:cs="Calibri"/>
                <w:color w:val="000000"/>
                <w:lang w:eastAsia="en-AU"/>
              </w:rPr>
              <w:t>De</w:t>
            </w:r>
            <w:r w:rsidRPr="00F24847">
              <w:rPr>
                <w:rFonts w:ascii="Calibri" w:eastAsia="Times New Roman" w:hAnsi="Calibri" w:cs="Calibri"/>
                <w:color w:val="000000"/>
                <w:lang w:eastAsia="en-AU"/>
              </w:rPr>
              <w:t>institutiionalisation from long term psychiatric setting to community housing (2-3 residents).</w:t>
            </w:r>
          </w:p>
        </w:tc>
      </w:tr>
      <w:tr w:rsidR="00F00CFD" w:rsidRPr="00650916" w14:paraId="72A4F7F0" w14:textId="77777777" w:rsidTr="006E2C88">
        <w:tc>
          <w:tcPr>
            <w:tcW w:w="234" w:type="pct"/>
          </w:tcPr>
          <w:p w14:paraId="15E59438" w14:textId="7FC2300D"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5</w:t>
            </w:r>
            <w:r w:rsidR="00E96C60">
              <w:rPr>
                <w:rFonts w:ascii="Calibri" w:eastAsia="Times New Roman" w:hAnsi="Calibri" w:cs="Calibri"/>
                <w:color w:val="000000"/>
                <w:lang w:eastAsia="en-AU"/>
              </w:rPr>
              <w:t>5</w:t>
            </w:r>
          </w:p>
        </w:tc>
        <w:tc>
          <w:tcPr>
            <w:tcW w:w="573" w:type="pct"/>
            <w:hideMark/>
          </w:tcPr>
          <w:p w14:paraId="2373D89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Hoffman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2017</w:t>
            </w:r>
            <w:r>
              <w:rPr>
                <w:rFonts w:ascii="Calibri" w:eastAsia="Times New Roman" w:hAnsi="Calibri" w:cs="Calibri"/>
                <w:color w:val="000000"/>
                <w:lang w:eastAsia="en-AU"/>
              </w:rPr>
              <w:t>)</w:t>
            </w:r>
          </w:p>
        </w:tc>
        <w:tc>
          <w:tcPr>
            <w:tcW w:w="707" w:type="pct"/>
            <w:hideMark/>
          </w:tcPr>
          <w:p w14:paraId="2E493E8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Evaluation of the impact of housing vouchers and community based services and supports on transitions from nursing facilities to the community with focus on two research questions: (1) What are the characteristics of </w:t>
            </w:r>
            <w:r w:rsidRPr="00650916">
              <w:rPr>
                <w:rFonts w:ascii="Calibri" w:eastAsia="Times New Roman" w:hAnsi="Calibri" w:cs="Calibri"/>
                <w:color w:val="000000"/>
                <w:lang w:eastAsia="en-AU"/>
              </w:rPr>
              <w:lastRenderedPageBreak/>
              <w:t>people who used</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vouchers? (2) What is the impact of</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vouchers on the likelihood of transition from an institution to the community?</w:t>
            </w:r>
          </w:p>
        </w:tc>
        <w:tc>
          <w:tcPr>
            <w:tcW w:w="404" w:type="pct"/>
            <w:hideMark/>
          </w:tcPr>
          <w:p w14:paraId="4AF06575"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USA</w:t>
            </w:r>
          </w:p>
        </w:tc>
        <w:tc>
          <w:tcPr>
            <w:tcW w:w="606" w:type="pct"/>
            <w:hideMark/>
          </w:tcPr>
          <w:p w14:paraId="03711DF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Single group Pre/post intervention transition rate and intervention impact.</w:t>
            </w:r>
          </w:p>
        </w:tc>
        <w:tc>
          <w:tcPr>
            <w:tcW w:w="619" w:type="pct"/>
            <w:hideMark/>
          </w:tcPr>
          <w:p w14:paraId="25981647"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Broad range of disabilities of people living at institutions or at risk of long-term institutionalisation. Disability defined as: a physical or mental disability that substantially</w:t>
            </w:r>
            <w:r w:rsidRPr="00650916">
              <w:rPr>
                <w:rFonts w:ascii="Calibri" w:eastAsia="Times New Roman" w:hAnsi="Calibri" w:cs="Calibri"/>
                <w:color w:val="000000"/>
                <w:lang w:eastAsia="en-AU"/>
              </w:rPr>
              <w:br/>
              <w:t xml:space="preserve">limits one or </w:t>
            </w:r>
            <w:r w:rsidRPr="00650916">
              <w:rPr>
                <w:rFonts w:ascii="Calibri" w:eastAsia="Times New Roman" w:hAnsi="Calibri" w:cs="Calibri"/>
                <w:color w:val="000000"/>
                <w:lang w:eastAsia="en-AU"/>
              </w:rPr>
              <w:lastRenderedPageBreak/>
              <w:t>more major life activities, has a record of such impairment, or is regarded as having such impairment.</w:t>
            </w:r>
          </w:p>
        </w:tc>
        <w:tc>
          <w:tcPr>
            <w:tcW w:w="1011" w:type="pct"/>
            <w:hideMark/>
          </w:tcPr>
          <w:p w14:paraId="569B717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Non-Elderly Disabled Housing Choice Voucher Program/Subsidised rental cost housing vouchers and access to home and community based services for non-elderly institutionalised residents with a disability</w:t>
            </w:r>
          </w:p>
        </w:tc>
        <w:tc>
          <w:tcPr>
            <w:tcW w:w="846" w:type="pct"/>
            <w:hideMark/>
          </w:tcPr>
          <w:p w14:paraId="245BD91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Non-Elderly Disabled Persons with Disabilities (NED) programme of rental assistance vouchers.</w:t>
            </w:r>
          </w:p>
        </w:tc>
      </w:tr>
      <w:tr w:rsidR="00F00CFD" w:rsidRPr="00650916" w14:paraId="09F63BFD" w14:textId="77777777" w:rsidTr="00AE0078">
        <w:tc>
          <w:tcPr>
            <w:tcW w:w="234" w:type="pct"/>
          </w:tcPr>
          <w:p w14:paraId="3DC89A30" w14:textId="11F02208"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5</w:t>
            </w:r>
            <w:r w:rsidR="00E96C60">
              <w:rPr>
                <w:rFonts w:ascii="Calibri" w:eastAsia="Times New Roman" w:hAnsi="Calibri" w:cs="Calibri"/>
                <w:color w:val="000000"/>
                <w:lang w:eastAsia="en-AU"/>
              </w:rPr>
              <w:t>6</w:t>
            </w:r>
          </w:p>
        </w:tc>
        <w:tc>
          <w:tcPr>
            <w:tcW w:w="573" w:type="pct"/>
            <w:hideMark/>
          </w:tcPr>
          <w:p w14:paraId="53D001C5"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Houseworth et al</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2018</w:t>
            </w:r>
            <w:r>
              <w:rPr>
                <w:rFonts w:ascii="Calibri" w:eastAsia="Times New Roman" w:hAnsi="Calibri" w:cs="Calibri"/>
                <w:color w:val="000000"/>
                <w:lang w:eastAsia="en-AU"/>
              </w:rPr>
              <w:t>)</w:t>
            </w:r>
          </w:p>
        </w:tc>
        <w:tc>
          <w:tcPr>
            <w:tcW w:w="707" w:type="pct"/>
            <w:hideMark/>
          </w:tcPr>
          <w:p w14:paraId="6DE0D6B4" w14:textId="2A68CF94"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To examine both individual and state-level factors associated with choice based on two empirically developed choice scales: (a) the support related choice scale and (b) the everyday choice scale</w:t>
            </w:r>
            <w:r w:rsidR="00BA5063">
              <w:rPr>
                <w:rFonts w:ascii="Calibri" w:eastAsia="Times New Roman" w:hAnsi="Calibri" w:cs="Calibri"/>
                <w:color w:val="000000"/>
                <w:lang w:eastAsia="en-AU"/>
              </w:rPr>
              <w:t>. T</w:t>
            </w:r>
            <w:r w:rsidR="00AA6F65">
              <w:rPr>
                <w:rFonts w:ascii="Calibri" w:eastAsia="Times New Roman" w:hAnsi="Calibri" w:cs="Calibri"/>
                <w:color w:val="000000"/>
                <w:lang w:eastAsia="en-AU"/>
              </w:rPr>
              <w:t xml:space="preserve">he </w:t>
            </w:r>
            <w:r w:rsidRPr="00650916">
              <w:rPr>
                <w:rFonts w:ascii="Calibri" w:eastAsia="Times New Roman" w:hAnsi="Calibri" w:cs="Calibri"/>
                <w:color w:val="000000"/>
                <w:lang w:eastAsia="en-AU"/>
              </w:rPr>
              <w:t>following research questions: (1) How much variation in everyday choice and in support-related choice is associated with state-level factors? and (2) How much variation in everyday choice and in support-</w:t>
            </w:r>
            <w:r w:rsidRPr="00650916">
              <w:rPr>
                <w:rFonts w:ascii="Calibri" w:eastAsia="Times New Roman" w:hAnsi="Calibri" w:cs="Calibri"/>
                <w:color w:val="000000"/>
                <w:lang w:eastAsia="en-AU"/>
              </w:rPr>
              <w:lastRenderedPageBreak/>
              <w:t>related choice is associated with specific state-level factors (e.g., cost of living).</w:t>
            </w:r>
          </w:p>
        </w:tc>
        <w:tc>
          <w:tcPr>
            <w:tcW w:w="404" w:type="pct"/>
            <w:hideMark/>
          </w:tcPr>
          <w:p w14:paraId="6599A60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USA</w:t>
            </w:r>
          </w:p>
        </w:tc>
        <w:tc>
          <w:tcPr>
            <w:tcW w:w="606" w:type="pct"/>
            <w:hideMark/>
          </w:tcPr>
          <w:p w14:paraId="5284723A" w14:textId="1AE90405"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Predictive modelling based on </w:t>
            </w:r>
            <w:r w:rsidR="00F24847">
              <w:rPr>
                <w:rFonts w:ascii="Calibri" w:eastAsia="Times New Roman" w:hAnsi="Calibri" w:cs="Calibri"/>
                <w:color w:val="000000"/>
                <w:lang w:eastAsia="en-AU"/>
              </w:rPr>
              <w:t>m</w:t>
            </w:r>
            <w:r w:rsidR="00F24847" w:rsidRPr="00650916">
              <w:rPr>
                <w:rFonts w:ascii="Calibri" w:eastAsia="Times New Roman" w:hAnsi="Calibri" w:cs="Calibri"/>
                <w:color w:val="000000"/>
                <w:lang w:eastAsia="en-AU"/>
              </w:rPr>
              <w:t xml:space="preserve">ultiple </w:t>
            </w:r>
            <w:r w:rsidRPr="00650916">
              <w:rPr>
                <w:rFonts w:ascii="Calibri" w:eastAsia="Times New Roman" w:hAnsi="Calibri" w:cs="Calibri"/>
                <w:color w:val="000000"/>
                <w:lang w:eastAsia="en-AU"/>
              </w:rPr>
              <w:t>regression.</w:t>
            </w:r>
          </w:p>
        </w:tc>
        <w:tc>
          <w:tcPr>
            <w:tcW w:w="619" w:type="pct"/>
            <w:hideMark/>
          </w:tcPr>
          <w:p w14:paraId="3E1F00A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shd w:val="clear" w:color="auto" w:fill="A8D08D" w:themeFill="accent6" w:themeFillTint="99"/>
            <w:hideMark/>
          </w:tcPr>
          <w:p w14:paraId="4669AC03" w14:textId="12E3873B" w:rsidR="00F00CFD" w:rsidRPr="00650916" w:rsidRDefault="001D784A" w:rsidP="00046E15">
            <w:pPr>
              <w:rPr>
                <w:rFonts w:ascii="Calibri" w:eastAsia="Times New Roman" w:hAnsi="Calibri" w:cs="Calibri"/>
                <w:color w:val="000000"/>
                <w:lang w:eastAsia="en-AU"/>
              </w:rPr>
            </w:pPr>
            <w:r>
              <w:rPr>
                <w:rFonts w:ascii="Calibri" w:eastAsia="Times New Roman" w:hAnsi="Calibri" w:cs="Calibri"/>
                <w:color w:val="000000"/>
                <w:lang w:eastAsia="en-AU"/>
              </w:rPr>
              <w:t xml:space="preserve">Independent living </w:t>
            </w:r>
          </w:p>
        </w:tc>
        <w:tc>
          <w:tcPr>
            <w:tcW w:w="846" w:type="pct"/>
            <w:hideMark/>
          </w:tcPr>
          <w:p w14:paraId="5EF8CDA6" w14:textId="784BE989" w:rsidR="00F00CFD" w:rsidRPr="00650916" w:rsidRDefault="00BA5063" w:rsidP="00046E15">
            <w:pPr>
              <w:rPr>
                <w:rFonts w:ascii="Calibri" w:eastAsia="Times New Roman" w:hAnsi="Calibri" w:cs="Calibri"/>
                <w:color w:val="000000"/>
                <w:lang w:eastAsia="en-AU"/>
              </w:rPr>
            </w:pPr>
            <w:r>
              <w:rPr>
                <w:rFonts w:ascii="Calibri" w:eastAsia="Times New Roman" w:hAnsi="Calibri" w:cs="Calibri"/>
                <w:color w:val="000000"/>
                <w:lang w:eastAsia="en-AU"/>
              </w:rPr>
              <w:t>Not appl</w:t>
            </w:r>
            <w:r w:rsidR="00D96C8F">
              <w:rPr>
                <w:rFonts w:ascii="Calibri" w:eastAsia="Times New Roman" w:hAnsi="Calibri" w:cs="Calibri"/>
                <w:color w:val="000000"/>
                <w:lang w:eastAsia="en-AU"/>
              </w:rPr>
              <w:t>i</w:t>
            </w:r>
            <w:r>
              <w:rPr>
                <w:rFonts w:ascii="Calibri" w:eastAsia="Times New Roman" w:hAnsi="Calibri" w:cs="Calibri"/>
                <w:color w:val="000000"/>
                <w:lang w:eastAsia="en-AU"/>
              </w:rPr>
              <w:t>cable</w:t>
            </w:r>
          </w:p>
        </w:tc>
      </w:tr>
      <w:tr w:rsidR="00F00CFD" w:rsidRPr="00FE0180" w14:paraId="7AA3CF99"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466814DA" w14:textId="3D245370" w:rsidR="00F00CFD" w:rsidRPr="00FE0180" w:rsidRDefault="00F00CFD" w:rsidP="00046E15">
            <w:r>
              <w:t>5</w:t>
            </w:r>
            <w:r w:rsidR="00E96C60">
              <w:t>7</w:t>
            </w:r>
          </w:p>
        </w:tc>
        <w:tc>
          <w:tcPr>
            <w:tcW w:w="573" w:type="pct"/>
            <w:tcBorders>
              <w:top w:val="single" w:sz="4" w:space="0" w:color="auto"/>
              <w:left w:val="single" w:sz="4" w:space="0" w:color="auto"/>
              <w:bottom w:val="single" w:sz="4" w:space="0" w:color="auto"/>
              <w:right w:val="single" w:sz="4" w:space="0" w:color="auto"/>
            </w:tcBorders>
            <w:hideMark/>
          </w:tcPr>
          <w:p w14:paraId="21F4D506" w14:textId="5C14CA6D" w:rsidR="00F00CFD" w:rsidRPr="00FE0180" w:rsidRDefault="00F00CFD" w:rsidP="00046E15">
            <w:r w:rsidRPr="00FE0180">
              <w:t>Dimitriadou</w:t>
            </w:r>
            <w:r>
              <w:t xml:space="preserve"> (2020)</w:t>
            </w:r>
          </w:p>
        </w:tc>
        <w:tc>
          <w:tcPr>
            <w:tcW w:w="707" w:type="pct"/>
            <w:tcBorders>
              <w:top w:val="single" w:sz="4" w:space="0" w:color="auto"/>
              <w:left w:val="single" w:sz="4" w:space="0" w:color="auto"/>
              <w:bottom w:val="single" w:sz="4" w:space="0" w:color="auto"/>
              <w:right w:val="single" w:sz="4" w:space="0" w:color="auto"/>
            </w:tcBorders>
            <w:hideMark/>
          </w:tcPr>
          <w:p w14:paraId="489D1B40" w14:textId="77777777" w:rsidR="00F00CFD" w:rsidRPr="00FE0180" w:rsidRDefault="00F00CFD" w:rsidP="00046E15">
            <w:r w:rsidRPr="00FE0180">
              <w:t>The purpose of this study is to explore the opinions of parents, educators, and individuals with ID about IL</w:t>
            </w:r>
          </w:p>
        </w:tc>
        <w:tc>
          <w:tcPr>
            <w:tcW w:w="404" w:type="pct"/>
            <w:tcBorders>
              <w:top w:val="single" w:sz="4" w:space="0" w:color="auto"/>
              <w:left w:val="single" w:sz="4" w:space="0" w:color="auto"/>
              <w:bottom w:val="single" w:sz="4" w:space="0" w:color="auto"/>
              <w:right w:val="single" w:sz="4" w:space="0" w:color="auto"/>
            </w:tcBorders>
          </w:tcPr>
          <w:p w14:paraId="4E2B3872" w14:textId="77777777" w:rsidR="00F00CFD" w:rsidRPr="00FE0180" w:rsidRDefault="00F00CFD" w:rsidP="00046E15">
            <w:r w:rsidRPr="00FE0180">
              <w:t>Greece</w:t>
            </w:r>
          </w:p>
        </w:tc>
        <w:tc>
          <w:tcPr>
            <w:tcW w:w="606" w:type="pct"/>
            <w:tcBorders>
              <w:top w:val="single" w:sz="4" w:space="0" w:color="auto"/>
              <w:left w:val="single" w:sz="4" w:space="0" w:color="auto"/>
              <w:bottom w:val="single" w:sz="4" w:space="0" w:color="auto"/>
              <w:right w:val="single" w:sz="4" w:space="0" w:color="auto"/>
            </w:tcBorders>
          </w:tcPr>
          <w:p w14:paraId="6B215137" w14:textId="77777777" w:rsidR="00F00CFD" w:rsidRPr="00FE0180" w:rsidRDefault="00F00CFD" w:rsidP="00046E15">
            <w:r>
              <w:t xml:space="preserve">Survey </w:t>
            </w:r>
          </w:p>
        </w:tc>
        <w:tc>
          <w:tcPr>
            <w:tcW w:w="619" w:type="pct"/>
            <w:tcBorders>
              <w:top w:val="single" w:sz="4" w:space="0" w:color="auto"/>
              <w:left w:val="single" w:sz="4" w:space="0" w:color="auto"/>
              <w:bottom w:val="single" w:sz="4" w:space="0" w:color="auto"/>
              <w:right w:val="single" w:sz="4" w:space="0" w:color="auto"/>
            </w:tcBorders>
            <w:hideMark/>
          </w:tcPr>
          <w:p w14:paraId="7835A915" w14:textId="77777777" w:rsidR="00F00CFD" w:rsidRPr="00FE0180" w:rsidRDefault="00F00CFD" w:rsidP="00046E15">
            <w:r w:rsidRPr="00FE0180">
              <w:t xml:space="preserve">Intellectual disability </w:t>
            </w:r>
          </w:p>
        </w:tc>
        <w:tc>
          <w:tcPr>
            <w:tcW w:w="1011" w:type="pct"/>
            <w:tcBorders>
              <w:top w:val="single" w:sz="4" w:space="0" w:color="auto"/>
              <w:left w:val="single" w:sz="4" w:space="0" w:color="auto"/>
              <w:bottom w:val="single" w:sz="4" w:space="0" w:color="auto"/>
              <w:right w:val="single" w:sz="4" w:space="0" w:color="auto"/>
            </w:tcBorders>
            <w:hideMark/>
          </w:tcPr>
          <w:p w14:paraId="3DA47F71" w14:textId="77777777" w:rsidR="00F00CFD" w:rsidRPr="00FE0180" w:rsidRDefault="00F00CFD" w:rsidP="00046E15">
            <w:r w:rsidRPr="00FE0180">
              <w:t xml:space="preserve">Independent living </w:t>
            </w:r>
          </w:p>
        </w:tc>
        <w:tc>
          <w:tcPr>
            <w:tcW w:w="846" w:type="pct"/>
            <w:tcBorders>
              <w:top w:val="single" w:sz="4" w:space="0" w:color="auto"/>
              <w:left w:val="single" w:sz="4" w:space="0" w:color="auto"/>
              <w:bottom w:val="single" w:sz="4" w:space="0" w:color="auto"/>
              <w:right w:val="single" w:sz="4" w:space="0" w:color="auto"/>
            </w:tcBorders>
            <w:hideMark/>
          </w:tcPr>
          <w:p w14:paraId="6AB9F2C8" w14:textId="77777777" w:rsidR="00F00CFD" w:rsidRPr="00FE0180" w:rsidRDefault="00F00CFD" w:rsidP="00046E15">
            <w:r w:rsidRPr="00FE0180">
              <w:t>Parent/family perspective</w:t>
            </w:r>
          </w:p>
        </w:tc>
      </w:tr>
      <w:tr w:rsidR="00F00CFD" w:rsidRPr="00FE0180" w14:paraId="4E2D23E7"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796024D4" w14:textId="1D81FE6D" w:rsidR="00F00CFD" w:rsidRPr="00FE0180" w:rsidRDefault="00F00CFD" w:rsidP="00046E15">
            <w:r>
              <w:t>5</w:t>
            </w:r>
            <w:r w:rsidR="00E96C60">
              <w:t>8</w:t>
            </w:r>
          </w:p>
        </w:tc>
        <w:tc>
          <w:tcPr>
            <w:tcW w:w="573" w:type="pct"/>
            <w:tcBorders>
              <w:top w:val="single" w:sz="4" w:space="0" w:color="auto"/>
              <w:left w:val="single" w:sz="4" w:space="0" w:color="auto"/>
              <w:bottom w:val="single" w:sz="4" w:space="0" w:color="auto"/>
              <w:right w:val="single" w:sz="4" w:space="0" w:color="auto"/>
            </w:tcBorders>
            <w:hideMark/>
          </w:tcPr>
          <w:p w14:paraId="7871C9C8" w14:textId="556EFA37" w:rsidR="00F00CFD" w:rsidRPr="00FE0180" w:rsidRDefault="00F00CFD" w:rsidP="00046E15">
            <w:r w:rsidRPr="00FE0180">
              <w:t>Iriarte</w:t>
            </w:r>
            <w:r w:rsidR="007245E8">
              <w:t>,</w:t>
            </w:r>
            <w:r w:rsidRPr="00FE0180">
              <w:t xml:space="preserve"> </w:t>
            </w:r>
            <w:r w:rsidR="007245E8">
              <w:t xml:space="preserve">et al </w:t>
            </w:r>
            <w:r>
              <w:t>(2016)</w:t>
            </w:r>
          </w:p>
        </w:tc>
        <w:tc>
          <w:tcPr>
            <w:tcW w:w="707" w:type="pct"/>
            <w:tcBorders>
              <w:top w:val="single" w:sz="4" w:space="0" w:color="auto"/>
              <w:left w:val="single" w:sz="4" w:space="0" w:color="auto"/>
              <w:bottom w:val="single" w:sz="4" w:space="0" w:color="auto"/>
              <w:right w:val="single" w:sz="4" w:space="0" w:color="auto"/>
            </w:tcBorders>
            <w:hideMark/>
          </w:tcPr>
          <w:p w14:paraId="4056E5BB" w14:textId="77777777" w:rsidR="00F00CFD" w:rsidRPr="00FE0180" w:rsidRDefault="00F00CFD" w:rsidP="00046E15">
            <w:r>
              <w:t>T</w:t>
            </w:r>
            <w:r w:rsidRPr="00FE0180">
              <w:t>o address the following question: what is their role in</w:t>
            </w:r>
            <w:r>
              <w:t xml:space="preserve"> </w:t>
            </w:r>
            <w:r w:rsidRPr="00FE0180">
              <w:t>preparing people to move and how does their role vary in group homes from that of supporting</w:t>
            </w:r>
            <w:r w:rsidRPr="00FE0180">
              <w:br/>
              <w:t>people in personalized settings</w:t>
            </w:r>
          </w:p>
        </w:tc>
        <w:tc>
          <w:tcPr>
            <w:tcW w:w="404" w:type="pct"/>
            <w:tcBorders>
              <w:top w:val="single" w:sz="4" w:space="0" w:color="auto"/>
              <w:left w:val="single" w:sz="4" w:space="0" w:color="auto"/>
              <w:bottom w:val="single" w:sz="4" w:space="0" w:color="auto"/>
              <w:right w:val="single" w:sz="4" w:space="0" w:color="auto"/>
            </w:tcBorders>
          </w:tcPr>
          <w:p w14:paraId="60B81C4F" w14:textId="77777777" w:rsidR="00F00CFD" w:rsidRDefault="00F00CFD" w:rsidP="00046E15">
            <w:r w:rsidRPr="00FE0180">
              <w:t xml:space="preserve">Ireland </w:t>
            </w:r>
          </w:p>
        </w:tc>
        <w:tc>
          <w:tcPr>
            <w:tcW w:w="606" w:type="pct"/>
            <w:tcBorders>
              <w:top w:val="single" w:sz="4" w:space="0" w:color="auto"/>
              <w:left w:val="single" w:sz="4" w:space="0" w:color="auto"/>
              <w:bottom w:val="single" w:sz="4" w:space="0" w:color="auto"/>
              <w:right w:val="single" w:sz="4" w:space="0" w:color="auto"/>
            </w:tcBorders>
          </w:tcPr>
          <w:p w14:paraId="1222F9B0" w14:textId="77777777" w:rsidR="00F00CFD" w:rsidRPr="00FE0180" w:rsidRDefault="00F00CFD" w:rsidP="00046E15">
            <w:r>
              <w:t>Semi-structured interviews (n=16)</w:t>
            </w:r>
          </w:p>
        </w:tc>
        <w:tc>
          <w:tcPr>
            <w:tcW w:w="619" w:type="pct"/>
            <w:tcBorders>
              <w:top w:val="single" w:sz="4" w:space="0" w:color="auto"/>
              <w:left w:val="single" w:sz="4" w:space="0" w:color="auto"/>
              <w:bottom w:val="single" w:sz="4" w:space="0" w:color="auto"/>
              <w:right w:val="single" w:sz="4" w:space="0" w:color="auto"/>
            </w:tcBorders>
            <w:hideMark/>
          </w:tcPr>
          <w:p w14:paraId="62D1997F" w14:textId="77777777" w:rsidR="00F00CFD" w:rsidRPr="00FE0180" w:rsidRDefault="00F00CFD" w:rsidP="00046E15">
            <w:r w:rsidRPr="00FE0180">
              <w:t xml:space="preserve">Intellectual disability </w:t>
            </w:r>
          </w:p>
        </w:tc>
        <w:tc>
          <w:tcPr>
            <w:tcW w:w="1011" w:type="pct"/>
            <w:tcBorders>
              <w:top w:val="single" w:sz="4" w:space="0" w:color="auto"/>
              <w:left w:val="single" w:sz="4" w:space="0" w:color="auto"/>
              <w:bottom w:val="single" w:sz="4" w:space="0" w:color="auto"/>
              <w:right w:val="single" w:sz="4" w:space="0" w:color="auto"/>
            </w:tcBorders>
            <w:hideMark/>
          </w:tcPr>
          <w:p w14:paraId="1DFA7EB2"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2DDB392C" w14:textId="77777777" w:rsidR="00F00CFD" w:rsidRPr="00FE0180" w:rsidRDefault="00F00CFD" w:rsidP="00046E15">
            <w:r w:rsidRPr="00FE0180">
              <w:t xml:space="preserve">Staff support </w:t>
            </w:r>
          </w:p>
        </w:tc>
      </w:tr>
      <w:tr w:rsidR="00F00CFD" w:rsidRPr="00FE0180" w14:paraId="770C6B29"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34C7235E" w14:textId="03730477" w:rsidR="00F00CFD" w:rsidRPr="00FE0180" w:rsidRDefault="007245E8" w:rsidP="00046E15">
            <w:r>
              <w:t>59</w:t>
            </w:r>
          </w:p>
        </w:tc>
        <w:tc>
          <w:tcPr>
            <w:tcW w:w="573" w:type="pct"/>
            <w:tcBorders>
              <w:top w:val="single" w:sz="4" w:space="0" w:color="auto"/>
              <w:left w:val="single" w:sz="4" w:space="0" w:color="auto"/>
              <w:bottom w:val="single" w:sz="4" w:space="0" w:color="auto"/>
              <w:right w:val="single" w:sz="4" w:space="0" w:color="auto"/>
            </w:tcBorders>
            <w:hideMark/>
          </w:tcPr>
          <w:p w14:paraId="56A4ADCE" w14:textId="6E7F0BB0" w:rsidR="00F00CFD" w:rsidRPr="00FE0180" w:rsidRDefault="00F00CFD" w:rsidP="00046E15">
            <w:r w:rsidRPr="00FE0180">
              <w:t xml:space="preserve">Jones </w:t>
            </w:r>
            <w:r w:rsidR="00884422">
              <w:t xml:space="preserve">&amp; </w:t>
            </w:r>
            <w:r w:rsidRPr="00FE0180">
              <w:t xml:space="preserve">Gallus, </w:t>
            </w:r>
            <w:r>
              <w:t>(2016)</w:t>
            </w:r>
          </w:p>
        </w:tc>
        <w:tc>
          <w:tcPr>
            <w:tcW w:w="707" w:type="pct"/>
            <w:tcBorders>
              <w:top w:val="single" w:sz="4" w:space="0" w:color="auto"/>
              <w:left w:val="single" w:sz="4" w:space="0" w:color="auto"/>
              <w:bottom w:val="single" w:sz="4" w:space="0" w:color="auto"/>
              <w:right w:val="single" w:sz="4" w:space="0" w:color="auto"/>
            </w:tcBorders>
            <w:hideMark/>
          </w:tcPr>
          <w:p w14:paraId="06AC9DD1" w14:textId="77777777" w:rsidR="00F00CFD" w:rsidRPr="006E2C88" w:rsidRDefault="00F00CFD" w:rsidP="00046E15">
            <w:pPr>
              <w:rPr>
                <w:sz w:val="21"/>
                <w:szCs w:val="21"/>
              </w:rPr>
            </w:pPr>
            <w:r w:rsidRPr="006E2C88">
              <w:rPr>
                <w:sz w:val="21"/>
                <w:szCs w:val="21"/>
              </w:rPr>
              <w:t>To better understand the lived experience of parents and siblings (hereafter referred to as family members) of individuals transitioning out of NORCE and SORC.</w:t>
            </w:r>
          </w:p>
        </w:tc>
        <w:tc>
          <w:tcPr>
            <w:tcW w:w="404" w:type="pct"/>
            <w:tcBorders>
              <w:top w:val="single" w:sz="4" w:space="0" w:color="auto"/>
              <w:left w:val="single" w:sz="4" w:space="0" w:color="auto"/>
              <w:bottom w:val="single" w:sz="4" w:space="0" w:color="auto"/>
              <w:right w:val="single" w:sz="4" w:space="0" w:color="auto"/>
            </w:tcBorders>
          </w:tcPr>
          <w:p w14:paraId="272F1692" w14:textId="77777777" w:rsidR="00F00CFD" w:rsidRDefault="00F00CFD" w:rsidP="00046E15">
            <w:r w:rsidRPr="00FE0180">
              <w:t>USA</w:t>
            </w:r>
          </w:p>
        </w:tc>
        <w:tc>
          <w:tcPr>
            <w:tcW w:w="606" w:type="pct"/>
            <w:tcBorders>
              <w:top w:val="single" w:sz="4" w:space="0" w:color="auto"/>
              <w:left w:val="single" w:sz="4" w:space="0" w:color="auto"/>
              <w:bottom w:val="single" w:sz="4" w:space="0" w:color="auto"/>
              <w:right w:val="single" w:sz="4" w:space="0" w:color="auto"/>
            </w:tcBorders>
          </w:tcPr>
          <w:p w14:paraId="5481A8FE" w14:textId="77777777" w:rsidR="00F00CFD" w:rsidRPr="00FE0180" w:rsidRDefault="00F00CFD" w:rsidP="00046E15">
            <w:r>
              <w:t>Semi-structured interviews (n=23)</w:t>
            </w:r>
          </w:p>
        </w:tc>
        <w:tc>
          <w:tcPr>
            <w:tcW w:w="619" w:type="pct"/>
            <w:tcBorders>
              <w:top w:val="single" w:sz="4" w:space="0" w:color="auto"/>
              <w:left w:val="single" w:sz="4" w:space="0" w:color="auto"/>
              <w:bottom w:val="single" w:sz="4" w:space="0" w:color="auto"/>
              <w:right w:val="single" w:sz="4" w:space="0" w:color="auto"/>
            </w:tcBorders>
            <w:hideMark/>
          </w:tcPr>
          <w:p w14:paraId="0D3CFCD5" w14:textId="77777777" w:rsidR="00F00CFD" w:rsidRPr="00FE0180" w:rsidRDefault="00F00CFD" w:rsidP="00046E15">
            <w:r w:rsidRPr="00FE0180">
              <w:t xml:space="preserve">Not specified </w:t>
            </w:r>
          </w:p>
        </w:tc>
        <w:tc>
          <w:tcPr>
            <w:tcW w:w="1011" w:type="pct"/>
            <w:tcBorders>
              <w:top w:val="single" w:sz="4" w:space="0" w:color="auto"/>
              <w:left w:val="single" w:sz="4" w:space="0" w:color="auto"/>
              <w:bottom w:val="single" w:sz="4" w:space="0" w:color="auto"/>
              <w:right w:val="single" w:sz="4" w:space="0" w:color="auto"/>
            </w:tcBorders>
            <w:hideMark/>
          </w:tcPr>
          <w:p w14:paraId="77BC21B6"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07663503" w14:textId="77777777" w:rsidR="00F00CFD" w:rsidRPr="00FE0180" w:rsidRDefault="00F00CFD" w:rsidP="00046E15">
            <w:r w:rsidRPr="00FE0180">
              <w:t>Parent/family perspective</w:t>
            </w:r>
          </w:p>
        </w:tc>
      </w:tr>
      <w:tr w:rsidR="00F00CFD" w:rsidRPr="00FE0180" w14:paraId="53421908"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3277F124" w14:textId="3903BA44" w:rsidR="00F00CFD" w:rsidRPr="00FE0180" w:rsidRDefault="00F00CFD" w:rsidP="00046E15">
            <w:r>
              <w:lastRenderedPageBreak/>
              <w:t>6</w:t>
            </w:r>
            <w:r w:rsidR="003356F9">
              <w:t>0</w:t>
            </w:r>
          </w:p>
        </w:tc>
        <w:tc>
          <w:tcPr>
            <w:tcW w:w="573" w:type="pct"/>
            <w:tcBorders>
              <w:top w:val="single" w:sz="4" w:space="0" w:color="auto"/>
              <w:left w:val="single" w:sz="4" w:space="0" w:color="auto"/>
              <w:bottom w:val="single" w:sz="4" w:space="0" w:color="auto"/>
              <w:right w:val="single" w:sz="4" w:space="0" w:color="auto"/>
            </w:tcBorders>
            <w:hideMark/>
          </w:tcPr>
          <w:p w14:paraId="3E6AC5A0" w14:textId="24A6963C" w:rsidR="00F00CFD" w:rsidRPr="00FE0180" w:rsidRDefault="00F00CFD" w:rsidP="00046E15">
            <w:r w:rsidRPr="00FE0180">
              <w:t xml:space="preserve">Karban, Paley, </w:t>
            </w:r>
            <w:r w:rsidR="003356F9">
              <w:t xml:space="preserve">&amp; </w:t>
            </w:r>
            <w:r w:rsidRPr="00FE0180">
              <w:t xml:space="preserve">Willcock, </w:t>
            </w:r>
            <w:r>
              <w:t>(2013)</w:t>
            </w:r>
          </w:p>
        </w:tc>
        <w:tc>
          <w:tcPr>
            <w:tcW w:w="707" w:type="pct"/>
            <w:tcBorders>
              <w:top w:val="single" w:sz="4" w:space="0" w:color="auto"/>
              <w:left w:val="single" w:sz="4" w:space="0" w:color="auto"/>
              <w:bottom w:val="single" w:sz="4" w:space="0" w:color="auto"/>
              <w:right w:val="single" w:sz="4" w:space="0" w:color="auto"/>
            </w:tcBorders>
            <w:hideMark/>
          </w:tcPr>
          <w:p w14:paraId="212C52E9" w14:textId="77777777" w:rsidR="00F00CFD" w:rsidRPr="00FE0180" w:rsidRDefault="00F00CFD" w:rsidP="00046E15">
            <w:r>
              <w:t>To</w:t>
            </w:r>
            <w:r w:rsidRPr="00FE0180">
              <w:t xml:space="preserve"> present results from an evaluation of the experience of a move to independent living for people with mental health needs or a learning disability. The discussion focuses on the shift in organisational culture from providing care within a hostel setting to supporting people in their own tenancies.</w:t>
            </w:r>
          </w:p>
        </w:tc>
        <w:tc>
          <w:tcPr>
            <w:tcW w:w="404" w:type="pct"/>
            <w:tcBorders>
              <w:top w:val="single" w:sz="4" w:space="0" w:color="auto"/>
              <w:left w:val="single" w:sz="4" w:space="0" w:color="auto"/>
              <w:bottom w:val="single" w:sz="4" w:space="0" w:color="auto"/>
              <w:right w:val="single" w:sz="4" w:space="0" w:color="auto"/>
            </w:tcBorders>
          </w:tcPr>
          <w:p w14:paraId="3C756892" w14:textId="77777777" w:rsidR="00F00CFD" w:rsidRDefault="00F00CFD" w:rsidP="00046E15">
            <w:r w:rsidRPr="00FE0180">
              <w:t>UK</w:t>
            </w:r>
          </w:p>
        </w:tc>
        <w:tc>
          <w:tcPr>
            <w:tcW w:w="606" w:type="pct"/>
            <w:tcBorders>
              <w:top w:val="single" w:sz="4" w:space="0" w:color="auto"/>
              <w:left w:val="single" w:sz="4" w:space="0" w:color="auto"/>
              <w:bottom w:val="single" w:sz="4" w:space="0" w:color="auto"/>
              <w:right w:val="single" w:sz="4" w:space="0" w:color="auto"/>
            </w:tcBorders>
          </w:tcPr>
          <w:p w14:paraId="7F397E27" w14:textId="77777777" w:rsidR="00F00CFD" w:rsidRPr="00FE0180" w:rsidRDefault="00F00CFD" w:rsidP="00046E15">
            <w:r>
              <w:t>Participatory action research</w:t>
            </w:r>
          </w:p>
        </w:tc>
        <w:tc>
          <w:tcPr>
            <w:tcW w:w="619" w:type="pct"/>
            <w:tcBorders>
              <w:top w:val="single" w:sz="4" w:space="0" w:color="auto"/>
              <w:left w:val="single" w:sz="4" w:space="0" w:color="auto"/>
              <w:bottom w:val="single" w:sz="4" w:space="0" w:color="auto"/>
              <w:right w:val="single" w:sz="4" w:space="0" w:color="auto"/>
            </w:tcBorders>
            <w:hideMark/>
          </w:tcPr>
          <w:p w14:paraId="5BA9AB8E" w14:textId="77777777" w:rsidR="00F00CFD" w:rsidRPr="00FE0180" w:rsidRDefault="00F00CFD" w:rsidP="00046E15">
            <w:r w:rsidRPr="00FE0180">
              <w:t xml:space="preserve">Intellectual disability </w:t>
            </w:r>
          </w:p>
        </w:tc>
        <w:tc>
          <w:tcPr>
            <w:tcW w:w="1011" w:type="pct"/>
            <w:tcBorders>
              <w:top w:val="single" w:sz="4" w:space="0" w:color="auto"/>
              <w:left w:val="single" w:sz="4" w:space="0" w:color="auto"/>
              <w:bottom w:val="single" w:sz="4" w:space="0" w:color="auto"/>
              <w:right w:val="single" w:sz="4" w:space="0" w:color="auto"/>
            </w:tcBorders>
            <w:hideMark/>
          </w:tcPr>
          <w:p w14:paraId="17275D80" w14:textId="77777777" w:rsidR="00F00CFD" w:rsidRPr="00FE0180" w:rsidRDefault="00F00CFD" w:rsidP="00046E15">
            <w:r w:rsidRPr="00FE0180">
              <w:t xml:space="preserve">Independent living </w:t>
            </w:r>
          </w:p>
        </w:tc>
        <w:tc>
          <w:tcPr>
            <w:tcW w:w="846" w:type="pct"/>
            <w:tcBorders>
              <w:top w:val="single" w:sz="4" w:space="0" w:color="auto"/>
              <w:left w:val="single" w:sz="4" w:space="0" w:color="auto"/>
              <w:bottom w:val="single" w:sz="4" w:space="0" w:color="auto"/>
              <w:right w:val="single" w:sz="4" w:space="0" w:color="auto"/>
            </w:tcBorders>
            <w:hideMark/>
          </w:tcPr>
          <w:p w14:paraId="5C3AB517" w14:textId="77777777" w:rsidR="00F00CFD" w:rsidRPr="00FE0180" w:rsidRDefault="00F00CFD" w:rsidP="00046E15">
            <w:r w:rsidRPr="00FE0180">
              <w:t xml:space="preserve">Transition to community living </w:t>
            </w:r>
          </w:p>
        </w:tc>
      </w:tr>
      <w:tr w:rsidR="00F00CFD" w:rsidRPr="00F66260" w14:paraId="4782A948" w14:textId="77777777" w:rsidTr="006E2C88">
        <w:tc>
          <w:tcPr>
            <w:tcW w:w="234" w:type="pct"/>
          </w:tcPr>
          <w:p w14:paraId="29C73467" w14:textId="5F0D938D" w:rsidR="00F00CFD" w:rsidRPr="00F66260" w:rsidRDefault="00F00CFD" w:rsidP="00046E15">
            <w:r>
              <w:t>6</w:t>
            </w:r>
            <w:r w:rsidR="003356F9">
              <w:t>1</w:t>
            </w:r>
          </w:p>
        </w:tc>
        <w:tc>
          <w:tcPr>
            <w:tcW w:w="573" w:type="pct"/>
            <w:hideMark/>
          </w:tcPr>
          <w:p w14:paraId="5A322DDB" w14:textId="77777777" w:rsidR="00F00CFD" w:rsidRPr="00F66260" w:rsidRDefault="00F00CFD" w:rsidP="00046E15">
            <w:r w:rsidRPr="00F66260">
              <w:t>Killaspy</w:t>
            </w:r>
            <w:r>
              <w:t xml:space="preserve"> (2016)</w:t>
            </w:r>
          </w:p>
        </w:tc>
        <w:tc>
          <w:tcPr>
            <w:tcW w:w="707" w:type="pct"/>
          </w:tcPr>
          <w:p w14:paraId="52160D9D" w14:textId="77777777" w:rsidR="00F00CFD" w:rsidRPr="00F66260" w:rsidRDefault="00F00CFD" w:rsidP="00046E15">
            <w:r w:rsidRPr="00F66260">
              <w:t>Supported accommodation for people with mental health problems</w:t>
            </w:r>
          </w:p>
        </w:tc>
        <w:tc>
          <w:tcPr>
            <w:tcW w:w="404" w:type="pct"/>
            <w:noWrap/>
            <w:hideMark/>
          </w:tcPr>
          <w:p w14:paraId="33151ED2" w14:textId="77777777" w:rsidR="00F00CFD" w:rsidRPr="00F66260" w:rsidRDefault="00F00CFD" w:rsidP="00046E15">
            <w:r w:rsidRPr="00F66260">
              <w:t>General</w:t>
            </w:r>
          </w:p>
        </w:tc>
        <w:tc>
          <w:tcPr>
            <w:tcW w:w="606" w:type="pct"/>
            <w:noWrap/>
          </w:tcPr>
          <w:p w14:paraId="4C4C2F83" w14:textId="77777777" w:rsidR="00F00CFD" w:rsidRPr="00F66260" w:rsidRDefault="00F00CFD" w:rsidP="00046E15">
            <w:r>
              <w:t xml:space="preserve">Discussion piece. Grey literature </w:t>
            </w:r>
          </w:p>
        </w:tc>
        <w:tc>
          <w:tcPr>
            <w:tcW w:w="619" w:type="pct"/>
            <w:noWrap/>
            <w:hideMark/>
          </w:tcPr>
          <w:p w14:paraId="21C78A89" w14:textId="77777777" w:rsidR="00F00CFD" w:rsidRPr="00F66260" w:rsidRDefault="00F00CFD" w:rsidP="00046E15">
            <w:r w:rsidRPr="00F66260">
              <w:t>Mental health problems</w:t>
            </w:r>
          </w:p>
        </w:tc>
        <w:tc>
          <w:tcPr>
            <w:tcW w:w="1011" w:type="pct"/>
            <w:hideMark/>
          </w:tcPr>
          <w:p w14:paraId="7F1A6A5B" w14:textId="77777777" w:rsidR="00F00CFD" w:rsidRPr="00F66260" w:rsidRDefault="00F00CFD" w:rsidP="00046E15">
            <w:r w:rsidRPr="00F66260">
              <w:t xml:space="preserve">Deinstitutionalization to community living. </w:t>
            </w:r>
          </w:p>
        </w:tc>
        <w:tc>
          <w:tcPr>
            <w:tcW w:w="846" w:type="pct"/>
            <w:noWrap/>
            <w:hideMark/>
          </w:tcPr>
          <w:p w14:paraId="336F14ED" w14:textId="77777777" w:rsidR="00F00CFD" w:rsidRPr="00F66260" w:rsidRDefault="00F00CFD" w:rsidP="00046E15">
            <w:r w:rsidRPr="00F66260">
              <w:t>Deinstitutionalisation</w:t>
            </w:r>
          </w:p>
        </w:tc>
      </w:tr>
      <w:tr w:rsidR="00F00CFD" w:rsidRPr="00FE0180" w14:paraId="3796ED9C"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7AA4F92F" w14:textId="26E261B0" w:rsidR="00F00CFD" w:rsidRPr="00FE0180" w:rsidRDefault="00F00CFD" w:rsidP="00046E15">
            <w:r>
              <w:t>6</w:t>
            </w:r>
            <w:r w:rsidR="003356F9">
              <w:t>2</w:t>
            </w:r>
          </w:p>
        </w:tc>
        <w:tc>
          <w:tcPr>
            <w:tcW w:w="573" w:type="pct"/>
            <w:tcBorders>
              <w:top w:val="single" w:sz="4" w:space="0" w:color="auto"/>
              <w:left w:val="single" w:sz="4" w:space="0" w:color="auto"/>
              <w:bottom w:val="single" w:sz="4" w:space="0" w:color="auto"/>
              <w:right w:val="single" w:sz="4" w:space="0" w:color="auto"/>
            </w:tcBorders>
            <w:hideMark/>
          </w:tcPr>
          <w:p w14:paraId="25F86B99" w14:textId="395453D5" w:rsidR="00F00CFD" w:rsidRPr="00FE0180" w:rsidRDefault="00F00CFD" w:rsidP="00046E15">
            <w:r w:rsidRPr="00FE0180">
              <w:t>Kilroy,</w:t>
            </w:r>
            <w:r w:rsidR="003356F9">
              <w:t xml:space="preserve"> et al</w:t>
            </w:r>
            <w:r>
              <w:t xml:space="preserve"> (2015)</w:t>
            </w:r>
          </w:p>
        </w:tc>
        <w:tc>
          <w:tcPr>
            <w:tcW w:w="707" w:type="pct"/>
            <w:tcBorders>
              <w:top w:val="single" w:sz="4" w:space="0" w:color="auto"/>
              <w:left w:val="single" w:sz="4" w:space="0" w:color="auto"/>
              <w:bottom w:val="single" w:sz="4" w:space="0" w:color="auto"/>
              <w:right w:val="single" w:sz="4" w:space="0" w:color="auto"/>
            </w:tcBorders>
            <w:hideMark/>
          </w:tcPr>
          <w:p w14:paraId="4644993C" w14:textId="77777777" w:rsidR="00F00CFD" w:rsidRPr="00FE0180" w:rsidRDefault="00F00CFD" w:rsidP="00046E15">
            <w:r w:rsidRPr="00FE0180">
              <w:t xml:space="preserve">This study explores the quality of life (QoL) of individuals with a severe intellectual disability (ID) who had recently moved from an institutional setting </w:t>
            </w:r>
            <w:r w:rsidRPr="00FE0180">
              <w:lastRenderedPageBreak/>
              <w:t>(i.e., “residential campus”) to independent housing in the community (i.e., “community living”) and whether aspects of their QoL were perceived to have changed over the course of this move.</w:t>
            </w:r>
          </w:p>
        </w:tc>
        <w:tc>
          <w:tcPr>
            <w:tcW w:w="404" w:type="pct"/>
            <w:tcBorders>
              <w:top w:val="single" w:sz="4" w:space="0" w:color="auto"/>
              <w:left w:val="single" w:sz="4" w:space="0" w:color="auto"/>
              <w:bottom w:val="single" w:sz="4" w:space="0" w:color="auto"/>
              <w:right w:val="single" w:sz="4" w:space="0" w:color="auto"/>
            </w:tcBorders>
          </w:tcPr>
          <w:p w14:paraId="50B765AB" w14:textId="77777777" w:rsidR="00F00CFD" w:rsidRDefault="00F00CFD" w:rsidP="00046E15">
            <w:r w:rsidRPr="00FE0180">
              <w:lastRenderedPageBreak/>
              <w:t xml:space="preserve">Ireland </w:t>
            </w:r>
          </w:p>
        </w:tc>
        <w:tc>
          <w:tcPr>
            <w:tcW w:w="606" w:type="pct"/>
            <w:tcBorders>
              <w:top w:val="single" w:sz="4" w:space="0" w:color="auto"/>
              <w:left w:val="single" w:sz="4" w:space="0" w:color="auto"/>
              <w:bottom w:val="single" w:sz="4" w:space="0" w:color="auto"/>
              <w:right w:val="single" w:sz="4" w:space="0" w:color="auto"/>
            </w:tcBorders>
          </w:tcPr>
          <w:p w14:paraId="26C426EA" w14:textId="77777777" w:rsidR="00F00CFD" w:rsidRPr="00FE0180" w:rsidRDefault="00F00CFD" w:rsidP="00046E15">
            <w:r>
              <w:t>Semi-structured interviews (n=8)</w:t>
            </w:r>
          </w:p>
        </w:tc>
        <w:tc>
          <w:tcPr>
            <w:tcW w:w="619" w:type="pct"/>
            <w:tcBorders>
              <w:top w:val="single" w:sz="4" w:space="0" w:color="auto"/>
              <w:left w:val="single" w:sz="4" w:space="0" w:color="auto"/>
              <w:bottom w:val="single" w:sz="4" w:space="0" w:color="auto"/>
              <w:right w:val="single" w:sz="4" w:space="0" w:color="auto"/>
            </w:tcBorders>
            <w:hideMark/>
          </w:tcPr>
          <w:p w14:paraId="4E15B806" w14:textId="77777777" w:rsidR="00F00CFD" w:rsidRPr="00FE0180" w:rsidRDefault="00F00CFD" w:rsidP="00046E15">
            <w:r w:rsidRPr="00FE0180">
              <w:t xml:space="preserve">Intellectual disability </w:t>
            </w:r>
          </w:p>
        </w:tc>
        <w:tc>
          <w:tcPr>
            <w:tcW w:w="1011" w:type="pct"/>
            <w:tcBorders>
              <w:top w:val="single" w:sz="4" w:space="0" w:color="auto"/>
              <w:left w:val="single" w:sz="4" w:space="0" w:color="auto"/>
              <w:bottom w:val="single" w:sz="4" w:space="0" w:color="auto"/>
              <w:right w:val="single" w:sz="4" w:space="0" w:color="auto"/>
            </w:tcBorders>
            <w:hideMark/>
          </w:tcPr>
          <w:p w14:paraId="32418FED"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183B5775" w14:textId="77777777" w:rsidR="00F00CFD" w:rsidRPr="00FE0180" w:rsidRDefault="00F00CFD" w:rsidP="00046E15">
            <w:r w:rsidRPr="00FE0180">
              <w:t xml:space="preserve">Transition to community living </w:t>
            </w:r>
          </w:p>
        </w:tc>
      </w:tr>
      <w:tr w:rsidR="00F00CFD" w:rsidRPr="00FE0180" w14:paraId="0BBE8CD0"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342645CD" w14:textId="1D7698EB" w:rsidR="00F00CFD" w:rsidRPr="00FE0180" w:rsidRDefault="00F00CFD" w:rsidP="00046E15">
            <w:r>
              <w:t>6</w:t>
            </w:r>
            <w:r w:rsidR="003356F9">
              <w:t>3</w:t>
            </w:r>
          </w:p>
        </w:tc>
        <w:tc>
          <w:tcPr>
            <w:tcW w:w="573" w:type="pct"/>
            <w:tcBorders>
              <w:top w:val="single" w:sz="4" w:space="0" w:color="auto"/>
              <w:left w:val="single" w:sz="4" w:space="0" w:color="auto"/>
              <w:bottom w:val="single" w:sz="4" w:space="0" w:color="auto"/>
              <w:right w:val="single" w:sz="4" w:space="0" w:color="auto"/>
            </w:tcBorders>
            <w:hideMark/>
          </w:tcPr>
          <w:p w14:paraId="3B5091EE" w14:textId="77E814E5" w:rsidR="00F00CFD" w:rsidRPr="00FE0180" w:rsidRDefault="00F00CFD" w:rsidP="00046E15">
            <w:r w:rsidRPr="00FE0180">
              <w:t xml:space="preserve">Kim, </w:t>
            </w:r>
            <w:r w:rsidR="003356F9">
              <w:t>&amp;</w:t>
            </w:r>
            <w:r w:rsidRPr="00FE0180">
              <w:t xml:space="preserve"> Fox, </w:t>
            </w:r>
            <w:r>
              <w:t>(2004)</w:t>
            </w:r>
          </w:p>
        </w:tc>
        <w:tc>
          <w:tcPr>
            <w:tcW w:w="707" w:type="pct"/>
            <w:tcBorders>
              <w:top w:val="single" w:sz="4" w:space="0" w:color="auto"/>
              <w:left w:val="single" w:sz="4" w:space="0" w:color="auto"/>
              <w:bottom w:val="single" w:sz="4" w:space="0" w:color="auto"/>
              <w:right w:val="single" w:sz="4" w:space="0" w:color="auto"/>
            </w:tcBorders>
            <w:hideMark/>
          </w:tcPr>
          <w:p w14:paraId="1CFB23BE" w14:textId="77777777" w:rsidR="00F00CFD" w:rsidRPr="006E2C88" w:rsidRDefault="00F00CFD" w:rsidP="00046E15">
            <w:pPr>
              <w:rPr>
                <w:sz w:val="21"/>
                <w:szCs w:val="21"/>
              </w:rPr>
            </w:pPr>
            <w:r w:rsidRPr="006E2C88">
              <w:rPr>
                <w:sz w:val="21"/>
                <w:szCs w:val="21"/>
              </w:rPr>
              <w:t>Understand the obstacles and benefits of greater integration of people with emerging disabilities into the independent living movement through two primary research questions: how do Centers for Independent Living (CILs) provide services to people with emerging disabilities, and, what more can be done with them by these centers?</w:t>
            </w:r>
          </w:p>
        </w:tc>
        <w:tc>
          <w:tcPr>
            <w:tcW w:w="404" w:type="pct"/>
            <w:tcBorders>
              <w:top w:val="single" w:sz="4" w:space="0" w:color="auto"/>
              <w:left w:val="single" w:sz="4" w:space="0" w:color="auto"/>
              <w:bottom w:val="single" w:sz="4" w:space="0" w:color="auto"/>
              <w:right w:val="single" w:sz="4" w:space="0" w:color="auto"/>
            </w:tcBorders>
          </w:tcPr>
          <w:p w14:paraId="6996E00D" w14:textId="77777777" w:rsidR="00F00CFD" w:rsidRDefault="00F00CFD" w:rsidP="00046E15">
            <w:r w:rsidRPr="00FE0180">
              <w:t>USA</w:t>
            </w:r>
          </w:p>
        </w:tc>
        <w:tc>
          <w:tcPr>
            <w:tcW w:w="606" w:type="pct"/>
            <w:tcBorders>
              <w:top w:val="single" w:sz="4" w:space="0" w:color="auto"/>
              <w:left w:val="single" w:sz="4" w:space="0" w:color="auto"/>
              <w:bottom w:val="single" w:sz="4" w:space="0" w:color="auto"/>
              <w:right w:val="single" w:sz="4" w:space="0" w:color="auto"/>
            </w:tcBorders>
          </w:tcPr>
          <w:p w14:paraId="5C1E3D1F" w14:textId="77777777" w:rsidR="00F00CFD" w:rsidRPr="00FE0180" w:rsidRDefault="00F00CFD" w:rsidP="00046E15">
            <w:r>
              <w:t>Interviews &amp; focus groups</w:t>
            </w:r>
          </w:p>
        </w:tc>
        <w:tc>
          <w:tcPr>
            <w:tcW w:w="619" w:type="pct"/>
            <w:tcBorders>
              <w:top w:val="single" w:sz="4" w:space="0" w:color="auto"/>
              <w:left w:val="single" w:sz="4" w:space="0" w:color="auto"/>
              <w:bottom w:val="single" w:sz="4" w:space="0" w:color="auto"/>
              <w:right w:val="single" w:sz="4" w:space="0" w:color="auto"/>
            </w:tcBorders>
            <w:hideMark/>
          </w:tcPr>
          <w:p w14:paraId="0F1BA568" w14:textId="77777777" w:rsidR="00F00CFD" w:rsidRPr="00FE0180" w:rsidRDefault="00F00CFD" w:rsidP="00046E15">
            <w:r w:rsidRPr="00FE0180">
              <w:t xml:space="preserve">Emerging disabilities </w:t>
            </w:r>
          </w:p>
        </w:tc>
        <w:tc>
          <w:tcPr>
            <w:tcW w:w="1011" w:type="pct"/>
            <w:tcBorders>
              <w:top w:val="single" w:sz="4" w:space="0" w:color="auto"/>
              <w:left w:val="single" w:sz="4" w:space="0" w:color="auto"/>
              <w:bottom w:val="single" w:sz="4" w:space="0" w:color="auto"/>
              <w:right w:val="single" w:sz="4" w:space="0" w:color="auto"/>
            </w:tcBorders>
            <w:hideMark/>
          </w:tcPr>
          <w:p w14:paraId="32A543C6" w14:textId="77777777" w:rsidR="00F00CFD" w:rsidRPr="00FE0180" w:rsidRDefault="00F00CFD" w:rsidP="00046E15">
            <w:r w:rsidRPr="00FE0180">
              <w:t xml:space="preserve">Independent living </w:t>
            </w:r>
          </w:p>
        </w:tc>
        <w:tc>
          <w:tcPr>
            <w:tcW w:w="846" w:type="pct"/>
            <w:tcBorders>
              <w:top w:val="single" w:sz="4" w:space="0" w:color="auto"/>
              <w:left w:val="single" w:sz="4" w:space="0" w:color="auto"/>
              <w:bottom w:val="single" w:sz="4" w:space="0" w:color="auto"/>
              <w:right w:val="single" w:sz="4" w:space="0" w:color="auto"/>
            </w:tcBorders>
            <w:hideMark/>
          </w:tcPr>
          <w:p w14:paraId="0925D73A" w14:textId="77777777" w:rsidR="00F00CFD" w:rsidRPr="00FE0180" w:rsidRDefault="00F00CFD" w:rsidP="00046E15">
            <w:r w:rsidRPr="00FE0180">
              <w:t xml:space="preserve">Role of support agencies </w:t>
            </w:r>
          </w:p>
        </w:tc>
      </w:tr>
      <w:tr w:rsidR="00F00CFD" w:rsidRPr="00650916" w14:paraId="7D66EFF6" w14:textId="77777777" w:rsidTr="006E2C88">
        <w:tc>
          <w:tcPr>
            <w:tcW w:w="234" w:type="pct"/>
          </w:tcPr>
          <w:p w14:paraId="282CB8A4" w14:textId="418866D9"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lastRenderedPageBreak/>
              <w:t>6</w:t>
            </w:r>
            <w:r w:rsidR="003356F9">
              <w:rPr>
                <w:rFonts w:ascii="Calibri" w:eastAsia="Times New Roman" w:hAnsi="Calibri" w:cs="Calibri"/>
                <w:color w:val="000000"/>
                <w:lang w:eastAsia="en-AU"/>
              </w:rPr>
              <w:t>4</w:t>
            </w:r>
          </w:p>
        </w:tc>
        <w:tc>
          <w:tcPr>
            <w:tcW w:w="573" w:type="pct"/>
            <w:hideMark/>
          </w:tcPr>
          <w:p w14:paraId="56B4447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King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2017</w:t>
            </w:r>
            <w:r>
              <w:rPr>
                <w:rFonts w:ascii="Calibri" w:eastAsia="Times New Roman" w:hAnsi="Calibri" w:cs="Calibri"/>
                <w:color w:val="000000"/>
                <w:lang w:eastAsia="en-AU"/>
              </w:rPr>
              <w:t>)</w:t>
            </w:r>
          </w:p>
        </w:tc>
        <w:tc>
          <w:tcPr>
            <w:tcW w:w="707" w:type="pct"/>
            <w:hideMark/>
          </w:tcPr>
          <w:p w14:paraId="5CB28D39"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This paper investigates if and how performance of Activities of Daily Living (ADL) and Instrumental Activities of Daily Living (IADL)</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of people ageing with intellectual disability (ID) is related to place of residence.</w:t>
            </w:r>
          </w:p>
        </w:tc>
        <w:tc>
          <w:tcPr>
            <w:tcW w:w="404" w:type="pct"/>
            <w:hideMark/>
          </w:tcPr>
          <w:p w14:paraId="48E0AC4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Ireland</w:t>
            </w:r>
          </w:p>
        </w:tc>
        <w:tc>
          <w:tcPr>
            <w:tcW w:w="606" w:type="pct"/>
            <w:hideMark/>
          </w:tcPr>
          <w:p w14:paraId="6E3F1C0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Cross sectional design</w:t>
            </w:r>
          </w:p>
        </w:tc>
        <w:tc>
          <w:tcPr>
            <w:tcW w:w="619" w:type="pct"/>
            <w:hideMark/>
          </w:tcPr>
          <w:p w14:paraId="06241843"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hideMark/>
          </w:tcPr>
          <w:p w14:paraId="31C3676E"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(a) Independent/family (b) Community group homes (c) Residential setting (congregated setting of 10 or more people in an area segregated from the wider community.</w:t>
            </w:r>
          </w:p>
        </w:tc>
        <w:tc>
          <w:tcPr>
            <w:tcW w:w="846" w:type="pct"/>
            <w:hideMark/>
          </w:tcPr>
          <w:p w14:paraId="3063BD6E" w14:textId="278F16C9" w:rsidR="00F00CFD" w:rsidRPr="00650916" w:rsidRDefault="00BA5063" w:rsidP="00046E15">
            <w:pPr>
              <w:rPr>
                <w:rFonts w:ascii="Calibri" w:eastAsia="Times New Roman" w:hAnsi="Calibri" w:cs="Calibri"/>
                <w:color w:val="000000"/>
                <w:lang w:eastAsia="en-AU"/>
              </w:rPr>
            </w:pPr>
            <w:r>
              <w:rPr>
                <w:rFonts w:ascii="Calibri" w:eastAsia="Times New Roman" w:hAnsi="Calibri" w:cs="Calibri"/>
                <w:color w:val="000000"/>
                <w:lang w:eastAsia="en-AU"/>
              </w:rPr>
              <w:t>Not applicable</w:t>
            </w:r>
          </w:p>
        </w:tc>
      </w:tr>
      <w:tr w:rsidR="00F00CFD" w:rsidRPr="00FE0180" w14:paraId="015610CD"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7110A9C0" w14:textId="798013E6" w:rsidR="00F00CFD" w:rsidRPr="00FE0180" w:rsidRDefault="00F00CFD" w:rsidP="00046E15">
            <w:r>
              <w:t>6</w:t>
            </w:r>
            <w:r w:rsidR="003356F9">
              <w:t>5</w:t>
            </w:r>
          </w:p>
        </w:tc>
        <w:tc>
          <w:tcPr>
            <w:tcW w:w="573" w:type="pct"/>
            <w:tcBorders>
              <w:top w:val="single" w:sz="4" w:space="0" w:color="auto"/>
              <w:left w:val="single" w:sz="4" w:space="0" w:color="auto"/>
              <w:bottom w:val="single" w:sz="4" w:space="0" w:color="auto"/>
              <w:right w:val="single" w:sz="4" w:space="0" w:color="auto"/>
            </w:tcBorders>
            <w:hideMark/>
          </w:tcPr>
          <w:p w14:paraId="274D0E7B" w14:textId="64039BE2" w:rsidR="00F00CFD" w:rsidRPr="00FE0180" w:rsidRDefault="00F00CFD" w:rsidP="00046E15">
            <w:r w:rsidRPr="00FE0180">
              <w:t xml:space="preserve">Kirkpatrick, </w:t>
            </w:r>
            <w:r w:rsidR="003356F9">
              <w:t xml:space="preserve">&amp; </w:t>
            </w:r>
            <w:r w:rsidRPr="00FE0180">
              <w:t xml:space="preserve"> Byrne, </w:t>
            </w:r>
            <w:r>
              <w:t>(2011)</w:t>
            </w:r>
          </w:p>
        </w:tc>
        <w:tc>
          <w:tcPr>
            <w:tcW w:w="707" w:type="pct"/>
            <w:tcBorders>
              <w:top w:val="single" w:sz="4" w:space="0" w:color="auto"/>
              <w:left w:val="single" w:sz="4" w:space="0" w:color="auto"/>
              <w:bottom w:val="single" w:sz="4" w:space="0" w:color="auto"/>
              <w:right w:val="single" w:sz="4" w:space="0" w:color="auto"/>
            </w:tcBorders>
            <w:hideMark/>
          </w:tcPr>
          <w:p w14:paraId="52315588" w14:textId="77777777" w:rsidR="00F00CFD" w:rsidRPr="00FE0180" w:rsidRDefault="00F00CFD" w:rsidP="00046E15">
            <w:r w:rsidRPr="00FE0180">
              <w:t>n a study about the experience of “moving on” for individuals with a major mental illness who had been homeless before obtaining permanent housing with support.</w:t>
            </w:r>
          </w:p>
        </w:tc>
        <w:tc>
          <w:tcPr>
            <w:tcW w:w="404" w:type="pct"/>
            <w:tcBorders>
              <w:top w:val="single" w:sz="4" w:space="0" w:color="auto"/>
              <w:left w:val="single" w:sz="4" w:space="0" w:color="auto"/>
              <w:bottom w:val="single" w:sz="4" w:space="0" w:color="auto"/>
              <w:right w:val="single" w:sz="4" w:space="0" w:color="auto"/>
            </w:tcBorders>
          </w:tcPr>
          <w:p w14:paraId="49AB1BDF" w14:textId="77777777" w:rsidR="00F00CFD" w:rsidRDefault="00F00CFD" w:rsidP="00046E15">
            <w:r w:rsidRPr="00FE0180">
              <w:t>Canada</w:t>
            </w:r>
          </w:p>
        </w:tc>
        <w:tc>
          <w:tcPr>
            <w:tcW w:w="606" w:type="pct"/>
            <w:tcBorders>
              <w:top w:val="single" w:sz="4" w:space="0" w:color="auto"/>
              <w:left w:val="single" w:sz="4" w:space="0" w:color="auto"/>
              <w:bottom w:val="single" w:sz="4" w:space="0" w:color="auto"/>
              <w:right w:val="single" w:sz="4" w:space="0" w:color="auto"/>
            </w:tcBorders>
          </w:tcPr>
          <w:p w14:paraId="44590F35" w14:textId="77777777" w:rsidR="00F00CFD" w:rsidRPr="00FE0180" w:rsidRDefault="00F00CFD" w:rsidP="00046E15">
            <w:r>
              <w:t>Narrative inquiry (n=12)</w:t>
            </w:r>
          </w:p>
        </w:tc>
        <w:tc>
          <w:tcPr>
            <w:tcW w:w="619" w:type="pct"/>
            <w:tcBorders>
              <w:top w:val="single" w:sz="4" w:space="0" w:color="auto"/>
              <w:left w:val="single" w:sz="4" w:space="0" w:color="auto"/>
              <w:bottom w:val="single" w:sz="4" w:space="0" w:color="auto"/>
              <w:right w:val="single" w:sz="4" w:space="0" w:color="auto"/>
            </w:tcBorders>
            <w:hideMark/>
          </w:tcPr>
          <w:p w14:paraId="27A92BE3" w14:textId="77777777" w:rsidR="00F00CFD" w:rsidRPr="00FE0180" w:rsidRDefault="00F00CFD" w:rsidP="00046E15">
            <w:r w:rsidRPr="00FE0180">
              <w:t xml:space="preserve">Psychiatric disability </w:t>
            </w:r>
          </w:p>
        </w:tc>
        <w:tc>
          <w:tcPr>
            <w:tcW w:w="1011" w:type="pct"/>
            <w:tcBorders>
              <w:top w:val="single" w:sz="4" w:space="0" w:color="auto"/>
              <w:left w:val="single" w:sz="4" w:space="0" w:color="auto"/>
              <w:bottom w:val="single" w:sz="4" w:space="0" w:color="auto"/>
              <w:right w:val="single" w:sz="4" w:space="0" w:color="auto"/>
            </w:tcBorders>
            <w:hideMark/>
          </w:tcPr>
          <w:p w14:paraId="20056FD2"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0B9F824A" w14:textId="77777777" w:rsidR="00F00CFD" w:rsidRPr="00FE0180" w:rsidRDefault="00F00CFD" w:rsidP="00046E15">
            <w:r w:rsidRPr="00FE0180">
              <w:t xml:space="preserve">Transition to community living </w:t>
            </w:r>
          </w:p>
        </w:tc>
      </w:tr>
      <w:tr w:rsidR="00F00CFD" w:rsidRPr="00F66260" w14:paraId="65DEB138" w14:textId="77777777" w:rsidTr="006E2C88">
        <w:tc>
          <w:tcPr>
            <w:tcW w:w="234" w:type="pct"/>
          </w:tcPr>
          <w:p w14:paraId="5DCF39A0" w14:textId="28DE7C42" w:rsidR="00F00CFD" w:rsidRPr="00F66260" w:rsidRDefault="00F00CFD" w:rsidP="00046E15">
            <w:r>
              <w:t>6</w:t>
            </w:r>
            <w:r w:rsidR="003356F9">
              <w:t>6</w:t>
            </w:r>
          </w:p>
        </w:tc>
        <w:tc>
          <w:tcPr>
            <w:tcW w:w="573" w:type="pct"/>
            <w:noWrap/>
            <w:hideMark/>
          </w:tcPr>
          <w:p w14:paraId="71E28EF5" w14:textId="77777777" w:rsidR="00F00CFD" w:rsidRPr="00F66260" w:rsidRDefault="00F00CFD" w:rsidP="00046E15">
            <w:r w:rsidRPr="00F66260">
              <w:t>Kroehn</w:t>
            </w:r>
            <w:r>
              <w:t xml:space="preserve"> et al (2008)</w:t>
            </w:r>
          </w:p>
        </w:tc>
        <w:tc>
          <w:tcPr>
            <w:tcW w:w="707" w:type="pct"/>
            <w:noWrap/>
          </w:tcPr>
          <w:p w14:paraId="1B933E86" w14:textId="77777777" w:rsidR="00F00CFD" w:rsidRPr="00F66260" w:rsidRDefault="00F00CFD" w:rsidP="00046E15">
            <w:r w:rsidRPr="00F66260">
              <w:t>The housing careers of persons with a disability and family members with care responsibilities for persons with a disability</w:t>
            </w:r>
          </w:p>
        </w:tc>
        <w:tc>
          <w:tcPr>
            <w:tcW w:w="404" w:type="pct"/>
            <w:noWrap/>
            <w:hideMark/>
          </w:tcPr>
          <w:p w14:paraId="7AD25558" w14:textId="77777777" w:rsidR="00F00CFD" w:rsidRPr="00F66260" w:rsidRDefault="00F00CFD" w:rsidP="00046E15">
            <w:r w:rsidRPr="00F66260">
              <w:t>Aus</w:t>
            </w:r>
            <w:r>
              <w:t>tralia</w:t>
            </w:r>
          </w:p>
        </w:tc>
        <w:tc>
          <w:tcPr>
            <w:tcW w:w="606" w:type="pct"/>
            <w:noWrap/>
          </w:tcPr>
          <w:p w14:paraId="722119C9" w14:textId="77777777" w:rsidR="00F00CFD" w:rsidRPr="00F66260" w:rsidRDefault="00F00CFD" w:rsidP="00046E15">
            <w:r>
              <w:t>Mixed methods. Grey literature.</w:t>
            </w:r>
          </w:p>
        </w:tc>
        <w:tc>
          <w:tcPr>
            <w:tcW w:w="619" w:type="pct"/>
            <w:noWrap/>
            <w:hideMark/>
          </w:tcPr>
          <w:p w14:paraId="7AE727EE" w14:textId="77777777" w:rsidR="00F00CFD" w:rsidRPr="00F66260" w:rsidRDefault="00F00CFD" w:rsidP="00046E15">
            <w:r w:rsidRPr="00F66260">
              <w:t>People with disability and families</w:t>
            </w:r>
          </w:p>
        </w:tc>
        <w:tc>
          <w:tcPr>
            <w:tcW w:w="1011" w:type="pct"/>
            <w:hideMark/>
          </w:tcPr>
          <w:p w14:paraId="10F3D5AB" w14:textId="77777777" w:rsidR="00F00CFD" w:rsidRPr="00F66260" w:rsidRDefault="00F00CFD" w:rsidP="00046E15">
            <w:r w:rsidRPr="00F66260">
              <w:t>Housing careers; no one model; community based and independent included</w:t>
            </w:r>
          </w:p>
        </w:tc>
        <w:tc>
          <w:tcPr>
            <w:tcW w:w="846" w:type="pct"/>
            <w:noWrap/>
            <w:hideMark/>
          </w:tcPr>
          <w:p w14:paraId="7558AC80" w14:textId="77777777" w:rsidR="00F00CFD" w:rsidRPr="00F66260" w:rsidRDefault="00F00CFD" w:rsidP="00046E15">
            <w:r w:rsidRPr="00F66260">
              <w:t>Community; independent</w:t>
            </w:r>
          </w:p>
        </w:tc>
      </w:tr>
      <w:tr w:rsidR="00F00CFD" w:rsidRPr="00650916" w14:paraId="725AD785" w14:textId="77777777" w:rsidTr="006E2C88">
        <w:tc>
          <w:tcPr>
            <w:tcW w:w="234" w:type="pct"/>
          </w:tcPr>
          <w:p w14:paraId="2B41A1F6" w14:textId="7A51B941"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lastRenderedPageBreak/>
              <w:t>6</w:t>
            </w:r>
            <w:r w:rsidR="003356F9">
              <w:rPr>
                <w:rFonts w:ascii="Calibri" w:eastAsia="Times New Roman" w:hAnsi="Calibri" w:cs="Calibri"/>
                <w:color w:val="000000"/>
                <w:lang w:eastAsia="en-AU"/>
              </w:rPr>
              <w:t>7</w:t>
            </w:r>
          </w:p>
        </w:tc>
        <w:tc>
          <w:tcPr>
            <w:tcW w:w="573" w:type="pct"/>
            <w:hideMark/>
          </w:tcPr>
          <w:p w14:paraId="0FEF346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La Motte‐Kerr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2020</w:t>
            </w:r>
            <w:r>
              <w:rPr>
                <w:rFonts w:ascii="Calibri" w:eastAsia="Times New Roman" w:hAnsi="Calibri" w:cs="Calibri"/>
                <w:color w:val="000000"/>
                <w:lang w:eastAsia="en-AU"/>
              </w:rPr>
              <w:t>)</w:t>
            </w:r>
          </w:p>
        </w:tc>
        <w:tc>
          <w:tcPr>
            <w:tcW w:w="707" w:type="pct"/>
            <w:hideMark/>
          </w:tcPr>
          <w:p w14:paraId="66BB4689"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The study examined which aspects of community integration are associated with mental health symptoms in a population of homeless individuals with mental health issues.</w:t>
            </w:r>
          </w:p>
        </w:tc>
        <w:tc>
          <w:tcPr>
            <w:tcW w:w="404" w:type="pct"/>
            <w:hideMark/>
          </w:tcPr>
          <w:p w14:paraId="398DE929"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USA</w:t>
            </w:r>
          </w:p>
        </w:tc>
        <w:tc>
          <w:tcPr>
            <w:tcW w:w="606" w:type="pct"/>
            <w:hideMark/>
          </w:tcPr>
          <w:p w14:paraId="1436993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One group pre/post longitudinal study with four time points.</w:t>
            </w:r>
          </w:p>
        </w:tc>
        <w:tc>
          <w:tcPr>
            <w:tcW w:w="619" w:type="pct"/>
            <w:hideMark/>
          </w:tcPr>
          <w:p w14:paraId="0DA1C714"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Psychiatric illness</w:t>
            </w:r>
          </w:p>
        </w:tc>
        <w:tc>
          <w:tcPr>
            <w:tcW w:w="1011" w:type="pct"/>
            <w:hideMark/>
          </w:tcPr>
          <w:p w14:paraId="125EFEC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Transitions to Housing project follow-up of homeless individuals in first 12 months of residence in permanent supportive housing (PSH).</w:t>
            </w:r>
          </w:p>
        </w:tc>
        <w:tc>
          <w:tcPr>
            <w:tcW w:w="846" w:type="pct"/>
            <w:hideMark/>
          </w:tcPr>
          <w:p w14:paraId="616171E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 to supportive housing.</w:t>
            </w:r>
          </w:p>
        </w:tc>
      </w:tr>
      <w:tr w:rsidR="00F00CFD" w:rsidRPr="00F66260" w14:paraId="1088061A" w14:textId="77777777" w:rsidTr="006E2C88">
        <w:tc>
          <w:tcPr>
            <w:tcW w:w="234" w:type="pct"/>
          </w:tcPr>
          <w:p w14:paraId="220B0327" w14:textId="2C3CE52E" w:rsidR="00F00CFD" w:rsidRPr="00F66260" w:rsidRDefault="00F00CFD" w:rsidP="00046E15">
            <w:r>
              <w:t>6</w:t>
            </w:r>
            <w:r w:rsidR="003356F9">
              <w:t>8</w:t>
            </w:r>
          </w:p>
        </w:tc>
        <w:tc>
          <w:tcPr>
            <w:tcW w:w="573" w:type="pct"/>
            <w:hideMark/>
          </w:tcPr>
          <w:p w14:paraId="1B84B022" w14:textId="68873F2A" w:rsidR="00F00CFD" w:rsidRPr="00F66260" w:rsidRDefault="00DA4995" w:rsidP="00046E15">
            <w:r w:rsidRPr="00DA4995">
              <w:t>Parish, C</w:t>
            </w:r>
            <w:r w:rsidR="00F00CFD" w:rsidRPr="00DA4995">
              <w:t xml:space="preserve"> </w:t>
            </w:r>
            <w:r w:rsidR="00F00CFD" w:rsidRPr="00DA4995">
              <w:br/>
            </w:r>
            <w:r w:rsidR="00F00CFD" w:rsidRPr="00DA4995">
              <w:br/>
            </w:r>
            <w:r w:rsidR="004C2581">
              <w:t>(</w:t>
            </w:r>
            <w:r w:rsidR="00F00CFD" w:rsidRPr="00DA4995">
              <w:t>2015</w:t>
            </w:r>
            <w:r w:rsidR="004C2581">
              <w:t>)</w:t>
            </w:r>
          </w:p>
        </w:tc>
        <w:tc>
          <w:tcPr>
            <w:tcW w:w="707" w:type="pct"/>
          </w:tcPr>
          <w:p w14:paraId="4C65CE56" w14:textId="77777777" w:rsidR="00F00CFD" w:rsidRPr="00F66260" w:rsidRDefault="00F00CFD" w:rsidP="00046E15">
            <w:r w:rsidRPr="00F66260">
              <w:t>Nottinghamshire council sets up supported living scheme for service users</w:t>
            </w:r>
          </w:p>
        </w:tc>
        <w:tc>
          <w:tcPr>
            <w:tcW w:w="404" w:type="pct"/>
            <w:noWrap/>
            <w:hideMark/>
          </w:tcPr>
          <w:p w14:paraId="78A985BE" w14:textId="77777777" w:rsidR="00F00CFD" w:rsidRPr="00F66260" w:rsidRDefault="00F00CFD" w:rsidP="00046E15">
            <w:r w:rsidRPr="00F66260">
              <w:t>UK (Nottinghamshire)</w:t>
            </w:r>
          </w:p>
        </w:tc>
        <w:tc>
          <w:tcPr>
            <w:tcW w:w="606" w:type="pct"/>
            <w:noWrap/>
          </w:tcPr>
          <w:p w14:paraId="1A7CB553" w14:textId="77777777" w:rsidR="00F00CFD" w:rsidRPr="00F66260" w:rsidRDefault="00F00CFD" w:rsidP="00046E15">
            <w:r>
              <w:t xml:space="preserve">Case study. Discussion. Grey literature. </w:t>
            </w:r>
          </w:p>
        </w:tc>
        <w:tc>
          <w:tcPr>
            <w:tcW w:w="619" w:type="pct"/>
            <w:noWrap/>
            <w:hideMark/>
          </w:tcPr>
          <w:p w14:paraId="3D44E8D3" w14:textId="77777777" w:rsidR="00F00CFD" w:rsidRPr="00F66260" w:rsidRDefault="00F00CFD" w:rsidP="00046E15">
            <w:r w:rsidRPr="00F66260">
              <w:t>Learning disabilities, mental illness, Asperger syndrome (n=120 (supported living) additional 75 (24 hour tenancies upon moving from hospital as part of Winterbourne review)</w:t>
            </w:r>
          </w:p>
        </w:tc>
        <w:tc>
          <w:tcPr>
            <w:tcW w:w="1011" w:type="pct"/>
            <w:hideMark/>
          </w:tcPr>
          <w:p w14:paraId="17A4BEEC" w14:textId="77777777" w:rsidR="00F00CFD" w:rsidRPr="00F66260" w:rsidRDefault="00F00CFD" w:rsidP="00046E15">
            <w:r w:rsidRPr="00F66260">
              <w:t>Supported living homes; "clusters of flats with onsite care and support facilities"</w:t>
            </w:r>
          </w:p>
        </w:tc>
        <w:tc>
          <w:tcPr>
            <w:tcW w:w="846" w:type="pct"/>
            <w:noWrap/>
            <w:hideMark/>
          </w:tcPr>
          <w:p w14:paraId="263D162A" w14:textId="77777777" w:rsidR="00F00CFD" w:rsidRPr="00F66260" w:rsidRDefault="00F00CFD" w:rsidP="00046E15">
            <w:r w:rsidRPr="00F66260">
              <w:t>Supported</w:t>
            </w:r>
          </w:p>
        </w:tc>
      </w:tr>
      <w:tr w:rsidR="00F00CFD" w:rsidRPr="00650916" w14:paraId="45FE13C5" w14:textId="77777777" w:rsidTr="006E2C88">
        <w:tc>
          <w:tcPr>
            <w:tcW w:w="234" w:type="pct"/>
          </w:tcPr>
          <w:p w14:paraId="4D5ED9CD" w14:textId="3730E536" w:rsidR="00F00CFD" w:rsidRPr="00650916" w:rsidRDefault="003356F9" w:rsidP="00046E15">
            <w:pPr>
              <w:rPr>
                <w:rFonts w:ascii="Calibri" w:eastAsia="Times New Roman" w:hAnsi="Calibri" w:cs="Calibri"/>
                <w:color w:val="000000"/>
                <w:lang w:eastAsia="en-AU"/>
              </w:rPr>
            </w:pPr>
            <w:r>
              <w:rPr>
                <w:rFonts w:ascii="Calibri" w:eastAsia="Times New Roman" w:hAnsi="Calibri" w:cs="Calibri"/>
                <w:color w:val="000000"/>
                <w:lang w:eastAsia="en-AU"/>
              </w:rPr>
              <w:t>69</w:t>
            </w:r>
          </w:p>
        </w:tc>
        <w:tc>
          <w:tcPr>
            <w:tcW w:w="573" w:type="pct"/>
            <w:hideMark/>
          </w:tcPr>
          <w:p w14:paraId="4AD67CD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Lee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2015</w:t>
            </w:r>
            <w:r>
              <w:rPr>
                <w:rFonts w:ascii="Calibri" w:eastAsia="Times New Roman" w:hAnsi="Calibri" w:cs="Calibri"/>
                <w:color w:val="000000"/>
                <w:lang w:eastAsia="en-AU"/>
              </w:rPr>
              <w:t>)</w:t>
            </w:r>
          </w:p>
        </w:tc>
        <w:tc>
          <w:tcPr>
            <w:tcW w:w="707" w:type="pct"/>
            <w:hideMark/>
          </w:tcPr>
          <w:p w14:paraId="217F349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Evaluation of Assertive Community Treatment (ACT) of institutionalised </w:t>
            </w:r>
            <w:r w:rsidRPr="00650916">
              <w:rPr>
                <w:rFonts w:ascii="Calibri" w:eastAsia="Times New Roman" w:hAnsi="Calibri" w:cs="Calibri"/>
                <w:color w:val="000000"/>
                <w:lang w:eastAsia="en-AU"/>
              </w:rPr>
              <w:lastRenderedPageBreak/>
              <w:t>individuals with severe mental illness following de-institutionalisation compared to Treatment as Usual (TAU) comparison groups.</w:t>
            </w:r>
          </w:p>
        </w:tc>
        <w:tc>
          <w:tcPr>
            <w:tcW w:w="404" w:type="pct"/>
            <w:hideMark/>
          </w:tcPr>
          <w:p w14:paraId="2812714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Hong-Kong</w:t>
            </w:r>
          </w:p>
        </w:tc>
        <w:tc>
          <w:tcPr>
            <w:tcW w:w="606" w:type="pct"/>
            <w:hideMark/>
          </w:tcPr>
          <w:p w14:paraId="6691AA5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Other - Programme evaluation</w:t>
            </w:r>
          </w:p>
        </w:tc>
        <w:tc>
          <w:tcPr>
            <w:tcW w:w="619" w:type="pct"/>
            <w:hideMark/>
          </w:tcPr>
          <w:p w14:paraId="7D4149E9"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Psychiatric illness</w:t>
            </w:r>
          </w:p>
        </w:tc>
        <w:tc>
          <w:tcPr>
            <w:tcW w:w="1011" w:type="pct"/>
            <w:hideMark/>
          </w:tcPr>
          <w:p w14:paraId="4CBD5C37"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De-congregated setting</w:t>
            </w:r>
          </w:p>
        </w:tc>
        <w:tc>
          <w:tcPr>
            <w:tcW w:w="846" w:type="pct"/>
            <w:hideMark/>
          </w:tcPr>
          <w:p w14:paraId="17878B77"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ACT: Intensive case management including weekly home visits, community orientation, individual counselling, </w:t>
            </w:r>
            <w:r w:rsidRPr="00650916">
              <w:rPr>
                <w:rFonts w:ascii="Calibri" w:eastAsia="Times New Roman" w:hAnsi="Calibri" w:cs="Calibri"/>
                <w:color w:val="000000"/>
                <w:lang w:eastAsia="en-AU"/>
              </w:rPr>
              <w:lastRenderedPageBreak/>
              <w:t>violence assessment, budgeting advice, crisis intervention, family psychoeducation (Dixonetal.,2001), liaison work to staff of community rehabilitation agencies and Accident and Emergency department. The case manager also guided patients to make choices regarding treatment, residential arrangement, jobseeking, leisure management, and self-management of illness.</w:t>
            </w:r>
            <w:r w:rsidRPr="00650916">
              <w:rPr>
                <w:rFonts w:ascii="Calibri" w:eastAsia="Times New Roman" w:hAnsi="Calibri" w:cs="Calibri"/>
                <w:color w:val="000000"/>
                <w:lang w:eastAsia="en-AU"/>
              </w:rPr>
              <w:br/>
              <w:t xml:space="preserve">Control group: interventions in the control groups included psychiatric consultations, hospital care, community home visits by health professionals, social and rehabilitation services by non-government organizations, all delivered on a needs </w:t>
            </w:r>
            <w:r w:rsidRPr="00650916">
              <w:rPr>
                <w:rFonts w:ascii="Calibri" w:eastAsia="Times New Roman" w:hAnsi="Calibri" w:cs="Calibri"/>
                <w:color w:val="000000"/>
                <w:lang w:eastAsia="en-AU"/>
              </w:rPr>
              <w:lastRenderedPageBreak/>
              <w:t>basis and less structured compared with the ACT intervention.</w:t>
            </w:r>
          </w:p>
        </w:tc>
      </w:tr>
      <w:tr w:rsidR="00F00CFD" w:rsidRPr="00650916" w14:paraId="5D2DB543" w14:textId="77777777" w:rsidTr="006E2C88">
        <w:tc>
          <w:tcPr>
            <w:tcW w:w="234" w:type="pct"/>
          </w:tcPr>
          <w:p w14:paraId="3F49479B" w14:textId="49514792" w:rsidR="00F00CFD" w:rsidRPr="00650916" w:rsidRDefault="003356F9" w:rsidP="00046E15">
            <w:pPr>
              <w:rPr>
                <w:rFonts w:ascii="Calibri" w:eastAsia="Times New Roman" w:hAnsi="Calibri" w:cs="Calibri"/>
                <w:color w:val="000000"/>
                <w:lang w:eastAsia="en-AU"/>
              </w:rPr>
            </w:pPr>
            <w:r>
              <w:rPr>
                <w:rFonts w:ascii="Calibri" w:eastAsia="Times New Roman" w:hAnsi="Calibri" w:cs="Calibri"/>
                <w:color w:val="000000"/>
                <w:lang w:eastAsia="en-AU"/>
              </w:rPr>
              <w:lastRenderedPageBreak/>
              <w:t>70</w:t>
            </w:r>
          </w:p>
        </w:tc>
        <w:tc>
          <w:tcPr>
            <w:tcW w:w="573" w:type="pct"/>
            <w:hideMark/>
          </w:tcPr>
          <w:p w14:paraId="794CD36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Lerman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2003</w:t>
            </w:r>
            <w:r>
              <w:rPr>
                <w:rFonts w:ascii="Calibri" w:eastAsia="Times New Roman" w:hAnsi="Calibri" w:cs="Calibri"/>
                <w:color w:val="000000"/>
                <w:lang w:eastAsia="en-AU"/>
              </w:rPr>
              <w:t>)</w:t>
            </w:r>
          </w:p>
        </w:tc>
        <w:tc>
          <w:tcPr>
            <w:tcW w:w="707" w:type="pct"/>
            <w:hideMark/>
          </w:tcPr>
          <w:p w14:paraId="13563AC9"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Investigation of risk factors for mortality rates of de-institutionalised persons with disabilities.</w:t>
            </w:r>
          </w:p>
        </w:tc>
        <w:tc>
          <w:tcPr>
            <w:tcW w:w="404" w:type="pct"/>
            <w:hideMark/>
          </w:tcPr>
          <w:p w14:paraId="6E19DEF3"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USA</w:t>
            </w:r>
          </w:p>
        </w:tc>
        <w:tc>
          <w:tcPr>
            <w:tcW w:w="606" w:type="pct"/>
            <w:hideMark/>
          </w:tcPr>
          <w:p w14:paraId="718AF76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Cross sectional analysis of mortality rate and risk factors of (a) institution stayers compared with (b) institution movers.</w:t>
            </w:r>
          </w:p>
        </w:tc>
        <w:tc>
          <w:tcPr>
            <w:tcW w:w="619" w:type="pct"/>
            <w:hideMark/>
          </w:tcPr>
          <w:p w14:paraId="7B411BA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Mental retardation</w:t>
            </w:r>
          </w:p>
        </w:tc>
        <w:tc>
          <w:tcPr>
            <w:tcW w:w="1011" w:type="pct"/>
            <w:hideMark/>
          </w:tcPr>
          <w:p w14:paraId="0BCFBB2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Institution to community setting</w:t>
            </w:r>
          </w:p>
        </w:tc>
        <w:tc>
          <w:tcPr>
            <w:tcW w:w="846" w:type="pct"/>
            <w:hideMark/>
          </w:tcPr>
          <w:p w14:paraId="3B4B9206" w14:textId="24B03EBB" w:rsidR="00F00CFD" w:rsidRPr="00650916" w:rsidRDefault="00BA5063" w:rsidP="00046E15">
            <w:pPr>
              <w:rPr>
                <w:rFonts w:ascii="Calibri" w:eastAsia="Times New Roman" w:hAnsi="Calibri" w:cs="Calibri"/>
                <w:color w:val="000000"/>
                <w:lang w:eastAsia="en-AU"/>
              </w:rPr>
            </w:pPr>
            <w:r>
              <w:rPr>
                <w:rFonts w:ascii="Calibri" w:eastAsia="Times New Roman" w:hAnsi="Calibri" w:cs="Calibri"/>
                <w:color w:val="000000"/>
                <w:lang w:eastAsia="en-AU"/>
              </w:rPr>
              <w:t>Deinstitutionalisation.</w:t>
            </w:r>
          </w:p>
        </w:tc>
      </w:tr>
      <w:tr w:rsidR="00F00CFD" w:rsidRPr="00F66260" w14:paraId="5F8FB16D" w14:textId="77777777" w:rsidTr="006E2C88">
        <w:tc>
          <w:tcPr>
            <w:tcW w:w="234" w:type="pct"/>
          </w:tcPr>
          <w:p w14:paraId="3D8FB750" w14:textId="7D4B3586" w:rsidR="00F00CFD" w:rsidRPr="00F66260" w:rsidRDefault="00F00CFD" w:rsidP="00046E15">
            <w:r>
              <w:t>8</w:t>
            </w:r>
            <w:r w:rsidR="003356F9">
              <w:t>0</w:t>
            </w:r>
          </w:p>
        </w:tc>
        <w:tc>
          <w:tcPr>
            <w:tcW w:w="573" w:type="pct"/>
            <w:noWrap/>
            <w:hideMark/>
          </w:tcPr>
          <w:p w14:paraId="4D784816" w14:textId="77777777" w:rsidR="00F00CFD" w:rsidRPr="00F66260" w:rsidRDefault="00F00CFD" w:rsidP="00046E15">
            <w:r w:rsidRPr="00F66260">
              <w:t>Lojanica</w:t>
            </w:r>
            <w:r>
              <w:t xml:space="preserve"> et al (2018)</w:t>
            </w:r>
          </w:p>
        </w:tc>
        <w:tc>
          <w:tcPr>
            <w:tcW w:w="707" w:type="pct"/>
            <w:noWrap/>
          </w:tcPr>
          <w:p w14:paraId="1A724D89" w14:textId="77777777" w:rsidR="00F00CFD" w:rsidRPr="00F66260" w:rsidRDefault="00F00CFD" w:rsidP="00046E15">
            <w:r w:rsidRPr="00F66260">
              <w:t>Housing design of the fourth industrial revolution</w:t>
            </w:r>
          </w:p>
        </w:tc>
        <w:tc>
          <w:tcPr>
            <w:tcW w:w="404" w:type="pct"/>
            <w:noWrap/>
            <w:hideMark/>
          </w:tcPr>
          <w:p w14:paraId="2E153692" w14:textId="77777777" w:rsidR="00F00CFD" w:rsidRPr="00F66260" w:rsidRDefault="00F00CFD" w:rsidP="00046E15">
            <w:r w:rsidRPr="00F66260">
              <w:t>General</w:t>
            </w:r>
          </w:p>
        </w:tc>
        <w:tc>
          <w:tcPr>
            <w:tcW w:w="606" w:type="pct"/>
            <w:noWrap/>
          </w:tcPr>
          <w:p w14:paraId="7EDB428C" w14:textId="77777777" w:rsidR="00F00CFD" w:rsidRPr="00F66260" w:rsidRDefault="00F00CFD" w:rsidP="00046E15">
            <w:r>
              <w:t>Conference paper Grey literature</w:t>
            </w:r>
          </w:p>
        </w:tc>
        <w:tc>
          <w:tcPr>
            <w:tcW w:w="619" w:type="pct"/>
            <w:noWrap/>
            <w:hideMark/>
          </w:tcPr>
          <w:p w14:paraId="3C94E7F3" w14:textId="77777777" w:rsidR="00F00CFD" w:rsidRPr="00F66260" w:rsidRDefault="00F00CFD" w:rsidP="00046E15">
            <w:r>
              <w:t>n/a</w:t>
            </w:r>
          </w:p>
        </w:tc>
        <w:tc>
          <w:tcPr>
            <w:tcW w:w="1011" w:type="pct"/>
            <w:hideMark/>
          </w:tcPr>
          <w:p w14:paraId="37932F1E" w14:textId="77777777" w:rsidR="00F00CFD" w:rsidRPr="00F66260" w:rsidRDefault="00F00CFD" w:rsidP="00046E15">
            <w:r w:rsidRPr="00F66260">
              <w:t>Design issues</w:t>
            </w:r>
          </w:p>
        </w:tc>
        <w:tc>
          <w:tcPr>
            <w:tcW w:w="846" w:type="pct"/>
            <w:noWrap/>
            <w:hideMark/>
          </w:tcPr>
          <w:p w14:paraId="24836393" w14:textId="77777777" w:rsidR="00F00CFD" w:rsidRPr="00F66260" w:rsidRDefault="00F00CFD" w:rsidP="00046E15">
            <w:r w:rsidRPr="00F66260">
              <w:t>Residential design</w:t>
            </w:r>
          </w:p>
        </w:tc>
      </w:tr>
      <w:tr w:rsidR="00F00CFD" w:rsidRPr="00FE0180" w14:paraId="08F68281"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26969730" w14:textId="3D1582E4" w:rsidR="00F00CFD" w:rsidRPr="00FE0180" w:rsidRDefault="00F00CFD" w:rsidP="00046E15">
            <w:r>
              <w:t>8</w:t>
            </w:r>
            <w:r w:rsidR="003356F9">
              <w:t>1</w:t>
            </w:r>
          </w:p>
        </w:tc>
        <w:tc>
          <w:tcPr>
            <w:tcW w:w="573" w:type="pct"/>
            <w:tcBorders>
              <w:top w:val="single" w:sz="4" w:space="0" w:color="auto"/>
              <w:left w:val="single" w:sz="4" w:space="0" w:color="auto"/>
              <w:bottom w:val="single" w:sz="4" w:space="0" w:color="auto"/>
              <w:right w:val="single" w:sz="4" w:space="0" w:color="auto"/>
            </w:tcBorders>
            <w:hideMark/>
          </w:tcPr>
          <w:p w14:paraId="7A32D830" w14:textId="6B5BD55F" w:rsidR="00F00CFD" w:rsidRPr="00FE0180" w:rsidRDefault="00F00CFD" w:rsidP="00046E15">
            <w:r w:rsidRPr="00FE0180">
              <w:t xml:space="preserve">Longtin, Dufour, </w:t>
            </w:r>
            <w:r w:rsidR="003356F9">
              <w:t xml:space="preserve">&amp; </w:t>
            </w:r>
            <w:r w:rsidRPr="00FE0180">
              <w:t>Morin,</w:t>
            </w:r>
            <w:r w:rsidR="003356F9">
              <w:t xml:space="preserve"> </w:t>
            </w:r>
            <w:r>
              <w:t>(2020)</w:t>
            </w:r>
          </w:p>
        </w:tc>
        <w:tc>
          <w:tcPr>
            <w:tcW w:w="707" w:type="pct"/>
            <w:tcBorders>
              <w:top w:val="single" w:sz="4" w:space="0" w:color="auto"/>
              <w:left w:val="single" w:sz="4" w:space="0" w:color="auto"/>
              <w:bottom w:val="single" w:sz="4" w:space="0" w:color="auto"/>
              <w:right w:val="single" w:sz="4" w:space="0" w:color="auto"/>
            </w:tcBorders>
            <w:hideMark/>
          </w:tcPr>
          <w:p w14:paraId="0B9C9BC8" w14:textId="77777777" w:rsidR="00F00CFD" w:rsidRPr="00FE0180" w:rsidRDefault="00F00CFD" w:rsidP="00046E15">
            <w:r w:rsidRPr="00FE0180">
              <w:t>The aims of the study were to (1) provide a portrait of community living transitions within rehabilitation centers and (2) identify possible gaps between best practices, transition experiences, and the ideal transition experience.</w:t>
            </w:r>
          </w:p>
        </w:tc>
        <w:tc>
          <w:tcPr>
            <w:tcW w:w="404" w:type="pct"/>
            <w:tcBorders>
              <w:top w:val="single" w:sz="4" w:space="0" w:color="auto"/>
              <w:left w:val="single" w:sz="4" w:space="0" w:color="auto"/>
              <w:bottom w:val="single" w:sz="4" w:space="0" w:color="auto"/>
              <w:right w:val="single" w:sz="4" w:space="0" w:color="auto"/>
            </w:tcBorders>
          </w:tcPr>
          <w:p w14:paraId="12110254" w14:textId="77777777" w:rsidR="00F00CFD" w:rsidRPr="00FE0180" w:rsidRDefault="00F00CFD" w:rsidP="00046E15">
            <w:r w:rsidRPr="00FE0180">
              <w:t>Canada</w:t>
            </w:r>
          </w:p>
        </w:tc>
        <w:tc>
          <w:tcPr>
            <w:tcW w:w="606" w:type="pct"/>
            <w:tcBorders>
              <w:top w:val="single" w:sz="4" w:space="0" w:color="auto"/>
              <w:left w:val="single" w:sz="4" w:space="0" w:color="auto"/>
              <w:bottom w:val="single" w:sz="4" w:space="0" w:color="auto"/>
              <w:right w:val="single" w:sz="4" w:space="0" w:color="auto"/>
            </w:tcBorders>
          </w:tcPr>
          <w:p w14:paraId="31930C9C" w14:textId="5519FDA1" w:rsidR="00F00CFD" w:rsidRPr="00FE0180" w:rsidRDefault="003438AE" w:rsidP="00046E15">
            <w:r>
              <w:t>Qualitative</w:t>
            </w:r>
          </w:p>
        </w:tc>
        <w:tc>
          <w:tcPr>
            <w:tcW w:w="619" w:type="pct"/>
            <w:tcBorders>
              <w:top w:val="single" w:sz="4" w:space="0" w:color="auto"/>
              <w:left w:val="single" w:sz="4" w:space="0" w:color="auto"/>
              <w:bottom w:val="single" w:sz="4" w:space="0" w:color="auto"/>
              <w:right w:val="single" w:sz="4" w:space="0" w:color="auto"/>
            </w:tcBorders>
            <w:hideMark/>
          </w:tcPr>
          <w:p w14:paraId="71578A12" w14:textId="77777777" w:rsidR="00F00CFD" w:rsidRPr="00FE0180" w:rsidRDefault="00F00CFD" w:rsidP="00046E15">
            <w:r w:rsidRPr="00FE0180">
              <w:t xml:space="preserve">Intellectual disability </w:t>
            </w:r>
          </w:p>
        </w:tc>
        <w:tc>
          <w:tcPr>
            <w:tcW w:w="1011" w:type="pct"/>
            <w:tcBorders>
              <w:top w:val="single" w:sz="4" w:space="0" w:color="auto"/>
              <w:left w:val="single" w:sz="4" w:space="0" w:color="auto"/>
              <w:bottom w:val="single" w:sz="4" w:space="0" w:color="auto"/>
              <w:right w:val="single" w:sz="4" w:space="0" w:color="auto"/>
            </w:tcBorders>
            <w:hideMark/>
          </w:tcPr>
          <w:p w14:paraId="4658C6BB"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56CCC6E1" w14:textId="77777777" w:rsidR="00F00CFD" w:rsidRPr="00FE0180" w:rsidRDefault="00F00CFD" w:rsidP="00046E15">
            <w:r w:rsidRPr="00FE0180">
              <w:t xml:space="preserve">Staff support </w:t>
            </w:r>
          </w:p>
        </w:tc>
      </w:tr>
      <w:tr w:rsidR="00F00CFD" w:rsidRPr="00650916" w14:paraId="00CA72B3" w14:textId="77777777" w:rsidTr="006E2C88">
        <w:tc>
          <w:tcPr>
            <w:tcW w:w="234" w:type="pct"/>
          </w:tcPr>
          <w:p w14:paraId="73F93D64" w14:textId="4E338979"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lastRenderedPageBreak/>
              <w:t>8</w:t>
            </w:r>
            <w:r w:rsidR="003356F9">
              <w:rPr>
                <w:rFonts w:ascii="Calibri" w:eastAsia="Times New Roman" w:hAnsi="Calibri" w:cs="Calibri"/>
                <w:color w:val="000000"/>
                <w:lang w:eastAsia="en-AU"/>
              </w:rPr>
              <w:t>2</w:t>
            </w:r>
          </w:p>
        </w:tc>
        <w:tc>
          <w:tcPr>
            <w:tcW w:w="573" w:type="pct"/>
            <w:hideMark/>
          </w:tcPr>
          <w:p w14:paraId="3BB51DD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Malone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2009</w:t>
            </w:r>
            <w:r>
              <w:rPr>
                <w:rFonts w:ascii="Calibri" w:eastAsia="Times New Roman" w:hAnsi="Calibri" w:cs="Calibri"/>
                <w:color w:val="000000"/>
                <w:lang w:eastAsia="en-AU"/>
              </w:rPr>
              <w:t>)</w:t>
            </w:r>
          </w:p>
        </w:tc>
        <w:tc>
          <w:tcPr>
            <w:tcW w:w="707" w:type="pct"/>
            <w:hideMark/>
          </w:tcPr>
          <w:p w14:paraId="2E45916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Comparison of the criminal backgrounds and other characteristics of homeless individuals with behavioural health disorders (mental illness and substance abuse) who succeeded in housing (retained housing continuously for two years) and those who failed in housing.</w:t>
            </w:r>
          </w:p>
        </w:tc>
        <w:tc>
          <w:tcPr>
            <w:tcW w:w="404" w:type="pct"/>
            <w:hideMark/>
          </w:tcPr>
          <w:p w14:paraId="3DE7D1E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USA</w:t>
            </w:r>
          </w:p>
        </w:tc>
        <w:tc>
          <w:tcPr>
            <w:tcW w:w="606" w:type="pct"/>
            <w:hideMark/>
          </w:tcPr>
          <w:p w14:paraId="016CF26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Cross sectional study</w:t>
            </w:r>
          </w:p>
        </w:tc>
        <w:tc>
          <w:tcPr>
            <w:tcW w:w="619" w:type="pct"/>
            <w:hideMark/>
          </w:tcPr>
          <w:p w14:paraId="4B9B03B9"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Psychiatric illness</w:t>
            </w:r>
          </w:p>
        </w:tc>
        <w:tc>
          <w:tcPr>
            <w:tcW w:w="1011" w:type="pct"/>
            <w:hideMark/>
          </w:tcPr>
          <w:p w14:paraId="14EAA88D" w14:textId="54ED0A48" w:rsidR="00F00CFD" w:rsidRPr="00650916" w:rsidRDefault="00BA5063" w:rsidP="00046E15">
            <w:pPr>
              <w:rPr>
                <w:rFonts w:ascii="Calibri" w:eastAsia="Times New Roman" w:hAnsi="Calibri" w:cs="Calibri"/>
                <w:color w:val="000000"/>
                <w:lang w:eastAsia="en-AU"/>
              </w:rPr>
            </w:pPr>
            <w:r>
              <w:rPr>
                <w:rFonts w:ascii="Calibri" w:eastAsia="Times New Roman" w:hAnsi="Calibri" w:cs="Calibri"/>
                <w:color w:val="000000"/>
                <w:lang w:eastAsia="en-AU"/>
              </w:rPr>
              <w:t>Community housing</w:t>
            </w:r>
          </w:p>
        </w:tc>
        <w:tc>
          <w:tcPr>
            <w:tcW w:w="846" w:type="pct"/>
            <w:hideMark/>
          </w:tcPr>
          <w:p w14:paraId="0950EE16" w14:textId="1E5C45C3" w:rsidR="00F00CFD" w:rsidRPr="00650916" w:rsidRDefault="00BA5063" w:rsidP="00046E15">
            <w:pPr>
              <w:rPr>
                <w:rFonts w:ascii="Calibri" w:eastAsia="Times New Roman" w:hAnsi="Calibri" w:cs="Calibri"/>
                <w:color w:val="000000"/>
                <w:lang w:eastAsia="en-AU"/>
              </w:rPr>
            </w:pPr>
            <w:r>
              <w:rPr>
                <w:rFonts w:ascii="Calibri" w:eastAsia="Times New Roman" w:hAnsi="Calibri" w:cs="Calibri"/>
                <w:color w:val="000000"/>
                <w:lang w:eastAsia="en-AU"/>
              </w:rPr>
              <w:t>Transition from homelessness to community housing.</w:t>
            </w:r>
          </w:p>
        </w:tc>
      </w:tr>
      <w:tr w:rsidR="00F00CFD" w:rsidRPr="00F66260" w14:paraId="4131CED6" w14:textId="77777777" w:rsidTr="006E2C88">
        <w:tc>
          <w:tcPr>
            <w:tcW w:w="234" w:type="pct"/>
          </w:tcPr>
          <w:p w14:paraId="719EF30C" w14:textId="1D098AE7" w:rsidR="00F00CFD" w:rsidRPr="00F66260" w:rsidRDefault="00F00CFD" w:rsidP="00046E15">
            <w:r>
              <w:t>8</w:t>
            </w:r>
            <w:r w:rsidR="003356F9">
              <w:t>3</w:t>
            </w:r>
          </w:p>
        </w:tc>
        <w:tc>
          <w:tcPr>
            <w:tcW w:w="573" w:type="pct"/>
            <w:hideMark/>
          </w:tcPr>
          <w:p w14:paraId="79DF1223" w14:textId="77777777" w:rsidR="00F00CFD" w:rsidRPr="00F66260" w:rsidRDefault="00F00CFD" w:rsidP="00046E15">
            <w:r w:rsidRPr="00F66260">
              <w:t>Mansell</w:t>
            </w:r>
            <w:r>
              <w:t xml:space="preserve"> (2005)</w:t>
            </w:r>
          </w:p>
        </w:tc>
        <w:tc>
          <w:tcPr>
            <w:tcW w:w="707" w:type="pct"/>
          </w:tcPr>
          <w:p w14:paraId="7DC7BAFA" w14:textId="77777777" w:rsidR="00F00CFD" w:rsidRPr="00F66260" w:rsidRDefault="00F00CFD" w:rsidP="00046E15">
            <w:r w:rsidRPr="00F66260">
              <w:t>Deinstitutionalisation and community living: An international perspective</w:t>
            </w:r>
          </w:p>
        </w:tc>
        <w:tc>
          <w:tcPr>
            <w:tcW w:w="404" w:type="pct"/>
            <w:noWrap/>
            <w:hideMark/>
          </w:tcPr>
          <w:p w14:paraId="725D092B" w14:textId="77777777" w:rsidR="00F00CFD" w:rsidRPr="00F66260" w:rsidRDefault="00F00CFD" w:rsidP="00046E15">
            <w:r w:rsidRPr="00F66260">
              <w:t>General</w:t>
            </w:r>
          </w:p>
        </w:tc>
        <w:tc>
          <w:tcPr>
            <w:tcW w:w="606" w:type="pct"/>
            <w:noWrap/>
          </w:tcPr>
          <w:p w14:paraId="7635BCAA" w14:textId="77777777" w:rsidR="00F00CFD" w:rsidRPr="00F66260" w:rsidRDefault="00F00CFD" w:rsidP="00046E15">
            <w:r>
              <w:t xml:space="preserve">Policy review and discussion. Grey literature. </w:t>
            </w:r>
          </w:p>
        </w:tc>
        <w:tc>
          <w:tcPr>
            <w:tcW w:w="619" w:type="pct"/>
            <w:noWrap/>
            <w:hideMark/>
          </w:tcPr>
          <w:p w14:paraId="0693C451" w14:textId="77777777" w:rsidR="00F00CFD" w:rsidRPr="00F66260" w:rsidRDefault="00F00CFD" w:rsidP="00046E15">
            <w:r w:rsidRPr="00F66260">
              <w:t>Intellectual disability</w:t>
            </w:r>
          </w:p>
        </w:tc>
        <w:tc>
          <w:tcPr>
            <w:tcW w:w="1011" w:type="pct"/>
            <w:hideMark/>
          </w:tcPr>
          <w:p w14:paraId="6DDF02F5" w14:textId="77777777" w:rsidR="00F00CFD" w:rsidRPr="00F66260" w:rsidRDefault="00F00CFD" w:rsidP="00046E15">
            <w:r w:rsidRPr="00F66260">
              <w:t>Move from residential to community living; no supports discussed</w:t>
            </w:r>
          </w:p>
        </w:tc>
        <w:tc>
          <w:tcPr>
            <w:tcW w:w="846" w:type="pct"/>
            <w:noWrap/>
            <w:hideMark/>
          </w:tcPr>
          <w:p w14:paraId="1F815F4D" w14:textId="77777777" w:rsidR="00F00CFD" w:rsidRPr="00F66260" w:rsidRDefault="00F00CFD" w:rsidP="00046E15">
            <w:r w:rsidRPr="00F66260">
              <w:t>Deinstitutionalisation</w:t>
            </w:r>
          </w:p>
        </w:tc>
      </w:tr>
      <w:tr w:rsidR="00F00CFD" w:rsidRPr="00650916" w14:paraId="2F58C77A" w14:textId="77777777" w:rsidTr="006E2C88">
        <w:tc>
          <w:tcPr>
            <w:tcW w:w="234" w:type="pct"/>
          </w:tcPr>
          <w:p w14:paraId="2ED8B49F" w14:textId="7F73EAF4"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8</w:t>
            </w:r>
            <w:r w:rsidR="00A275F6">
              <w:rPr>
                <w:rFonts w:ascii="Calibri" w:eastAsia="Times New Roman" w:hAnsi="Calibri" w:cs="Calibri"/>
                <w:color w:val="000000"/>
                <w:lang w:eastAsia="en-AU"/>
              </w:rPr>
              <w:t>4</w:t>
            </w:r>
          </w:p>
        </w:tc>
        <w:tc>
          <w:tcPr>
            <w:tcW w:w="573" w:type="pct"/>
            <w:hideMark/>
          </w:tcPr>
          <w:p w14:paraId="4A95F92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Marlow &amp; Walker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2015</w:t>
            </w:r>
            <w:r>
              <w:rPr>
                <w:rFonts w:ascii="Calibri" w:eastAsia="Times New Roman" w:hAnsi="Calibri" w:cs="Calibri"/>
                <w:color w:val="000000"/>
                <w:lang w:eastAsia="en-AU"/>
              </w:rPr>
              <w:t>)</w:t>
            </w:r>
            <w:r w:rsidRPr="00650916">
              <w:rPr>
                <w:rFonts w:ascii="Calibri" w:eastAsia="Times New Roman" w:hAnsi="Calibri" w:cs="Calibri"/>
                <w:color w:val="000000"/>
                <w:lang w:eastAsia="en-AU"/>
              </w:rPr>
              <w:t xml:space="preserve"> </w:t>
            </w:r>
          </w:p>
        </w:tc>
        <w:tc>
          <w:tcPr>
            <w:tcW w:w="707" w:type="pct"/>
            <w:hideMark/>
          </w:tcPr>
          <w:p w14:paraId="7684FCC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1) Aim: Examine whether a move to a supported living model of care from traditional residential group homes could improve the quality of life for those </w:t>
            </w:r>
            <w:r w:rsidRPr="00650916">
              <w:rPr>
                <w:rFonts w:ascii="Calibri" w:eastAsia="Times New Roman" w:hAnsi="Calibri" w:cs="Calibri"/>
                <w:color w:val="000000"/>
                <w:lang w:eastAsia="en-AU"/>
              </w:rPr>
              <w:lastRenderedPageBreak/>
              <w:t>with a severe intellectual disability and other challenging needs</w:t>
            </w:r>
          </w:p>
        </w:tc>
        <w:tc>
          <w:tcPr>
            <w:tcW w:w="404" w:type="pct"/>
            <w:hideMark/>
          </w:tcPr>
          <w:p w14:paraId="66E2386E"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UK</w:t>
            </w:r>
          </w:p>
        </w:tc>
        <w:tc>
          <w:tcPr>
            <w:tcW w:w="606" w:type="pct"/>
            <w:hideMark/>
          </w:tcPr>
          <w:p w14:paraId="0F9BC19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Repeated measures design/baseline/1-month post move/6-month post-move</w:t>
            </w:r>
          </w:p>
        </w:tc>
        <w:tc>
          <w:tcPr>
            <w:tcW w:w="619" w:type="pct"/>
            <w:hideMark/>
          </w:tcPr>
          <w:p w14:paraId="655E410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Severe intellectual disability</w:t>
            </w:r>
          </w:p>
        </w:tc>
        <w:tc>
          <w:tcPr>
            <w:tcW w:w="1011" w:type="pct"/>
            <w:hideMark/>
          </w:tcPr>
          <w:p w14:paraId="6BF08EF7"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Supported living however men did not have any rights over their home and shared their facilities and staff support with others.</w:t>
            </w:r>
          </w:p>
        </w:tc>
        <w:tc>
          <w:tcPr>
            <w:tcW w:w="846" w:type="pct"/>
            <w:hideMark/>
          </w:tcPr>
          <w:p w14:paraId="06A97E23"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 from shared housing to purpose-built individual flats</w:t>
            </w:r>
          </w:p>
        </w:tc>
      </w:tr>
      <w:tr w:rsidR="00F00CFD" w:rsidRPr="00650916" w14:paraId="03305DF2" w14:textId="77777777" w:rsidTr="006E2C88">
        <w:tc>
          <w:tcPr>
            <w:tcW w:w="234" w:type="pct"/>
          </w:tcPr>
          <w:p w14:paraId="7BE96716" w14:textId="3F461A83"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8</w:t>
            </w:r>
            <w:r w:rsidR="00A275F6">
              <w:rPr>
                <w:rFonts w:ascii="Calibri" w:eastAsia="Times New Roman" w:hAnsi="Calibri" w:cs="Calibri"/>
                <w:color w:val="000000"/>
                <w:lang w:eastAsia="en-AU"/>
              </w:rPr>
              <w:t>5</w:t>
            </w:r>
          </w:p>
        </w:tc>
        <w:tc>
          <w:tcPr>
            <w:tcW w:w="573" w:type="pct"/>
            <w:hideMark/>
          </w:tcPr>
          <w:p w14:paraId="4424BA0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Martin &amp; Ashworth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2010</w:t>
            </w:r>
            <w:r>
              <w:rPr>
                <w:rFonts w:ascii="Calibri" w:eastAsia="Times New Roman" w:hAnsi="Calibri" w:cs="Calibri"/>
                <w:color w:val="000000"/>
                <w:lang w:eastAsia="en-AU"/>
              </w:rPr>
              <w:t>)</w:t>
            </w:r>
          </w:p>
        </w:tc>
        <w:tc>
          <w:tcPr>
            <w:tcW w:w="707" w:type="pct"/>
            <w:hideMark/>
          </w:tcPr>
          <w:p w14:paraId="500205F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An examination of the process of de-institutionalisation by examining the timing and characteristics of individuals who experienced a change on their planned move to a de-congregated setting.</w:t>
            </w:r>
          </w:p>
        </w:tc>
        <w:tc>
          <w:tcPr>
            <w:tcW w:w="404" w:type="pct"/>
            <w:hideMark/>
          </w:tcPr>
          <w:p w14:paraId="78ACE4D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Canada</w:t>
            </w:r>
          </w:p>
        </w:tc>
        <w:tc>
          <w:tcPr>
            <w:tcW w:w="606" w:type="pct"/>
            <w:hideMark/>
          </w:tcPr>
          <w:p w14:paraId="1BD4312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Predictive model</w:t>
            </w:r>
          </w:p>
        </w:tc>
        <w:tc>
          <w:tcPr>
            <w:tcW w:w="619" w:type="pct"/>
            <w:hideMark/>
          </w:tcPr>
          <w:p w14:paraId="366F44D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hideMark/>
          </w:tcPr>
          <w:p w14:paraId="65AFEBF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Congregated to de-congregated setting</w:t>
            </w:r>
          </w:p>
        </w:tc>
        <w:tc>
          <w:tcPr>
            <w:tcW w:w="846" w:type="pct"/>
            <w:hideMark/>
          </w:tcPr>
          <w:p w14:paraId="28FCBECC" w14:textId="01EA8E28" w:rsidR="00F00CFD" w:rsidRPr="00650916" w:rsidRDefault="00956FA9" w:rsidP="00046E15">
            <w:pPr>
              <w:rPr>
                <w:rFonts w:ascii="Calibri" w:eastAsia="Times New Roman" w:hAnsi="Calibri" w:cs="Calibri"/>
                <w:color w:val="000000"/>
                <w:lang w:eastAsia="en-AU"/>
              </w:rPr>
            </w:pPr>
            <w:r>
              <w:rPr>
                <w:rFonts w:ascii="Calibri" w:eastAsia="Times New Roman" w:hAnsi="Calibri" w:cs="Calibri"/>
                <w:color w:val="000000"/>
                <w:lang w:eastAsia="en-AU"/>
              </w:rPr>
              <w:t>Not applicable</w:t>
            </w:r>
          </w:p>
        </w:tc>
      </w:tr>
      <w:tr w:rsidR="00F00CFD" w:rsidRPr="00650916" w14:paraId="25D82CF8" w14:textId="77777777" w:rsidTr="006E2C88">
        <w:tc>
          <w:tcPr>
            <w:tcW w:w="234" w:type="pct"/>
          </w:tcPr>
          <w:p w14:paraId="7190CB7A" w14:textId="233EE78F"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8</w:t>
            </w:r>
            <w:r w:rsidR="00A275F6">
              <w:rPr>
                <w:rFonts w:ascii="Calibri" w:eastAsia="Times New Roman" w:hAnsi="Calibri" w:cs="Calibri"/>
                <w:color w:val="000000"/>
                <w:lang w:eastAsia="en-AU"/>
              </w:rPr>
              <w:t>6</w:t>
            </w:r>
          </w:p>
        </w:tc>
        <w:tc>
          <w:tcPr>
            <w:tcW w:w="573" w:type="pct"/>
            <w:hideMark/>
          </w:tcPr>
          <w:p w14:paraId="5ADAFAD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Mathews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2015</w:t>
            </w:r>
            <w:r>
              <w:rPr>
                <w:rFonts w:ascii="Calibri" w:eastAsia="Times New Roman" w:hAnsi="Calibri" w:cs="Calibri"/>
                <w:color w:val="000000"/>
                <w:lang w:eastAsia="en-AU"/>
              </w:rPr>
              <w:t>)</w:t>
            </w:r>
          </w:p>
        </w:tc>
        <w:tc>
          <w:tcPr>
            <w:tcW w:w="707" w:type="pct"/>
            <w:hideMark/>
          </w:tcPr>
          <w:p w14:paraId="1DD6BE4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Evaluation of LSP programme for deaf people</w:t>
            </w:r>
          </w:p>
        </w:tc>
        <w:tc>
          <w:tcPr>
            <w:tcW w:w="404" w:type="pct"/>
            <w:hideMark/>
          </w:tcPr>
          <w:p w14:paraId="524ED3B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Ireland</w:t>
            </w:r>
          </w:p>
        </w:tc>
        <w:tc>
          <w:tcPr>
            <w:tcW w:w="606" w:type="pct"/>
            <w:hideMark/>
          </w:tcPr>
          <w:p w14:paraId="351D854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Other - Evaluation of LSP programme for deaf people</w:t>
            </w:r>
          </w:p>
        </w:tc>
        <w:tc>
          <w:tcPr>
            <w:tcW w:w="619" w:type="pct"/>
            <w:hideMark/>
          </w:tcPr>
          <w:p w14:paraId="488EAE3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Deafness</w:t>
            </w:r>
          </w:p>
        </w:tc>
        <w:tc>
          <w:tcPr>
            <w:tcW w:w="1011" w:type="pct"/>
            <w:hideMark/>
          </w:tcPr>
          <w:p w14:paraId="24BD468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No transition evaluation of living skills programmes to develop independent living for future transition</w:t>
            </w:r>
          </w:p>
        </w:tc>
        <w:tc>
          <w:tcPr>
            <w:tcW w:w="846" w:type="pct"/>
            <w:hideMark/>
          </w:tcPr>
          <w:p w14:paraId="0C47496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(1) Life Skills Programme (LSP) for Deaf adults. (2) LSP has three enrolment options, (a) full-time residential, (b) part-time non-residential, (c)</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flexible social event participation. (3) Duration typically two years, opt-in programme</w:t>
            </w:r>
          </w:p>
        </w:tc>
      </w:tr>
      <w:tr w:rsidR="00F00CFD" w:rsidRPr="00F66260" w14:paraId="13A193FB" w14:textId="77777777" w:rsidTr="006E2C88">
        <w:tc>
          <w:tcPr>
            <w:tcW w:w="234" w:type="pct"/>
          </w:tcPr>
          <w:p w14:paraId="7141E82E" w14:textId="3C3DA064" w:rsidR="00F00CFD" w:rsidRPr="00F66260" w:rsidRDefault="00F00CFD" w:rsidP="006E2C88">
            <w:pPr>
              <w:keepNext/>
            </w:pPr>
            <w:r>
              <w:lastRenderedPageBreak/>
              <w:t>8</w:t>
            </w:r>
            <w:r w:rsidR="00A275F6">
              <w:t>7</w:t>
            </w:r>
          </w:p>
        </w:tc>
        <w:tc>
          <w:tcPr>
            <w:tcW w:w="573" w:type="pct"/>
            <w:noWrap/>
            <w:hideMark/>
          </w:tcPr>
          <w:p w14:paraId="08750E7F" w14:textId="47EBCDA9" w:rsidR="00F00CFD" w:rsidRPr="00F66260" w:rsidRDefault="00F00CFD" w:rsidP="006E2C88">
            <w:pPr>
              <w:keepNext/>
            </w:pPr>
            <w:r w:rsidRPr="00F66260">
              <w:t>McCarron</w:t>
            </w:r>
            <w:r>
              <w:t xml:space="preserve"> et al (201</w:t>
            </w:r>
            <w:r w:rsidR="00A275F6">
              <w:t>9</w:t>
            </w:r>
            <w:r>
              <w:t>)</w:t>
            </w:r>
            <w:r w:rsidRPr="00F66260">
              <w:t xml:space="preserve"> </w:t>
            </w:r>
          </w:p>
        </w:tc>
        <w:tc>
          <w:tcPr>
            <w:tcW w:w="707" w:type="pct"/>
            <w:noWrap/>
          </w:tcPr>
          <w:p w14:paraId="0DB9D344" w14:textId="77777777" w:rsidR="00F00CFD" w:rsidRPr="00F66260" w:rsidRDefault="00F00CFD" w:rsidP="006E2C88">
            <w:pPr>
              <w:keepNext/>
            </w:pPr>
            <w:r w:rsidRPr="00F66260">
              <w:t>Quality of life outcomes and costs associated with moving from congregated settings to community living arrangements for people with intellectual disability: An evidence review.</w:t>
            </w:r>
          </w:p>
        </w:tc>
        <w:tc>
          <w:tcPr>
            <w:tcW w:w="404" w:type="pct"/>
            <w:noWrap/>
            <w:hideMark/>
          </w:tcPr>
          <w:p w14:paraId="2CEA82DD" w14:textId="77777777" w:rsidR="00F00CFD" w:rsidRPr="00F66260" w:rsidRDefault="00F00CFD" w:rsidP="006E2C88">
            <w:pPr>
              <w:keepNext/>
            </w:pPr>
            <w:r w:rsidRPr="00F66260">
              <w:t>General</w:t>
            </w:r>
          </w:p>
        </w:tc>
        <w:tc>
          <w:tcPr>
            <w:tcW w:w="606" w:type="pct"/>
            <w:noWrap/>
          </w:tcPr>
          <w:p w14:paraId="3BAB23BD" w14:textId="77777777" w:rsidR="00F00CFD" w:rsidRPr="00F66260" w:rsidRDefault="00F00CFD" w:rsidP="006E2C88">
            <w:pPr>
              <w:keepNext/>
            </w:pPr>
            <w:r>
              <w:t>Systematic review. Grey literature</w:t>
            </w:r>
          </w:p>
        </w:tc>
        <w:tc>
          <w:tcPr>
            <w:tcW w:w="619" w:type="pct"/>
            <w:noWrap/>
            <w:hideMark/>
          </w:tcPr>
          <w:p w14:paraId="2F86E021" w14:textId="77777777" w:rsidR="00F00CFD" w:rsidRPr="00F66260" w:rsidRDefault="00F00CFD" w:rsidP="006E2C88">
            <w:pPr>
              <w:keepNext/>
            </w:pPr>
            <w:r w:rsidRPr="00F66260">
              <w:t>People with intellectual disability</w:t>
            </w:r>
          </w:p>
        </w:tc>
        <w:tc>
          <w:tcPr>
            <w:tcW w:w="1011" w:type="pct"/>
            <w:hideMark/>
          </w:tcPr>
          <w:p w14:paraId="64511CFD" w14:textId="77777777" w:rsidR="00F00CFD" w:rsidRPr="00F66260" w:rsidRDefault="00F00CFD" w:rsidP="006E2C88">
            <w:pPr>
              <w:keepNext/>
            </w:pPr>
            <w:r w:rsidRPr="00F66260">
              <w:t>Move from congregate to community setting</w:t>
            </w:r>
          </w:p>
        </w:tc>
        <w:tc>
          <w:tcPr>
            <w:tcW w:w="846" w:type="pct"/>
            <w:noWrap/>
            <w:hideMark/>
          </w:tcPr>
          <w:p w14:paraId="16D20F4C" w14:textId="77777777" w:rsidR="00F00CFD" w:rsidRPr="00F66260" w:rsidRDefault="00F00CFD" w:rsidP="006E2C88">
            <w:pPr>
              <w:keepNext/>
            </w:pPr>
            <w:r w:rsidRPr="00F66260">
              <w:t>Deinstitutionalisation</w:t>
            </w:r>
          </w:p>
        </w:tc>
      </w:tr>
      <w:tr w:rsidR="00F00CFD" w:rsidRPr="00F66260" w14:paraId="08F6D1A4" w14:textId="77777777" w:rsidTr="006E2C88">
        <w:tc>
          <w:tcPr>
            <w:tcW w:w="234" w:type="pct"/>
          </w:tcPr>
          <w:p w14:paraId="38B6AE98" w14:textId="06127792" w:rsidR="00F00CFD" w:rsidRPr="00F66260" w:rsidRDefault="00F00CFD" w:rsidP="00046E15">
            <w:r>
              <w:t>8</w:t>
            </w:r>
            <w:r w:rsidR="00A275F6">
              <w:t>8</w:t>
            </w:r>
          </w:p>
        </w:tc>
        <w:tc>
          <w:tcPr>
            <w:tcW w:w="573" w:type="pct"/>
            <w:hideMark/>
          </w:tcPr>
          <w:p w14:paraId="5354CFB7" w14:textId="0D81CEEB" w:rsidR="00F00CFD" w:rsidRPr="00F66260" w:rsidRDefault="00F00CFD" w:rsidP="00046E15">
            <w:r w:rsidRPr="00F66260">
              <w:t>McCauley</w:t>
            </w:r>
            <w:r>
              <w:t xml:space="preserve"> </w:t>
            </w:r>
            <w:r w:rsidR="00A275F6">
              <w:t>&amp; Matheson</w:t>
            </w:r>
            <w:r>
              <w:t xml:space="preserve"> (2016)</w:t>
            </w:r>
          </w:p>
        </w:tc>
        <w:tc>
          <w:tcPr>
            <w:tcW w:w="707" w:type="pct"/>
          </w:tcPr>
          <w:p w14:paraId="77B178CB" w14:textId="77777777" w:rsidR="00F00CFD" w:rsidRPr="00F66260" w:rsidRDefault="00F00CFD" w:rsidP="00046E15">
            <w:r>
              <w:t xml:space="preserve">Housing policy review and unrealised policy promises. </w:t>
            </w:r>
          </w:p>
        </w:tc>
        <w:tc>
          <w:tcPr>
            <w:tcW w:w="404" w:type="pct"/>
            <w:noWrap/>
            <w:hideMark/>
          </w:tcPr>
          <w:p w14:paraId="6E73F15D" w14:textId="77777777" w:rsidR="00F00CFD" w:rsidRPr="00F66260" w:rsidRDefault="00F00CFD" w:rsidP="00046E15">
            <w:r w:rsidRPr="00F66260">
              <w:t xml:space="preserve">Canada </w:t>
            </w:r>
          </w:p>
        </w:tc>
        <w:tc>
          <w:tcPr>
            <w:tcW w:w="606" w:type="pct"/>
            <w:noWrap/>
          </w:tcPr>
          <w:p w14:paraId="70FF7318" w14:textId="6EEB2C68" w:rsidR="00F00CFD" w:rsidRPr="00F66260" w:rsidRDefault="006B74E2" w:rsidP="00046E15">
            <w:r>
              <w:t>Policy. Grey literature</w:t>
            </w:r>
          </w:p>
        </w:tc>
        <w:tc>
          <w:tcPr>
            <w:tcW w:w="619" w:type="pct"/>
            <w:noWrap/>
            <w:hideMark/>
          </w:tcPr>
          <w:p w14:paraId="12EF58BB" w14:textId="77777777" w:rsidR="00F00CFD" w:rsidRPr="00F66260" w:rsidRDefault="00F00CFD" w:rsidP="00046E15">
            <w:r w:rsidRPr="00F66260">
              <w:t>Intellectual disability</w:t>
            </w:r>
          </w:p>
        </w:tc>
        <w:tc>
          <w:tcPr>
            <w:tcW w:w="1011" w:type="pct"/>
            <w:hideMark/>
          </w:tcPr>
          <w:p w14:paraId="032BBEE7" w14:textId="3DC78F04" w:rsidR="00F00CFD" w:rsidRPr="00F66260" w:rsidRDefault="00F00CFD" w:rsidP="00046E15">
            <w:r w:rsidRPr="00F66260">
              <w:t>De-institutionali</w:t>
            </w:r>
            <w:r w:rsidR="00D94757">
              <w:t>s</w:t>
            </w:r>
            <w:r w:rsidRPr="00F66260">
              <w:t>ation to community living to social inclusion</w:t>
            </w:r>
          </w:p>
        </w:tc>
        <w:tc>
          <w:tcPr>
            <w:tcW w:w="846" w:type="pct"/>
            <w:noWrap/>
            <w:hideMark/>
          </w:tcPr>
          <w:p w14:paraId="4047438A" w14:textId="77777777" w:rsidR="00F00CFD" w:rsidRPr="00F66260" w:rsidRDefault="00F00CFD" w:rsidP="00046E15">
            <w:r w:rsidRPr="00F66260">
              <w:t>Deinstitutionalisation</w:t>
            </w:r>
          </w:p>
        </w:tc>
      </w:tr>
      <w:tr w:rsidR="00F00CFD" w:rsidRPr="00650916" w14:paraId="223CF3E1" w14:textId="77777777" w:rsidTr="006E2C88">
        <w:tc>
          <w:tcPr>
            <w:tcW w:w="234" w:type="pct"/>
            <w:shd w:val="clear" w:color="auto" w:fill="auto"/>
          </w:tcPr>
          <w:p w14:paraId="7FD53626" w14:textId="7065A25B" w:rsidR="00F00CFD" w:rsidRPr="00650916" w:rsidRDefault="00A275F6" w:rsidP="00046E15">
            <w:pPr>
              <w:rPr>
                <w:rFonts w:ascii="Calibri" w:eastAsia="Times New Roman" w:hAnsi="Calibri" w:cs="Calibri"/>
                <w:color w:val="000000"/>
                <w:lang w:eastAsia="en-AU"/>
              </w:rPr>
            </w:pPr>
            <w:r>
              <w:rPr>
                <w:rFonts w:ascii="Calibri" w:eastAsia="Times New Roman" w:hAnsi="Calibri" w:cs="Calibri"/>
                <w:color w:val="000000"/>
                <w:lang w:eastAsia="en-AU"/>
              </w:rPr>
              <w:t>89</w:t>
            </w:r>
          </w:p>
        </w:tc>
        <w:tc>
          <w:tcPr>
            <w:tcW w:w="573" w:type="pct"/>
            <w:shd w:val="clear" w:color="auto" w:fill="auto"/>
            <w:hideMark/>
          </w:tcPr>
          <w:p w14:paraId="318B4B23"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McConkey &amp; Creig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2018</w:t>
            </w:r>
            <w:r>
              <w:rPr>
                <w:rFonts w:ascii="Calibri" w:eastAsia="Times New Roman" w:hAnsi="Calibri" w:cs="Calibri"/>
                <w:color w:val="000000"/>
                <w:lang w:eastAsia="en-AU"/>
              </w:rPr>
              <w:t>)</w:t>
            </w:r>
          </w:p>
        </w:tc>
        <w:tc>
          <w:tcPr>
            <w:tcW w:w="707" w:type="pct"/>
            <w:shd w:val="clear" w:color="auto" w:fill="auto"/>
            <w:hideMark/>
          </w:tcPr>
          <w:p w14:paraId="47CE56F4"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1) Document the impact of major policy changes and reductions in government funding on residential provision for people with intellectual disabilities (ID) in Ireland. 2) Information on persons in residential settings from 2005 to 2016 </w:t>
            </w:r>
            <w:r w:rsidRPr="00650916">
              <w:rPr>
                <w:rFonts w:ascii="Calibri" w:eastAsia="Times New Roman" w:hAnsi="Calibri" w:cs="Calibri"/>
                <w:color w:val="000000"/>
                <w:lang w:eastAsia="en-AU"/>
              </w:rPr>
              <w:lastRenderedPageBreak/>
              <w:t>was examined in terms of changes in the types of provision over time and broken down by age groups.</w:t>
            </w:r>
          </w:p>
        </w:tc>
        <w:tc>
          <w:tcPr>
            <w:tcW w:w="404" w:type="pct"/>
            <w:shd w:val="clear" w:color="auto" w:fill="auto"/>
            <w:hideMark/>
          </w:tcPr>
          <w:p w14:paraId="51EAB54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Ireland</w:t>
            </w:r>
          </w:p>
        </w:tc>
        <w:tc>
          <w:tcPr>
            <w:tcW w:w="606" w:type="pct"/>
            <w:shd w:val="clear" w:color="auto" w:fill="auto"/>
            <w:hideMark/>
          </w:tcPr>
          <w:p w14:paraId="3439D23E"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Other</w:t>
            </w:r>
          </w:p>
        </w:tc>
        <w:tc>
          <w:tcPr>
            <w:tcW w:w="619" w:type="pct"/>
            <w:shd w:val="clear" w:color="auto" w:fill="auto"/>
            <w:hideMark/>
          </w:tcPr>
          <w:p w14:paraId="29435FC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shd w:val="clear" w:color="auto" w:fill="auto"/>
            <w:hideMark/>
          </w:tcPr>
          <w:p w14:paraId="18BD30AE"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Comparison of changes in</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 xml:space="preserve">different housing options. 1) Residential centres: Clusters of units for up to ten persons or more in a campus setting and may accommodate up to 300 persons on the same site. A small number of people continue to live in hospital-type wards. These facilities grew out of the institutional origins of service provision in Ireland. 2) Community group homes: These are ordinary houses or apartments owned or rented </w:t>
            </w:r>
            <w:r w:rsidRPr="00650916">
              <w:rPr>
                <w:rFonts w:ascii="Calibri" w:eastAsia="Times New Roman" w:hAnsi="Calibri" w:cs="Calibri"/>
                <w:color w:val="000000"/>
                <w:lang w:eastAsia="en-AU"/>
              </w:rPr>
              <w:lastRenderedPageBreak/>
              <w:t xml:space="preserve">by the service provider, shared by an average of six persons with support staff available during day-time hours or on a 24-hour, sleep-in basis. 3) Independent/semi-independent living Typically, these arrangements take the form of rented accommodation in ordinary houses or apartments with people either living alone or with a friend or partner of their choosing. It also includes people who continue to live in the family home when their parents die. Most people in this group had support staff from the ID service visiting their home at agreed days and times for a set number of hours per week in accordance with their needs as well as receiving other services such as social work. 4) Specialist provision: specialist accommodation and support options have been developed by ID services for people with </w:t>
            </w:r>
            <w:r w:rsidRPr="00650916">
              <w:rPr>
                <w:rFonts w:ascii="Calibri" w:eastAsia="Times New Roman" w:hAnsi="Calibri" w:cs="Calibri"/>
                <w:color w:val="000000"/>
                <w:lang w:eastAsia="en-AU"/>
              </w:rPr>
              <w:lastRenderedPageBreak/>
              <w:t xml:space="preserve">additional needs. This includes nursing homes, intensive placements for people whose behaviour challenges services and mental health units. </w:t>
            </w:r>
          </w:p>
        </w:tc>
        <w:tc>
          <w:tcPr>
            <w:tcW w:w="846" w:type="pct"/>
            <w:shd w:val="clear" w:color="auto" w:fill="auto"/>
            <w:hideMark/>
          </w:tcPr>
          <w:p w14:paraId="2D013437" w14:textId="26272651" w:rsidR="00F00CFD" w:rsidRPr="00650916" w:rsidRDefault="00956FA9" w:rsidP="00046E15">
            <w:pPr>
              <w:rPr>
                <w:rFonts w:ascii="Calibri" w:eastAsia="Times New Roman" w:hAnsi="Calibri" w:cs="Calibri"/>
                <w:color w:val="000000"/>
                <w:lang w:eastAsia="en-AU"/>
              </w:rPr>
            </w:pPr>
            <w:r>
              <w:rPr>
                <w:rFonts w:ascii="Calibri" w:eastAsia="Times New Roman" w:hAnsi="Calibri" w:cs="Calibri"/>
                <w:color w:val="000000"/>
                <w:lang w:eastAsia="en-AU"/>
              </w:rPr>
              <w:lastRenderedPageBreak/>
              <w:t>Transition to de-congregated settings following policy decisions to close larger institutions.</w:t>
            </w:r>
          </w:p>
        </w:tc>
      </w:tr>
      <w:tr w:rsidR="00F00CFD" w:rsidRPr="00F66260" w14:paraId="33ED4FE6" w14:textId="77777777" w:rsidTr="006E2C88">
        <w:tc>
          <w:tcPr>
            <w:tcW w:w="234" w:type="pct"/>
          </w:tcPr>
          <w:p w14:paraId="1764C6AC" w14:textId="36EB042C" w:rsidR="00F00CFD" w:rsidRPr="00F66260" w:rsidRDefault="00F00CFD" w:rsidP="00046E15">
            <w:r>
              <w:lastRenderedPageBreak/>
              <w:t>9</w:t>
            </w:r>
            <w:r w:rsidR="00A275F6">
              <w:t>0</w:t>
            </w:r>
          </w:p>
        </w:tc>
        <w:tc>
          <w:tcPr>
            <w:tcW w:w="573" w:type="pct"/>
            <w:hideMark/>
          </w:tcPr>
          <w:p w14:paraId="10267659" w14:textId="77777777" w:rsidR="00F00CFD" w:rsidRPr="00F66260" w:rsidRDefault="00F00CFD" w:rsidP="00046E15">
            <w:r w:rsidRPr="00F66260">
              <w:t>McConkey</w:t>
            </w:r>
            <w:r>
              <w:t xml:space="preserve"> (2000)</w:t>
            </w:r>
          </w:p>
        </w:tc>
        <w:tc>
          <w:tcPr>
            <w:tcW w:w="707" w:type="pct"/>
          </w:tcPr>
          <w:p w14:paraId="2E970136" w14:textId="77777777" w:rsidR="00F00CFD" w:rsidRPr="00F66260" w:rsidRDefault="00F00CFD" w:rsidP="00046E15">
            <w:r w:rsidRPr="00F66260">
              <w:t>Community care and resettlement</w:t>
            </w:r>
            <w:r>
              <w:t xml:space="preserve"> policy</w:t>
            </w:r>
          </w:p>
        </w:tc>
        <w:tc>
          <w:tcPr>
            <w:tcW w:w="404" w:type="pct"/>
            <w:noWrap/>
            <w:hideMark/>
          </w:tcPr>
          <w:p w14:paraId="72163607" w14:textId="77777777" w:rsidR="00F00CFD" w:rsidRPr="00F66260" w:rsidRDefault="00F00CFD" w:rsidP="00046E15">
            <w:r w:rsidRPr="00F66260">
              <w:t>UK and USA</w:t>
            </w:r>
          </w:p>
        </w:tc>
        <w:tc>
          <w:tcPr>
            <w:tcW w:w="606" w:type="pct"/>
            <w:noWrap/>
          </w:tcPr>
          <w:p w14:paraId="59239A56" w14:textId="77777777" w:rsidR="00F00CFD" w:rsidRPr="00F66260" w:rsidRDefault="00F00CFD" w:rsidP="00046E15">
            <w:r>
              <w:t>Discussion piece. Grey literature</w:t>
            </w:r>
          </w:p>
        </w:tc>
        <w:tc>
          <w:tcPr>
            <w:tcW w:w="619" w:type="pct"/>
            <w:noWrap/>
            <w:hideMark/>
          </w:tcPr>
          <w:p w14:paraId="45E4AF62" w14:textId="77777777" w:rsidR="00F00CFD" w:rsidRPr="00F66260" w:rsidRDefault="00F00CFD" w:rsidP="00046E15">
            <w:r w:rsidRPr="00F66260">
              <w:t xml:space="preserve">People with learning disabilities </w:t>
            </w:r>
          </w:p>
        </w:tc>
        <w:tc>
          <w:tcPr>
            <w:tcW w:w="1011" w:type="pct"/>
            <w:hideMark/>
          </w:tcPr>
          <w:p w14:paraId="712909C8" w14:textId="2BC66937" w:rsidR="00F00CFD" w:rsidRPr="00F66260" w:rsidRDefault="00F00CFD" w:rsidP="00046E15">
            <w:r w:rsidRPr="00F66260">
              <w:t>Deinstitutionali</w:t>
            </w:r>
            <w:r w:rsidR="00D94757">
              <w:t>s</w:t>
            </w:r>
            <w:r w:rsidRPr="00F66260">
              <w:t>ation. Resettlement from long stay hospitals into community</w:t>
            </w:r>
          </w:p>
        </w:tc>
        <w:tc>
          <w:tcPr>
            <w:tcW w:w="846" w:type="pct"/>
            <w:noWrap/>
            <w:hideMark/>
          </w:tcPr>
          <w:p w14:paraId="4E692CED" w14:textId="77777777" w:rsidR="00F00CFD" w:rsidRPr="00F66260" w:rsidRDefault="00F00CFD" w:rsidP="00046E15">
            <w:r w:rsidRPr="00F66260">
              <w:t>Deinstitutionaliation (from long stay hospital)</w:t>
            </w:r>
          </w:p>
        </w:tc>
      </w:tr>
      <w:tr w:rsidR="00F00CFD" w:rsidRPr="00650916" w14:paraId="794D8E86" w14:textId="77777777" w:rsidTr="006E2C88">
        <w:tc>
          <w:tcPr>
            <w:tcW w:w="234" w:type="pct"/>
            <w:shd w:val="clear" w:color="auto" w:fill="auto"/>
          </w:tcPr>
          <w:p w14:paraId="321EEF31" w14:textId="710BE539" w:rsidR="00F00CFD" w:rsidRPr="00650916" w:rsidRDefault="00A275F6" w:rsidP="00046E15">
            <w:pPr>
              <w:rPr>
                <w:rFonts w:ascii="Calibri" w:eastAsia="Times New Roman" w:hAnsi="Calibri" w:cs="Calibri"/>
                <w:color w:val="000000"/>
                <w:lang w:eastAsia="en-AU"/>
              </w:rPr>
            </w:pPr>
            <w:r>
              <w:rPr>
                <w:rFonts w:ascii="Calibri" w:eastAsia="Times New Roman" w:hAnsi="Calibri" w:cs="Calibri"/>
                <w:color w:val="000000"/>
                <w:lang w:eastAsia="en-AU"/>
              </w:rPr>
              <w:t>91</w:t>
            </w:r>
          </w:p>
        </w:tc>
        <w:tc>
          <w:tcPr>
            <w:tcW w:w="573" w:type="pct"/>
            <w:shd w:val="clear" w:color="auto" w:fill="auto"/>
            <w:hideMark/>
          </w:tcPr>
          <w:p w14:paraId="67CAECF6" w14:textId="619BFB31"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McConkey </w:t>
            </w:r>
            <w:r w:rsidR="00A275F6">
              <w:rPr>
                <w:rFonts w:ascii="Calibri" w:eastAsia="Times New Roman" w:hAnsi="Calibri" w:cs="Calibri"/>
                <w:color w:val="000000"/>
                <w:lang w:eastAsia="en-AU"/>
              </w:rPr>
              <w:t>&amp;</w:t>
            </w:r>
            <w:r w:rsidR="00A275F6" w:rsidRPr="009F7A4D">
              <w:t xml:space="preserve"> Garcia-Iriarte</w:t>
            </w:r>
            <w:r w:rsidR="00A275F6">
              <w:rPr>
                <w:rFonts w:ascii="Calibri" w:eastAsia="Times New Roman" w:hAnsi="Calibri" w:cs="Calibri"/>
                <w:color w:val="000000"/>
                <w:lang w:eastAsia="en-AU"/>
              </w:rPr>
              <w:t xml:space="preserve">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2016</w:t>
            </w:r>
            <w:r>
              <w:rPr>
                <w:rFonts w:ascii="Calibri" w:eastAsia="Times New Roman" w:hAnsi="Calibri" w:cs="Calibri"/>
                <w:color w:val="000000"/>
                <w:lang w:eastAsia="en-AU"/>
              </w:rPr>
              <w:t>)</w:t>
            </w:r>
          </w:p>
        </w:tc>
        <w:tc>
          <w:tcPr>
            <w:tcW w:w="707" w:type="pct"/>
            <w:shd w:val="clear" w:color="auto" w:fill="auto"/>
            <w:hideMark/>
          </w:tcPr>
          <w:p w14:paraId="6EF1821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1) Comparison of people with intellectual disability who had moved to group homes with those who moved to personalized accommodation compared to those remaining in congregated institutionalised settings</w:t>
            </w:r>
          </w:p>
        </w:tc>
        <w:tc>
          <w:tcPr>
            <w:tcW w:w="404" w:type="pct"/>
            <w:shd w:val="clear" w:color="auto" w:fill="auto"/>
            <w:hideMark/>
          </w:tcPr>
          <w:p w14:paraId="4219903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Ireland</w:t>
            </w:r>
          </w:p>
        </w:tc>
        <w:tc>
          <w:tcPr>
            <w:tcW w:w="606" w:type="pct"/>
            <w:shd w:val="clear" w:color="auto" w:fill="auto"/>
            <w:hideMark/>
          </w:tcPr>
          <w:p w14:paraId="69BD72C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Three group repeated measures design</w:t>
            </w:r>
          </w:p>
        </w:tc>
        <w:tc>
          <w:tcPr>
            <w:tcW w:w="619" w:type="pct"/>
            <w:shd w:val="clear" w:color="auto" w:fill="auto"/>
            <w:hideMark/>
          </w:tcPr>
          <w:p w14:paraId="23EA1BD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shd w:val="clear" w:color="auto" w:fill="auto"/>
            <w:hideMark/>
          </w:tcPr>
          <w:p w14:paraId="673B8449" w14:textId="77777777" w:rsidR="00F00CFD" w:rsidRPr="006E2C88" w:rsidRDefault="00F00CFD" w:rsidP="00046E15">
            <w:pPr>
              <w:rPr>
                <w:rFonts w:ascii="Calibri" w:eastAsia="Times New Roman" w:hAnsi="Calibri" w:cs="Calibri"/>
                <w:color w:val="000000"/>
                <w:sz w:val="21"/>
                <w:szCs w:val="21"/>
                <w:lang w:eastAsia="en-AU"/>
              </w:rPr>
            </w:pPr>
            <w:r w:rsidRPr="006E2C88">
              <w:rPr>
                <w:rFonts w:ascii="Calibri" w:eastAsia="Times New Roman" w:hAnsi="Calibri" w:cs="Calibri"/>
                <w:color w:val="000000"/>
                <w:sz w:val="21"/>
                <w:szCs w:val="21"/>
                <w:lang w:eastAsia="en-AU"/>
              </w:rPr>
              <w:t>1) Personalised arrangements rented accommodation in</w:t>
            </w:r>
            <w:r w:rsidRPr="006E2C88">
              <w:rPr>
                <w:rFonts w:ascii="Calibri" w:eastAsia="Times New Roman" w:hAnsi="Calibri" w:cs="Calibri"/>
                <w:color w:val="000000"/>
                <w:sz w:val="21"/>
                <w:szCs w:val="21"/>
                <w:lang w:eastAsia="en-AU"/>
              </w:rPr>
              <w:br/>
              <w:t>ordinary houses or apartments, living alone or with one friend of their own choice 2) Group homes (ordinary housing in the community shared by up to six persons, these residents typically had limited choice of co-residents. 3) Included campus accommodation of separate bungalows and houses on a shared site as well as hospital wards. In such settings people had little choice over whom they lived with; they shared communal bathing facilities, dining and sitting rooms and even though some had their own bedroom, others shared sleeping arrangements in ward-like accommodation.</w:t>
            </w:r>
          </w:p>
        </w:tc>
        <w:tc>
          <w:tcPr>
            <w:tcW w:w="846" w:type="pct"/>
            <w:shd w:val="clear" w:color="auto" w:fill="auto"/>
            <w:hideMark/>
          </w:tcPr>
          <w:p w14:paraId="714EDBA7" w14:textId="6BDEDE5A" w:rsidR="00F00CFD" w:rsidRPr="00650916" w:rsidRDefault="001A1CF1" w:rsidP="00046E15">
            <w:pPr>
              <w:rPr>
                <w:rFonts w:ascii="Calibri" w:eastAsia="Times New Roman" w:hAnsi="Calibri" w:cs="Calibri"/>
                <w:color w:val="000000"/>
                <w:lang w:eastAsia="en-AU"/>
              </w:rPr>
            </w:pPr>
            <w:r>
              <w:rPr>
                <w:rFonts w:ascii="Calibri" w:eastAsia="Times New Roman" w:hAnsi="Calibri" w:cs="Calibri"/>
                <w:color w:val="000000"/>
                <w:lang w:eastAsia="en-AU"/>
              </w:rPr>
              <w:t>Transition to de-congregated settings.</w:t>
            </w:r>
          </w:p>
        </w:tc>
      </w:tr>
      <w:tr w:rsidR="00F00CFD" w:rsidRPr="00650916" w14:paraId="0547E1D9" w14:textId="77777777" w:rsidTr="006E2C88">
        <w:tc>
          <w:tcPr>
            <w:tcW w:w="234" w:type="pct"/>
          </w:tcPr>
          <w:p w14:paraId="2F61AA6F" w14:textId="196AF2A3"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lastRenderedPageBreak/>
              <w:t>9</w:t>
            </w:r>
            <w:r w:rsidR="00A275F6">
              <w:rPr>
                <w:rFonts w:ascii="Calibri" w:eastAsia="Times New Roman" w:hAnsi="Calibri" w:cs="Calibri"/>
                <w:color w:val="000000"/>
                <w:lang w:eastAsia="en-AU"/>
              </w:rPr>
              <w:t>2</w:t>
            </w:r>
          </w:p>
        </w:tc>
        <w:tc>
          <w:tcPr>
            <w:tcW w:w="573" w:type="pct"/>
            <w:hideMark/>
          </w:tcPr>
          <w:p w14:paraId="50D432A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McConkey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2011</w:t>
            </w:r>
            <w:r>
              <w:rPr>
                <w:rFonts w:ascii="Calibri" w:eastAsia="Times New Roman" w:hAnsi="Calibri" w:cs="Calibri"/>
                <w:color w:val="000000"/>
                <w:lang w:eastAsia="en-AU"/>
              </w:rPr>
              <w:t>)</w:t>
            </w:r>
          </w:p>
        </w:tc>
        <w:tc>
          <w:tcPr>
            <w:tcW w:w="707" w:type="pct"/>
            <w:hideMark/>
          </w:tcPr>
          <w:p w14:paraId="77A6F6D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(1) Identify needs and characteristics of persons with ID who moved from family to residential accommodation over an eight year period. (2) Compare the need to provision of residential accommodation (3) Examine type of accommodation compared to original request.</w:t>
            </w:r>
          </w:p>
        </w:tc>
        <w:tc>
          <w:tcPr>
            <w:tcW w:w="404" w:type="pct"/>
            <w:hideMark/>
          </w:tcPr>
          <w:p w14:paraId="5B58AAB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Ireland</w:t>
            </w:r>
          </w:p>
        </w:tc>
        <w:tc>
          <w:tcPr>
            <w:tcW w:w="606" w:type="pct"/>
            <w:hideMark/>
          </w:tcPr>
          <w:p w14:paraId="73990344"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 rates to different types of accommodation. Predictive model</w:t>
            </w:r>
          </w:p>
        </w:tc>
        <w:tc>
          <w:tcPr>
            <w:tcW w:w="619" w:type="pct"/>
            <w:hideMark/>
          </w:tcPr>
          <w:p w14:paraId="501F460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hideMark/>
          </w:tcPr>
          <w:p w14:paraId="5ACE845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Family to residential accommodation</w:t>
            </w:r>
          </w:p>
        </w:tc>
        <w:tc>
          <w:tcPr>
            <w:tcW w:w="846" w:type="pct"/>
            <w:hideMark/>
          </w:tcPr>
          <w:p w14:paraId="3FB7B281" w14:textId="1B17FA50" w:rsidR="00F00CFD" w:rsidRPr="00650916" w:rsidRDefault="006C14DA" w:rsidP="00046E15">
            <w:pPr>
              <w:rPr>
                <w:rFonts w:ascii="Calibri" w:eastAsia="Times New Roman" w:hAnsi="Calibri" w:cs="Calibri"/>
                <w:color w:val="000000"/>
                <w:lang w:eastAsia="en-AU"/>
              </w:rPr>
            </w:pPr>
            <w:r>
              <w:rPr>
                <w:rFonts w:ascii="Calibri" w:eastAsia="Times New Roman" w:hAnsi="Calibri" w:cs="Calibri"/>
                <w:color w:val="000000"/>
                <w:lang w:eastAsia="en-AU"/>
              </w:rPr>
              <w:t>Not applicable.</w:t>
            </w:r>
          </w:p>
        </w:tc>
      </w:tr>
      <w:tr w:rsidR="00F00CFD" w:rsidRPr="00650916" w14:paraId="6FCBEEDC" w14:textId="77777777" w:rsidTr="006E2C88">
        <w:tc>
          <w:tcPr>
            <w:tcW w:w="234" w:type="pct"/>
          </w:tcPr>
          <w:p w14:paraId="31AFF349" w14:textId="4C7AADD0"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9</w:t>
            </w:r>
            <w:r w:rsidR="00A275F6">
              <w:rPr>
                <w:rFonts w:ascii="Calibri" w:eastAsia="Times New Roman" w:hAnsi="Calibri" w:cs="Calibri"/>
                <w:color w:val="000000"/>
                <w:lang w:eastAsia="en-AU"/>
              </w:rPr>
              <w:t>3</w:t>
            </w:r>
          </w:p>
        </w:tc>
        <w:tc>
          <w:tcPr>
            <w:tcW w:w="573" w:type="pct"/>
            <w:hideMark/>
          </w:tcPr>
          <w:p w14:paraId="46150CD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McConkey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2018</w:t>
            </w:r>
            <w:r>
              <w:rPr>
                <w:rFonts w:ascii="Calibri" w:eastAsia="Times New Roman" w:hAnsi="Calibri" w:cs="Calibri"/>
                <w:color w:val="000000"/>
                <w:lang w:eastAsia="en-AU"/>
              </w:rPr>
              <w:t>)</w:t>
            </w:r>
          </w:p>
        </w:tc>
        <w:tc>
          <w:tcPr>
            <w:tcW w:w="707" w:type="pct"/>
            <w:hideMark/>
          </w:tcPr>
          <w:p w14:paraId="309B4FD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An examination of self-report ratings of well-being contrasting people with ID and psychiatric illness following transition to personalised arrangements from congregated settings.</w:t>
            </w:r>
          </w:p>
        </w:tc>
        <w:tc>
          <w:tcPr>
            <w:tcW w:w="404" w:type="pct"/>
            <w:hideMark/>
          </w:tcPr>
          <w:p w14:paraId="515348A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Ireland</w:t>
            </w:r>
          </w:p>
        </w:tc>
        <w:tc>
          <w:tcPr>
            <w:tcW w:w="606" w:type="pct"/>
            <w:hideMark/>
          </w:tcPr>
          <w:p w14:paraId="0317A63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Two group pre/post design</w:t>
            </w:r>
          </w:p>
        </w:tc>
        <w:tc>
          <w:tcPr>
            <w:tcW w:w="619" w:type="pct"/>
            <w:hideMark/>
          </w:tcPr>
          <w:p w14:paraId="3D5104A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 compared with Psychiatric illness</w:t>
            </w:r>
          </w:p>
        </w:tc>
        <w:tc>
          <w:tcPr>
            <w:tcW w:w="1011" w:type="pct"/>
            <w:hideMark/>
          </w:tcPr>
          <w:p w14:paraId="682CE8C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Congregated setting to personalised arrangements.</w:t>
            </w:r>
          </w:p>
        </w:tc>
        <w:tc>
          <w:tcPr>
            <w:tcW w:w="846" w:type="pct"/>
            <w:hideMark/>
          </w:tcPr>
          <w:p w14:paraId="1DEB87F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 from congregated setting to personalised arrangements.</w:t>
            </w:r>
          </w:p>
        </w:tc>
      </w:tr>
      <w:tr w:rsidR="00F00CFD" w:rsidRPr="00650916" w14:paraId="03AD486C" w14:textId="77777777" w:rsidTr="006E2C88">
        <w:tc>
          <w:tcPr>
            <w:tcW w:w="234" w:type="pct"/>
          </w:tcPr>
          <w:p w14:paraId="7D976FD8" w14:textId="360A841A" w:rsidR="00F00CFD" w:rsidRPr="00650916" w:rsidRDefault="00F00CFD" w:rsidP="006E2C88">
            <w:pPr>
              <w:keepNext/>
              <w:rPr>
                <w:rFonts w:ascii="Calibri" w:eastAsia="Times New Roman" w:hAnsi="Calibri" w:cs="Calibri"/>
                <w:color w:val="000000"/>
                <w:lang w:eastAsia="en-AU"/>
              </w:rPr>
            </w:pPr>
            <w:r>
              <w:rPr>
                <w:rFonts w:ascii="Calibri" w:eastAsia="Times New Roman" w:hAnsi="Calibri" w:cs="Calibri"/>
                <w:color w:val="000000"/>
                <w:lang w:eastAsia="en-AU"/>
              </w:rPr>
              <w:lastRenderedPageBreak/>
              <w:t>9</w:t>
            </w:r>
            <w:r w:rsidR="00A275F6">
              <w:rPr>
                <w:rFonts w:ascii="Calibri" w:eastAsia="Times New Roman" w:hAnsi="Calibri" w:cs="Calibri"/>
                <w:color w:val="000000"/>
                <w:lang w:eastAsia="en-AU"/>
              </w:rPr>
              <w:t>4</w:t>
            </w:r>
          </w:p>
        </w:tc>
        <w:tc>
          <w:tcPr>
            <w:tcW w:w="573" w:type="pct"/>
            <w:hideMark/>
          </w:tcPr>
          <w:p w14:paraId="35AAB079"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McConkey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2019</w:t>
            </w:r>
            <w:r>
              <w:rPr>
                <w:rFonts w:ascii="Calibri" w:eastAsia="Times New Roman" w:hAnsi="Calibri" w:cs="Calibri"/>
                <w:color w:val="000000"/>
                <w:lang w:eastAsia="en-AU"/>
              </w:rPr>
              <w:t>)</w:t>
            </w:r>
          </w:p>
        </w:tc>
        <w:tc>
          <w:tcPr>
            <w:tcW w:w="707" w:type="pct"/>
            <w:hideMark/>
          </w:tcPr>
          <w:p w14:paraId="7040E74C"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An evaluation of the impact on social relationships following transition to de-congregated settings (personalised accommodation or group homes).</w:t>
            </w:r>
          </w:p>
        </w:tc>
        <w:tc>
          <w:tcPr>
            <w:tcW w:w="404" w:type="pct"/>
            <w:hideMark/>
          </w:tcPr>
          <w:p w14:paraId="04F64A8B"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Ireland</w:t>
            </w:r>
          </w:p>
        </w:tc>
        <w:tc>
          <w:tcPr>
            <w:tcW w:w="606" w:type="pct"/>
            <w:hideMark/>
          </w:tcPr>
          <w:p w14:paraId="77967AC1"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Predictive modelling</w:t>
            </w:r>
          </w:p>
        </w:tc>
        <w:tc>
          <w:tcPr>
            <w:tcW w:w="619" w:type="pct"/>
            <w:hideMark/>
          </w:tcPr>
          <w:p w14:paraId="62F02A28"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hideMark/>
          </w:tcPr>
          <w:p w14:paraId="328E3E0A"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Congregated and group living settings compared to personalised accommodation </w:t>
            </w:r>
          </w:p>
        </w:tc>
        <w:tc>
          <w:tcPr>
            <w:tcW w:w="846" w:type="pct"/>
            <w:hideMark/>
          </w:tcPr>
          <w:p w14:paraId="15EEC2A1" w14:textId="77777777" w:rsidR="00F00CFD" w:rsidRPr="00650916" w:rsidRDefault="00F00CFD" w:rsidP="006E2C88">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Transition from congregated to de-congregated settings</w:t>
            </w:r>
          </w:p>
        </w:tc>
      </w:tr>
      <w:tr w:rsidR="00F00CFD" w:rsidRPr="00FE0180" w14:paraId="545BF32D"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29C017F9" w14:textId="2088AABB" w:rsidR="00F00CFD" w:rsidRPr="00FE0180" w:rsidRDefault="00F00CFD" w:rsidP="00046E15">
            <w:r>
              <w:t>9</w:t>
            </w:r>
            <w:r w:rsidR="00A275F6">
              <w:t>5</w:t>
            </w:r>
          </w:p>
        </w:tc>
        <w:tc>
          <w:tcPr>
            <w:tcW w:w="573" w:type="pct"/>
            <w:tcBorders>
              <w:top w:val="single" w:sz="4" w:space="0" w:color="auto"/>
              <w:left w:val="single" w:sz="4" w:space="0" w:color="auto"/>
              <w:bottom w:val="single" w:sz="4" w:space="0" w:color="auto"/>
              <w:right w:val="single" w:sz="4" w:space="0" w:color="auto"/>
            </w:tcBorders>
            <w:hideMark/>
          </w:tcPr>
          <w:p w14:paraId="496482E6" w14:textId="5A66214A" w:rsidR="00F00CFD" w:rsidRPr="00FE0180" w:rsidRDefault="00F00CFD" w:rsidP="00046E15">
            <w:r w:rsidRPr="00FE0180">
              <w:t xml:space="preserve">McIntyre </w:t>
            </w:r>
            <w:r w:rsidR="00A275F6">
              <w:t>et al</w:t>
            </w:r>
            <w:r>
              <w:t xml:space="preserve"> (2019)</w:t>
            </w:r>
          </w:p>
        </w:tc>
        <w:tc>
          <w:tcPr>
            <w:tcW w:w="707" w:type="pct"/>
            <w:tcBorders>
              <w:top w:val="single" w:sz="4" w:space="0" w:color="auto"/>
              <w:left w:val="single" w:sz="4" w:space="0" w:color="auto"/>
              <w:bottom w:val="single" w:sz="4" w:space="0" w:color="auto"/>
              <w:right w:val="single" w:sz="4" w:space="0" w:color="auto"/>
            </w:tcBorders>
            <w:hideMark/>
          </w:tcPr>
          <w:p w14:paraId="2FFE8A6C" w14:textId="77777777" w:rsidR="00F00CFD" w:rsidRPr="00FE0180" w:rsidRDefault="00F00CFD" w:rsidP="00046E15">
            <w:r w:rsidRPr="00FE0180">
              <w:t>The study aimed to identify the commonalities and differences in experiences of housing and support pathways among individuals with progressive and non-progressive acquired disabilities residing in different housing and support settings and their families.</w:t>
            </w:r>
          </w:p>
        </w:tc>
        <w:tc>
          <w:tcPr>
            <w:tcW w:w="404" w:type="pct"/>
            <w:tcBorders>
              <w:top w:val="single" w:sz="4" w:space="0" w:color="auto"/>
              <w:left w:val="single" w:sz="4" w:space="0" w:color="auto"/>
              <w:bottom w:val="single" w:sz="4" w:space="0" w:color="auto"/>
              <w:right w:val="single" w:sz="4" w:space="0" w:color="auto"/>
            </w:tcBorders>
          </w:tcPr>
          <w:p w14:paraId="5311150B" w14:textId="77777777" w:rsidR="00F00CFD" w:rsidRDefault="00F00CFD" w:rsidP="00046E15">
            <w:r w:rsidRPr="00FE0180">
              <w:t>Aus</w:t>
            </w:r>
          </w:p>
        </w:tc>
        <w:tc>
          <w:tcPr>
            <w:tcW w:w="606" w:type="pct"/>
            <w:tcBorders>
              <w:top w:val="single" w:sz="4" w:space="0" w:color="auto"/>
              <w:left w:val="single" w:sz="4" w:space="0" w:color="auto"/>
              <w:bottom w:val="single" w:sz="4" w:space="0" w:color="auto"/>
              <w:right w:val="single" w:sz="4" w:space="0" w:color="auto"/>
            </w:tcBorders>
          </w:tcPr>
          <w:p w14:paraId="51612F98" w14:textId="77777777" w:rsidR="00F00CFD" w:rsidRPr="00FE0180" w:rsidRDefault="00F00CFD" w:rsidP="00046E15">
            <w:r>
              <w:t>Semi-structured interviews (n=21)</w:t>
            </w:r>
          </w:p>
        </w:tc>
        <w:tc>
          <w:tcPr>
            <w:tcW w:w="619" w:type="pct"/>
            <w:tcBorders>
              <w:top w:val="single" w:sz="4" w:space="0" w:color="auto"/>
              <w:left w:val="single" w:sz="4" w:space="0" w:color="auto"/>
              <w:bottom w:val="single" w:sz="4" w:space="0" w:color="auto"/>
              <w:right w:val="single" w:sz="4" w:space="0" w:color="auto"/>
            </w:tcBorders>
            <w:hideMark/>
          </w:tcPr>
          <w:p w14:paraId="186BC9F1" w14:textId="77777777" w:rsidR="00F00CFD" w:rsidRPr="00FE0180" w:rsidRDefault="00F00CFD" w:rsidP="00046E15">
            <w:r w:rsidRPr="00FE0180">
              <w:t>had high-care needs (i.e., severe or profound core activity limitations); had an acquired disability due to injury or illness</w:t>
            </w:r>
          </w:p>
        </w:tc>
        <w:tc>
          <w:tcPr>
            <w:tcW w:w="1011" w:type="pct"/>
            <w:tcBorders>
              <w:top w:val="single" w:sz="4" w:space="0" w:color="auto"/>
              <w:left w:val="single" w:sz="4" w:space="0" w:color="auto"/>
              <w:bottom w:val="single" w:sz="4" w:space="0" w:color="auto"/>
              <w:right w:val="single" w:sz="4" w:space="0" w:color="auto"/>
            </w:tcBorders>
            <w:hideMark/>
          </w:tcPr>
          <w:p w14:paraId="7A2ECF5B"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70D5C7B9" w14:textId="77777777" w:rsidR="00F00CFD" w:rsidRPr="00FE0180" w:rsidRDefault="00F00CFD" w:rsidP="00046E15">
            <w:r w:rsidRPr="00FE0180">
              <w:t xml:space="preserve">Transition to community living </w:t>
            </w:r>
          </w:p>
        </w:tc>
      </w:tr>
      <w:tr w:rsidR="00F00CFD" w:rsidRPr="00650916" w14:paraId="42D10466" w14:textId="77777777" w:rsidTr="006E2C88">
        <w:tc>
          <w:tcPr>
            <w:tcW w:w="234" w:type="pct"/>
          </w:tcPr>
          <w:p w14:paraId="668CDFA2" w14:textId="3B32A249"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9</w:t>
            </w:r>
            <w:r w:rsidR="00A275F6">
              <w:rPr>
                <w:rFonts w:ascii="Calibri" w:eastAsia="Times New Roman" w:hAnsi="Calibri" w:cs="Calibri"/>
                <w:color w:val="000000"/>
                <w:lang w:eastAsia="en-AU"/>
              </w:rPr>
              <w:t>6</w:t>
            </w:r>
          </w:p>
        </w:tc>
        <w:tc>
          <w:tcPr>
            <w:tcW w:w="573" w:type="pct"/>
            <w:hideMark/>
          </w:tcPr>
          <w:p w14:paraId="456C4555"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Meehan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2011</w:t>
            </w:r>
            <w:r>
              <w:rPr>
                <w:rFonts w:ascii="Calibri" w:eastAsia="Times New Roman" w:hAnsi="Calibri" w:cs="Calibri"/>
                <w:color w:val="000000"/>
                <w:lang w:eastAsia="en-AU"/>
              </w:rPr>
              <w:t>)</w:t>
            </w:r>
          </w:p>
        </w:tc>
        <w:tc>
          <w:tcPr>
            <w:tcW w:w="707" w:type="pct"/>
            <w:hideMark/>
          </w:tcPr>
          <w:p w14:paraId="65ACB4E7"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The present study was designed to investigate the clinical and social outcomes for a group of individuals </w:t>
            </w:r>
            <w:r w:rsidRPr="00650916">
              <w:rPr>
                <w:rFonts w:ascii="Calibri" w:eastAsia="Times New Roman" w:hAnsi="Calibri" w:cs="Calibri"/>
                <w:color w:val="000000"/>
                <w:lang w:eastAsia="en-AU"/>
              </w:rPr>
              <w:lastRenderedPageBreak/>
              <w:t>(n</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 xml:space="preserve">181) discharged into supported accommodation from three long-stay facilities in Queensland. </w:t>
            </w:r>
          </w:p>
        </w:tc>
        <w:tc>
          <w:tcPr>
            <w:tcW w:w="404" w:type="pct"/>
            <w:hideMark/>
          </w:tcPr>
          <w:p w14:paraId="2DA4F8C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Australia</w:t>
            </w:r>
          </w:p>
        </w:tc>
        <w:tc>
          <w:tcPr>
            <w:tcW w:w="606" w:type="pct"/>
            <w:hideMark/>
          </w:tcPr>
          <w:p w14:paraId="2CE7E11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Pre/post(6 month) and follow-up (18, 36, 84 months)</w:t>
            </w:r>
          </w:p>
        </w:tc>
        <w:tc>
          <w:tcPr>
            <w:tcW w:w="619" w:type="pct"/>
            <w:hideMark/>
          </w:tcPr>
          <w:p w14:paraId="56B365E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Psychiatric illness</w:t>
            </w:r>
          </w:p>
        </w:tc>
        <w:tc>
          <w:tcPr>
            <w:tcW w:w="1011" w:type="pct"/>
            <w:hideMark/>
          </w:tcPr>
          <w:p w14:paraId="3B5854D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Supported housing</w:t>
            </w:r>
          </w:p>
        </w:tc>
        <w:tc>
          <w:tcPr>
            <w:tcW w:w="846" w:type="pct"/>
            <w:hideMark/>
          </w:tcPr>
          <w:p w14:paraId="46BC59E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w:t>
            </w:r>
          </w:p>
        </w:tc>
      </w:tr>
      <w:tr w:rsidR="00F00CFD" w:rsidRPr="00FE0180" w14:paraId="68BB9E99"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67A299F7" w14:textId="54945AA4" w:rsidR="00F00CFD" w:rsidRPr="00FE0180" w:rsidRDefault="00F00CFD" w:rsidP="00046E15">
            <w:r>
              <w:t>9</w:t>
            </w:r>
            <w:r w:rsidR="00A275F6">
              <w:t>7</w:t>
            </w:r>
          </w:p>
        </w:tc>
        <w:tc>
          <w:tcPr>
            <w:tcW w:w="573" w:type="pct"/>
            <w:tcBorders>
              <w:top w:val="single" w:sz="4" w:space="0" w:color="auto"/>
              <w:left w:val="single" w:sz="4" w:space="0" w:color="auto"/>
              <w:bottom w:val="single" w:sz="4" w:space="0" w:color="auto"/>
              <w:right w:val="single" w:sz="4" w:space="0" w:color="auto"/>
            </w:tcBorders>
            <w:hideMark/>
          </w:tcPr>
          <w:p w14:paraId="63F97B8F" w14:textId="1C005A49" w:rsidR="00F00CFD" w:rsidRPr="00FE0180" w:rsidRDefault="00F00CFD" w:rsidP="00046E15">
            <w:r w:rsidRPr="00FE0180">
              <w:t xml:space="preserve">Mendes, </w:t>
            </w:r>
            <w:r w:rsidR="00A275F6">
              <w:t xml:space="preserve">&amp; </w:t>
            </w:r>
            <w:r w:rsidRPr="00FE0180">
              <w:t xml:space="preserve">Snow </w:t>
            </w:r>
            <w:r>
              <w:t>(2013)</w:t>
            </w:r>
          </w:p>
        </w:tc>
        <w:tc>
          <w:tcPr>
            <w:tcW w:w="707" w:type="pct"/>
            <w:tcBorders>
              <w:top w:val="single" w:sz="4" w:space="0" w:color="auto"/>
              <w:left w:val="single" w:sz="4" w:space="0" w:color="auto"/>
              <w:bottom w:val="single" w:sz="4" w:space="0" w:color="auto"/>
              <w:right w:val="single" w:sz="4" w:space="0" w:color="auto"/>
            </w:tcBorders>
            <w:hideMark/>
          </w:tcPr>
          <w:p w14:paraId="75060D30" w14:textId="77777777" w:rsidR="00F00CFD" w:rsidRPr="00FE0180" w:rsidRDefault="00F00CFD" w:rsidP="00046E15">
            <w:r w:rsidRPr="00FE0180">
              <w:t>to examine the current experience of, and support services available, to young people with a disability transitioning from out-of-home care in the Australian State of Victoria</w:t>
            </w:r>
          </w:p>
        </w:tc>
        <w:tc>
          <w:tcPr>
            <w:tcW w:w="404" w:type="pct"/>
            <w:tcBorders>
              <w:top w:val="single" w:sz="4" w:space="0" w:color="auto"/>
              <w:left w:val="single" w:sz="4" w:space="0" w:color="auto"/>
              <w:bottom w:val="single" w:sz="4" w:space="0" w:color="auto"/>
              <w:right w:val="single" w:sz="4" w:space="0" w:color="auto"/>
            </w:tcBorders>
          </w:tcPr>
          <w:p w14:paraId="0434EE64" w14:textId="77777777" w:rsidR="00F00CFD" w:rsidRDefault="00F00CFD" w:rsidP="00046E15">
            <w:r w:rsidRPr="00FE0180">
              <w:t>Aus</w:t>
            </w:r>
          </w:p>
        </w:tc>
        <w:tc>
          <w:tcPr>
            <w:tcW w:w="606" w:type="pct"/>
            <w:tcBorders>
              <w:top w:val="single" w:sz="4" w:space="0" w:color="auto"/>
              <w:left w:val="single" w:sz="4" w:space="0" w:color="auto"/>
              <w:bottom w:val="single" w:sz="4" w:space="0" w:color="auto"/>
              <w:right w:val="single" w:sz="4" w:space="0" w:color="auto"/>
            </w:tcBorders>
          </w:tcPr>
          <w:p w14:paraId="7DAA20DB" w14:textId="77777777" w:rsidR="00F00CFD" w:rsidRPr="00FE0180" w:rsidRDefault="00F00CFD" w:rsidP="00046E15">
            <w:r>
              <w:t>Semi-structured interviews (n=19)</w:t>
            </w:r>
          </w:p>
        </w:tc>
        <w:tc>
          <w:tcPr>
            <w:tcW w:w="619" w:type="pct"/>
            <w:tcBorders>
              <w:top w:val="single" w:sz="4" w:space="0" w:color="auto"/>
              <w:left w:val="single" w:sz="4" w:space="0" w:color="auto"/>
              <w:bottom w:val="single" w:sz="4" w:space="0" w:color="auto"/>
              <w:right w:val="single" w:sz="4" w:space="0" w:color="auto"/>
            </w:tcBorders>
            <w:hideMark/>
          </w:tcPr>
          <w:p w14:paraId="02BB6A0C" w14:textId="77777777" w:rsidR="00F00CFD" w:rsidRPr="00FE0180" w:rsidRDefault="00F00CFD" w:rsidP="00046E15">
            <w:r w:rsidRPr="00FE0180">
              <w:t xml:space="preserve">Not specified </w:t>
            </w:r>
          </w:p>
        </w:tc>
        <w:tc>
          <w:tcPr>
            <w:tcW w:w="1011" w:type="pct"/>
            <w:tcBorders>
              <w:top w:val="single" w:sz="4" w:space="0" w:color="auto"/>
              <w:left w:val="single" w:sz="4" w:space="0" w:color="auto"/>
              <w:bottom w:val="single" w:sz="4" w:space="0" w:color="auto"/>
              <w:right w:val="single" w:sz="4" w:space="0" w:color="auto"/>
            </w:tcBorders>
            <w:hideMark/>
          </w:tcPr>
          <w:p w14:paraId="6AE004D4"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2F263B3F" w14:textId="77777777" w:rsidR="00F00CFD" w:rsidRPr="00FE0180" w:rsidRDefault="00F00CFD" w:rsidP="00046E15">
            <w:r w:rsidRPr="00FE0180">
              <w:t xml:space="preserve">Staff support </w:t>
            </w:r>
          </w:p>
        </w:tc>
      </w:tr>
      <w:tr w:rsidR="00F00CFD" w:rsidRPr="00F66260" w14:paraId="51418FFD" w14:textId="77777777" w:rsidTr="006E2C88">
        <w:tc>
          <w:tcPr>
            <w:tcW w:w="234" w:type="pct"/>
          </w:tcPr>
          <w:p w14:paraId="00C05510" w14:textId="0A6A4398" w:rsidR="00F00CFD" w:rsidRPr="00F66260" w:rsidRDefault="00F00CFD" w:rsidP="00046E15">
            <w:r>
              <w:t>9</w:t>
            </w:r>
            <w:r w:rsidR="00A275F6">
              <w:t>8</w:t>
            </w:r>
          </w:p>
        </w:tc>
        <w:tc>
          <w:tcPr>
            <w:tcW w:w="573" w:type="pct"/>
            <w:hideMark/>
          </w:tcPr>
          <w:p w14:paraId="6D8BF57E" w14:textId="77777777" w:rsidR="00F00CFD" w:rsidRPr="00F66260" w:rsidRDefault="00F00CFD" w:rsidP="00046E15">
            <w:r w:rsidRPr="00F66260">
              <w:t xml:space="preserve">Mental Health Weekly </w:t>
            </w:r>
            <w:r>
              <w:t>(</w:t>
            </w:r>
            <w:r w:rsidRPr="00F66260">
              <w:t>2011</w:t>
            </w:r>
            <w:r>
              <w:t>)</w:t>
            </w:r>
          </w:p>
        </w:tc>
        <w:tc>
          <w:tcPr>
            <w:tcW w:w="707" w:type="pct"/>
          </w:tcPr>
          <w:p w14:paraId="2D55C2D6" w14:textId="77777777" w:rsidR="00F00CFD" w:rsidRPr="00F66260" w:rsidRDefault="00F00CFD" w:rsidP="00046E15">
            <w:r>
              <w:t xml:space="preserve">Describing </w:t>
            </w:r>
            <w:r w:rsidRPr="00257EE2">
              <w:t>recovery programme for SMI population.</w:t>
            </w:r>
          </w:p>
        </w:tc>
        <w:tc>
          <w:tcPr>
            <w:tcW w:w="404" w:type="pct"/>
            <w:noWrap/>
            <w:hideMark/>
          </w:tcPr>
          <w:p w14:paraId="4E204583" w14:textId="77777777" w:rsidR="00F00CFD" w:rsidRPr="00F66260" w:rsidRDefault="00F00CFD" w:rsidP="00046E15">
            <w:r w:rsidRPr="00F66260">
              <w:t xml:space="preserve">USA (southeast Georgia) </w:t>
            </w:r>
          </w:p>
        </w:tc>
        <w:tc>
          <w:tcPr>
            <w:tcW w:w="606" w:type="pct"/>
            <w:noWrap/>
          </w:tcPr>
          <w:p w14:paraId="47178E27" w14:textId="77777777" w:rsidR="00F00CFD" w:rsidRPr="00F66260" w:rsidRDefault="00F00CFD" w:rsidP="00046E15">
            <w:r>
              <w:t>Discussion piece. Grey literature.</w:t>
            </w:r>
          </w:p>
        </w:tc>
        <w:tc>
          <w:tcPr>
            <w:tcW w:w="619" w:type="pct"/>
            <w:noWrap/>
            <w:hideMark/>
          </w:tcPr>
          <w:p w14:paraId="6DB546A8" w14:textId="77777777" w:rsidR="00F00CFD" w:rsidRPr="00F66260" w:rsidRDefault="00F00CFD" w:rsidP="00046E15">
            <w:r w:rsidRPr="00F66260">
              <w:t>Patients at Georgia Regional Hospital (Savannah) (30 participants at time of publication)</w:t>
            </w:r>
          </w:p>
        </w:tc>
        <w:tc>
          <w:tcPr>
            <w:tcW w:w="1011" w:type="pct"/>
            <w:hideMark/>
          </w:tcPr>
          <w:p w14:paraId="5E6488BA" w14:textId="77777777" w:rsidR="00F00CFD" w:rsidRPr="00F66260" w:rsidRDefault="00F00CFD" w:rsidP="00046E15">
            <w:r w:rsidRPr="00F66260">
              <w:t>Community from hospital; Open Doors to Recovery Programme involves technology to navigate person's community-based care; a community navigation team who assist with housing and look at "continuum of housing from shelters, to renting to owning a</w:t>
            </w:r>
            <w:r>
              <w:t xml:space="preserve"> </w:t>
            </w:r>
            <w:r w:rsidRPr="00F66260">
              <w:t>home"</w:t>
            </w:r>
          </w:p>
        </w:tc>
        <w:tc>
          <w:tcPr>
            <w:tcW w:w="846" w:type="pct"/>
            <w:noWrap/>
            <w:hideMark/>
          </w:tcPr>
          <w:p w14:paraId="51DE1E69" w14:textId="77777777" w:rsidR="00F00CFD" w:rsidRPr="00F66260" w:rsidRDefault="00F00CFD" w:rsidP="00046E15">
            <w:r w:rsidRPr="00F66260">
              <w:t>To community (from hospital)</w:t>
            </w:r>
          </w:p>
        </w:tc>
      </w:tr>
      <w:tr w:rsidR="00F00CFD" w:rsidRPr="00F66260" w14:paraId="46746E74" w14:textId="77777777" w:rsidTr="006E2C88">
        <w:tc>
          <w:tcPr>
            <w:tcW w:w="234" w:type="pct"/>
          </w:tcPr>
          <w:p w14:paraId="5B3DC1B0" w14:textId="02081069" w:rsidR="00F00CFD" w:rsidRPr="00F66260" w:rsidRDefault="00A275F6" w:rsidP="00961495">
            <w:pPr>
              <w:keepNext/>
            </w:pPr>
            <w:r>
              <w:lastRenderedPageBreak/>
              <w:t>99</w:t>
            </w:r>
          </w:p>
        </w:tc>
        <w:tc>
          <w:tcPr>
            <w:tcW w:w="573" w:type="pct"/>
            <w:hideMark/>
          </w:tcPr>
          <w:p w14:paraId="6B3C628A" w14:textId="77777777" w:rsidR="00F00CFD" w:rsidRPr="00F66260" w:rsidRDefault="00F00CFD" w:rsidP="00961495">
            <w:pPr>
              <w:keepNext/>
            </w:pPr>
            <w:r w:rsidRPr="00F66260">
              <w:t>Miettinen</w:t>
            </w:r>
            <w:r>
              <w:t xml:space="preserve"> (2012)</w:t>
            </w:r>
          </w:p>
        </w:tc>
        <w:tc>
          <w:tcPr>
            <w:tcW w:w="707" w:type="pct"/>
          </w:tcPr>
          <w:p w14:paraId="069D2DAA" w14:textId="77777777" w:rsidR="00F00CFD" w:rsidRPr="00F66260" w:rsidRDefault="00F00CFD" w:rsidP="00961495">
            <w:pPr>
              <w:keepNext/>
            </w:pPr>
            <w:r w:rsidRPr="00F66260">
              <w:t>Family Care of Adults With Intellectual Disabilities</w:t>
            </w:r>
            <w:r>
              <w:t>, an a</w:t>
            </w:r>
            <w:r w:rsidRPr="00F66260">
              <w:t>nalysis of Finnish Policies and Practices</w:t>
            </w:r>
          </w:p>
        </w:tc>
        <w:tc>
          <w:tcPr>
            <w:tcW w:w="404" w:type="pct"/>
            <w:noWrap/>
            <w:hideMark/>
          </w:tcPr>
          <w:p w14:paraId="56ED8B07" w14:textId="77777777" w:rsidR="00F00CFD" w:rsidRPr="00F66260" w:rsidRDefault="00F00CFD" w:rsidP="00961495">
            <w:pPr>
              <w:keepNext/>
            </w:pPr>
            <w:r w:rsidRPr="00F66260">
              <w:t xml:space="preserve">Finland </w:t>
            </w:r>
          </w:p>
        </w:tc>
        <w:tc>
          <w:tcPr>
            <w:tcW w:w="606" w:type="pct"/>
            <w:noWrap/>
          </w:tcPr>
          <w:p w14:paraId="71FB7530" w14:textId="77777777" w:rsidR="00F00CFD" w:rsidRPr="00F66260" w:rsidRDefault="00F00CFD" w:rsidP="00961495">
            <w:pPr>
              <w:keepNext/>
            </w:pPr>
            <w:r>
              <w:t>Mixed methods. Grey literature.</w:t>
            </w:r>
          </w:p>
        </w:tc>
        <w:tc>
          <w:tcPr>
            <w:tcW w:w="619" w:type="pct"/>
            <w:noWrap/>
            <w:hideMark/>
          </w:tcPr>
          <w:p w14:paraId="56CBB6FC" w14:textId="77777777" w:rsidR="00F00CFD" w:rsidRPr="00F66260" w:rsidRDefault="00F00CFD" w:rsidP="00961495">
            <w:pPr>
              <w:keepNext/>
            </w:pPr>
            <w:r w:rsidRPr="00F66260">
              <w:t>Intellectual disability (n=14 families (either 1 or 2 parents participated but person with ID did not)</w:t>
            </w:r>
          </w:p>
        </w:tc>
        <w:tc>
          <w:tcPr>
            <w:tcW w:w="1011" w:type="pct"/>
            <w:hideMark/>
          </w:tcPr>
          <w:p w14:paraId="6037C7D3" w14:textId="77777777" w:rsidR="00F00CFD" w:rsidRPr="00F66260" w:rsidRDefault="00F00CFD" w:rsidP="00961495">
            <w:pPr>
              <w:keepNext/>
            </w:pPr>
            <w:r w:rsidRPr="00F66260">
              <w:t>Deinstitutionalization and community living; and independent living moving out of family home</w:t>
            </w:r>
          </w:p>
        </w:tc>
        <w:tc>
          <w:tcPr>
            <w:tcW w:w="846" w:type="pct"/>
            <w:noWrap/>
            <w:hideMark/>
          </w:tcPr>
          <w:p w14:paraId="56F9C12B" w14:textId="77777777" w:rsidR="00F00CFD" w:rsidRPr="00F66260" w:rsidRDefault="00F00CFD" w:rsidP="00961495">
            <w:pPr>
              <w:keepNext/>
            </w:pPr>
            <w:r w:rsidRPr="00F66260">
              <w:t>Deinstitutionalisation, community living; transition from family home</w:t>
            </w:r>
          </w:p>
        </w:tc>
      </w:tr>
      <w:tr w:rsidR="00F00CFD" w:rsidRPr="00650916" w14:paraId="7E520C7A" w14:textId="77777777" w:rsidTr="006E2C88">
        <w:tc>
          <w:tcPr>
            <w:tcW w:w="234" w:type="pct"/>
            <w:shd w:val="clear" w:color="auto" w:fill="auto"/>
          </w:tcPr>
          <w:p w14:paraId="7BBE3E31" w14:textId="68D90520"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10</w:t>
            </w:r>
            <w:r w:rsidR="00696B8B">
              <w:rPr>
                <w:rFonts w:ascii="Calibri" w:eastAsia="Times New Roman" w:hAnsi="Calibri" w:cs="Calibri"/>
                <w:color w:val="000000"/>
                <w:lang w:eastAsia="en-AU"/>
              </w:rPr>
              <w:t>0</w:t>
            </w:r>
          </w:p>
        </w:tc>
        <w:tc>
          <w:tcPr>
            <w:tcW w:w="573" w:type="pct"/>
            <w:shd w:val="clear" w:color="auto" w:fill="auto"/>
            <w:hideMark/>
          </w:tcPr>
          <w:p w14:paraId="4C64C6C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Miglioretti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2016</w:t>
            </w:r>
            <w:r>
              <w:rPr>
                <w:rFonts w:ascii="Calibri" w:eastAsia="Times New Roman" w:hAnsi="Calibri" w:cs="Calibri"/>
                <w:color w:val="000000"/>
                <w:lang w:eastAsia="en-AU"/>
              </w:rPr>
              <w:t>)</w:t>
            </w:r>
          </w:p>
        </w:tc>
        <w:tc>
          <w:tcPr>
            <w:tcW w:w="707" w:type="pct"/>
            <w:shd w:val="clear" w:color="auto" w:fill="auto"/>
            <w:hideMark/>
          </w:tcPr>
          <w:p w14:paraId="512A8633"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This study had two aims: (a) identify the types of residential facilities for psychiatric patients and (b) determine whether there are differences between patients who live in different types of these</w:t>
            </w:r>
          </w:p>
        </w:tc>
        <w:tc>
          <w:tcPr>
            <w:tcW w:w="404" w:type="pct"/>
            <w:shd w:val="clear" w:color="auto" w:fill="auto"/>
            <w:hideMark/>
          </w:tcPr>
          <w:p w14:paraId="676B3E6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Italy</w:t>
            </w:r>
          </w:p>
        </w:tc>
        <w:tc>
          <w:tcPr>
            <w:tcW w:w="606" w:type="pct"/>
            <w:shd w:val="clear" w:color="auto" w:fill="auto"/>
            <w:hideMark/>
          </w:tcPr>
          <w:p w14:paraId="1846A4A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Cross sectional comparison of different type of non-hospital residential facilities </w:t>
            </w:r>
          </w:p>
        </w:tc>
        <w:tc>
          <w:tcPr>
            <w:tcW w:w="619" w:type="pct"/>
            <w:shd w:val="clear" w:color="auto" w:fill="auto"/>
            <w:hideMark/>
          </w:tcPr>
          <w:p w14:paraId="69277853"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Psychiatric diagnosis </w:t>
            </w:r>
          </w:p>
        </w:tc>
        <w:tc>
          <w:tcPr>
            <w:tcW w:w="1011" w:type="pct"/>
            <w:shd w:val="clear" w:color="auto" w:fill="auto"/>
            <w:hideMark/>
          </w:tcPr>
          <w:p w14:paraId="2A400A4E"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(a) High Intensity therapeutic</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Community facilities(b) Medium Intensity therapeutic</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Community facilities</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(c)</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housing community (d)</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protected homes or apartment groups</w:t>
            </w:r>
          </w:p>
        </w:tc>
        <w:tc>
          <w:tcPr>
            <w:tcW w:w="846" w:type="pct"/>
            <w:shd w:val="clear" w:color="auto" w:fill="auto"/>
            <w:hideMark/>
          </w:tcPr>
          <w:p w14:paraId="75D8195D" w14:textId="58F924FD" w:rsidR="00F00CFD" w:rsidRPr="00650916" w:rsidRDefault="006C14DA" w:rsidP="00046E15">
            <w:pPr>
              <w:rPr>
                <w:rFonts w:ascii="Calibri" w:eastAsia="Times New Roman" w:hAnsi="Calibri" w:cs="Calibri"/>
                <w:color w:val="000000"/>
                <w:lang w:eastAsia="en-AU"/>
              </w:rPr>
            </w:pPr>
            <w:r>
              <w:rPr>
                <w:rFonts w:ascii="Calibri" w:eastAsia="Times New Roman" w:hAnsi="Calibri" w:cs="Calibri"/>
                <w:color w:val="000000"/>
                <w:lang w:eastAsia="en-AU"/>
              </w:rPr>
              <w:t>Not applicable. Cross sectional study.</w:t>
            </w:r>
          </w:p>
        </w:tc>
      </w:tr>
      <w:tr w:rsidR="00F00CFD" w:rsidRPr="00FE0180" w14:paraId="2C4ED85D"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2CB5A2BA" w14:textId="6E68644B" w:rsidR="00F00CFD" w:rsidRPr="00FE0180" w:rsidRDefault="00F00CFD" w:rsidP="00046E15">
            <w:r>
              <w:t>10</w:t>
            </w:r>
            <w:r w:rsidR="00696B8B">
              <w:t>1</w:t>
            </w:r>
          </w:p>
        </w:tc>
        <w:tc>
          <w:tcPr>
            <w:tcW w:w="573" w:type="pct"/>
            <w:tcBorders>
              <w:top w:val="single" w:sz="4" w:space="0" w:color="auto"/>
              <w:left w:val="single" w:sz="4" w:space="0" w:color="auto"/>
              <w:bottom w:val="single" w:sz="4" w:space="0" w:color="auto"/>
              <w:right w:val="single" w:sz="4" w:space="0" w:color="auto"/>
            </w:tcBorders>
            <w:hideMark/>
          </w:tcPr>
          <w:p w14:paraId="4F307D88" w14:textId="7F39FB3E" w:rsidR="00F00CFD" w:rsidRPr="00FE0180" w:rsidRDefault="00F00CFD" w:rsidP="00046E15">
            <w:r w:rsidRPr="00FE0180">
              <w:t xml:space="preserve">Muenchberger, </w:t>
            </w:r>
            <w:r w:rsidR="00696B8B">
              <w:t>et al</w:t>
            </w:r>
            <w:r>
              <w:t xml:space="preserve"> (2012)</w:t>
            </w:r>
          </w:p>
        </w:tc>
        <w:tc>
          <w:tcPr>
            <w:tcW w:w="707" w:type="pct"/>
            <w:tcBorders>
              <w:top w:val="single" w:sz="4" w:space="0" w:color="auto"/>
              <w:left w:val="single" w:sz="4" w:space="0" w:color="auto"/>
              <w:bottom w:val="single" w:sz="4" w:space="0" w:color="auto"/>
              <w:right w:val="single" w:sz="4" w:space="0" w:color="auto"/>
            </w:tcBorders>
            <w:hideMark/>
          </w:tcPr>
          <w:p w14:paraId="124C9A95" w14:textId="77777777" w:rsidR="00F00CFD" w:rsidRPr="00961495" w:rsidRDefault="00F00CFD" w:rsidP="00046E15">
            <w:pPr>
              <w:rPr>
                <w:sz w:val="21"/>
                <w:szCs w:val="21"/>
              </w:rPr>
            </w:pPr>
            <w:r w:rsidRPr="00961495">
              <w:rPr>
                <w:sz w:val="21"/>
                <w:szCs w:val="21"/>
              </w:rPr>
              <w:t>The aim of this research was to examine first-person accounts of the significance of place for young adults (aged between 18 and 65 years of age) with complex disabilities moving into purpose-built residential care accommodation</w:t>
            </w:r>
          </w:p>
        </w:tc>
        <w:tc>
          <w:tcPr>
            <w:tcW w:w="404" w:type="pct"/>
            <w:tcBorders>
              <w:top w:val="single" w:sz="4" w:space="0" w:color="auto"/>
              <w:left w:val="single" w:sz="4" w:space="0" w:color="auto"/>
              <w:bottom w:val="single" w:sz="4" w:space="0" w:color="auto"/>
              <w:right w:val="single" w:sz="4" w:space="0" w:color="auto"/>
            </w:tcBorders>
          </w:tcPr>
          <w:p w14:paraId="1FD3073E" w14:textId="77777777" w:rsidR="00F00CFD" w:rsidRDefault="00F00CFD" w:rsidP="00046E15">
            <w:r w:rsidRPr="00FE0180">
              <w:t>Aus</w:t>
            </w:r>
          </w:p>
        </w:tc>
        <w:tc>
          <w:tcPr>
            <w:tcW w:w="606" w:type="pct"/>
            <w:tcBorders>
              <w:top w:val="single" w:sz="4" w:space="0" w:color="auto"/>
              <w:left w:val="single" w:sz="4" w:space="0" w:color="auto"/>
              <w:bottom w:val="single" w:sz="4" w:space="0" w:color="auto"/>
              <w:right w:val="single" w:sz="4" w:space="0" w:color="auto"/>
            </w:tcBorders>
          </w:tcPr>
          <w:p w14:paraId="7DC9A971" w14:textId="77777777" w:rsidR="00F00CFD" w:rsidRPr="00FE0180" w:rsidRDefault="00F00CFD" w:rsidP="00046E15">
            <w:r>
              <w:t>Semi-structured interviews (n=31)</w:t>
            </w:r>
          </w:p>
        </w:tc>
        <w:tc>
          <w:tcPr>
            <w:tcW w:w="619" w:type="pct"/>
            <w:tcBorders>
              <w:top w:val="single" w:sz="4" w:space="0" w:color="auto"/>
              <w:left w:val="single" w:sz="4" w:space="0" w:color="auto"/>
              <w:bottom w:val="single" w:sz="4" w:space="0" w:color="auto"/>
              <w:right w:val="single" w:sz="4" w:space="0" w:color="auto"/>
            </w:tcBorders>
            <w:hideMark/>
          </w:tcPr>
          <w:p w14:paraId="3C763EAD" w14:textId="77777777" w:rsidR="00F00CFD" w:rsidRPr="00FE0180" w:rsidRDefault="00F00CFD" w:rsidP="00046E15">
            <w:r w:rsidRPr="00FE0180">
              <w:t>Complex needs</w:t>
            </w:r>
          </w:p>
        </w:tc>
        <w:tc>
          <w:tcPr>
            <w:tcW w:w="1011" w:type="pct"/>
            <w:tcBorders>
              <w:top w:val="single" w:sz="4" w:space="0" w:color="auto"/>
              <w:left w:val="single" w:sz="4" w:space="0" w:color="auto"/>
              <w:bottom w:val="single" w:sz="4" w:space="0" w:color="auto"/>
              <w:right w:val="single" w:sz="4" w:space="0" w:color="auto"/>
            </w:tcBorders>
            <w:hideMark/>
          </w:tcPr>
          <w:p w14:paraId="1F4F389C"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3D3B7045" w14:textId="77777777" w:rsidR="00F00CFD" w:rsidRPr="00FE0180" w:rsidRDefault="00F00CFD" w:rsidP="00046E15">
            <w:r w:rsidRPr="00FE0180">
              <w:t xml:space="preserve">Transition to community living </w:t>
            </w:r>
          </w:p>
        </w:tc>
      </w:tr>
      <w:tr w:rsidR="00F00CFD" w:rsidRPr="00F66260" w14:paraId="2E489781" w14:textId="77777777" w:rsidTr="006E2C88">
        <w:tc>
          <w:tcPr>
            <w:tcW w:w="234" w:type="pct"/>
          </w:tcPr>
          <w:p w14:paraId="67CF44B2" w14:textId="35DC8B4E" w:rsidR="00F00CFD" w:rsidRPr="00F66260" w:rsidRDefault="00F00CFD" w:rsidP="00046E15">
            <w:r>
              <w:lastRenderedPageBreak/>
              <w:t>10</w:t>
            </w:r>
            <w:r w:rsidR="00696B8B">
              <w:t>2</w:t>
            </w:r>
          </w:p>
        </w:tc>
        <w:tc>
          <w:tcPr>
            <w:tcW w:w="573" w:type="pct"/>
            <w:hideMark/>
          </w:tcPr>
          <w:p w14:paraId="158B437F" w14:textId="77777777" w:rsidR="00F00CFD" w:rsidRPr="00F66260" w:rsidRDefault="00F00CFD" w:rsidP="00046E15">
            <w:r w:rsidRPr="00F66260">
              <w:t>Murray</w:t>
            </w:r>
            <w:r>
              <w:t xml:space="preserve"> (2012)</w:t>
            </w:r>
          </w:p>
        </w:tc>
        <w:tc>
          <w:tcPr>
            <w:tcW w:w="707" w:type="pct"/>
          </w:tcPr>
          <w:p w14:paraId="1AA92905" w14:textId="77777777" w:rsidR="00F00CFD" w:rsidRPr="00F66260" w:rsidRDefault="00F00CFD" w:rsidP="00046E15">
            <w:r>
              <w:t xml:space="preserve">Reflection on risk of re-institutionalisation for people with disabilities under 65 years of age </w:t>
            </w:r>
            <w:r w:rsidRPr="00F66260">
              <w:t xml:space="preserve">Society: </w:t>
            </w:r>
          </w:p>
        </w:tc>
        <w:tc>
          <w:tcPr>
            <w:tcW w:w="404" w:type="pct"/>
            <w:noWrap/>
            <w:hideMark/>
          </w:tcPr>
          <w:p w14:paraId="66975C09" w14:textId="77777777" w:rsidR="00F00CFD" w:rsidRPr="00F66260" w:rsidRDefault="00F00CFD" w:rsidP="00046E15">
            <w:r w:rsidRPr="00F66260">
              <w:t>UK (Worcestershire)</w:t>
            </w:r>
          </w:p>
        </w:tc>
        <w:tc>
          <w:tcPr>
            <w:tcW w:w="606" w:type="pct"/>
            <w:noWrap/>
          </w:tcPr>
          <w:p w14:paraId="57B2C073" w14:textId="77777777" w:rsidR="00F00CFD" w:rsidRPr="00F66260" w:rsidRDefault="00F00CFD" w:rsidP="00046E15">
            <w:r>
              <w:t>Newspaper article</w:t>
            </w:r>
          </w:p>
        </w:tc>
        <w:tc>
          <w:tcPr>
            <w:tcW w:w="619" w:type="pct"/>
            <w:noWrap/>
            <w:hideMark/>
          </w:tcPr>
          <w:p w14:paraId="7F8DED4A" w14:textId="77777777" w:rsidR="00F00CFD" w:rsidRPr="00F66260" w:rsidRDefault="00F00CFD" w:rsidP="00046E15">
            <w:r w:rsidRPr="00F66260">
              <w:t>People with disability</w:t>
            </w:r>
          </w:p>
        </w:tc>
        <w:tc>
          <w:tcPr>
            <w:tcW w:w="1011" w:type="pct"/>
            <w:hideMark/>
          </w:tcPr>
          <w:p w14:paraId="02D53735" w14:textId="77777777" w:rsidR="00F00CFD" w:rsidRPr="00F66260" w:rsidRDefault="00F00CFD" w:rsidP="00046E15">
            <w:r w:rsidRPr="00F66260">
              <w:t xml:space="preserve">Independent living packages to maintain home in community and prevent moving into institution </w:t>
            </w:r>
          </w:p>
        </w:tc>
        <w:tc>
          <w:tcPr>
            <w:tcW w:w="846" w:type="pct"/>
            <w:noWrap/>
            <w:hideMark/>
          </w:tcPr>
          <w:p w14:paraId="48B3A187" w14:textId="77777777" w:rsidR="00F00CFD" w:rsidRPr="00F66260" w:rsidRDefault="00F00CFD" w:rsidP="00046E15">
            <w:r w:rsidRPr="00F66260">
              <w:t>Independent</w:t>
            </w:r>
          </w:p>
        </w:tc>
      </w:tr>
      <w:tr w:rsidR="00F00CFD" w:rsidRPr="00650916" w14:paraId="1DD1F2DC" w14:textId="77777777" w:rsidTr="00AE0078">
        <w:tc>
          <w:tcPr>
            <w:tcW w:w="234" w:type="pct"/>
          </w:tcPr>
          <w:p w14:paraId="31E90A14" w14:textId="6AD7DD00"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10</w:t>
            </w:r>
            <w:r w:rsidR="00696B8B">
              <w:rPr>
                <w:rFonts w:ascii="Calibri" w:eastAsia="Times New Roman" w:hAnsi="Calibri" w:cs="Calibri"/>
                <w:color w:val="000000"/>
                <w:lang w:eastAsia="en-AU"/>
              </w:rPr>
              <w:t>3</w:t>
            </w:r>
          </w:p>
        </w:tc>
        <w:tc>
          <w:tcPr>
            <w:tcW w:w="573" w:type="pct"/>
            <w:hideMark/>
          </w:tcPr>
          <w:p w14:paraId="54346F6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Newcomer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2002</w:t>
            </w:r>
            <w:r>
              <w:rPr>
                <w:rFonts w:ascii="Calibri" w:eastAsia="Times New Roman" w:hAnsi="Calibri" w:cs="Calibri"/>
                <w:color w:val="000000"/>
                <w:lang w:eastAsia="en-AU"/>
              </w:rPr>
              <w:t>)</w:t>
            </w:r>
          </w:p>
        </w:tc>
        <w:tc>
          <w:tcPr>
            <w:tcW w:w="707" w:type="pct"/>
            <w:hideMark/>
          </w:tcPr>
          <w:p w14:paraId="7AA320A7"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Examination of the extent to which the ability to perform activities of daily living (ADL) and instrumental activities of daily living (IADL) was associated with transition moves in the community of people with disabilities.</w:t>
            </w:r>
          </w:p>
        </w:tc>
        <w:tc>
          <w:tcPr>
            <w:tcW w:w="404" w:type="pct"/>
            <w:hideMark/>
          </w:tcPr>
          <w:p w14:paraId="5F289D2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USA</w:t>
            </w:r>
          </w:p>
        </w:tc>
        <w:tc>
          <w:tcPr>
            <w:tcW w:w="606" w:type="pct"/>
            <w:hideMark/>
          </w:tcPr>
          <w:p w14:paraId="3420DB9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Predictive modelling</w:t>
            </w:r>
          </w:p>
        </w:tc>
        <w:tc>
          <w:tcPr>
            <w:tcW w:w="619" w:type="pct"/>
            <w:hideMark/>
          </w:tcPr>
          <w:p w14:paraId="6B944F0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Multiple disabilities</w:t>
            </w:r>
          </w:p>
        </w:tc>
        <w:tc>
          <w:tcPr>
            <w:tcW w:w="1011" w:type="pct"/>
            <w:shd w:val="clear" w:color="auto" w:fill="auto"/>
            <w:hideMark/>
          </w:tcPr>
          <w:p w14:paraId="33A9657D" w14:textId="43CF5E7F" w:rsidR="00F00CFD" w:rsidRPr="00650916" w:rsidRDefault="00227E51" w:rsidP="00046E15">
            <w:pPr>
              <w:rPr>
                <w:rFonts w:ascii="Calibri" w:eastAsia="Times New Roman" w:hAnsi="Calibri" w:cs="Calibri"/>
                <w:color w:val="000000"/>
                <w:lang w:eastAsia="en-AU"/>
              </w:rPr>
            </w:pPr>
            <w:r>
              <w:rPr>
                <w:rFonts w:ascii="Calibri" w:eastAsia="Times New Roman" w:hAnsi="Calibri" w:cs="Calibri"/>
                <w:color w:val="000000"/>
                <w:lang w:eastAsia="en-AU"/>
              </w:rPr>
              <w:t xml:space="preserve">Supportive housing </w:t>
            </w:r>
          </w:p>
        </w:tc>
        <w:tc>
          <w:tcPr>
            <w:tcW w:w="846" w:type="pct"/>
            <w:hideMark/>
          </w:tcPr>
          <w:p w14:paraId="04A73612" w14:textId="6DD7BCC8" w:rsidR="00F00CFD" w:rsidRPr="00650916" w:rsidRDefault="006C14DA" w:rsidP="00046E15">
            <w:pPr>
              <w:rPr>
                <w:rFonts w:ascii="Calibri" w:eastAsia="Times New Roman" w:hAnsi="Calibri" w:cs="Calibri"/>
                <w:color w:val="000000"/>
                <w:lang w:eastAsia="en-AU"/>
              </w:rPr>
            </w:pPr>
            <w:r>
              <w:rPr>
                <w:rFonts w:ascii="Calibri" w:eastAsia="Times New Roman" w:hAnsi="Calibri" w:cs="Calibri"/>
                <w:color w:val="000000"/>
                <w:lang w:eastAsia="en-AU"/>
              </w:rPr>
              <w:t>Not applicable</w:t>
            </w:r>
          </w:p>
        </w:tc>
      </w:tr>
      <w:tr w:rsidR="00F00CFD" w:rsidRPr="00F66260" w14:paraId="72E711F6" w14:textId="77777777" w:rsidTr="006E2C88">
        <w:tc>
          <w:tcPr>
            <w:tcW w:w="234" w:type="pct"/>
          </w:tcPr>
          <w:p w14:paraId="1A5E9CBE" w14:textId="01AD3BB2" w:rsidR="00F00CFD" w:rsidRPr="00F66260" w:rsidRDefault="00F00CFD" w:rsidP="00046E15">
            <w:r>
              <w:t>10</w:t>
            </w:r>
            <w:r w:rsidR="00696B8B">
              <w:t>4</w:t>
            </w:r>
          </w:p>
        </w:tc>
        <w:tc>
          <w:tcPr>
            <w:tcW w:w="573" w:type="pct"/>
            <w:noWrap/>
            <w:hideMark/>
          </w:tcPr>
          <w:p w14:paraId="3AAFEF0E" w14:textId="77777777" w:rsidR="00F00CFD" w:rsidRPr="00F66260" w:rsidRDefault="00F00CFD" w:rsidP="00046E15">
            <w:r w:rsidRPr="00F66260">
              <w:t>Noonan-Walsh</w:t>
            </w:r>
            <w:r>
              <w:t xml:space="preserve"> et al (2007)</w:t>
            </w:r>
          </w:p>
        </w:tc>
        <w:tc>
          <w:tcPr>
            <w:tcW w:w="707" w:type="pct"/>
            <w:noWrap/>
          </w:tcPr>
          <w:p w14:paraId="0A72B140" w14:textId="77777777" w:rsidR="00F00CFD" w:rsidRPr="00F66260" w:rsidRDefault="00F00CFD" w:rsidP="00046E15">
            <w:r w:rsidRPr="00F66260">
              <w:t>Supported Accommodation Services for People with Intellectual Disabilities: A review of models and instruments used to measure quality of life in various settings</w:t>
            </w:r>
          </w:p>
        </w:tc>
        <w:tc>
          <w:tcPr>
            <w:tcW w:w="404" w:type="pct"/>
            <w:noWrap/>
            <w:hideMark/>
          </w:tcPr>
          <w:p w14:paraId="6D068A76" w14:textId="77777777" w:rsidR="00F00CFD" w:rsidRPr="00F66260" w:rsidRDefault="00F00CFD" w:rsidP="00046E15">
            <w:r w:rsidRPr="00F66260">
              <w:t>General</w:t>
            </w:r>
          </w:p>
        </w:tc>
        <w:tc>
          <w:tcPr>
            <w:tcW w:w="606" w:type="pct"/>
            <w:noWrap/>
          </w:tcPr>
          <w:p w14:paraId="2EFAC322" w14:textId="77777777" w:rsidR="00F00CFD" w:rsidRPr="00F66260" w:rsidRDefault="00F00CFD" w:rsidP="00046E15">
            <w:r>
              <w:t xml:space="preserve">Literature review. Grey literature. </w:t>
            </w:r>
          </w:p>
        </w:tc>
        <w:tc>
          <w:tcPr>
            <w:tcW w:w="619" w:type="pct"/>
            <w:noWrap/>
            <w:hideMark/>
          </w:tcPr>
          <w:p w14:paraId="651CC957" w14:textId="77777777" w:rsidR="00F00CFD" w:rsidRPr="00F66260" w:rsidRDefault="00F00CFD" w:rsidP="00046E15">
            <w:r w:rsidRPr="00F66260">
              <w:t>People with disability</w:t>
            </w:r>
          </w:p>
        </w:tc>
        <w:tc>
          <w:tcPr>
            <w:tcW w:w="1011" w:type="pct"/>
            <w:hideMark/>
          </w:tcPr>
          <w:p w14:paraId="1C64EE37" w14:textId="77777777" w:rsidR="00F00CFD" w:rsidRPr="00F66260" w:rsidRDefault="00F00CFD" w:rsidP="00046E15">
            <w:r w:rsidRPr="00F66260">
              <w:t>Deinstitutionalisation</w:t>
            </w:r>
          </w:p>
        </w:tc>
        <w:tc>
          <w:tcPr>
            <w:tcW w:w="846" w:type="pct"/>
            <w:noWrap/>
            <w:hideMark/>
          </w:tcPr>
          <w:p w14:paraId="67138520" w14:textId="77777777" w:rsidR="00F00CFD" w:rsidRPr="00F66260" w:rsidRDefault="00F00CFD" w:rsidP="00046E15">
            <w:r w:rsidRPr="00F66260">
              <w:t>Deinstitutionalisation</w:t>
            </w:r>
          </w:p>
        </w:tc>
      </w:tr>
      <w:tr w:rsidR="00F00CFD" w:rsidRPr="00650916" w14:paraId="17AF4BC1" w14:textId="77777777" w:rsidTr="006E2C88">
        <w:tc>
          <w:tcPr>
            <w:tcW w:w="234" w:type="pct"/>
          </w:tcPr>
          <w:p w14:paraId="25A8F571" w14:textId="2C48D8AD" w:rsidR="00F00CFD" w:rsidRPr="00650916" w:rsidRDefault="00F00CFD" w:rsidP="00961495">
            <w:pPr>
              <w:keepNext/>
              <w:rPr>
                <w:rFonts w:ascii="Calibri" w:eastAsia="Times New Roman" w:hAnsi="Calibri" w:cs="Calibri"/>
                <w:color w:val="000000"/>
                <w:lang w:eastAsia="en-AU"/>
              </w:rPr>
            </w:pPr>
            <w:r>
              <w:rPr>
                <w:rFonts w:ascii="Calibri" w:eastAsia="Times New Roman" w:hAnsi="Calibri" w:cs="Calibri"/>
                <w:color w:val="000000"/>
                <w:lang w:eastAsia="en-AU"/>
              </w:rPr>
              <w:lastRenderedPageBreak/>
              <w:t>10</w:t>
            </w:r>
            <w:r w:rsidR="00696B8B">
              <w:rPr>
                <w:rFonts w:ascii="Calibri" w:eastAsia="Times New Roman" w:hAnsi="Calibri" w:cs="Calibri"/>
                <w:color w:val="000000"/>
                <w:lang w:eastAsia="en-AU"/>
              </w:rPr>
              <w:t>5</w:t>
            </w:r>
          </w:p>
        </w:tc>
        <w:tc>
          <w:tcPr>
            <w:tcW w:w="573" w:type="pct"/>
            <w:hideMark/>
          </w:tcPr>
          <w:p w14:paraId="5DDCB941" w14:textId="77777777" w:rsidR="00F00CFD" w:rsidRPr="00650916" w:rsidRDefault="00F00CFD" w:rsidP="00961495">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Nordentoft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2012</w:t>
            </w:r>
            <w:r>
              <w:rPr>
                <w:rFonts w:ascii="Calibri" w:eastAsia="Times New Roman" w:hAnsi="Calibri" w:cs="Calibri"/>
                <w:color w:val="000000"/>
                <w:lang w:eastAsia="en-AU"/>
              </w:rPr>
              <w:t>)</w:t>
            </w:r>
          </w:p>
        </w:tc>
        <w:tc>
          <w:tcPr>
            <w:tcW w:w="707" w:type="pct"/>
            <w:hideMark/>
          </w:tcPr>
          <w:p w14:paraId="77BBDE35" w14:textId="77777777" w:rsidR="00F00CFD" w:rsidRPr="00650916" w:rsidRDefault="00F00CFD" w:rsidP="00961495">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Examination of predictors of transition from long-term psychiatric hospital to psychiatric supported community housing facilities.</w:t>
            </w:r>
          </w:p>
        </w:tc>
        <w:tc>
          <w:tcPr>
            <w:tcW w:w="404" w:type="pct"/>
            <w:hideMark/>
          </w:tcPr>
          <w:p w14:paraId="7D489129" w14:textId="77777777" w:rsidR="00F00CFD" w:rsidRPr="00650916" w:rsidRDefault="00F00CFD" w:rsidP="00961495">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Denmark</w:t>
            </w:r>
          </w:p>
        </w:tc>
        <w:tc>
          <w:tcPr>
            <w:tcW w:w="606" w:type="pct"/>
            <w:hideMark/>
          </w:tcPr>
          <w:p w14:paraId="63F5C01D" w14:textId="77777777" w:rsidR="00F00CFD" w:rsidRPr="00650916" w:rsidRDefault="00F00CFD" w:rsidP="00961495">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Predictive modelling</w:t>
            </w:r>
          </w:p>
        </w:tc>
        <w:tc>
          <w:tcPr>
            <w:tcW w:w="619" w:type="pct"/>
            <w:hideMark/>
          </w:tcPr>
          <w:p w14:paraId="65D7F9DD" w14:textId="77777777" w:rsidR="00F00CFD" w:rsidRPr="00650916" w:rsidRDefault="00F00CFD" w:rsidP="00961495">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Psychiatric illness</w:t>
            </w:r>
          </w:p>
        </w:tc>
        <w:tc>
          <w:tcPr>
            <w:tcW w:w="1011" w:type="pct"/>
            <w:hideMark/>
          </w:tcPr>
          <w:p w14:paraId="2999919E" w14:textId="77777777" w:rsidR="00F00CFD" w:rsidRPr="00650916" w:rsidRDefault="00F00CFD" w:rsidP="00961495">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Predictors for moving into a psychiatric residence facility: (1) Schizophrenia or other severe mental illness (2) higher number of hospitalisation days prior to residence in psychiatric housing facility (3) History of substance abuse</w:t>
            </w:r>
          </w:p>
        </w:tc>
        <w:tc>
          <w:tcPr>
            <w:tcW w:w="846" w:type="pct"/>
            <w:hideMark/>
          </w:tcPr>
          <w:p w14:paraId="03741752" w14:textId="77777777" w:rsidR="00F00CFD" w:rsidRPr="00650916" w:rsidRDefault="00F00CFD" w:rsidP="00961495">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Transition from long-term psychiatric hospital to psychiatric supported community housing facilities</w:t>
            </w:r>
          </w:p>
        </w:tc>
      </w:tr>
      <w:tr w:rsidR="00F00CFD" w:rsidRPr="00F66260" w14:paraId="66A8028B" w14:textId="77777777" w:rsidTr="006E2C88">
        <w:tc>
          <w:tcPr>
            <w:tcW w:w="234" w:type="pct"/>
          </w:tcPr>
          <w:p w14:paraId="7637FAB3" w14:textId="7CFFCE8B" w:rsidR="00F00CFD" w:rsidRPr="00F66260" w:rsidRDefault="00F00CFD" w:rsidP="00046E15">
            <w:r>
              <w:t>10</w:t>
            </w:r>
            <w:r w:rsidR="00696B8B">
              <w:t>6</w:t>
            </w:r>
          </w:p>
        </w:tc>
        <w:tc>
          <w:tcPr>
            <w:tcW w:w="573" w:type="pct"/>
            <w:hideMark/>
          </w:tcPr>
          <w:p w14:paraId="5C999532" w14:textId="77777777" w:rsidR="00F00CFD" w:rsidRPr="00F66260" w:rsidRDefault="00F00CFD" w:rsidP="00046E15">
            <w:r w:rsidRPr="00F66260">
              <w:t>Norris</w:t>
            </w:r>
            <w:r>
              <w:t xml:space="preserve"> et al (2014)</w:t>
            </w:r>
          </w:p>
        </w:tc>
        <w:tc>
          <w:tcPr>
            <w:tcW w:w="707" w:type="pct"/>
          </w:tcPr>
          <w:p w14:paraId="0AFD75DC" w14:textId="77777777" w:rsidR="00F00CFD" w:rsidRPr="00F66260" w:rsidRDefault="00F00CFD" w:rsidP="00046E15">
            <w:r w:rsidRPr="00F66260">
              <w:t>Community capacity to provide mental/behavioral health services to people with developmental disabilities</w:t>
            </w:r>
          </w:p>
        </w:tc>
        <w:tc>
          <w:tcPr>
            <w:tcW w:w="404" w:type="pct"/>
            <w:noWrap/>
            <w:hideMark/>
          </w:tcPr>
          <w:p w14:paraId="389F3278" w14:textId="77777777" w:rsidR="00F00CFD" w:rsidRPr="00F66260" w:rsidRDefault="00F00CFD" w:rsidP="00046E15">
            <w:r w:rsidRPr="00F66260">
              <w:t xml:space="preserve">USA   </w:t>
            </w:r>
          </w:p>
        </w:tc>
        <w:tc>
          <w:tcPr>
            <w:tcW w:w="606" w:type="pct"/>
            <w:noWrap/>
          </w:tcPr>
          <w:p w14:paraId="4E5FEC40" w14:textId="77777777" w:rsidR="00F00CFD" w:rsidRDefault="00F00CFD" w:rsidP="00046E15">
            <w:r>
              <w:t xml:space="preserve">Dissertation. Grey literature </w:t>
            </w:r>
          </w:p>
          <w:p w14:paraId="50F7381A" w14:textId="77777777" w:rsidR="00F00CFD" w:rsidRDefault="00F00CFD" w:rsidP="00046E15"/>
          <w:p w14:paraId="37302A04" w14:textId="77777777" w:rsidR="00F00CFD" w:rsidRPr="00F66260" w:rsidRDefault="00F00CFD" w:rsidP="00046E15"/>
        </w:tc>
        <w:tc>
          <w:tcPr>
            <w:tcW w:w="619" w:type="pct"/>
            <w:noWrap/>
            <w:hideMark/>
          </w:tcPr>
          <w:p w14:paraId="4DC8BCDC" w14:textId="77777777" w:rsidR="00F00CFD" w:rsidRPr="00F66260" w:rsidRDefault="00F00CFD" w:rsidP="00046E15">
            <w:r w:rsidRPr="00F66260">
              <w:t>People with IDD (n=454)</w:t>
            </w:r>
          </w:p>
        </w:tc>
        <w:tc>
          <w:tcPr>
            <w:tcW w:w="1011" w:type="pct"/>
            <w:hideMark/>
          </w:tcPr>
          <w:p w14:paraId="290222DC" w14:textId="77777777" w:rsidR="00F00CFD" w:rsidRPr="00F66260" w:rsidRDefault="00F00CFD" w:rsidP="00046E15">
            <w:r w:rsidRPr="00F66260">
              <w:t>Community living; behavioural and mental health supports following deinstitutionali</w:t>
            </w:r>
            <w:r>
              <w:t>s</w:t>
            </w:r>
            <w:r w:rsidRPr="00F66260">
              <w:t>ation</w:t>
            </w:r>
          </w:p>
        </w:tc>
        <w:tc>
          <w:tcPr>
            <w:tcW w:w="846" w:type="pct"/>
            <w:noWrap/>
            <w:hideMark/>
          </w:tcPr>
          <w:p w14:paraId="52000AB7" w14:textId="77777777" w:rsidR="00F00CFD" w:rsidRPr="00F66260" w:rsidRDefault="00F00CFD" w:rsidP="00046E15">
            <w:r w:rsidRPr="00F66260">
              <w:t>To community</w:t>
            </w:r>
          </w:p>
        </w:tc>
      </w:tr>
      <w:tr w:rsidR="00F00CFD" w:rsidRPr="00650916" w14:paraId="6FDC4CDE" w14:textId="77777777" w:rsidTr="00AE0078">
        <w:tc>
          <w:tcPr>
            <w:tcW w:w="234" w:type="pct"/>
          </w:tcPr>
          <w:p w14:paraId="56767632" w14:textId="7CA3A048"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10</w:t>
            </w:r>
            <w:r w:rsidR="00696B8B">
              <w:rPr>
                <w:rFonts w:ascii="Calibri" w:eastAsia="Times New Roman" w:hAnsi="Calibri" w:cs="Calibri"/>
                <w:color w:val="000000"/>
                <w:lang w:eastAsia="en-AU"/>
              </w:rPr>
              <w:t>7</w:t>
            </w:r>
          </w:p>
        </w:tc>
        <w:tc>
          <w:tcPr>
            <w:tcW w:w="573" w:type="pct"/>
            <w:hideMark/>
          </w:tcPr>
          <w:p w14:paraId="19A144FE"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Nøttestad &amp; Linaker</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2002</w:t>
            </w:r>
            <w:r>
              <w:rPr>
                <w:rFonts w:ascii="Calibri" w:eastAsia="Times New Roman" w:hAnsi="Calibri" w:cs="Calibri"/>
                <w:color w:val="000000"/>
                <w:lang w:eastAsia="en-AU"/>
              </w:rPr>
              <w:t>)</w:t>
            </w:r>
          </w:p>
        </w:tc>
        <w:tc>
          <w:tcPr>
            <w:tcW w:w="707" w:type="pct"/>
            <w:hideMark/>
          </w:tcPr>
          <w:p w14:paraId="5AE07C2B" w14:textId="05690AFA"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 the present paper, the authors focus on individuals who started attacking people after deinstitutionali</w:t>
            </w:r>
            <w:r w:rsidR="00D94757">
              <w:rPr>
                <w:rFonts w:ascii="Calibri" w:eastAsia="Times New Roman" w:hAnsi="Calibri" w:cs="Calibri"/>
                <w:color w:val="000000"/>
                <w:lang w:eastAsia="en-AU"/>
              </w:rPr>
              <w:t>s</w:t>
            </w:r>
            <w:r w:rsidRPr="00650916">
              <w:rPr>
                <w:rFonts w:ascii="Calibri" w:eastAsia="Times New Roman" w:hAnsi="Calibri" w:cs="Calibri"/>
                <w:color w:val="000000"/>
                <w:lang w:eastAsia="en-AU"/>
              </w:rPr>
              <w:t>ation</w:t>
            </w:r>
          </w:p>
        </w:tc>
        <w:tc>
          <w:tcPr>
            <w:tcW w:w="404" w:type="pct"/>
            <w:hideMark/>
          </w:tcPr>
          <w:p w14:paraId="71086AC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Norway</w:t>
            </w:r>
          </w:p>
        </w:tc>
        <w:tc>
          <w:tcPr>
            <w:tcW w:w="606" w:type="pct"/>
            <w:hideMark/>
          </w:tcPr>
          <w:p w14:paraId="6AF5BA2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Two group pre/post design</w:t>
            </w:r>
          </w:p>
        </w:tc>
        <w:tc>
          <w:tcPr>
            <w:tcW w:w="619" w:type="pct"/>
            <w:hideMark/>
          </w:tcPr>
          <w:p w14:paraId="6FF40E5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 (mild to profound)</w:t>
            </w:r>
          </w:p>
        </w:tc>
        <w:tc>
          <w:tcPr>
            <w:tcW w:w="1011" w:type="pct"/>
            <w:shd w:val="clear" w:color="auto" w:fill="auto"/>
            <w:hideMark/>
          </w:tcPr>
          <w:p w14:paraId="00D5F54C" w14:textId="30B5EDCA" w:rsidR="00F00CFD" w:rsidRPr="00650916" w:rsidRDefault="006A0B5E" w:rsidP="00046E15">
            <w:pPr>
              <w:rPr>
                <w:rFonts w:ascii="Calibri" w:eastAsia="Times New Roman" w:hAnsi="Calibri" w:cs="Calibri"/>
                <w:color w:val="000000"/>
                <w:lang w:eastAsia="en-AU"/>
              </w:rPr>
            </w:pPr>
            <w:r>
              <w:rPr>
                <w:rFonts w:ascii="Calibri" w:eastAsia="Times New Roman" w:hAnsi="Calibri" w:cs="Calibri"/>
                <w:color w:val="000000"/>
                <w:lang w:eastAsia="en-AU"/>
              </w:rPr>
              <w:t xml:space="preserve">Deinstitutionalisation </w:t>
            </w:r>
          </w:p>
        </w:tc>
        <w:tc>
          <w:tcPr>
            <w:tcW w:w="846" w:type="pct"/>
            <w:hideMark/>
          </w:tcPr>
          <w:p w14:paraId="2B301D2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 to community based residential setting</w:t>
            </w:r>
          </w:p>
        </w:tc>
      </w:tr>
      <w:tr w:rsidR="00F00CFD" w:rsidRPr="00FE0180" w14:paraId="724DBFC8"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717DE036" w14:textId="6C6A01E1" w:rsidR="00F00CFD" w:rsidRPr="00FE0180" w:rsidRDefault="00696B8B" w:rsidP="00046E15">
            <w:r>
              <w:t>108</w:t>
            </w:r>
          </w:p>
        </w:tc>
        <w:tc>
          <w:tcPr>
            <w:tcW w:w="573" w:type="pct"/>
            <w:tcBorders>
              <w:top w:val="single" w:sz="4" w:space="0" w:color="auto"/>
              <w:left w:val="single" w:sz="4" w:space="0" w:color="auto"/>
              <w:bottom w:val="single" w:sz="4" w:space="0" w:color="auto"/>
              <w:right w:val="single" w:sz="4" w:space="0" w:color="auto"/>
            </w:tcBorders>
            <w:hideMark/>
          </w:tcPr>
          <w:p w14:paraId="050F6E15" w14:textId="4A95B5BD" w:rsidR="00F00CFD" w:rsidRPr="00FE0180" w:rsidRDefault="00F00CFD" w:rsidP="00046E15">
            <w:r w:rsidRPr="00FE0180">
              <w:t xml:space="preserve">Owen, Griffiths, </w:t>
            </w:r>
            <w:r w:rsidR="00696B8B">
              <w:t xml:space="preserve">&amp; </w:t>
            </w:r>
            <w:r w:rsidRPr="00FE0180">
              <w:t xml:space="preserve">Condillac, </w:t>
            </w:r>
            <w:r>
              <w:t>(2015)</w:t>
            </w:r>
          </w:p>
        </w:tc>
        <w:tc>
          <w:tcPr>
            <w:tcW w:w="707" w:type="pct"/>
            <w:tcBorders>
              <w:top w:val="single" w:sz="4" w:space="0" w:color="auto"/>
              <w:left w:val="single" w:sz="4" w:space="0" w:color="auto"/>
              <w:bottom w:val="single" w:sz="4" w:space="0" w:color="auto"/>
              <w:right w:val="single" w:sz="4" w:space="0" w:color="auto"/>
            </w:tcBorders>
            <w:hideMark/>
          </w:tcPr>
          <w:p w14:paraId="3BFED5D9" w14:textId="77777777" w:rsidR="00F00CFD" w:rsidRPr="00FE0180" w:rsidRDefault="00F00CFD" w:rsidP="00046E15">
            <w:r w:rsidRPr="00FE0180">
              <w:t xml:space="preserve">To explores the nature of the deinstitutionalization process from the perspectives of family members of former facility residents, </w:t>
            </w:r>
            <w:r w:rsidRPr="00FE0180">
              <w:lastRenderedPageBreak/>
              <w:t>community agency staff, former facility staff, planners, and behaviour consultants.</w:t>
            </w:r>
          </w:p>
        </w:tc>
        <w:tc>
          <w:tcPr>
            <w:tcW w:w="404" w:type="pct"/>
            <w:tcBorders>
              <w:top w:val="single" w:sz="4" w:space="0" w:color="auto"/>
              <w:left w:val="single" w:sz="4" w:space="0" w:color="auto"/>
              <w:bottom w:val="single" w:sz="4" w:space="0" w:color="auto"/>
              <w:right w:val="single" w:sz="4" w:space="0" w:color="auto"/>
            </w:tcBorders>
          </w:tcPr>
          <w:p w14:paraId="3A5EC4D7" w14:textId="77777777" w:rsidR="00F00CFD" w:rsidRDefault="00F00CFD" w:rsidP="00046E15">
            <w:r w:rsidRPr="00FE0180">
              <w:lastRenderedPageBreak/>
              <w:t>Canada</w:t>
            </w:r>
          </w:p>
        </w:tc>
        <w:tc>
          <w:tcPr>
            <w:tcW w:w="606" w:type="pct"/>
            <w:tcBorders>
              <w:top w:val="single" w:sz="4" w:space="0" w:color="auto"/>
              <w:left w:val="single" w:sz="4" w:space="0" w:color="auto"/>
              <w:bottom w:val="single" w:sz="4" w:space="0" w:color="auto"/>
              <w:right w:val="single" w:sz="4" w:space="0" w:color="auto"/>
            </w:tcBorders>
          </w:tcPr>
          <w:p w14:paraId="60B2523B" w14:textId="77777777" w:rsidR="00F00CFD" w:rsidRPr="00FE0180" w:rsidRDefault="00F00CFD" w:rsidP="00046E15">
            <w:r>
              <w:t>Focus groups and interviews (n=40)</w:t>
            </w:r>
          </w:p>
        </w:tc>
        <w:tc>
          <w:tcPr>
            <w:tcW w:w="619" w:type="pct"/>
            <w:tcBorders>
              <w:top w:val="single" w:sz="4" w:space="0" w:color="auto"/>
              <w:left w:val="single" w:sz="4" w:space="0" w:color="auto"/>
              <w:bottom w:val="single" w:sz="4" w:space="0" w:color="auto"/>
              <w:right w:val="single" w:sz="4" w:space="0" w:color="auto"/>
            </w:tcBorders>
            <w:hideMark/>
          </w:tcPr>
          <w:p w14:paraId="34099161" w14:textId="77777777" w:rsidR="00F00CFD" w:rsidRPr="00FE0180" w:rsidRDefault="00F00CFD" w:rsidP="00046E15">
            <w:r w:rsidRPr="00FE0180">
              <w:t xml:space="preserve">Intellectual disability </w:t>
            </w:r>
          </w:p>
        </w:tc>
        <w:tc>
          <w:tcPr>
            <w:tcW w:w="1011" w:type="pct"/>
            <w:tcBorders>
              <w:top w:val="single" w:sz="4" w:space="0" w:color="auto"/>
              <w:left w:val="single" w:sz="4" w:space="0" w:color="auto"/>
              <w:bottom w:val="single" w:sz="4" w:space="0" w:color="auto"/>
              <w:right w:val="single" w:sz="4" w:space="0" w:color="auto"/>
            </w:tcBorders>
            <w:hideMark/>
          </w:tcPr>
          <w:p w14:paraId="6E1AF7F3"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1BA70A95" w14:textId="77777777" w:rsidR="00F00CFD" w:rsidRPr="00FE0180" w:rsidRDefault="00F00CFD" w:rsidP="00046E15">
            <w:r w:rsidRPr="00FE0180">
              <w:t xml:space="preserve">Transition to community living </w:t>
            </w:r>
          </w:p>
        </w:tc>
      </w:tr>
      <w:tr w:rsidR="00F00CFD" w:rsidRPr="00FE0180" w14:paraId="38B779BE"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2BC34AB4" w14:textId="1C81BBF6" w:rsidR="00F00CFD" w:rsidRPr="00FE0180" w:rsidRDefault="00F00CFD" w:rsidP="00046E15">
            <w:r>
              <w:t>1</w:t>
            </w:r>
            <w:r w:rsidR="00696B8B">
              <w:t>09</w:t>
            </w:r>
          </w:p>
        </w:tc>
        <w:tc>
          <w:tcPr>
            <w:tcW w:w="573" w:type="pct"/>
            <w:tcBorders>
              <w:top w:val="single" w:sz="4" w:space="0" w:color="auto"/>
              <w:left w:val="single" w:sz="4" w:space="0" w:color="auto"/>
              <w:bottom w:val="single" w:sz="4" w:space="0" w:color="auto"/>
              <w:right w:val="single" w:sz="4" w:space="0" w:color="auto"/>
            </w:tcBorders>
            <w:hideMark/>
          </w:tcPr>
          <w:p w14:paraId="7E15965B" w14:textId="7D16DA7C" w:rsidR="00F00CFD" w:rsidRPr="00FE0180" w:rsidRDefault="00F00CFD" w:rsidP="00046E15">
            <w:r w:rsidRPr="00FE0180">
              <w:t xml:space="preserve">Owen, Hubert, </w:t>
            </w:r>
            <w:r w:rsidR="00696B8B">
              <w:t>&amp;</w:t>
            </w:r>
            <w:r w:rsidRPr="00FE0180">
              <w:t xml:space="preserve"> Hollins, </w:t>
            </w:r>
            <w:r>
              <w:t>(2008)</w:t>
            </w:r>
          </w:p>
        </w:tc>
        <w:tc>
          <w:tcPr>
            <w:tcW w:w="707" w:type="pct"/>
            <w:tcBorders>
              <w:top w:val="single" w:sz="4" w:space="0" w:color="auto"/>
              <w:left w:val="single" w:sz="4" w:space="0" w:color="auto"/>
              <w:bottom w:val="single" w:sz="4" w:space="0" w:color="auto"/>
              <w:right w:val="single" w:sz="4" w:space="0" w:color="auto"/>
            </w:tcBorders>
            <w:hideMark/>
          </w:tcPr>
          <w:p w14:paraId="1D361F64" w14:textId="77777777" w:rsidR="00F00CFD" w:rsidRPr="00FE0180" w:rsidRDefault="00F00CFD" w:rsidP="00046E15">
            <w:r>
              <w:t>T</w:t>
            </w:r>
            <w:r w:rsidRPr="00FE0180">
              <w:t>o understand how women with severe intellectual disabilities experienced transition from a locked ward of an old long-stay hospital into other homes, and second, to determine the extent to which their lives changed in their new homes. E</w:t>
            </w:r>
          </w:p>
        </w:tc>
        <w:tc>
          <w:tcPr>
            <w:tcW w:w="404" w:type="pct"/>
            <w:tcBorders>
              <w:top w:val="single" w:sz="4" w:space="0" w:color="auto"/>
              <w:left w:val="single" w:sz="4" w:space="0" w:color="auto"/>
              <w:bottom w:val="single" w:sz="4" w:space="0" w:color="auto"/>
              <w:right w:val="single" w:sz="4" w:space="0" w:color="auto"/>
            </w:tcBorders>
          </w:tcPr>
          <w:p w14:paraId="405EFC65" w14:textId="77777777" w:rsidR="00F00CFD" w:rsidRDefault="00F00CFD" w:rsidP="00046E15">
            <w:r w:rsidRPr="00FE0180">
              <w:t>UK</w:t>
            </w:r>
          </w:p>
        </w:tc>
        <w:tc>
          <w:tcPr>
            <w:tcW w:w="606" w:type="pct"/>
            <w:tcBorders>
              <w:top w:val="single" w:sz="4" w:space="0" w:color="auto"/>
              <w:left w:val="single" w:sz="4" w:space="0" w:color="auto"/>
              <w:bottom w:val="single" w:sz="4" w:space="0" w:color="auto"/>
              <w:right w:val="single" w:sz="4" w:space="0" w:color="auto"/>
            </w:tcBorders>
          </w:tcPr>
          <w:p w14:paraId="170589F5" w14:textId="77777777" w:rsidR="00F00CFD" w:rsidRPr="00FE0180" w:rsidRDefault="00F00CFD" w:rsidP="00046E15">
            <w:r>
              <w:t>Semi-structured interviews (n=11)</w:t>
            </w:r>
          </w:p>
        </w:tc>
        <w:tc>
          <w:tcPr>
            <w:tcW w:w="619" w:type="pct"/>
            <w:tcBorders>
              <w:top w:val="single" w:sz="4" w:space="0" w:color="auto"/>
              <w:left w:val="single" w:sz="4" w:space="0" w:color="auto"/>
              <w:bottom w:val="single" w:sz="4" w:space="0" w:color="auto"/>
              <w:right w:val="single" w:sz="4" w:space="0" w:color="auto"/>
            </w:tcBorders>
            <w:hideMark/>
          </w:tcPr>
          <w:p w14:paraId="4A8A389F" w14:textId="77777777" w:rsidR="00F00CFD" w:rsidRPr="00FE0180" w:rsidRDefault="00F00CFD" w:rsidP="00046E15">
            <w:r w:rsidRPr="00FE0180">
              <w:t xml:space="preserve">Intellectual disability </w:t>
            </w:r>
          </w:p>
        </w:tc>
        <w:tc>
          <w:tcPr>
            <w:tcW w:w="1011" w:type="pct"/>
            <w:tcBorders>
              <w:top w:val="single" w:sz="4" w:space="0" w:color="auto"/>
              <w:left w:val="single" w:sz="4" w:space="0" w:color="auto"/>
              <w:bottom w:val="single" w:sz="4" w:space="0" w:color="auto"/>
              <w:right w:val="single" w:sz="4" w:space="0" w:color="auto"/>
            </w:tcBorders>
            <w:hideMark/>
          </w:tcPr>
          <w:p w14:paraId="33AB0394" w14:textId="77777777" w:rsidR="00F00CFD" w:rsidRPr="00FE0180" w:rsidRDefault="00F00CFD" w:rsidP="00046E15">
            <w:r w:rsidRPr="00FE0180">
              <w:t xml:space="preserve">Locked ward to community </w:t>
            </w:r>
          </w:p>
        </w:tc>
        <w:tc>
          <w:tcPr>
            <w:tcW w:w="846" w:type="pct"/>
            <w:tcBorders>
              <w:top w:val="single" w:sz="4" w:space="0" w:color="auto"/>
              <w:left w:val="single" w:sz="4" w:space="0" w:color="auto"/>
              <w:bottom w:val="single" w:sz="4" w:space="0" w:color="auto"/>
              <w:right w:val="single" w:sz="4" w:space="0" w:color="auto"/>
            </w:tcBorders>
            <w:hideMark/>
          </w:tcPr>
          <w:p w14:paraId="42B51A1C" w14:textId="77777777" w:rsidR="00F00CFD" w:rsidRPr="00FE0180" w:rsidRDefault="00F00CFD" w:rsidP="00046E15">
            <w:r w:rsidRPr="00FE0180">
              <w:t xml:space="preserve">Transition to community living </w:t>
            </w:r>
          </w:p>
        </w:tc>
      </w:tr>
      <w:tr w:rsidR="00F00CFD" w:rsidRPr="00650916" w14:paraId="6DF91D0A" w14:textId="77777777" w:rsidTr="006E2C88">
        <w:tc>
          <w:tcPr>
            <w:tcW w:w="234" w:type="pct"/>
          </w:tcPr>
          <w:p w14:paraId="71C63221" w14:textId="5CBB6796"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11</w:t>
            </w:r>
            <w:r w:rsidR="00696B8B">
              <w:rPr>
                <w:rFonts w:ascii="Calibri" w:eastAsia="Times New Roman" w:hAnsi="Calibri" w:cs="Calibri"/>
                <w:color w:val="000000"/>
                <w:lang w:eastAsia="en-AU"/>
              </w:rPr>
              <w:t>0</w:t>
            </w:r>
          </w:p>
        </w:tc>
        <w:tc>
          <w:tcPr>
            <w:tcW w:w="573" w:type="pct"/>
            <w:hideMark/>
          </w:tcPr>
          <w:p w14:paraId="5B7E207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Padmakar et al</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2020</w:t>
            </w:r>
            <w:r>
              <w:rPr>
                <w:rFonts w:ascii="Calibri" w:eastAsia="Times New Roman" w:hAnsi="Calibri" w:cs="Calibri"/>
                <w:color w:val="000000"/>
                <w:lang w:eastAsia="en-AU"/>
              </w:rPr>
              <w:t>)</w:t>
            </w:r>
          </w:p>
        </w:tc>
        <w:tc>
          <w:tcPr>
            <w:tcW w:w="707" w:type="pct"/>
            <w:hideMark/>
          </w:tcPr>
          <w:p w14:paraId="10B02E1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Examination on how the transition from a hospital setting to a community-based recovery model for personals with severe mental illness can be facilitated.</w:t>
            </w:r>
          </w:p>
        </w:tc>
        <w:tc>
          <w:tcPr>
            <w:tcW w:w="404" w:type="pct"/>
            <w:hideMark/>
          </w:tcPr>
          <w:p w14:paraId="51E5701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India</w:t>
            </w:r>
          </w:p>
        </w:tc>
        <w:tc>
          <w:tcPr>
            <w:tcW w:w="606" w:type="pct"/>
            <w:hideMark/>
          </w:tcPr>
          <w:p w14:paraId="6A0AEC1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One group repeated measures design </w:t>
            </w:r>
          </w:p>
        </w:tc>
        <w:tc>
          <w:tcPr>
            <w:tcW w:w="619" w:type="pct"/>
            <w:hideMark/>
          </w:tcPr>
          <w:p w14:paraId="4010FDB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Psychiatric diagnosis </w:t>
            </w:r>
          </w:p>
        </w:tc>
        <w:tc>
          <w:tcPr>
            <w:tcW w:w="1011" w:type="pct"/>
            <w:hideMark/>
          </w:tcPr>
          <w:p w14:paraId="66E2F00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Banyan (mental health services organisation) Supported Housing model (five residents per house)</w:t>
            </w:r>
          </w:p>
        </w:tc>
        <w:tc>
          <w:tcPr>
            <w:tcW w:w="846" w:type="pct"/>
            <w:hideMark/>
          </w:tcPr>
          <w:p w14:paraId="2B1F61D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Supported Housing (SH) model with live-in support.</w:t>
            </w:r>
          </w:p>
        </w:tc>
      </w:tr>
      <w:tr w:rsidR="00F00CFD" w:rsidRPr="00F66260" w14:paraId="6A9BA783" w14:textId="77777777" w:rsidTr="006E2C88">
        <w:tc>
          <w:tcPr>
            <w:tcW w:w="234" w:type="pct"/>
          </w:tcPr>
          <w:p w14:paraId="08DC01B8" w14:textId="58C6C689" w:rsidR="00F00CFD" w:rsidRPr="00F66260" w:rsidRDefault="00F00CFD" w:rsidP="00046E15">
            <w:r>
              <w:lastRenderedPageBreak/>
              <w:t>11</w:t>
            </w:r>
            <w:r w:rsidR="00696B8B">
              <w:t>1</w:t>
            </w:r>
          </w:p>
        </w:tc>
        <w:tc>
          <w:tcPr>
            <w:tcW w:w="573" w:type="pct"/>
            <w:hideMark/>
          </w:tcPr>
          <w:p w14:paraId="7B3AB7B2" w14:textId="77777777" w:rsidR="00F00CFD" w:rsidRPr="00F66260" w:rsidRDefault="00F00CFD" w:rsidP="00046E15">
            <w:r w:rsidRPr="00F66260">
              <w:t>Parish</w:t>
            </w:r>
            <w:r>
              <w:t xml:space="preserve"> (2015)</w:t>
            </w:r>
          </w:p>
        </w:tc>
        <w:tc>
          <w:tcPr>
            <w:tcW w:w="707" w:type="pct"/>
          </w:tcPr>
          <w:p w14:paraId="16A62F4A" w14:textId="77777777" w:rsidR="00F00CFD" w:rsidRDefault="00F00CFD" w:rsidP="00046E15">
            <w:r>
              <w:t xml:space="preserve">Reflection on independent living </w:t>
            </w:r>
          </w:p>
          <w:p w14:paraId="0070D4AC" w14:textId="77777777" w:rsidR="00F00CFD" w:rsidRPr="00F66260" w:rsidRDefault="00F00CFD" w:rsidP="00046E15"/>
        </w:tc>
        <w:tc>
          <w:tcPr>
            <w:tcW w:w="404" w:type="pct"/>
            <w:noWrap/>
            <w:hideMark/>
          </w:tcPr>
          <w:p w14:paraId="039B7319" w14:textId="77777777" w:rsidR="00F00CFD" w:rsidRPr="00F66260" w:rsidRDefault="00F00CFD" w:rsidP="00046E15">
            <w:r w:rsidRPr="00F66260">
              <w:t>UK</w:t>
            </w:r>
          </w:p>
        </w:tc>
        <w:tc>
          <w:tcPr>
            <w:tcW w:w="606" w:type="pct"/>
            <w:noWrap/>
          </w:tcPr>
          <w:p w14:paraId="7D9B4ACA" w14:textId="77777777" w:rsidR="00F00CFD" w:rsidRPr="00F66260" w:rsidRDefault="00F00CFD" w:rsidP="00046E15">
            <w:r>
              <w:t xml:space="preserve">Discussion. Grey literature </w:t>
            </w:r>
          </w:p>
        </w:tc>
        <w:tc>
          <w:tcPr>
            <w:tcW w:w="619" w:type="pct"/>
            <w:noWrap/>
            <w:hideMark/>
          </w:tcPr>
          <w:p w14:paraId="4991225F" w14:textId="77777777" w:rsidR="00F00CFD" w:rsidRPr="00F66260" w:rsidRDefault="00F00CFD" w:rsidP="00046E15">
            <w:r w:rsidRPr="00F66260">
              <w:t>Everyone with learning disability and autism</w:t>
            </w:r>
          </w:p>
        </w:tc>
        <w:tc>
          <w:tcPr>
            <w:tcW w:w="1011" w:type="pct"/>
            <w:hideMark/>
          </w:tcPr>
          <w:p w14:paraId="5FE0822F" w14:textId="77777777" w:rsidR="00F00CFD" w:rsidRPr="00F66260" w:rsidRDefault="00F00CFD" w:rsidP="00046E15">
            <w:r w:rsidRPr="00F66260">
              <w:t xml:space="preserve">Independent living in high quality community-based services </w:t>
            </w:r>
          </w:p>
        </w:tc>
        <w:tc>
          <w:tcPr>
            <w:tcW w:w="846" w:type="pct"/>
            <w:noWrap/>
            <w:hideMark/>
          </w:tcPr>
          <w:p w14:paraId="42EF1F96" w14:textId="77777777" w:rsidR="00F00CFD" w:rsidRPr="00F66260" w:rsidRDefault="00F00CFD" w:rsidP="00046E15">
            <w:r w:rsidRPr="00F66260">
              <w:t>Independent</w:t>
            </w:r>
          </w:p>
        </w:tc>
      </w:tr>
      <w:tr w:rsidR="00F00CFD" w:rsidRPr="00F66260" w14:paraId="47E1F806" w14:textId="77777777" w:rsidTr="006E2C88">
        <w:tc>
          <w:tcPr>
            <w:tcW w:w="234" w:type="pct"/>
          </w:tcPr>
          <w:p w14:paraId="70764D9D" w14:textId="3FFFF0D4" w:rsidR="00F00CFD" w:rsidRPr="00F66260" w:rsidRDefault="00F00CFD" w:rsidP="00046E15">
            <w:r>
              <w:t>11</w:t>
            </w:r>
            <w:r w:rsidR="00696B8B">
              <w:t>2</w:t>
            </w:r>
          </w:p>
        </w:tc>
        <w:tc>
          <w:tcPr>
            <w:tcW w:w="573" w:type="pct"/>
            <w:hideMark/>
          </w:tcPr>
          <w:p w14:paraId="058C7800" w14:textId="540BE121" w:rsidR="00F00CFD" w:rsidRPr="00F66260" w:rsidRDefault="00F00CFD" w:rsidP="00046E15">
            <w:r w:rsidRPr="00F66260">
              <w:t>Parker</w:t>
            </w:r>
            <w:r>
              <w:t xml:space="preserve"> </w:t>
            </w:r>
            <w:r w:rsidR="00696B8B">
              <w:t xml:space="preserve">et al </w:t>
            </w:r>
            <w:r>
              <w:t>(2010)</w:t>
            </w:r>
          </w:p>
        </w:tc>
        <w:tc>
          <w:tcPr>
            <w:tcW w:w="707" w:type="pct"/>
          </w:tcPr>
          <w:p w14:paraId="78E44421" w14:textId="77777777" w:rsidR="00F00CFD" w:rsidRPr="00F66260" w:rsidRDefault="00F00CFD" w:rsidP="00046E15">
            <w:r>
              <w:t>S</w:t>
            </w:r>
            <w:r w:rsidRPr="00257EE2">
              <w:t>ummarizes</w:t>
            </w:r>
            <w:r>
              <w:t xml:space="preserve"> and critiques deinstitutionalisation policy</w:t>
            </w:r>
          </w:p>
        </w:tc>
        <w:tc>
          <w:tcPr>
            <w:tcW w:w="404" w:type="pct"/>
            <w:noWrap/>
            <w:hideMark/>
          </w:tcPr>
          <w:p w14:paraId="6816A5AA" w14:textId="77777777" w:rsidR="00F00CFD" w:rsidRPr="00F66260" w:rsidRDefault="00F00CFD" w:rsidP="00046E15">
            <w:r w:rsidRPr="00F66260">
              <w:t>Europe (Hungary and Romania primarily)</w:t>
            </w:r>
          </w:p>
        </w:tc>
        <w:tc>
          <w:tcPr>
            <w:tcW w:w="606" w:type="pct"/>
            <w:noWrap/>
          </w:tcPr>
          <w:p w14:paraId="47DE5861" w14:textId="77777777" w:rsidR="00F00CFD" w:rsidRPr="00F66260" w:rsidRDefault="00F00CFD" w:rsidP="00046E15">
            <w:r>
              <w:t>Policy discussion. Grey literature</w:t>
            </w:r>
          </w:p>
        </w:tc>
        <w:tc>
          <w:tcPr>
            <w:tcW w:w="619" w:type="pct"/>
            <w:noWrap/>
            <w:hideMark/>
          </w:tcPr>
          <w:p w14:paraId="37F1511D" w14:textId="77777777" w:rsidR="00F00CFD" w:rsidRPr="00F66260" w:rsidRDefault="00F00CFD" w:rsidP="00046E15">
            <w:r w:rsidRPr="00F66260">
              <w:t>Intellectual disability</w:t>
            </w:r>
          </w:p>
        </w:tc>
        <w:tc>
          <w:tcPr>
            <w:tcW w:w="1011" w:type="pct"/>
            <w:hideMark/>
          </w:tcPr>
          <w:p w14:paraId="3FC19123" w14:textId="77777777" w:rsidR="00F00CFD" w:rsidRPr="00F66260" w:rsidRDefault="00F00CFD" w:rsidP="00046E15">
            <w:r w:rsidRPr="00F66260">
              <w:t>Deinstitutionali</w:t>
            </w:r>
            <w:r>
              <w:t>s</w:t>
            </w:r>
            <w:r w:rsidRPr="00F66260">
              <w:t xml:space="preserve">ation to community living </w:t>
            </w:r>
          </w:p>
        </w:tc>
        <w:tc>
          <w:tcPr>
            <w:tcW w:w="846" w:type="pct"/>
            <w:noWrap/>
            <w:hideMark/>
          </w:tcPr>
          <w:p w14:paraId="7FE9D01D" w14:textId="77777777" w:rsidR="00F00CFD" w:rsidRPr="00F66260" w:rsidRDefault="00F00CFD" w:rsidP="00046E15">
            <w:r w:rsidRPr="00F66260">
              <w:t>Deinstitutionalisation</w:t>
            </w:r>
          </w:p>
        </w:tc>
      </w:tr>
      <w:tr w:rsidR="00F00CFD" w:rsidRPr="00F66260" w14:paraId="380007BE" w14:textId="77777777" w:rsidTr="006E2C88">
        <w:tc>
          <w:tcPr>
            <w:tcW w:w="234" w:type="pct"/>
          </w:tcPr>
          <w:p w14:paraId="42F4D206" w14:textId="2C868743" w:rsidR="00F00CFD" w:rsidRPr="00F66260" w:rsidRDefault="00F00CFD" w:rsidP="00046E15">
            <w:r>
              <w:t>11</w:t>
            </w:r>
            <w:r w:rsidR="00696B8B">
              <w:t>3</w:t>
            </w:r>
          </w:p>
        </w:tc>
        <w:tc>
          <w:tcPr>
            <w:tcW w:w="573" w:type="pct"/>
            <w:noWrap/>
            <w:hideMark/>
          </w:tcPr>
          <w:p w14:paraId="452A13D6" w14:textId="328B7EA6" w:rsidR="00F00CFD" w:rsidRPr="00F66260" w:rsidRDefault="00F00CFD" w:rsidP="00046E15">
            <w:r w:rsidRPr="00F66260">
              <w:t>Parmenter</w:t>
            </w:r>
            <w:r>
              <w:t xml:space="preserve"> </w:t>
            </w:r>
            <w:r w:rsidR="00696B8B">
              <w:t>&amp; Arnold</w:t>
            </w:r>
            <w:r>
              <w:t xml:space="preserve"> (2008)</w:t>
            </w:r>
          </w:p>
        </w:tc>
        <w:tc>
          <w:tcPr>
            <w:tcW w:w="707" w:type="pct"/>
            <w:noWrap/>
          </w:tcPr>
          <w:p w14:paraId="7A47C28B" w14:textId="77777777" w:rsidR="00F00CFD" w:rsidRPr="00F66260" w:rsidRDefault="00F00CFD" w:rsidP="00046E15">
            <w:r w:rsidRPr="00F66260">
              <w:t xml:space="preserve">Disability Accommodation &amp; Support Framework </w:t>
            </w:r>
            <w:r>
              <w:t xml:space="preserve">developed and tested </w:t>
            </w:r>
          </w:p>
        </w:tc>
        <w:tc>
          <w:tcPr>
            <w:tcW w:w="404" w:type="pct"/>
            <w:noWrap/>
            <w:hideMark/>
          </w:tcPr>
          <w:p w14:paraId="2DFF4B7A" w14:textId="77777777" w:rsidR="00F00CFD" w:rsidRPr="00F66260" w:rsidRDefault="00F00CFD" w:rsidP="00046E15">
            <w:r w:rsidRPr="00F66260">
              <w:t>Aus</w:t>
            </w:r>
            <w:r>
              <w:t>tralia</w:t>
            </w:r>
            <w:r w:rsidRPr="00F66260">
              <w:t xml:space="preserve"> (Victoria)</w:t>
            </w:r>
          </w:p>
        </w:tc>
        <w:tc>
          <w:tcPr>
            <w:tcW w:w="606" w:type="pct"/>
            <w:noWrap/>
          </w:tcPr>
          <w:p w14:paraId="35FF6043" w14:textId="77777777" w:rsidR="00F00CFD" w:rsidRPr="00F66260" w:rsidRDefault="00F00CFD" w:rsidP="00046E15">
            <w:r>
              <w:t xml:space="preserve">Mixed method. Case study. Grey literature </w:t>
            </w:r>
          </w:p>
        </w:tc>
        <w:tc>
          <w:tcPr>
            <w:tcW w:w="619" w:type="pct"/>
            <w:noWrap/>
            <w:hideMark/>
          </w:tcPr>
          <w:p w14:paraId="211CB51F" w14:textId="77777777" w:rsidR="00F00CFD" w:rsidRPr="00F66260" w:rsidRDefault="00F00CFD" w:rsidP="00046E15">
            <w:r w:rsidRPr="00F66260">
              <w:t>Particular focus on people with ID ageing, with complex needs or behaviours of concern, but found to have applicability across a range of disability types</w:t>
            </w:r>
          </w:p>
        </w:tc>
        <w:tc>
          <w:tcPr>
            <w:tcW w:w="1011" w:type="pct"/>
            <w:hideMark/>
          </w:tcPr>
          <w:p w14:paraId="655D2460" w14:textId="77777777" w:rsidR="00F00CFD" w:rsidRPr="00F66260" w:rsidRDefault="00F00CFD" w:rsidP="00046E15">
            <w:r w:rsidRPr="00F66260">
              <w:t>No move/ transition discussed but range of accommodation models compared ; categorised as community ; effective accommodation supports mentioned</w:t>
            </w:r>
          </w:p>
        </w:tc>
        <w:tc>
          <w:tcPr>
            <w:tcW w:w="846" w:type="pct"/>
            <w:noWrap/>
            <w:hideMark/>
          </w:tcPr>
          <w:p w14:paraId="414966F8" w14:textId="77777777" w:rsidR="00F00CFD" w:rsidRPr="00F66260" w:rsidRDefault="00F00CFD" w:rsidP="00046E15">
            <w:r w:rsidRPr="00F66260">
              <w:t>Community</w:t>
            </w:r>
          </w:p>
        </w:tc>
      </w:tr>
      <w:tr w:rsidR="00F00CFD" w:rsidRPr="00F66260" w14:paraId="71EE6E13" w14:textId="77777777" w:rsidTr="006E2C88">
        <w:tc>
          <w:tcPr>
            <w:tcW w:w="234" w:type="pct"/>
          </w:tcPr>
          <w:p w14:paraId="7435E115" w14:textId="4CD56B8B" w:rsidR="00F00CFD" w:rsidRPr="00F66260" w:rsidRDefault="00F00CFD" w:rsidP="00046E15">
            <w:r>
              <w:t>11</w:t>
            </w:r>
            <w:r w:rsidR="00696B8B">
              <w:t>4</w:t>
            </w:r>
          </w:p>
        </w:tc>
        <w:tc>
          <w:tcPr>
            <w:tcW w:w="573" w:type="pct"/>
            <w:noWrap/>
            <w:hideMark/>
          </w:tcPr>
          <w:p w14:paraId="5208D365" w14:textId="77777777" w:rsidR="00F00CFD" w:rsidRPr="00F66260" w:rsidRDefault="00F00CFD" w:rsidP="00046E15">
            <w:r w:rsidRPr="00F66260">
              <w:t>Pave the way</w:t>
            </w:r>
            <w:r>
              <w:t xml:space="preserve"> (</w:t>
            </w:r>
            <w:r w:rsidRPr="00F66260">
              <w:t>2013</w:t>
            </w:r>
            <w:r>
              <w:t>)</w:t>
            </w:r>
            <w:r w:rsidRPr="00F66260">
              <w:t xml:space="preserve"> </w:t>
            </w:r>
          </w:p>
        </w:tc>
        <w:tc>
          <w:tcPr>
            <w:tcW w:w="707" w:type="pct"/>
            <w:noWrap/>
          </w:tcPr>
          <w:p w14:paraId="37A2B1C5" w14:textId="77777777" w:rsidR="00F00CFD" w:rsidRPr="00F66260" w:rsidRDefault="00F00CFD" w:rsidP="00046E15">
            <w:r>
              <w:t xml:space="preserve">Guidance to support families in future care planning </w:t>
            </w:r>
          </w:p>
        </w:tc>
        <w:tc>
          <w:tcPr>
            <w:tcW w:w="404" w:type="pct"/>
            <w:noWrap/>
            <w:hideMark/>
          </w:tcPr>
          <w:p w14:paraId="778A9181" w14:textId="77777777" w:rsidR="00F00CFD" w:rsidRPr="00F66260" w:rsidRDefault="00F00CFD" w:rsidP="00046E15">
            <w:r w:rsidRPr="00F66260">
              <w:t>Aus</w:t>
            </w:r>
            <w:r>
              <w:t>tralia</w:t>
            </w:r>
            <w:r w:rsidRPr="00F66260">
              <w:t xml:space="preserve"> (Cairns/ Queensland)</w:t>
            </w:r>
          </w:p>
        </w:tc>
        <w:tc>
          <w:tcPr>
            <w:tcW w:w="606" w:type="pct"/>
            <w:noWrap/>
          </w:tcPr>
          <w:p w14:paraId="19FCF1E2" w14:textId="77777777" w:rsidR="00F00CFD" w:rsidRPr="00F66260" w:rsidRDefault="00F00CFD" w:rsidP="00046E15">
            <w:r>
              <w:t xml:space="preserve">Information booklet </w:t>
            </w:r>
          </w:p>
        </w:tc>
        <w:tc>
          <w:tcPr>
            <w:tcW w:w="619" w:type="pct"/>
            <w:noWrap/>
            <w:hideMark/>
          </w:tcPr>
          <w:p w14:paraId="17D833DC" w14:textId="77777777" w:rsidR="00F00CFD" w:rsidRPr="00F66260" w:rsidRDefault="00F00CFD" w:rsidP="00046E15">
            <w:r w:rsidRPr="00F66260">
              <w:t xml:space="preserve">People with disability and their families </w:t>
            </w:r>
          </w:p>
        </w:tc>
        <w:tc>
          <w:tcPr>
            <w:tcW w:w="1011" w:type="pct"/>
            <w:hideMark/>
          </w:tcPr>
          <w:p w14:paraId="5C4A40B5" w14:textId="77777777" w:rsidR="00F00CFD" w:rsidRPr="00F66260" w:rsidRDefault="00F00CFD" w:rsidP="00046E15">
            <w:r w:rsidRPr="00F66260">
              <w:t>Independent living; future housing for family member; lists types of supports that can be considered - sharing with flat mate without disability, sharing with flatmate with disability, visiting support workers, live-in support workers, support from someone who could apply for a Centrelink Care Payment, Informal support</w:t>
            </w:r>
          </w:p>
        </w:tc>
        <w:tc>
          <w:tcPr>
            <w:tcW w:w="846" w:type="pct"/>
            <w:noWrap/>
            <w:hideMark/>
          </w:tcPr>
          <w:p w14:paraId="27A14C07" w14:textId="77777777" w:rsidR="00F00CFD" w:rsidRPr="00F66260" w:rsidRDefault="00F00CFD" w:rsidP="00046E15">
            <w:r w:rsidRPr="00F66260">
              <w:t>Independent</w:t>
            </w:r>
          </w:p>
        </w:tc>
      </w:tr>
      <w:tr w:rsidR="00F00CFD" w:rsidRPr="00FE0180" w14:paraId="7EB73E21"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6301BE52" w14:textId="63D94B19" w:rsidR="00F00CFD" w:rsidRPr="00FE0180" w:rsidRDefault="00F00CFD" w:rsidP="00046E15">
            <w:r>
              <w:lastRenderedPageBreak/>
              <w:t>11</w:t>
            </w:r>
            <w:r w:rsidR="00696B8B">
              <w:t>5</w:t>
            </w:r>
          </w:p>
        </w:tc>
        <w:tc>
          <w:tcPr>
            <w:tcW w:w="573" w:type="pct"/>
            <w:tcBorders>
              <w:top w:val="single" w:sz="4" w:space="0" w:color="auto"/>
              <w:left w:val="single" w:sz="4" w:space="0" w:color="auto"/>
              <w:bottom w:val="single" w:sz="4" w:space="0" w:color="auto"/>
              <w:right w:val="single" w:sz="4" w:space="0" w:color="auto"/>
            </w:tcBorders>
            <w:hideMark/>
          </w:tcPr>
          <w:p w14:paraId="54EF2D86" w14:textId="21719FC4" w:rsidR="00F00CFD" w:rsidRPr="00FE0180" w:rsidRDefault="00F00CFD" w:rsidP="00046E15">
            <w:r w:rsidRPr="00FE0180">
              <w:t>Piat</w:t>
            </w:r>
            <w:r w:rsidR="00046E15">
              <w:t>,</w:t>
            </w:r>
            <w:r w:rsidR="00105582">
              <w:t xml:space="preserve"> </w:t>
            </w:r>
            <w:r w:rsidRPr="00FE0180">
              <w:t xml:space="preserve">Sabetti </w:t>
            </w:r>
            <w:r w:rsidR="00046E15">
              <w:t xml:space="preserve">&amp; </w:t>
            </w:r>
            <w:r w:rsidRPr="00FE0180">
              <w:t xml:space="preserve">Padgett </w:t>
            </w:r>
            <w:r>
              <w:t>(2018</w:t>
            </w:r>
            <w:r w:rsidR="00046E15">
              <w:t>b</w:t>
            </w:r>
            <w:r>
              <w:t>)</w:t>
            </w:r>
          </w:p>
        </w:tc>
        <w:tc>
          <w:tcPr>
            <w:tcW w:w="707" w:type="pct"/>
            <w:tcBorders>
              <w:top w:val="single" w:sz="4" w:space="0" w:color="auto"/>
              <w:left w:val="single" w:sz="4" w:space="0" w:color="auto"/>
              <w:bottom w:val="single" w:sz="4" w:space="0" w:color="auto"/>
              <w:right w:val="single" w:sz="4" w:space="0" w:color="auto"/>
            </w:tcBorders>
            <w:hideMark/>
          </w:tcPr>
          <w:p w14:paraId="76B2506F" w14:textId="77777777" w:rsidR="00F00CFD" w:rsidRPr="00FE0180" w:rsidRDefault="00F00CFD" w:rsidP="00046E15">
            <w:r w:rsidRPr="00FE0180">
              <w:t>To examine the experience of loneliness among people with psychiatric disabilities after moving from custodial housing, including group homes, boarding homes, and family-type residences to independent, supported apartments in the community.</w:t>
            </w:r>
          </w:p>
        </w:tc>
        <w:tc>
          <w:tcPr>
            <w:tcW w:w="404" w:type="pct"/>
            <w:tcBorders>
              <w:top w:val="single" w:sz="4" w:space="0" w:color="auto"/>
              <w:left w:val="single" w:sz="4" w:space="0" w:color="auto"/>
              <w:bottom w:val="single" w:sz="4" w:space="0" w:color="auto"/>
              <w:right w:val="single" w:sz="4" w:space="0" w:color="auto"/>
            </w:tcBorders>
          </w:tcPr>
          <w:p w14:paraId="31C49B9A" w14:textId="77777777" w:rsidR="00F00CFD" w:rsidRDefault="00F00CFD" w:rsidP="00046E15">
            <w:r w:rsidRPr="00FE0180">
              <w:t>Canada</w:t>
            </w:r>
          </w:p>
        </w:tc>
        <w:tc>
          <w:tcPr>
            <w:tcW w:w="606" w:type="pct"/>
            <w:tcBorders>
              <w:top w:val="single" w:sz="4" w:space="0" w:color="auto"/>
              <w:left w:val="single" w:sz="4" w:space="0" w:color="auto"/>
              <w:bottom w:val="single" w:sz="4" w:space="0" w:color="auto"/>
              <w:right w:val="single" w:sz="4" w:space="0" w:color="auto"/>
            </w:tcBorders>
          </w:tcPr>
          <w:p w14:paraId="5E921E5D" w14:textId="77777777" w:rsidR="00F00CFD" w:rsidRPr="00FE0180" w:rsidRDefault="00F00CFD" w:rsidP="00046E15">
            <w:r>
              <w:t>Semi-structured interviews (n=24)</w:t>
            </w:r>
          </w:p>
        </w:tc>
        <w:tc>
          <w:tcPr>
            <w:tcW w:w="619" w:type="pct"/>
            <w:tcBorders>
              <w:top w:val="single" w:sz="4" w:space="0" w:color="auto"/>
              <w:left w:val="single" w:sz="4" w:space="0" w:color="auto"/>
              <w:bottom w:val="single" w:sz="4" w:space="0" w:color="auto"/>
              <w:right w:val="single" w:sz="4" w:space="0" w:color="auto"/>
            </w:tcBorders>
            <w:hideMark/>
          </w:tcPr>
          <w:p w14:paraId="26A3B133" w14:textId="77777777" w:rsidR="00F00CFD" w:rsidRPr="00FE0180" w:rsidRDefault="00F00CFD" w:rsidP="00046E15">
            <w:r w:rsidRPr="00FE0180">
              <w:t xml:space="preserve">Psychiatric disability </w:t>
            </w:r>
          </w:p>
        </w:tc>
        <w:tc>
          <w:tcPr>
            <w:tcW w:w="1011" w:type="pct"/>
            <w:tcBorders>
              <w:top w:val="single" w:sz="4" w:space="0" w:color="auto"/>
              <w:left w:val="single" w:sz="4" w:space="0" w:color="auto"/>
              <w:bottom w:val="single" w:sz="4" w:space="0" w:color="auto"/>
              <w:right w:val="single" w:sz="4" w:space="0" w:color="auto"/>
            </w:tcBorders>
            <w:hideMark/>
          </w:tcPr>
          <w:p w14:paraId="70D1BC14"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39294134" w14:textId="77777777" w:rsidR="00F00CFD" w:rsidRPr="00FE0180" w:rsidRDefault="00F00CFD" w:rsidP="00046E15">
            <w:r w:rsidRPr="00FE0180">
              <w:t xml:space="preserve">Experience of deinstitutionalisation </w:t>
            </w:r>
          </w:p>
        </w:tc>
      </w:tr>
      <w:tr w:rsidR="00F00CFD" w:rsidRPr="00FE0180" w14:paraId="7BD27802"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56D77AD0" w14:textId="6BCAF301" w:rsidR="00F00CFD" w:rsidRPr="00FE0180" w:rsidRDefault="00F00CFD" w:rsidP="00046E15">
            <w:r>
              <w:t>11</w:t>
            </w:r>
            <w:r w:rsidR="00046E15">
              <w:t>6</w:t>
            </w:r>
          </w:p>
        </w:tc>
        <w:tc>
          <w:tcPr>
            <w:tcW w:w="573" w:type="pct"/>
            <w:tcBorders>
              <w:top w:val="single" w:sz="4" w:space="0" w:color="auto"/>
              <w:left w:val="single" w:sz="4" w:space="0" w:color="auto"/>
              <w:bottom w:val="single" w:sz="4" w:space="0" w:color="auto"/>
              <w:right w:val="single" w:sz="4" w:space="0" w:color="auto"/>
            </w:tcBorders>
            <w:hideMark/>
          </w:tcPr>
          <w:p w14:paraId="238F5D19" w14:textId="2628F0E1" w:rsidR="00F00CFD" w:rsidRPr="00FE0180" w:rsidRDefault="00F00CFD" w:rsidP="00046E15">
            <w:r w:rsidRPr="00FE0180">
              <w:t xml:space="preserve">Piat, </w:t>
            </w:r>
            <w:r>
              <w:t>(2000)</w:t>
            </w:r>
          </w:p>
        </w:tc>
        <w:tc>
          <w:tcPr>
            <w:tcW w:w="707" w:type="pct"/>
            <w:tcBorders>
              <w:top w:val="single" w:sz="4" w:space="0" w:color="auto"/>
              <w:left w:val="single" w:sz="4" w:space="0" w:color="auto"/>
              <w:bottom w:val="single" w:sz="4" w:space="0" w:color="auto"/>
              <w:right w:val="single" w:sz="4" w:space="0" w:color="auto"/>
            </w:tcBorders>
            <w:hideMark/>
          </w:tcPr>
          <w:p w14:paraId="4DF35243" w14:textId="77777777" w:rsidR="00F00CFD" w:rsidRPr="00FE0180" w:rsidRDefault="00F00CFD" w:rsidP="00046E15">
            <w:r w:rsidRPr="00FE0180">
              <w:t>The overall objective of the study was to better understand community opposition to group homes</w:t>
            </w:r>
          </w:p>
        </w:tc>
        <w:tc>
          <w:tcPr>
            <w:tcW w:w="404" w:type="pct"/>
            <w:tcBorders>
              <w:top w:val="single" w:sz="4" w:space="0" w:color="auto"/>
              <w:left w:val="single" w:sz="4" w:space="0" w:color="auto"/>
              <w:bottom w:val="single" w:sz="4" w:space="0" w:color="auto"/>
              <w:right w:val="single" w:sz="4" w:space="0" w:color="auto"/>
            </w:tcBorders>
          </w:tcPr>
          <w:p w14:paraId="0AA7A770" w14:textId="77777777" w:rsidR="00F00CFD" w:rsidRDefault="00F00CFD" w:rsidP="00046E15">
            <w:r w:rsidRPr="00FE0180">
              <w:t>Canada</w:t>
            </w:r>
          </w:p>
        </w:tc>
        <w:tc>
          <w:tcPr>
            <w:tcW w:w="606" w:type="pct"/>
            <w:tcBorders>
              <w:top w:val="single" w:sz="4" w:space="0" w:color="auto"/>
              <w:left w:val="single" w:sz="4" w:space="0" w:color="auto"/>
              <w:bottom w:val="single" w:sz="4" w:space="0" w:color="auto"/>
              <w:right w:val="single" w:sz="4" w:space="0" w:color="auto"/>
            </w:tcBorders>
          </w:tcPr>
          <w:p w14:paraId="5CCF3805" w14:textId="77777777" w:rsidR="00F00CFD" w:rsidRPr="00FE0180" w:rsidRDefault="00F00CFD" w:rsidP="00046E15">
            <w:r>
              <w:t>Semi-structured interviews (n=19)</w:t>
            </w:r>
          </w:p>
        </w:tc>
        <w:tc>
          <w:tcPr>
            <w:tcW w:w="619" w:type="pct"/>
            <w:tcBorders>
              <w:top w:val="single" w:sz="4" w:space="0" w:color="auto"/>
              <w:left w:val="single" w:sz="4" w:space="0" w:color="auto"/>
              <w:bottom w:val="single" w:sz="4" w:space="0" w:color="auto"/>
              <w:right w:val="single" w:sz="4" w:space="0" w:color="auto"/>
            </w:tcBorders>
            <w:hideMark/>
          </w:tcPr>
          <w:p w14:paraId="14A50AD6" w14:textId="77777777" w:rsidR="00F00CFD" w:rsidRPr="00FE0180" w:rsidRDefault="00F00CFD" w:rsidP="00046E15">
            <w:r w:rsidRPr="00FE0180">
              <w:t>Psychiatric disability, children with disability &amp; criminal offenders</w:t>
            </w:r>
          </w:p>
        </w:tc>
        <w:tc>
          <w:tcPr>
            <w:tcW w:w="1011" w:type="pct"/>
            <w:tcBorders>
              <w:top w:val="single" w:sz="4" w:space="0" w:color="auto"/>
              <w:left w:val="single" w:sz="4" w:space="0" w:color="auto"/>
              <w:bottom w:val="single" w:sz="4" w:space="0" w:color="auto"/>
              <w:right w:val="single" w:sz="4" w:space="0" w:color="auto"/>
            </w:tcBorders>
            <w:hideMark/>
          </w:tcPr>
          <w:p w14:paraId="1A9D6041"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22824D0C" w14:textId="77777777" w:rsidR="00F00CFD" w:rsidRPr="00FE0180" w:rsidRDefault="00F00CFD" w:rsidP="00046E15">
            <w:r w:rsidRPr="00FE0180">
              <w:t>Community attitudes</w:t>
            </w:r>
          </w:p>
        </w:tc>
      </w:tr>
      <w:tr w:rsidR="00F00CFD" w:rsidRPr="00FE0180" w14:paraId="4238B2C1"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5452DCD6" w14:textId="749DFB9F" w:rsidR="00F00CFD" w:rsidRPr="00FE0180" w:rsidRDefault="00F00CFD" w:rsidP="00046E15">
            <w:r>
              <w:t>11</w:t>
            </w:r>
            <w:r w:rsidR="00046E15">
              <w:t>7</w:t>
            </w:r>
          </w:p>
        </w:tc>
        <w:tc>
          <w:tcPr>
            <w:tcW w:w="573" w:type="pct"/>
            <w:tcBorders>
              <w:top w:val="single" w:sz="4" w:space="0" w:color="auto"/>
              <w:left w:val="single" w:sz="4" w:space="0" w:color="auto"/>
              <w:bottom w:val="single" w:sz="4" w:space="0" w:color="auto"/>
              <w:right w:val="single" w:sz="4" w:space="0" w:color="auto"/>
            </w:tcBorders>
            <w:hideMark/>
          </w:tcPr>
          <w:p w14:paraId="09EEDE2E" w14:textId="15AEF948" w:rsidR="00F00CFD" w:rsidRPr="00FE0180" w:rsidRDefault="00F00CFD" w:rsidP="00046E15">
            <w:r w:rsidRPr="00FE0180">
              <w:t>Piat</w:t>
            </w:r>
            <w:r w:rsidR="00046E15">
              <w:t xml:space="preserve"> et al</w:t>
            </w:r>
            <w:r w:rsidRPr="00FE0180">
              <w:t xml:space="preserve">, </w:t>
            </w:r>
            <w:r>
              <w:t>(2017)</w:t>
            </w:r>
          </w:p>
        </w:tc>
        <w:tc>
          <w:tcPr>
            <w:tcW w:w="707" w:type="pct"/>
            <w:tcBorders>
              <w:top w:val="single" w:sz="4" w:space="0" w:color="auto"/>
              <w:left w:val="single" w:sz="4" w:space="0" w:color="auto"/>
              <w:bottom w:val="single" w:sz="4" w:space="0" w:color="auto"/>
              <w:right w:val="single" w:sz="4" w:space="0" w:color="auto"/>
            </w:tcBorders>
            <w:hideMark/>
          </w:tcPr>
          <w:p w14:paraId="2BCE356C" w14:textId="77777777" w:rsidR="00F00CFD" w:rsidRPr="00FE0180" w:rsidRDefault="00F00CFD" w:rsidP="00046E15">
            <w:r w:rsidRPr="00FE0180">
              <w:t xml:space="preserve">The overall aim of this study was to explore the experiences of people with psychiatric disabilities living as tenants in independent, </w:t>
            </w:r>
            <w:r w:rsidRPr="00FE0180">
              <w:lastRenderedPageBreak/>
              <w:t>supported apartments for the first time</w:t>
            </w:r>
          </w:p>
        </w:tc>
        <w:tc>
          <w:tcPr>
            <w:tcW w:w="404" w:type="pct"/>
            <w:tcBorders>
              <w:top w:val="single" w:sz="4" w:space="0" w:color="auto"/>
              <w:left w:val="single" w:sz="4" w:space="0" w:color="auto"/>
              <w:bottom w:val="single" w:sz="4" w:space="0" w:color="auto"/>
              <w:right w:val="single" w:sz="4" w:space="0" w:color="auto"/>
            </w:tcBorders>
          </w:tcPr>
          <w:p w14:paraId="20E4383E" w14:textId="77777777" w:rsidR="00F00CFD" w:rsidRDefault="00F00CFD" w:rsidP="00046E15">
            <w:r w:rsidRPr="00FE0180">
              <w:lastRenderedPageBreak/>
              <w:t>Canada</w:t>
            </w:r>
          </w:p>
        </w:tc>
        <w:tc>
          <w:tcPr>
            <w:tcW w:w="606" w:type="pct"/>
            <w:tcBorders>
              <w:top w:val="single" w:sz="4" w:space="0" w:color="auto"/>
              <w:left w:val="single" w:sz="4" w:space="0" w:color="auto"/>
              <w:bottom w:val="single" w:sz="4" w:space="0" w:color="auto"/>
              <w:right w:val="single" w:sz="4" w:space="0" w:color="auto"/>
            </w:tcBorders>
          </w:tcPr>
          <w:p w14:paraId="6E4E6B5A" w14:textId="77777777" w:rsidR="00F00CFD" w:rsidRPr="00FE0180" w:rsidRDefault="00F00CFD" w:rsidP="00046E15">
            <w:r>
              <w:t>Semi-structured interviews (n=75)</w:t>
            </w:r>
          </w:p>
        </w:tc>
        <w:tc>
          <w:tcPr>
            <w:tcW w:w="619" w:type="pct"/>
            <w:tcBorders>
              <w:top w:val="single" w:sz="4" w:space="0" w:color="auto"/>
              <w:left w:val="single" w:sz="4" w:space="0" w:color="auto"/>
              <w:bottom w:val="single" w:sz="4" w:space="0" w:color="auto"/>
              <w:right w:val="single" w:sz="4" w:space="0" w:color="auto"/>
            </w:tcBorders>
            <w:hideMark/>
          </w:tcPr>
          <w:p w14:paraId="51794AD0" w14:textId="77777777" w:rsidR="00F00CFD" w:rsidRPr="00FE0180" w:rsidRDefault="00F00CFD" w:rsidP="00046E15">
            <w:r w:rsidRPr="00FE0180">
              <w:t xml:space="preserve">Psychiatric disability </w:t>
            </w:r>
          </w:p>
        </w:tc>
        <w:tc>
          <w:tcPr>
            <w:tcW w:w="1011" w:type="pct"/>
            <w:tcBorders>
              <w:top w:val="single" w:sz="4" w:space="0" w:color="auto"/>
              <w:left w:val="single" w:sz="4" w:space="0" w:color="auto"/>
              <w:bottom w:val="single" w:sz="4" w:space="0" w:color="auto"/>
              <w:right w:val="single" w:sz="4" w:space="0" w:color="auto"/>
            </w:tcBorders>
            <w:hideMark/>
          </w:tcPr>
          <w:p w14:paraId="3537F5CA" w14:textId="77777777" w:rsidR="00F00CFD" w:rsidRPr="00FE0180" w:rsidRDefault="00F00CFD" w:rsidP="00046E15">
            <w:r w:rsidRPr="00FE0180">
              <w:t>Independent living</w:t>
            </w:r>
          </w:p>
        </w:tc>
        <w:tc>
          <w:tcPr>
            <w:tcW w:w="846" w:type="pct"/>
            <w:tcBorders>
              <w:top w:val="single" w:sz="4" w:space="0" w:color="auto"/>
              <w:left w:val="single" w:sz="4" w:space="0" w:color="auto"/>
              <w:bottom w:val="single" w:sz="4" w:space="0" w:color="auto"/>
              <w:right w:val="single" w:sz="4" w:space="0" w:color="auto"/>
            </w:tcBorders>
            <w:hideMark/>
          </w:tcPr>
          <w:p w14:paraId="3EDD1342" w14:textId="77777777" w:rsidR="00F00CFD" w:rsidRPr="00FE0180" w:rsidRDefault="00F00CFD" w:rsidP="00046E15">
            <w:r w:rsidRPr="00FE0180">
              <w:t xml:space="preserve">Experience of deinstitutionalisation </w:t>
            </w:r>
          </w:p>
        </w:tc>
      </w:tr>
      <w:tr w:rsidR="00F00CFD" w:rsidRPr="00FE0180" w14:paraId="74B14E85"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142E5F8C" w14:textId="1274CEA9" w:rsidR="00F00CFD" w:rsidRPr="00FE0180" w:rsidRDefault="00F00CFD" w:rsidP="00046E15">
            <w:r>
              <w:t>1</w:t>
            </w:r>
            <w:r w:rsidR="00046E15">
              <w:t>18</w:t>
            </w:r>
          </w:p>
        </w:tc>
        <w:tc>
          <w:tcPr>
            <w:tcW w:w="573" w:type="pct"/>
            <w:tcBorders>
              <w:top w:val="single" w:sz="4" w:space="0" w:color="auto"/>
              <w:left w:val="single" w:sz="4" w:space="0" w:color="auto"/>
              <w:bottom w:val="single" w:sz="4" w:space="0" w:color="auto"/>
              <w:right w:val="single" w:sz="4" w:space="0" w:color="auto"/>
            </w:tcBorders>
            <w:hideMark/>
          </w:tcPr>
          <w:p w14:paraId="521431A2" w14:textId="19209806" w:rsidR="00F00CFD" w:rsidRPr="00FE0180" w:rsidRDefault="00F00CFD" w:rsidP="00046E15">
            <w:r w:rsidRPr="00FE0180">
              <w:t>Piat, Seida, Sabetti,</w:t>
            </w:r>
            <w:r w:rsidR="00046E15">
              <w:t xml:space="preserve"> &amp; </w:t>
            </w:r>
            <w:r w:rsidRPr="00FE0180">
              <w:t>Padgett</w:t>
            </w:r>
            <w:r w:rsidR="00105582">
              <w:t xml:space="preserve"> </w:t>
            </w:r>
            <w:r>
              <w:t>(2018)</w:t>
            </w:r>
          </w:p>
        </w:tc>
        <w:tc>
          <w:tcPr>
            <w:tcW w:w="707" w:type="pct"/>
            <w:tcBorders>
              <w:top w:val="single" w:sz="4" w:space="0" w:color="auto"/>
              <w:left w:val="single" w:sz="4" w:space="0" w:color="auto"/>
              <w:bottom w:val="single" w:sz="4" w:space="0" w:color="auto"/>
              <w:right w:val="single" w:sz="4" w:space="0" w:color="auto"/>
            </w:tcBorders>
            <w:hideMark/>
          </w:tcPr>
          <w:p w14:paraId="6BC10165" w14:textId="5720EE24" w:rsidR="00F00CFD" w:rsidRPr="00FE0180" w:rsidRDefault="00046E15" w:rsidP="00046E15">
            <w:r>
              <w:t>E</w:t>
            </w:r>
            <w:r w:rsidR="00F00CFD" w:rsidRPr="00FE0180">
              <w:t>xplor</w:t>
            </w:r>
            <w:r>
              <w:t>ed</w:t>
            </w:r>
            <w:r w:rsidR="00F00CFD" w:rsidRPr="00FE0180">
              <w:t xml:space="preserve"> how the move from supervised to supported housing affects recovery and community connections for individuals living with serious mental illness (SMI) in four Canadian cities.</w:t>
            </w:r>
          </w:p>
        </w:tc>
        <w:tc>
          <w:tcPr>
            <w:tcW w:w="404" w:type="pct"/>
            <w:tcBorders>
              <w:top w:val="single" w:sz="4" w:space="0" w:color="auto"/>
              <w:left w:val="single" w:sz="4" w:space="0" w:color="auto"/>
              <w:bottom w:val="single" w:sz="4" w:space="0" w:color="auto"/>
              <w:right w:val="single" w:sz="4" w:space="0" w:color="auto"/>
            </w:tcBorders>
          </w:tcPr>
          <w:p w14:paraId="665F6EF5" w14:textId="77777777" w:rsidR="00F00CFD" w:rsidRDefault="00F00CFD" w:rsidP="00046E15">
            <w:r w:rsidRPr="00FE0180">
              <w:t>Canada</w:t>
            </w:r>
          </w:p>
        </w:tc>
        <w:tc>
          <w:tcPr>
            <w:tcW w:w="606" w:type="pct"/>
            <w:tcBorders>
              <w:top w:val="single" w:sz="4" w:space="0" w:color="auto"/>
              <w:left w:val="single" w:sz="4" w:space="0" w:color="auto"/>
              <w:bottom w:val="single" w:sz="4" w:space="0" w:color="auto"/>
              <w:right w:val="single" w:sz="4" w:space="0" w:color="auto"/>
            </w:tcBorders>
          </w:tcPr>
          <w:p w14:paraId="7630A32A" w14:textId="77777777" w:rsidR="00F00CFD" w:rsidRPr="00FE0180" w:rsidRDefault="00F00CFD" w:rsidP="00046E15">
            <w:r>
              <w:t>Semi-structured interviews (n=17)</w:t>
            </w:r>
          </w:p>
        </w:tc>
        <w:tc>
          <w:tcPr>
            <w:tcW w:w="619" w:type="pct"/>
            <w:tcBorders>
              <w:top w:val="single" w:sz="4" w:space="0" w:color="auto"/>
              <w:left w:val="single" w:sz="4" w:space="0" w:color="auto"/>
              <w:bottom w:val="single" w:sz="4" w:space="0" w:color="auto"/>
              <w:right w:val="single" w:sz="4" w:space="0" w:color="auto"/>
            </w:tcBorders>
            <w:hideMark/>
          </w:tcPr>
          <w:p w14:paraId="42F06D41" w14:textId="77777777" w:rsidR="00F00CFD" w:rsidRPr="00FE0180" w:rsidRDefault="00F00CFD" w:rsidP="00046E15">
            <w:r w:rsidRPr="00FE0180">
              <w:t xml:space="preserve">Psychiatric disability </w:t>
            </w:r>
          </w:p>
        </w:tc>
        <w:tc>
          <w:tcPr>
            <w:tcW w:w="1011" w:type="pct"/>
            <w:tcBorders>
              <w:top w:val="single" w:sz="4" w:space="0" w:color="auto"/>
              <w:left w:val="single" w:sz="4" w:space="0" w:color="auto"/>
              <w:bottom w:val="single" w:sz="4" w:space="0" w:color="auto"/>
              <w:right w:val="single" w:sz="4" w:space="0" w:color="auto"/>
            </w:tcBorders>
            <w:hideMark/>
          </w:tcPr>
          <w:p w14:paraId="1C9C3F24"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312F0A77" w14:textId="77777777" w:rsidR="00F00CFD" w:rsidRPr="00FE0180" w:rsidRDefault="00F00CFD" w:rsidP="00046E15">
            <w:r w:rsidRPr="00FE0180">
              <w:t xml:space="preserve">Experience of deinstitutionalisation </w:t>
            </w:r>
          </w:p>
        </w:tc>
      </w:tr>
      <w:tr w:rsidR="00F00CFD" w:rsidRPr="00650916" w14:paraId="78EA724C" w14:textId="77777777" w:rsidTr="006E2C88">
        <w:tc>
          <w:tcPr>
            <w:tcW w:w="234" w:type="pct"/>
          </w:tcPr>
          <w:p w14:paraId="511E359B" w14:textId="3E7371F2"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w:t>
            </w:r>
            <w:r w:rsidR="00046E15">
              <w:rPr>
                <w:rFonts w:ascii="Calibri" w:eastAsia="Times New Roman" w:hAnsi="Calibri" w:cs="Calibri"/>
                <w:color w:val="000000"/>
                <w:lang w:eastAsia="en-AU"/>
              </w:rPr>
              <w:t>19</w:t>
            </w:r>
          </w:p>
        </w:tc>
        <w:tc>
          <w:tcPr>
            <w:tcW w:w="573" w:type="pct"/>
            <w:hideMark/>
          </w:tcPr>
          <w:p w14:paraId="0EFB6DB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Pillsuk M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2001</w:t>
            </w:r>
            <w:r>
              <w:rPr>
                <w:rFonts w:ascii="Calibri" w:eastAsia="Times New Roman" w:hAnsi="Calibri" w:cs="Calibri"/>
                <w:color w:val="000000"/>
                <w:lang w:eastAsia="en-AU"/>
              </w:rPr>
              <w:t>)</w:t>
            </w:r>
          </w:p>
        </w:tc>
        <w:tc>
          <w:tcPr>
            <w:tcW w:w="707" w:type="pct"/>
            <w:hideMark/>
          </w:tcPr>
          <w:p w14:paraId="5EAD3A0E"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The degree to which independent living programs may affect the quality of supportive networks among psychiatrically, disabled populations.</w:t>
            </w:r>
          </w:p>
        </w:tc>
        <w:tc>
          <w:tcPr>
            <w:tcW w:w="404" w:type="pct"/>
            <w:hideMark/>
          </w:tcPr>
          <w:p w14:paraId="369921D9"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USA</w:t>
            </w:r>
          </w:p>
        </w:tc>
        <w:tc>
          <w:tcPr>
            <w:tcW w:w="606" w:type="pct"/>
            <w:hideMark/>
          </w:tcPr>
          <w:p w14:paraId="2BB457D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Cross sectional two group design EIL compared with non-EIL</w:t>
            </w:r>
          </w:p>
        </w:tc>
        <w:tc>
          <w:tcPr>
            <w:tcW w:w="619" w:type="pct"/>
            <w:hideMark/>
          </w:tcPr>
          <w:p w14:paraId="409B0DC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Psychiatric diagnosis </w:t>
            </w:r>
          </w:p>
        </w:tc>
        <w:tc>
          <w:tcPr>
            <w:tcW w:w="1011" w:type="pct"/>
            <w:hideMark/>
          </w:tcPr>
          <w:p w14:paraId="176B6A8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Experiment in Independent Living (EIL) is a social rehabilitation program administered by Transitional Living Choices, Inc. (TLC) for psychiatrically disabled adults in Sacramento County. Begun in 1978 as a transitional program for individuals living with their families or in any of the board-and-care facilities throughout the county, the program was designed to teach people independent living skills and to connect them with community resources, including public </w:t>
            </w:r>
            <w:r w:rsidRPr="00650916">
              <w:rPr>
                <w:rFonts w:ascii="Calibri" w:eastAsia="Times New Roman" w:hAnsi="Calibri" w:cs="Calibri"/>
                <w:color w:val="000000"/>
                <w:lang w:eastAsia="en-AU"/>
              </w:rPr>
              <w:lastRenderedPageBreak/>
              <w:t>transportation, educational facilities, and</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leisure activities. An important feature is the requirement of at least 15 hours per week of regular paid or volunteer) employment in the community. The staff assists the individual in finding a placement by working closely with the employer or supervisor and with the employee.</w:t>
            </w:r>
          </w:p>
        </w:tc>
        <w:tc>
          <w:tcPr>
            <w:tcW w:w="846" w:type="pct"/>
            <w:hideMark/>
          </w:tcPr>
          <w:p w14:paraId="0EE16B9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Evaluation of six month</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Experiment in Independent Living (EIL) programme which included 15 hours/week paid work.</w:t>
            </w:r>
          </w:p>
        </w:tc>
      </w:tr>
      <w:tr w:rsidR="00F00CFD" w:rsidRPr="00F66260" w14:paraId="533727F7" w14:textId="77777777" w:rsidTr="006E2C88">
        <w:tc>
          <w:tcPr>
            <w:tcW w:w="234" w:type="pct"/>
          </w:tcPr>
          <w:p w14:paraId="552FCF02" w14:textId="1CE5FEFA" w:rsidR="00F00CFD" w:rsidRPr="00F66260" w:rsidRDefault="00F00CFD" w:rsidP="00046E15">
            <w:r>
              <w:t>12</w:t>
            </w:r>
            <w:r w:rsidR="00046E15">
              <w:t>0</w:t>
            </w:r>
          </w:p>
        </w:tc>
        <w:tc>
          <w:tcPr>
            <w:tcW w:w="573" w:type="pct"/>
            <w:hideMark/>
          </w:tcPr>
          <w:p w14:paraId="2625743E" w14:textId="77777777" w:rsidR="00F00CFD" w:rsidRPr="00F66260" w:rsidRDefault="00F00CFD" w:rsidP="00046E15">
            <w:r w:rsidRPr="00F66260">
              <w:t>Pollard</w:t>
            </w:r>
            <w:r>
              <w:t xml:space="preserve"> et al (2015)</w:t>
            </w:r>
          </w:p>
        </w:tc>
        <w:tc>
          <w:tcPr>
            <w:tcW w:w="707" w:type="pct"/>
          </w:tcPr>
          <w:p w14:paraId="05E93350" w14:textId="77777777" w:rsidR="00F00CFD" w:rsidRPr="00F66260" w:rsidRDefault="00F00CFD" w:rsidP="00046E15">
            <w:r w:rsidRPr="00F66260">
              <w:t>A qualitative study of successful transitions for people with intellectual disabilities</w:t>
            </w:r>
          </w:p>
        </w:tc>
        <w:tc>
          <w:tcPr>
            <w:tcW w:w="404" w:type="pct"/>
            <w:noWrap/>
            <w:hideMark/>
          </w:tcPr>
          <w:p w14:paraId="5E622DCC" w14:textId="77777777" w:rsidR="00F00CFD" w:rsidRPr="00F66260" w:rsidRDefault="00F00CFD" w:rsidP="00046E15">
            <w:r w:rsidRPr="00F66260">
              <w:t>USA</w:t>
            </w:r>
          </w:p>
        </w:tc>
        <w:tc>
          <w:tcPr>
            <w:tcW w:w="606" w:type="pct"/>
            <w:noWrap/>
          </w:tcPr>
          <w:p w14:paraId="7783CB9D" w14:textId="77777777" w:rsidR="00F00CFD" w:rsidRPr="00F66260" w:rsidRDefault="00F00CFD" w:rsidP="00046E15">
            <w:r>
              <w:t>Dissertation. Qualitative. Grey literature.</w:t>
            </w:r>
          </w:p>
        </w:tc>
        <w:tc>
          <w:tcPr>
            <w:tcW w:w="619" w:type="pct"/>
            <w:noWrap/>
            <w:hideMark/>
          </w:tcPr>
          <w:p w14:paraId="16274471" w14:textId="77777777" w:rsidR="00F00CFD" w:rsidRPr="00F66260" w:rsidRDefault="00F00CFD" w:rsidP="00046E15">
            <w:r w:rsidRPr="00F66260">
              <w:t>Mild intellectual disability (n=10 people aged 21 years and over</w:t>
            </w:r>
            <w:r>
              <w:t>)</w:t>
            </w:r>
          </w:p>
        </w:tc>
        <w:tc>
          <w:tcPr>
            <w:tcW w:w="1011" w:type="pct"/>
            <w:hideMark/>
          </w:tcPr>
          <w:p w14:paraId="7B796702" w14:textId="77777777" w:rsidR="00F00CFD" w:rsidRPr="00F66260" w:rsidRDefault="00F00CFD" w:rsidP="00046E15">
            <w:r w:rsidRPr="00F66260">
              <w:t xml:space="preserve">Intermediate care facility move to the community </w:t>
            </w:r>
          </w:p>
        </w:tc>
        <w:tc>
          <w:tcPr>
            <w:tcW w:w="846" w:type="pct"/>
            <w:noWrap/>
            <w:hideMark/>
          </w:tcPr>
          <w:p w14:paraId="7B71AE43" w14:textId="77777777" w:rsidR="00F00CFD" w:rsidRPr="00F66260" w:rsidRDefault="00F00CFD" w:rsidP="00046E15">
            <w:r w:rsidRPr="00F66260">
              <w:t xml:space="preserve">To community </w:t>
            </w:r>
          </w:p>
        </w:tc>
      </w:tr>
      <w:tr w:rsidR="00F00CFD" w:rsidRPr="00F66260" w14:paraId="66634A68" w14:textId="77777777" w:rsidTr="006E2C88">
        <w:tc>
          <w:tcPr>
            <w:tcW w:w="234" w:type="pct"/>
          </w:tcPr>
          <w:p w14:paraId="060510AA" w14:textId="61372DD4" w:rsidR="00F00CFD" w:rsidRPr="00F66260" w:rsidRDefault="00F00CFD" w:rsidP="00046E15">
            <w:r>
              <w:t>12</w:t>
            </w:r>
            <w:r w:rsidR="00046E15">
              <w:t>1</w:t>
            </w:r>
          </w:p>
        </w:tc>
        <w:tc>
          <w:tcPr>
            <w:tcW w:w="573" w:type="pct"/>
            <w:hideMark/>
          </w:tcPr>
          <w:p w14:paraId="0B5D0CBF" w14:textId="77777777" w:rsidR="00F00CFD" w:rsidRPr="00F66260" w:rsidRDefault="00F00CFD" w:rsidP="00046E15">
            <w:r w:rsidRPr="00F66260">
              <w:t>Powell</w:t>
            </w:r>
            <w:r>
              <w:t xml:space="preserve"> (2012)</w:t>
            </w:r>
          </w:p>
        </w:tc>
        <w:tc>
          <w:tcPr>
            <w:tcW w:w="707" w:type="pct"/>
          </w:tcPr>
          <w:p w14:paraId="0BBEBDB4" w14:textId="77777777" w:rsidR="00F00CFD" w:rsidRPr="00F66260" w:rsidRDefault="00F00CFD" w:rsidP="00046E15">
            <w:r>
              <w:t xml:space="preserve">Exploring active support as mechanism to support transition </w:t>
            </w:r>
          </w:p>
        </w:tc>
        <w:tc>
          <w:tcPr>
            <w:tcW w:w="404" w:type="pct"/>
            <w:noWrap/>
            <w:hideMark/>
          </w:tcPr>
          <w:p w14:paraId="2F804C5A" w14:textId="77777777" w:rsidR="00F00CFD" w:rsidRPr="00F66260" w:rsidRDefault="00F00CFD" w:rsidP="00046E15">
            <w:r w:rsidRPr="00F66260">
              <w:t>UK</w:t>
            </w:r>
          </w:p>
        </w:tc>
        <w:tc>
          <w:tcPr>
            <w:tcW w:w="606" w:type="pct"/>
            <w:noWrap/>
          </w:tcPr>
          <w:p w14:paraId="67FDE7BE" w14:textId="77777777" w:rsidR="00F00CFD" w:rsidRPr="00F66260" w:rsidRDefault="00F00CFD" w:rsidP="00046E15">
            <w:r>
              <w:t>Case study. Grey literature</w:t>
            </w:r>
          </w:p>
        </w:tc>
        <w:tc>
          <w:tcPr>
            <w:tcW w:w="619" w:type="pct"/>
            <w:noWrap/>
            <w:hideMark/>
          </w:tcPr>
          <w:p w14:paraId="12B05611" w14:textId="77777777" w:rsidR="00F00CFD" w:rsidRPr="00F66260" w:rsidRDefault="00F00CFD" w:rsidP="00046E15">
            <w:r w:rsidRPr="00F66260">
              <w:t>Learning disability (n=1)</w:t>
            </w:r>
          </w:p>
        </w:tc>
        <w:tc>
          <w:tcPr>
            <w:tcW w:w="1011" w:type="pct"/>
            <w:hideMark/>
          </w:tcPr>
          <w:p w14:paraId="11E28F30" w14:textId="77777777" w:rsidR="00F00CFD" w:rsidRPr="00F66260" w:rsidRDefault="00F00CFD" w:rsidP="00046E15">
            <w:r w:rsidRPr="00F66260">
              <w:t>Independent community based living; own flat; Active Support</w:t>
            </w:r>
          </w:p>
        </w:tc>
        <w:tc>
          <w:tcPr>
            <w:tcW w:w="846" w:type="pct"/>
            <w:noWrap/>
            <w:hideMark/>
          </w:tcPr>
          <w:p w14:paraId="3B9BE314" w14:textId="77777777" w:rsidR="00F00CFD" w:rsidRPr="00F66260" w:rsidRDefault="00F00CFD" w:rsidP="00046E15">
            <w:r w:rsidRPr="00F66260">
              <w:t>Independent</w:t>
            </w:r>
          </w:p>
        </w:tc>
      </w:tr>
      <w:tr w:rsidR="00F00CFD" w:rsidRPr="00FE0180" w14:paraId="0754C5CF"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0A2A7750" w14:textId="0ECCC891" w:rsidR="00F00CFD" w:rsidRPr="00FE0180" w:rsidRDefault="00F00CFD" w:rsidP="00046E15">
            <w:r>
              <w:t>12</w:t>
            </w:r>
            <w:r w:rsidR="00046E15">
              <w:t>2</w:t>
            </w:r>
          </w:p>
        </w:tc>
        <w:tc>
          <w:tcPr>
            <w:tcW w:w="573" w:type="pct"/>
            <w:tcBorders>
              <w:top w:val="single" w:sz="4" w:space="0" w:color="auto"/>
              <w:left w:val="single" w:sz="4" w:space="0" w:color="auto"/>
              <w:bottom w:val="single" w:sz="4" w:space="0" w:color="auto"/>
              <w:right w:val="single" w:sz="4" w:space="0" w:color="auto"/>
            </w:tcBorders>
            <w:hideMark/>
          </w:tcPr>
          <w:p w14:paraId="1A2FF163" w14:textId="23FF28CB" w:rsidR="00F00CFD" w:rsidRPr="00FE0180" w:rsidRDefault="00F00CFD" w:rsidP="00046E15">
            <w:r w:rsidRPr="00FE0180">
              <w:t xml:space="preserve">Puyaltó, </w:t>
            </w:r>
            <w:r w:rsidR="00046E15">
              <w:t xml:space="preserve">&amp; </w:t>
            </w:r>
            <w:r w:rsidRPr="00FE0180">
              <w:t xml:space="preserve">Pallisera, </w:t>
            </w:r>
            <w:r>
              <w:t>(2018)</w:t>
            </w:r>
          </w:p>
        </w:tc>
        <w:tc>
          <w:tcPr>
            <w:tcW w:w="707" w:type="pct"/>
            <w:tcBorders>
              <w:top w:val="single" w:sz="4" w:space="0" w:color="auto"/>
              <w:left w:val="single" w:sz="4" w:space="0" w:color="auto"/>
              <w:bottom w:val="single" w:sz="4" w:space="0" w:color="auto"/>
              <w:right w:val="single" w:sz="4" w:space="0" w:color="auto"/>
            </w:tcBorders>
            <w:hideMark/>
          </w:tcPr>
          <w:p w14:paraId="3C4C14B8" w14:textId="77777777" w:rsidR="00F00CFD" w:rsidRPr="00FE0180" w:rsidRDefault="00F00CFD" w:rsidP="00046E15">
            <w:r w:rsidRPr="00FE0180">
              <w:t xml:space="preserve">The aim of this research is to explore the barriers and supports that people with intellectual disability (ID) themselves believe </w:t>
            </w:r>
            <w:r w:rsidRPr="00FE0180">
              <w:lastRenderedPageBreak/>
              <w:t>affect their exercising of this right</w:t>
            </w:r>
          </w:p>
        </w:tc>
        <w:tc>
          <w:tcPr>
            <w:tcW w:w="404" w:type="pct"/>
            <w:tcBorders>
              <w:top w:val="single" w:sz="4" w:space="0" w:color="auto"/>
              <w:left w:val="single" w:sz="4" w:space="0" w:color="auto"/>
              <w:bottom w:val="single" w:sz="4" w:space="0" w:color="auto"/>
              <w:right w:val="single" w:sz="4" w:space="0" w:color="auto"/>
            </w:tcBorders>
          </w:tcPr>
          <w:p w14:paraId="4DC3A1B2" w14:textId="77777777" w:rsidR="00F00CFD" w:rsidRDefault="00F00CFD" w:rsidP="00046E15">
            <w:r w:rsidRPr="00FE0180">
              <w:lastRenderedPageBreak/>
              <w:t>Spain</w:t>
            </w:r>
          </w:p>
        </w:tc>
        <w:tc>
          <w:tcPr>
            <w:tcW w:w="606" w:type="pct"/>
            <w:tcBorders>
              <w:top w:val="single" w:sz="4" w:space="0" w:color="auto"/>
              <w:left w:val="single" w:sz="4" w:space="0" w:color="auto"/>
              <w:bottom w:val="single" w:sz="4" w:space="0" w:color="auto"/>
              <w:right w:val="single" w:sz="4" w:space="0" w:color="auto"/>
            </w:tcBorders>
          </w:tcPr>
          <w:p w14:paraId="651F151C" w14:textId="77777777" w:rsidR="00F00CFD" w:rsidRPr="00FE0180" w:rsidRDefault="00F00CFD" w:rsidP="00046E15">
            <w:r>
              <w:t>In depth interview (n=22)</w:t>
            </w:r>
          </w:p>
        </w:tc>
        <w:tc>
          <w:tcPr>
            <w:tcW w:w="619" w:type="pct"/>
            <w:tcBorders>
              <w:top w:val="single" w:sz="4" w:space="0" w:color="auto"/>
              <w:left w:val="single" w:sz="4" w:space="0" w:color="auto"/>
              <w:bottom w:val="single" w:sz="4" w:space="0" w:color="auto"/>
              <w:right w:val="single" w:sz="4" w:space="0" w:color="auto"/>
            </w:tcBorders>
            <w:hideMark/>
          </w:tcPr>
          <w:p w14:paraId="7479BF24" w14:textId="77777777" w:rsidR="00F00CFD" w:rsidRPr="00FE0180" w:rsidRDefault="00F00CFD" w:rsidP="00046E15">
            <w:r w:rsidRPr="00FE0180">
              <w:t xml:space="preserve">Intellectual disability </w:t>
            </w:r>
          </w:p>
        </w:tc>
        <w:tc>
          <w:tcPr>
            <w:tcW w:w="1011" w:type="pct"/>
            <w:tcBorders>
              <w:top w:val="single" w:sz="4" w:space="0" w:color="auto"/>
              <w:left w:val="single" w:sz="4" w:space="0" w:color="auto"/>
              <w:bottom w:val="single" w:sz="4" w:space="0" w:color="auto"/>
              <w:right w:val="single" w:sz="4" w:space="0" w:color="auto"/>
            </w:tcBorders>
            <w:hideMark/>
          </w:tcPr>
          <w:p w14:paraId="7DA6BE76"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00E5B4C6" w14:textId="77777777" w:rsidR="00F00CFD" w:rsidRPr="00FE0180" w:rsidRDefault="00F00CFD" w:rsidP="00046E15">
            <w:r w:rsidRPr="00FE0180">
              <w:t xml:space="preserve">Experience of deinstitutionalisation </w:t>
            </w:r>
          </w:p>
        </w:tc>
      </w:tr>
      <w:tr w:rsidR="00F00CFD" w:rsidRPr="00650916" w14:paraId="2CE99D72" w14:textId="77777777" w:rsidTr="00AE0078">
        <w:tc>
          <w:tcPr>
            <w:tcW w:w="234" w:type="pct"/>
          </w:tcPr>
          <w:p w14:paraId="5A353A51" w14:textId="1EF6F6B8"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12</w:t>
            </w:r>
            <w:r w:rsidR="00046E15">
              <w:rPr>
                <w:rFonts w:ascii="Calibri" w:eastAsia="Times New Roman" w:hAnsi="Calibri" w:cs="Calibri"/>
                <w:color w:val="000000"/>
                <w:lang w:eastAsia="en-AU"/>
              </w:rPr>
              <w:t>3</w:t>
            </w:r>
          </w:p>
        </w:tc>
        <w:tc>
          <w:tcPr>
            <w:tcW w:w="573" w:type="pct"/>
            <w:hideMark/>
          </w:tcPr>
          <w:p w14:paraId="470B0988" w14:textId="4DBD3CCC"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Quinsey </w:t>
            </w:r>
            <w:r w:rsidR="00046E15">
              <w:rPr>
                <w:rFonts w:ascii="Calibri" w:eastAsia="Times New Roman" w:hAnsi="Calibri" w:cs="Calibri"/>
                <w:color w:val="000000"/>
                <w:lang w:eastAsia="en-AU"/>
              </w:rPr>
              <w:t xml:space="preserve">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2004</w:t>
            </w:r>
            <w:r>
              <w:rPr>
                <w:rFonts w:ascii="Calibri" w:eastAsia="Times New Roman" w:hAnsi="Calibri" w:cs="Calibri"/>
                <w:color w:val="000000"/>
                <w:lang w:eastAsia="en-AU"/>
              </w:rPr>
              <w:t>)</w:t>
            </w:r>
          </w:p>
        </w:tc>
        <w:tc>
          <w:tcPr>
            <w:tcW w:w="707" w:type="pct"/>
            <w:hideMark/>
          </w:tcPr>
          <w:p w14:paraId="0D798F4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An evaluation of antisocial behaviour before and after de-institutionalisation in men with ID and serious antisocial behaviours.</w:t>
            </w:r>
          </w:p>
        </w:tc>
        <w:tc>
          <w:tcPr>
            <w:tcW w:w="404" w:type="pct"/>
            <w:hideMark/>
          </w:tcPr>
          <w:p w14:paraId="0B7B889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Canada</w:t>
            </w:r>
          </w:p>
        </w:tc>
        <w:tc>
          <w:tcPr>
            <w:tcW w:w="606" w:type="pct"/>
            <w:hideMark/>
          </w:tcPr>
          <w:p w14:paraId="1D32E55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One group pre/post </w:t>
            </w:r>
          </w:p>
        </w:tc>
        <w:tc>
          <w:tcPr>
            <w:tcW w:w="619" w:type="pct"/>
            <w:hideMark/>
          </w:tcPr>
          <w:p w14:paraId="4495ED9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shd w:val="clear" w:color="auto" w:fill="auto"/>
            <w:hideMark/>
          </w:tcPr>
          <w:p w14:paraId="46C8744D" w14:textId="4E703B98" w:rsidR="00F00CFD" w:rsidRPr="00650916" w:rsidRDefault="006A0B5E" w:rsidP="00046E15">
            <w:pPr>
              <w:rPr>
                <w:rFonts w:ascii="Calibri" w:eastAsia="Times New Roman" w:hAnsi="Calibri" w:cs="Calibri"/>
                <w:color w:val="000000"/>
                <w:lang w:eastAsia="en-AU"/>
              </w:rPr>
            </w:pPr>
            <w:r>
              <w:rPr>
                <w:rFonts w:ascii="Calibri" w:eastAsia="Times New Roman" w:hAnsi="Calibri" w:cs="Calibri"/>
                <w:color w:val="000000"/>
                <w:lang w:eastAsia="en-AU"/>
              </w:rPr>
              <w:t>Deins</w:t>
            </w:r>
            <w:r w:rsidR="00270F04">
              <w:rPr>
                <w:rFonts w:ascii="Calibri" w:eastAsia="Times New Roman" w:hAnsi="Calibri" w:cs="Calibri"/>
                <w:color w:val="000000"/>
                <w:lang w:eastAsia="en-AU"/>
              </w:rPr>
              <w:t xml:space="preserve">titutionalisation </w:t>
            </w:r>
          </w:p>
        </w:tc>
        <w:tc>
          <w:tcPr>
            <w:tcW w:w="846" w:type="pct"/>
            <w:hideMark/>
          </w:tcPr>
          <w:p w14:paraId="13227B87"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 from institution to de-congregated setting</w:t>
            </w:r>
          </w:p>
        </w:tc>
      </w:tr>
      <w:tr w:rsidR="00F00CFD" w:rsidRPr="00F66260" w14:paraId="33526A25" w14:textId="77777777" w:rsidTr="006E2C88">
        <w:tc>
          <w:tcPr>
            <w:tcW w:w="234" w:type="pct"/>
          </w:tcPr>
          <w:p w14:paraId="1949E91F" w14:textId="65B2FF3F" w:rsidR="00F00CFD" w:rsidRPr="00F66260" w:rsidRDefault="00F00CFD" w:rsidP="00046E15">
            <w:r>
              <w:t>12</w:t>
            </w:r>
            <w:r w:rsidR="00046E15">
              <w:t>4</w:t>
            </w:r>
          </w:p>
        </w:tc>
        <w:tc>
          <w:tcPr>
            <w:tcW w:w="573" w:type="pct"/>
            <w:hideMark/>
          </w:tcPr>
          <w:p w14:paraId="43810169" w14:textId="77777777" w:rsidR="00F00CFD" w:rsidRPr="00F66260" w:rsidRDefault="00F00CFD" w:rsidP="00046E15">
            <w:r w:rsidRPr="00F66260">
              <w:t>Regnier</w:t>
            </w:r>
            <w:r>
              <w:t xml:space="preserve"> et al (2009)</w:t>
            </w:r>
          </w:p>
        </w:tc>
        <w:tc>
          <w:tcPr>
            <w:tcW w:w="707" w:type="pct"/>
          </w:tcPr>
          <w:p w14:paraId="471FE6FF" w14:textId="77777777" w:rsidR="00F00CFD" w:rsidRPr="00F66260" w:rsidRDefault="00F00CFD" w:rsidP="00046E15">
            <w:r w:rsidRPr="00F66260">
              <w:t>Ten new and emerging trends in residential group living environments</w:t>
            </w:r>
          </w:p>
        </w:tc>
        <w:tc>
          <w:tcPr>
            <w:tcW w:w="404" w:type="pct"/>
            <w:noWrap/>
            <w:hideMark/>
          </w:tcPr>
          <w:p w14:paraId="2DED93EA" w14:textId="77777777" w:rsidR="00F00CFD" w:rsidRPr="00F66260" w:rsidRDefault="00F00CFD" w:rsidP="00046E15">
            <w:r w:rsidRPr="00F66260">
              <w:t>USA</w:t>
            </w:r>
          </w:p>
        </w:tc>
        <w:tc>
          <w:tcPr>
            <w:tcW w:w="606" w:type="pct"/>
            <w:noWrap/>
          </w:tcPr>
          <w:p w14:paraId="0E50323B" w14:textId="77777777" w:rsidR="00F00CFD" w:rsidRPr="00F66260" w:rsidRDefault="00F00CFD" w:rsidP="00046E15">
            <w:r>
              <w:t xml:space="preserve">Discussion. Grey literature. </w:t>
            </w:r>
          </w:p>
        </w:tc>
        <w:tc>
          <w:tcPr>
            <w:tcW w:w="619" w:type="pct"/>
            <w:noWrap/>
            <w:hideMark/>
          </w:tcPr>
          <w:p w14:paraId="35A3BA15" w14:textId="77777777" w:rsidR="00F00CFD" w:rsidRPr="00F66260" w:rsidRDefault="00F00CFD" w:rsidP="00046E15">
            <w:r w:rsidRPr="00F66260">
              <w:t xml:space="preserve">Physically challenged neuro disabilities </w:t>
            </w:r>
          </w:p>
        </w:tc>
        <w:tc>
          <w:tcPr>
            <w:tcW w:w="1011" w:type="pct"/>
            <w:hideMark/>
          </w:tcPr>
          <w:p w14:paraId="65267764" w14:textId="77777777" w:rsidR="00F00CFD" w:rsidRPr="00F66260" w:rsidRDefault="00F00CFD" w:rsidP="00046E15">
            <w:r w:rsidRPr="00F66260">
              <w:t xml:space="preserve">Residential design approaches; home care style methods for service delivery </w:t>
            </w:r>
          </w:p>
        </w:tc>
        <w:tc>
          <w:tcPr>
            <w:tcW w:w="846" w:type="pct"/>
            <w:noWrap/>
            <w:hideMark/>
          </w:tcPr>
          <w:p w14:paraId="0FBF2746" w14:textId="77777777" w:rsidR="00F00CFD" w:rsidRPr="00F66260" w:rsidRDefault="00F00CFD" w:rsidP="00046E15">
            <w:r w:rsidRPr="00F66260">
              <w:t>Residential design</w:t>
            </w:r>
          </w:p>
        </w:tc>
      </w:tr>
      <w:tr w:rsidR="00F00CFD" w:rsidRPr="00F66260" w14:paraId="45157771" w14:textId="77777777" w:rsidTr="006E2C88">
        <w:tc>
          <w:tcPr>
            <w:tcW w:w="234" w:type="pct"/>
          </w:tcPr>
          <w:p w14:paraId="7BBECC61" w14:textId="6C391A4D" w:rsidR="00F00CFD" w:rsidRPr="00F66260" w:rsidRDefault="00F00CFD" w:rsidP="00046E15">
            <w:r>
              <w:t>12</w:t>
            </w:r>
            <w:r w:rsidR="00046E15">
              <w:t>5</w:t>
            </w:r>
          </w:p>
        </w:tc>
        <w:tc>
          <w:tcPr>
            <w:tcW w:w="573" w:type="pct"/>
            <w:hideMark/>
          </w:tcPr>
          <w:p w14:paraId="61B39541" w14:textId="77777777" w:rsidR="00F00CFD" w:rsidRPr="00F66260" w:rsidRDefault="00F00CFD" w:rsidP="00046E15">
            <w:r w:rsidRPr="00F66260">
              <w:t>Ritchie</w:t>
            </w:r>
            <w:r>
              <w:t xml:space="preserve"> et al (2004)</w:t>
            </w:r>
          </w:p>
        </w:tc>
        <w:tc>
          <w:tcPr>
            <w:tcW w:w="707" w:type="pct"/>
          </w:tcPr>
          <w:p w14:paraId="4171CDBB" w14:textId="77777777" w:rsidR="00F00CFD" w:rsidRPr="00F66260" w:rsidRDefault="00F00CFD" w:rsidP="00046E15">
            <w:r>
              <w:t>A</w:t>
            </w:r>
            <w:r w:rsidRPr="00F66260">
              <w:t xml:space="preserve"> study of on-line services and web site accessibility at Centers for Independent Living</w:t>
            </w:r>
          </w:p>
        </w:tc>
        <w:tc>
          <w:tcPr>
            <w:tcW w:w="404" w:type="pct"/>
            <w:noWrap/>
            <w:hideMark/>
          </w:tcPr>
          <w:p w14:paraId="45EE6715" w14:textId="77777777" w:rsidR="00F00CFD" w:rsidRPr="00F66260" w:rsidRDefault="00F00CFD" w:rsidP="00046E15">
            <w:r w:rsidRPr="00F66260">
              <w:t xml:space="preserve">United States </w:t>
            </w:r>
          </w:p>
        </w:tc>
        <w:tc>
          <w:tcPr>
            <w:tcW w:w="606" w:type="pct"/>
            <w:noWrap/>
          </w:tcPr>
          <w:p w14:paraId="65F57CE6" w14:textId="77777777" w:rsidR="00F00CFD" w:rsidRPr="00F66260" w:rsidRDefault="00F00CFD" w:rsidP="00046E15">
            <w:r>
              <w:t>Desk based review. Grey literature.</w:t>
            </w:r>
          </w:p>
        </w:tc>
        <w:tc>
          <w:tcPr>
            <w:tcW w:w="619" w:type="pct"/>
            <w:noWrap/>
            <w:hideMark/>
          </w:tcPr>
          <w:p w14:paraId="15C56F74" w14:textId="77777777" w:rsidR="00F00CFD" w:rsidRPr="00F66260" w:rsidRDefault="00F00CFD" w:rsidP="00046E15">
            <w:r w:rsidRPr="00F66260">
              <w:t>Disability (n=200 CIL internet sites)</w:t>
            </w:r>
          </w:p>
        </w:tc>
        <w:tc>
          <w:tcPr>
            <w:tcW w:w="1011" w:type="pct"/>
            <w:hideMark/>
          </w:tcPr>
          <w:p w14:paraId="52517E32" w14:textId="1F0AF2C1" w:rsidR="00F00CFD" w:rsidRPr="00F66260" w:rsidRDefault="00F00CFD" w:rsidP="00046E15">
            <w:r w:rsidRPr="00F66260">
              <w:t>Centres for Independent Living &amp; web</w:t>
            </w:r>
            <w:r w:rsidR="00046E15">
              <w:t>-</w:t>
            </w:r>
            <w:r w:rsidRPr="00F66260">
              <w:t>based supports</w:t>
            </w:r>
          </w:p>
        </w:tc>
        <w:tc>
          <w:tcPr>
            <w:tcW w:w="846" w:type="pct"/>
            <w:noWrap/>
            <w:hideMark/>
          </w:tcPr>
          <w:p w14:paraId="1B6321D4" w14:textId="77777777" w:rsidR="00F00CFD" w:rsidRPr="00F66260" w:rsidRDefault="00F00CFD" w:rsidP="00046E15">
            <w:r w:rsidRPr="00F66260">
              <w:t>To independent living</w:t>
            </w:r>
          </w:p>
        </w:tc>
      </w:tr>
      <w:tr w:rsidR="00F00CFD" w:rsidRPr="00650916" w14:paraId="04984790" w14:textId="77777777" w:rsidTr="00AE0078">
        <w:tc>
          <w:tcPr>
            <w:tcW w:w="234" w:type="pct"/>
          </w:tcPr>
          <w:p w14:paraId="6393F115" w14:textId="3B2A98EA"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12</w:t>
            </w:r>
            <w:r w:rsidR="00046E15">
              <w:rPr>
                <w:rFonts w:ascii="Calibri" w:eastAsia="Times New Roman" w:hAnsi="Calibri" w:cs="Calibri"/>
                <w:color w:val="000000"/>
                <w:lang w:eastAsia="en-AU"/>
              </w:rPr>
              <w:t>6</w:t>
            </w:r>
          </w:p>
        </w:tc>
        <w:tc>
          <w:tcPr>
            <w:tcW w:w="573" w:type="pct"/>
            <w:hideMark/>
          </w:tcPr>
          <w:p w14:paraId="3D9493F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Ryu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2006</w:t>
            </w:r>
            <w:r>
              <w:rPr>
                <w:rFonts w:ascii="Calibri" w:eastAsia="Times New Roman" w:hAnsi="Calibri" w:cs="Calibri"/>
                <w:color w:val="000000"/>
                <w:lang w:eastAsia="en-AU"/>
              </w:rPr>
              <w:t>)</w:t>
            </w:r>
          </w:p>
        </w:tc>
        <w:tc>
          <w:tcPr>
            <w:tcW w:w="707" w:type="pct"/>
            <w:hideMark/>
          </w:tcPr>
          <w:p w14:paraId="07FD1C5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An examination of the Sasagawa Project aimed to investigate the effects of deinstitutionalization and evidence-based strategies for the treatment of mental disorders among long-stay patients after their </w:t>
            </w:r>
            <w:r w:rsidRPr="00650916">
              <w:rPr>
                <w:rFonts w:ascii="Calibri" w:eastAsia="Times New Roman" w:hAnsi="Calibri" w:cs="Calibri"/>
                <w:color w:val="000000"/>
                <w:lang w:eastAsia="en-AU"/>
              </w:rPr>
              <w:lastRenderedPageBreak/>
              <w:t>discharge from a mental hospital.</w:t>
            </w:r>
          </w:p>
        </w:tc>
        <w:tc>
          <w:tcPr>
            <w:tcW w:w="404" w:type="pct"/>
            <w:hideMark/>
          </w:tcPr>
          <w:p w14:paraId="1434CC29"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Japan</w:t>
            </w:r>
          </w:p>
        </w:tc>
        <w:tc>
          <w:tcPr>
            <w:tcW w:w="606" w:type="pct"/>
            <w:hideMark/>
          </w:tcPr>
          <w:p w14:paraId="48890E3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Longitudinal design with nine repeated measures, baseline, 1 month 3 month and every 3 months up to 24 month follow up </w:t>
            </w:r>
          </w:p>
        </w:tc>
        <w:tc>
          <w:tcPr>
            <w:tcW w:w="619" w:type="pct"/>
            <w:hideMark/>
          </w:tcPr>
          <w:p w14:paraId="4CF3659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Psychiatric diagnosis</w:t>
            </w:r>
          </w:p>
        </w:tc>
        <w:tc>
          <w:tcPr>
            <w:tcW w:w="1011" w:type="pct"/>
            <w:shd w:val="clear" w:color="auto" w:fill="auto"/>
            <w:hideMark/>
          </w:tcPr>
          <w:p w14:paraId="308C42BE" w14:textId="42AB0E8F" w:rsidR="00F00CFD" w:rsidRPr="00650916" w:rsidRDefault="00270F04" w:rsidP="00046E15">
            <w:pPr>
              <w:rPr>
                <w:rFonts w:ascii="Calibri" w:eastAsia="Times New Roman" w:hAnsi="Calibri" w:cs="Calibri"/>
                <w:color w:val="000000"/>
                <w:lang w:eastAsia="en-AU"/>
              </w:rPr>
            </w:pPr>
            <w:r>
              <w:rPr>
                <w:rFonts w:ascii="Calibri" w:eastAsia="Times New Roman" w:hAnsi="Calibri" w:cs="Calibri"/>
                <w:color w:val="000000"/>
                <w:lang w:eastAsia="en-AU"/>
              </w:rPr>
              <w:t>D</w:t>
            </w:r>
            <w:r w:rsidRPr="00650916">
              <w:rPr>
                <w:rFonts w:ascii="Calibri" w:eastAsia="Times New Roman" w:hAnsi="Calibri" w:cs="Calibri"/>
                <w:color w:val="000000"/>
                <w:lang w:eastAsia="en-AU"/>
              </w:rPr>
              <w:t>einstitutionalization</w:t>
            </w:r>
          </w:p>
        </w:tc>
        <w:tc>
          <w:tcPr>
            <w:tcW w:w="846" w:type="pct"/>
            <w:hideMark/>
          </w:tcPr>
          <w:p w14:paraId="0FE94F6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w:t>
            </w:r>
          </w:p>
        </w:tc>
      </w:tr>
      <w:tr w:rsidR="00F00CFD" w:rsidRPr="00FE0180" w14:paraId="2A564A90"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60FE1FAD" w14:textId="534C8F84" w:rsidR="00F00CFD" w:rsidRPr="00FE0180" w:rsidRDefault="00F00CFD" w:rsidP="00046E15">
            <w:r>
              <w:t>12</w:t>
            </w:r>
            <w:r w:rsidR="00046E15">
              <w:t>7</w:t>
            </w:r>
          </w:p>
        </w:tc>
        <w:tc>
          <w:tcPr>
            <w:tcW w:w="573" w:type="pct"/>
            <w:tcBorders>
              <w:top w:val="single" w:sz="4" w:space="0" w:color="auto"/>
              <w:left w:val="single" w:sz="4" w:space="0" w:color="auto"/>
              <w:bottom w:val="single" w:sz="4" w:space="0" w:color="auto"/>
              <w:right w:val="single" w:sz="4" w:space="0" w:color="auto"/>
            </w:tcBorders>
            <w:hideMark/>
          </w:tcPr>
          <w:p w14:paraId="10120AD0" w14:textId="1FBA90AA" w:rsidR="00F00CFD" w:rsidRPr="00FE0180" w:rsidRDefault="00F00CFD" w:rsidP="00046E15">
            <w:r w:rsidRPr="00FE0180">
              <w:t>Salmon,</w:t>
            </w:r>
            <w:r w:rsidR="00046E15">
              <w:t xml:space="preserve"> et al</w:t>
            </w:r>
            <w:r>
              <w:t xml:space="preserve"> (2019)</w:t>
            </w:r>
          </w:p>
        </w:tc>
        <w:tc>
          <w:tcPr>
            <w:tcW w:w="707" w:type="pct"/>
            <w:tcBorders>
              <w:top w:val="single" w:sz="4" w:space="0" w:color="auto"/>
              <w:left w:val="single" w:sz="4" w:space="0" w:color="auto"/>
              <w:bottom w:val="single" w:sz="4" w:space="0" w:color="auto"/>
              <w:right w:val="single" w:sz="4" w:space="0" w:color="auto"/>
            </w:tcBorders>
            <w:hideMark/>
          </w:tcPr>
          <w:p w14:paraId="1F3594AC" w14:textId="77777777" w:rsidR="00F00CFD" w:rsidRPr="00FE0180" w:rsidRDefault="00F00CFD" w:rsidP="00046E15">
            <w:r w:rsidRPr="00FE0180">
              <w:t>This study focused on the experiences of people with intellectual disabilities in Ireland when moving home using an inclusive research approach.</w:t>
            </w:r>
          </w:p>
        </w:tc>
        <w:tc>
          <w:tcPr>
            <w:tcW w:w="404" w:type="pct"/>
            <w:tcBorders>
              <w:top w:val="single" w:sz="4" w:space="0" w:color="auto"/>
              <w:left w:val="single" w:sz="4" w:space="0" w:color="auto"/>
              <w:bottom w:val="single" w:sz="4" w:space="0" w:color="auto"/>
              <w:right w:val="single" w:sz="4" w:space="0" w:color="auto"/>
            </w:tcBorders>
          </w:tcPr>
          <w:p w14:paraId="65954C6B" w14:textId="77777777" w:rsidR="00F00CFD" w:rsidRDefault="00F00CFD" w:rsidP="00046E15">
            <w:r w:rsidRPr="00FE0180">
              <w:t xml:space="preserve">Ireland </w:t>
            </w:r>
          </w:p>
        </w:tc>
        <w:tc>
          <w:tcPr>
            <w:tcW w:w="606" w:type="pct"/>
            <w:tcBorders>
              <w:top w:val="single" w:sz="4" w:space="0" w:color="auto"/>
              <w:left w:val="single" w:sz="4" w:space="0" w:color="auto"/>
              <w:bottom w:val="single" w:sz="4" w:space="0" w:color="auto"/>
              <w:right w:val="single" w:sz="4" w:space="0" w:color="auto"/>
            </w:tcBorders>
          </w:tcPr>
          <w:p w14:paraId="2BA19F15" w14:textId="77777777" w:rsidR="00F00CFD" w:rsidRPr="00FE0180" w:rsidRDefault="00F00CFD" w:rsidP="00046E15">
            <w:r>
              <w:t>Semi-structured interviews (n=35)</w:t>
            </w:r>
          </w:p>
        </w:tc>
        <w:tc>
          <w:tcPr>
            <w:tcW w:w="619" w:type="pct"/>
            <w:tcBorders>
              <w:top w:val="single" w:sz="4" w:space="0" w:color="auto"/>
              <w:left w:val="single" w:sz="4" w:space="0" w:color="auto"/>
              <w:bottom w:val="single" w:sz="4" w:space="0" w:color="auto"/>
              <w:right w:val="single" w:sz="4" w:space="0" w:color="auto"/>
            </w:tcBorders>
            <w:hideMark/>
          </w:tcPr>
          <w:p w14:paraId="7260A5EB" w14:textId="77777777" w:rsidR="00F00CFD" w:rsidRPr="00FE0180" w:rsidRDefault="00F00CFD" w:rsidP="00046E15">
            <w:r w:rsidRPr="00FE0180">
              <w:t xml:space="preserve">Intellectual disability </w:t>
            </w:r>
          </w:p>
        </w:tc>
        <w:tc>
          <w:tcPr>
            <w:tcW w:w="1011" w:type="pct"/>
            <w:tcBorders>
              <w:top w:val="single" w:sz="4" w:space="0" w:color="auto"/>
              <w:left w:val="single" w:sz="4" w:space="0" w:color="auto"/>
              <w:bottom w:val="single" w:sz="4" w:space="0" w:color="auto"/>
              <w:right w:val="single" w:sz="4" w:space="0" w:color="auto"/>
            </w:tcBorders>
            <w:hideMark/>
          </w:tcPr>
          <w:p w14:paraId="00CA188B"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641C3CD3" w14:textId="77777777" w:rsidR="00F00CFD" w:rsidRPr="00FE0180" w:rsidRDefault="00F00CFD" w:rsidP="00046E15">
            <w:r w:rsidRPr="00FE0180">
              <w:t xml:space="preserve">Experience of deinstitutionalisation </w:t>
            </w:r>
          </w:p>
        </w:tc>
      </w:tr>
      <w:tr w:rsidR="00F00CFD" w:rsidRPr="00F66260" w14:paraId="58E39FC6" w14:textId="77777777" w:rsidTr="006E2C88">
        <w:tc>
          <w:tcPr>
            <w:tcW w:w="234" w:type="pct"/>
          </w:tcPr>
          <w:p w14:paraId="4B77486F" w14:textId="19F31710" w:rsidR="00F00CFD" w:rsidRPr="00F66260" w:rsidRDefault="00F00CFD" w:rsidP="00046E15">
            <w:r>
              <w:t>1</w:t>
            </w:r>
            <w:r w:rsidR="00046E15">
              <w:t>28</w:t>
            </w:r>
          </w:p>
        </w:tc>
        <w:tc>
          <w:tcPr>
            <w:tcW w:w="573" w:type="pct"/>
            <w:hideMark/>
          </w:tcPr>
          <w:p w14:paraId="3A22A729" w14:textId="77777777" w:rsidR="00F00CFD" w:rsidRPr="00F66260" w:rsidRDefault="00F00CFD" w:rsidP="00046E15">
            <w:r w:rsidRPr="00F66260">
              <w:t>Sardinia-Prager</w:t>
            </w:r>
            <w:r>
              <w:t xml:space="preserve"> et al (2015)</w:t>
            </w:r>
          </w:p>
        </w:tc>
        <w:tc>
          <w:tcPr>
            <w:tcW w:w="707" w:type="pct"/>
          </w:tcPr>
          <w:p w14:paraId="5E73ABC1" w14:textId="77777777" w:rsidR="00F00CFD" w:rsidRPr="00F66260" w:rsidRDefault="00F00CFD" w:rsidP="00046E15">
            <w:r w:rsidRPr="00F66260">
              <w:t>A grounded theory study of how parents made the decision about residential group home placement for their adult child with intellectual/developmental disabilities</w:t>
            </w:r>
          </w:p>
        </w:tc>
        <w:tc>
          <w:tcPr>
            <w:tcW w:w="404" w:type="pct"/>
            <w:noWrap/>
            <w:hideMark/>
          </w:tcPr>
          <w:p w14:paraId="1690FF7B" w14:textId="77777777" w:rsidR="00F00CFD" w:rsidRPr="00F66260" w:rsidRDefault="00F00CFD" w:rsidP="00046E15">
            <w:r w:rsidRPr="00F66260">
              <w:t>USA</w:t>
            </w:r>
          </w:p>
        </w:tc>
        <w:tc>
          <w:tcPr>
            <w:tcW w:w="606" w:type="pct"/>
            <w:noWrap/>
          </w:tcPr>
          <w:p w14:paraId="53A5C888" w14:textId="77777777" w:rsidR="00F00CFD" w:rsidRPr="00F66260" w:rsidRDefault="00F00CFD" w:rsidP="00046E15">
            <w:r>
              <w:t>Dissertation. Qualitative. Grey literature.</w:t>
            </w:r>
          </w:p>
        </w:tc>
        <w:tc>
          <w:tcPr>
            <w:tcW w:w="619" w:type="pct"/>
            <w:noWrap/>
            <w:hideMark/>
          </w:tcPr>
          <w:p w14:paraId="1A0AE1C0" w14:textId="77777777" w:rsidR="00F00CFD" w:rsidRPr="00F66260" w:rsidRDefault="00F00CFD" w:rsidP="00046E15">
            <w:r w:rsidRPr="00F66260">
              <w:t>Parents of adults with IDD (n=15)</w:t>
            </w:r>
          </w:p>
        </w:tc>
        <w:tc>
          <w:tcPr>
            <w:tcW w:w="1011" w:type="pct"/>
            <w:hideMark/>
          </w:tcPr>
          <w:p w14:paraId="2E833C25" w14:textId="77777777" w:rsidR="00F00CFD" w:rsidRPr="00F66260" w:rsidRDefault="00F00CFD" w:rsidP="00046E15">
            <w:r w:rsidRPr="00F66260">
              <w:t>Move from family to residential group home</w:t>
            </w:r>
          </w:p>
        </w:tc>
        <w:tc>
          <w:tcPr>
            <w:tcW w:w="846" w:type="pct"/>
            <w:noWrap/>
            <w:hideMark/>
          </w:tcPr>
          <w:p w14:paraId="7BA73686" w14:textId="77777777" w:rsidR="00F00CFD" w:rsidRPr="00F66260" w:rsidRDefault="00F00CFD" w:rsidP="00046E15">
            <w:r w:rsidRPr="00F66260">
              <w:t>Family home to residential group home</w:t>
            </w:r>
          </w:p>
        </w:tc>
      </w:tr>
      <w:tr w:rsidR="00F00CFD" w:rsidRPr="00650916" w14:paraId="3AC82FCC" w14:textId="77777777" w:rsidTr="00AE0078">
        <w:tc>
          <w:tcPr>
            <w:tcW w:w="234" w:type="pct"/>
          </w:tcPr>
          <w:p w14:paraId="2F755AC1" w14:textId="4CACBD9D"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w:t>
            </w:r>
            <w:r w:rsidR="00046E15">
              <w:rPr>
                <w:rFonts w:ascii="Calibri" w:eastAsia="Times New Roman" w:hAnsi="Calibri" w:cs="Calibri"/>
                <w:color w:val="000000"/>
                <w:lang w:eastAsia="en-AU"/>
              </w:rPr>
              <w:t>29</w:t>
            </w:r>
          </w:p>
        </w:tc>
        <w:tc>
          <w:tcPr>
            <w:tcW w:w="573" w:type="pct"/>
            <w:hideMark/>
          </w:tcPr>
          <w:p w14:paraId="44276033"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Sato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2012</w:t>
            </w:r>
            <w:r>
              <w:rPr>
                <w:rFonts w:ascii="Calibri" w:eastAsia="Times New Roman" w:hAnsi="Calibri" w:cs="Calibri"/>
                <w:color w:val="000000"/>
                <w:lang w:eastAsia="en-AU"/>
              </w:rPr>
              <w:t>)</w:t>
            </w:r>
          </w:p>
        </w:tc>
        <w:tc>
          <w:tcPr>
            <w:tcW w:w="707" w:type="pct"/>
            <w:hideMark/>
          </w:tcPr>
          <w:p w14:paraId="35A2664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The aims of the present study were to revise the Community Re-entry Program–Japanese version and to review the effectiveness of the revised Program, named the Discharge </w:t>
            </w:r>
            <w:r w:rsidRPr="00650916">
              <w:rPr>
                <w:rFonts w:ascii="Calibri" w:eastAsia="Times New Roman" w:hAnsi="Calibri" w:cs="Calibri"/>
                <w:color w:val="000000"/>
                <w:lang w:eastAsia="en-AU"/>
              </w:rPr>
              <w:lastRenderedPageBreak/>
              <w:t>Preparation Program (DPP).</w:t>
            </w:r>
          </w:p>
        </w:tc>
        <w:tc>
          <w:tcPr>
            <w:tcW w:w="404" w:type="pct"/>
            <w:hideMark/>
          </w:tcPr>
          <w:p w14:paraId="323BC01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Japan</w:t>
            </w:r>
          </w:p>
        </w:tc>
        <w:tc>
          <w:tcPr>
            <w:tcW w:w="606" w:type="pct"/>
            <w:hideMark/>
          </w:tcPr>
          <w:p w14:paraId="3945E317"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Randomized controlled trial. The Discharge Preparation Program (DPP) was the intervention condition (n = 26), and the usual rehabilitation </w:t>
            </w:r>
            <w:r w:rsidRPr="00650916">
              <w:rPr>
                <w:rFonts w:ascii="Calibri" w:eastAsia="Times New Roman" w:hAnsi="Calibri" w:cs="Calibri"/>
                <w:color w:val="000000"/>
                <w:lang w:eastAsia="en-AU"/>
              </w:rPr>
              <w:lastRenderedPageBreak/>
              <w:t>program was the control condition (n = 23).</w:t>
            </w:r>
          </w:p>
        </w:tc>
        <w:tc>
          <w:tcPr>
            <w:tcW w:w="619" w:type="pct"/>
            <w:hideMark/>
          </w:tcPr>
          <w:p w14:paraId="4925B8EE"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Psychiatric condition/</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Schizophrenia</w:t>
            </w:r>
          </w:p>
        </w:tc>
        <w:tc>
          <w:tcPr>
            <w:tcW w:w="1011" w:type="pct"/>
            <w:shd w:val="clear" w:color="auto" w:fill="auto"/>
            <w:hideMark/>
          </w:tcPr>
          <w:p w14:paraId="4734588E" w14:textId="375A63B5" w:rsidR="00F00CFD" w:rsidRPr="00650916" w:rsidRDefault="008D39EF" w:rsidP="00046E15">
            <w:pPr>
              <w:rPr>
                <w:rFonts w:ascii="Calibri" w:eastAsia="Times New Roman" w:hAnsi="Calibri" w:cs="Calibri"/>
                <w:color w:val="000000"/>
                <w:lang w:eastAsia="en-AU"/>
              </w:rPr>
            </w:pPr>
            <w:r>
              <w:rPr>
                <w:rFonts w:ascii="Calibri" w:eastAsia="Times New Roman" w:hAnsi="Calibri" w:cs="Calibri"/>
                <w:color w:val="000000"/>
                <w:lang w:eastAsia="en-AU"/>
              </w:rPr>
              <w:t xml:space="preserve">Deinstitutionalisation </w:t>
            </w:r>
          </w:p>
        </w:tc>
        <w:tc>
          <w:tcPr>
            <w:tcW w:w="846" w:type="pct"/>
            <w:hideMark/>
          </w:tcPr>
          <w:p w14:paraId="3E360E1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Psychoeducation and tree primary tools were utilised (a) video imaging (b) leader's manual (c) participant's workbook for a total of 24 sessions (17 indoor sessions and 7 outdoor practice sessions = Practice Programme</w:t>
            </w:r>
          </w:p>
        </w:tc>
      </w:tr>
      <w:tr w:rsidR="00F00CFD" w:rsidRPr="00F66260" w14:paraId="25FD5006" w14:textId="77777777" w:rsidTr="006E2C88">
        <w:tc>
          <w:tcPr>
            <w:tcW w:w="234" w:type="pct"/>
          </w:tcPr>
          <w:p w14:paraId="2CDE86F8" w14:textId="6B34339B" w:rsidR="00F00CFD" w:rsidRPr="00F66260" w:rsidRDefault="00F00CFD" w:rsidP="00046E15">
            <w:r>
              <w:t>13</w:t>
            </w:r>
            <w:r w:rsidR="00046E15">
              <w:t>0</w:t>
            </w:r>
          </w:p>
        </w:tc>
        <w:tc>
          <w:tcPr>
            <w:tcW w:w="573" w:type="pct"/>
            <w:noWrap/>
            <w:hideMark/>
          </w:tcPr>
          <w:p w14:paraId="6FEC941C" w14:textId="77777777" w:rsidR="00F00CFD" w:rsidRPr="00F66260" w:rsidRDefault="00F00CFD" w:rsidP="00046E15">
            <w:r w:rsidRPr="00F66260">
              <w:t>Sharam</w:t>
            </w:r>
            <w:r>
              <w:t xml:space="preserve"> et al (2018)</w:t>
            </w:r>
            <w:r w:rsidRPr="00F66260">
              <w:t>.</w:t>
            </w:r>
          </w:p>
        </w:tc>
        <w:tc>
          <w:tcPr>
            <w:tcW w:w="707" w:type="pct"/>
            <w:noWrap/>
          </w:tcPr>
          <w:p w14:paraId="61FAE2F7" w14:textId="77777777" w:rsidR="00F00CFD" w:rsidRPr="00F66260" w:rsidRDefault="00F00CFD" w:rsidP="00046E15">
            <w:r w:rsidRPr="00F66260">
              <w:t>Matching markets in housing and housing assistance</w:t>
            </w:r>
          </w:p>
        </w:tc>
        <w:tc>
          <w:tcPr>
            <w:tcW w:w="404" w:type="pct"/>
            <w:noWrap/>
            <w:hideMark/>
          </w:tcPr>
          <w:p w14:paraId="70E2140A" w14:textId="77777777" w:rsidR="00F00CFD" w:rsidRPr="00F66260" w:rsidRDefault="00F00CFD" w:rsidP="00046E15">
            <w:r w:rsidRPr="00F66260">
              <w:t>2018</w:t>
            </w:r>
          </w:p>
        </w:tc>
        <w:tc>
          <w:tcPr>
            <w:tcW w:w="606" w:type="pct"/>
            <w:noWrap/>
          </w:tcPr>
          <w:p w14:paraId="2C27BC92" w14:textId="77777777" w:rsidR="00F00CFD" w:rsidRPr="00F66260" w:rsidRDefault="00F00CFD" w:rsidP="00046E15">
            <w:r>
              <w:t xml:space="preserve">Exploratory design. Grey literature </w:t>
            </w:r>
          </w:p>
        </w:tc>
        <w:tc>
          <w:tcPr>
            <w:tcW w:w="619" w:type="pct"/>
            <w:noWrap/>
            <w:hideMark/>
          </w:tcPr>
          <w:p w14:paraId="0B79E71D" w14:textId="77777777" w:rsidR="00F00CFD" w:rsidRPr="00F66260" w:rsidRDefault="00F00CFD" w:rsidP="00046E15">
            <w:r>
              <w:t xml:space="preserve">People with disability and general population </w:t>
            </w:r>
          </w:p>
        </w:tc>
        <w:tc>
          <w:tcPr>
            <w:tcW w:w="1011" w:type="pct"/>
            <w:hideMark/>
          </w:tcPr>
          <w:p w14:paraId="5EA3EE3E" w14:textId="77777777" w:rsidR="00F00CFD" w:rsidRPr="00F66260" w:rsidRDefault="00F00CFD" w:rsidP="00046E15">
            <w:r w:rsidRPr="00F66260">
              <w:t>Not transition per se but facilitators to access housing - private housing for rent or sale</w:t>
            </w:r>
          </w:p>
        </w:tc>
        <w:tc>
          <w:tcPr>
            <w:tcW w:w="846" w:type="pct"/>
            <w:noWrap/>
            <w:hideMark/>
          </w:tcPr>
          <w:p w14:paraId="51F7AEE4" w14:textId="77777777" w:rsidR="00F00CFD" w:rsidRPr="00F66260" w:rsidRDefault="00F00CFD" w:rsidP="00046E15">
            <w:r w:rsidRPr="00F66260">
              <w:t>N/a</w:t>
            </w:r>
          </w:p>
        </w:tc>
      </w:tr>
      <w:tr w:rsidR="00F00CFD" w:rsidRPr="00F66260" w14:paraId="7328394F" w14:textId="77777777" w:rsidTr="006E2C88">
        <w:tc>
          <w:tcPr>
            <w:tcW w:w="234" w:type="pct"/>
          </w:tcPr>
          <w:p w14:paraId="01F3BEF0" w14:textId="47A39FBF" w:rsidR="00F00CFD" w:rsidRPr="00F66260" w:rsidRDefault="00F00CFD" w:rsidP="00046E15">
            <w:r>
              <w:t>13</w:t>
            </w:r>
            <w:r w:rsidR="00046E15">
              <w:t>1</w:t>
            </w:r>
          </w:p>
        </w:tc>
        <w:tc>
          <w:tcPr>
            <w:tcW w:w="573" w:type="pct"/>
            <w:noWrap/>
            <w:hideMark/>
          </w:tcPr>
          <w:p w14:paraId="7EF0BEF9" w14:textId="77777777" w:rsidR="00F00CFD" w:rsidRPr="00F66260" w:rsidRDefault="00F00CFD" w:rsidP="00046E15">
            <w:r w:rsidRPr="00F66260">
              <w:t>Sharp</w:t>
            </w:r>
            <w:r>
              <w:t xml:space="preserve"> (2004)</w:t>
            </w:r>
          </w:p>
        </w:tc>
        <w:tc>
          <w:tcPr>
            <w:tcW w:w="707" w:type="pct"/>
            <w:noWrap/>
          </w:tcPr>
          <w:p w14:paraId="74DB42BA" w14:textId="77777777" w:rsidR="00F00CFD" w:rsidRPr="00F66260" w:rsidRDefault="00F00CFD" w:rsidP="00046E15">
            <w:r>
              <w:t xml:space="preserve">Review of deinstitutionalisation policy in relation to </w:t>
            </w:r>
            <w:r w:rsidRPr="00257EE2">
              <w:t xml:space="preserve">clients with enduring mental health problems in Italy </w:t>
            </w:r>
          </w:p>
        </w:tc>
        <w:tc>
          <w:tcPr>
            <w:tcW w:w="404" w:type="pct"/>
            <w:noWrap/>
            <w:hideMark/>
          </w:tcPr>
          <w:p w14:paraId="1A9BDC79" w14:textId="77777777" w:rsidR="00F00CFD" w:rsidRPr="00F66260" w:rsidRDefault="00F00CFD" w:rsidP="00046E15">
            <w:r w:rsidRPr="00F66260">
              <w:t>Italy</w:t>
            </w:r>
          </w:p>
        </w:tc>
        <w:tc>
          <w:tcPr>
            <w:tcW w:w="606" w:type="pct"/>
            <w:noWrap/>
          </w:tcPr>
          <w:p w14:paraId="6865CE05" w14:textId="77777777" w:rsidR="00F00CFD" w:rsidRPr="00F66260" w:rsidRDefault="00F00CFD" w:rsidP="00046E15">
            <w:r>
              <w:t xml:space="preserve">Policy implementation review. Grey literature </w:t>
            </w:r>
          </w:p>
        </w:tc>
        <w:tc>
          <w:tcPr>
            <w:tcW w:w="619" w:type="pct"/>
            <w:noWrap/>
            <w:hideMark/>
          </w:tcPr>
          <w:p w14:paraId="249D7B45" w14:textId="77777777" w:rsidR="00F00CFD" w:rsidRPr="00F66260" w:rsidRDefault="00F00CFD" w:rsidP="00046E15">
            <w:r w:rsidRPr="00F66260">
              <w:t xml:space="preserve">People with mental health problems </w:t>
            </w:r>
          </w:p>
        </w:tc>
        <w:tc>
          <w:tcPr>
            <w:tcW w:w="1011" w:type="pct"/>
            <w:hideMark/>
          </w:tcPr>
          <w:p w14:paraId="488EDDA8" w14:textId="77777777" w:rsidR="00F00CFD" w:rsidRPr="00F66260" w:rsidRDefault="00F00CFD" w:rsidP="00046E15">
            <w:r w:rsidRPr="00F66260">
              <w:t xml:space="preserve">Deinstitutionalization and community living </w:t>
            </w:r>
          </w:p>
        </w:tc>
        <w:tc>
          <w:tcPr>
            <w:tcW w:w="846" w:type="pct"/>
            <w:noWrap/>
            <w:hideMark/>
          </w:tcPr>
          <w:p w14:paraId="2BDA5CD6" w14:textId="77777777" w:rsidR="00F00CFD" w:rsidRPr="00F66260" w:rsidRDefault="00F00CFD" w:rsidP="00046E15">
            <w:r w:rsidRPr="00F66260">
              <w:t>Deinstitutionalisation</w:t>
            </w:r>
          </w:p>
        </w:tc>
      </w:tr>
      <w:tr w:rsidR="00F00CFD" w:rsidRPr="00FE0180" w14:paraId="7C393A36"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692B750C" w14:textId="2B11096F" w:rsidR="00F00CFD" w:rsidRPr="00FE0180" w:rsidRDefault="00F00CFD" w:rsidP="00046E15">
            <w:r>
              <w:t>13</w:t>
            </w:r>
            <w:r w:rsidR="00046E15">
              <w:t>2</w:t>
            </w:r>
          </w:p>
        </w:tc>
        <w:tc>
          <w:tcPr>
            <w:tcW w:w="573" w:type="pct"/>
            <w:tcBorders>
              <w:top w:val="single" w:sz="4" w:space="0" w:color="auto"/>
              <w:left w:val="single" w:sz="4" w:space="0" w:color="auto"/>
              <w:bottom w:val="single" w:sz="4" w:space="0" w:color="auto"/>
              <w:right w:val="single" w:sz="4" w:space="0" w:color="auto"/>
            </w:tcBorders>
            <w:hideMark/>
          </w:tcPr>
          <w:p w14:paraId="4336362F" w14:textId="437999E0" w:rsidR="00F00CFD" w:rsidRPr="00FE0180" w:rsidRDefault="00F00CFD" w:rsidP="00046E15">
            <w:r w:rsidRPr="00FE0180">
              <w:t xml:space="preserve">Sheerin, </w:t>
            </w:r>
            <w:r w:rsidR="00046E15">
              <w:t>et al</w:t>
            </w:r>
            <w:r>
              <w:t xml:space="preserve"> (2015)</w:t>
            </w:r>
          </w:p>
        </w:tc>
        <w:tc>
          <w:tcPr>
            <w:tcW w:w="707" w:type="pct"/>
            <w:tcBorders>
              <w:top w:val="single" w:sz="4" w:space="0" w:color="auto"/>
              <w:left w:val="single" w:sz="4" w:space="0" w:color="auto"/>
              <w:bottom w:val="single" w:sz="4" w:space="0" w:color="auto"/>
              <w:right w:val="single" w:sz="4" w:space="0" w:color="auto"/>
            </w:tcBorders>
            <w:hideMark/>
          </w:tcPr>
          <w:p w14:paraId="11C98756" w14:textId="77777777" w:rsidR="00F00CFD" w:rsidRPr="00FE0180" w:rsidRDefault="00F00CFD" w:rsidP="00046E15">
            <w:r w:rsidRPr="00FE0180">
              <w:t xml:space="preserve">The purpose of this study was to explore whether, and to what extent, the move to the community led to the achievement of individualized and personal outcomes for tenants. In addition, it sought to understand the significance of the move in terms of where tenants had moved from and to examine the extent </w:t>
            </w:r>
            <w:r w:rsidRPr="00FE0180">
              <w:lastRenderedPageBreak/>
              <w:t>to which this had resulted in their integration in the local community.</w:t>
            </w:r>
          </w:p>
        </w:tc>
        <w:tc>
          <w:tcPr>
            <w:tcW w:w="404" w:type="pct"/>
            <w:tcBorders>
              <w:top w:val="single" w:sz="4" w:space="0" w:color="auto"/>
              <w:left w:val="single" w:sz="4" w:space="0" w:color="auto"/>
              <w:bottom w:val="single" w:sz="4" w:space="0" w:color="auto"/>
              <w:right w:val="single" w:sz="4" w:space="0" w:color="auto"/>
            </w:tcBorders>
          </w:tcPr>
          <w:p w14:paraId="7B59B50C" w14:textId="77777777" w:rsidR="00F00CFD" w:rsidRDefault="00F00CFD" w:rsidP="00046E15">
            <w:r w:rsidRPr="00FE0180">
              <w:lastRenderedPageBreak/>
              <w:t xml:space="preserve">Ireland </w:t>
            </w:r>
          </w:p>
        </w:tc>
        <w:tc>
          <w:tcPr>
            <w:tcW w:w="606" w:type="pct"/>
            <w:tcBorders>
              <w:top w:val="single" w:sz="4" w:space="0" w:color="auto"/>
              <w:left w:val="single" w:sz="4" w:space="0" w:color="auto"/>
              <w:bottom w:val="single" w:sz="4" w:space="0" w:color="auto"/>
              <w:right w:val="single" w:sz="4" w:space="0" w:color="auto"/>
            </w:tcBorders>
          </w:tcPr>
          <w:p w14:paraId="3B838026" w14:textId="77777777" w:rsidR="00F00CFD" w:rsidRPr="00FE0180" w:rsidRDefault="00F00CFD" w:rsidP="00046E15">
            <w:r>
              <w:t>Semi-structured interviews (n=7)</w:t>
            </w:r>
          </w:p>
        </w:tc>
        <w:tc>
          <w:tcPr>
            <w:tcW w:w="619" w:type="pct"/>
            <w:tcBorders>
              <w:top w:val="single" w:sz="4" w:space="0" w:color="auto"/>
              <w:left w:val="single" w:sz="4" w:space="0" w:color="auto"/>
              <w:bottom w:val="single" w:sz="4" w:space="0" w:color="auto"/>
              <w:right w:val="single" w:sz="4" w:space="0" w:color="auto"/>
            </w:tcBorders>
            <w:hideMark/>
          </w:tcPr>
          <w:p w14:paraId="3ED81622" w14:textId="77777777" w:rsidR="00F00CFD" w:rsidRPr="00FE0180" w:rsidRDefault="00F00CFD" w:rsidP="00046E15">
            <w:r w:rsidRPr="00FE0180">
              <w:t xml:space="preserve">Intellectual disability </w:t>
            </w:r>
          </w:p>
        </w:tc>
        <w:tc>
          <w:tcPr>
            <w:tcW w:w="1011" w:type="pct"/>
            <w:tcBorders>
              <w:top w:val="single" w:sz="4" w:space="0" w:color="auto"/>
              <w:left w:val="single" w:sz="4" w:space="0" w:color="auto"/>
              <w:bottom w:val="single" w:sz="4" w:space="0" w:color="auto"/>
              <w:right w:val="single" w:sz="4" w:space="0" w:color="auto"/>
            </w:tcBorders>
            <w:hideMark/>
          </w:tcPr>
          <w:p w14:paraId="02D5F883"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65AB6B1E" w14:textId="77777777" w:rsidR="00F00CFD" w:rsidRPr="00FE0180" w:rsidRDefault="00F00CFD" w:rsidP="00046E15">
            <w:r w:rsidRPr="00FE0180">
              <w:t xml:space="preserve">Experience of deinstitutionalisation </w:t>
            </w:r>
          </w:p>
        </w:tc>
      </w:tr>
      <w:tr w:rsidR="00F00CFD" w:rsidRPr="00650916" w14:paraId="0A82E4CD" w14:textId="77777777" w:rsidTr="006E2C88">
        <w:tc>
          <w:tcPr>
            <w:tcW w:w="234" w:type="pct"/>
            <w:shd w:val="clear" w:color="auto" w:fill="auto"/>
          </w:tcPr>
          <w:p w14:paraId="3A7B1211" w14:textId="22C6E631"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13</w:t>
            </w:r>
            <w:r w:rsidR="00046E15">
              <w:rPr>
                <w:rFonts w:ascii="Calibri" w:eastAsia="Times New Roman" w:hAnsi="Calibri" w:cs="Calibri"/>
                <w:color w:val="000000"/>
                <w:lang w:eastAsia="en-AU"/>
              </w:rPr>
              <w:t>3</w:t>
            </w:r>
          </w:p>
        </w:tc>
        <w:tc>
          <w:tcPr>
            <w:tcW w:w="573" w:type="pct"/>
            <w:shd w:val="clear" w:color="auto" w:fill="auto"/>
            <w:hideMark/>
          </w:tcPr>
          <w:p w14:paraId="1E70F81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Sheth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2019</w:t>
            </w:r>
            <w:r>
              <w:rPr>
                <w:rFonts w:ascii="Calibri" w:eastAsia="Times New Roman" w:hAnsi="Calibri" w:cs="Calibri"/>
                <w:color w:val="000000"/>
                <w:lang w:eastAsia="en-AU"/>
              </w:rPr>
              <w:t>)</w:t>
            </w:r>
          </w:p>
        </w:tc>
        <w:tc>
          <w:tcPr>
            <w:tcW w:w="707" w:type="pct"/>
            <w:shd w:val="clear" w:color="auto" w:fill="auto"/>
            <w:hideMark/>
          </w:tcPr>
          <w:p w14:paraId="6EEB0D2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Examination of the differences in quality of life in institutional and community living environments among people with disabilities</w:t>
            </w:r>
          </w:p>
        </w:tc>
        <w:tc>
          <w:tcPr>
            <w:tcW w:w="404" w:type="pct"/>
            <w:shd w:val="clear" w:color="auto" w:fill="auto"/>
            <w:hideMark/>
          </w:tcPr>
          <w:p w14:paraId="4A64A035"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USA</w:t>
            </w:r>
          </w:p>
        </w:tc>
        <w:tc>
          <w:tcPr>
            <w:tcW w:w="606" w:type="pct"/>
            <w:shd w:val="clear" w:color="auto" w:fill="auto"/>
            <w:hideMark/>
          </w:tcPr>
          <w:p w14:paraId="1162E1A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Other - Validated survey design research</w:t>
            </w:r>
          </w:p>
        </w:tc>
        <w:tc>
          <w:tcPr>
            <w:tcW w:w="619" w:type="pct"/>
            <w:shd w:val="clear" w:color="auto" w:fill="auto"/>
            <w:hideMark/>
          </w:tcPr>
          <w:p w14:paraId="197799B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Adults with disabilities: Predominantly physical disabilities, psychiatric disabilities, and chronic health conditions.</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Many survey participants identifying with multiple disabilities.</w:t>
            </w:r>
          </w:p>
        </w:tc>
        <w:tc>
          <w:tcPr>
            <w:tcW w:w="1011" w:type="pct"/>
            <w:shd w:val="clear" w:color="auto" w:fill="auto"/>
            <w:hideMark/>
          </w:tcPr>
          <w:p w14:paraId="1C4FBC7F" w14:textId="08A10688" w:rsidR="00F00CFD" w:rsidRPr="00650916" w:rsidRDefault="006C14DA" w:rsidP="00046E15">
            <w:pPr>
              <w:rPr>
                <w:rFonts w:ascii="Calibri" w:eastAsia="Times New Roman" w:hAnsi="Calibri" w:cs="Calibri"/>
                <w:color w:val="000000"/>
                <w:lang w:eastAsia="en-AU"/>
              </w:rPr>
            </w:pPr>
            <w:r>
              <w:rPr>
                <w:rFonts w:ascii="Calibri" w:eastAsia="Times New Roman" w:hAnsi="Calibri" w:cs="Calibri"/>
                <w:color w:val="000000"/>
                <w:lang w:eastAsia="en-AU"/>
              </w:rPr>
              <w:t>Community housing</w:t>
            </w:r>
          </w:p>
        </w:tc>
        <w:tc>
          <w:tcPr>
            <w:tcW w:w="846" w:type="pct"/>
            <w:shd w:val="clear" w:color="auto" w:fill="auto"/>
            <w:hideMark/>
          </w:tcPr>
          <w:p w14:paraId="39FF1985" w14:textId="29BCD9F2" w:rsidR="00F00CFD" w:rsidRPr="000C6F79" w:rsidRDefault="006C14DA" w:rsidP="00046E15">
            <w:pPr>
              <w:rPr>
                <w:rFonts w:ascii="Calibri" w:eastAsia="Times New Roman" w:hAnsi="Calibri" w:cs="Calibri"/>
                <w:color w:val="000000"/>
                <w:lang w:eastAsia="en-AU"/>
              </w:rPr>
            </w:pPr>
            <w:r w:rsidRPr="000C6F79">
              <w:rPr>
                <w:rFonts w:ascii="Calibri" w:eastAsia="Times New Roman" w:hAnsi="Calibri" w:cs="Calibri"/>
                <w:color w:val="000000"/>
                <w:lang w:eastAsia="en-AU"/>
              </w:rPr>
              <w:t xml:space="preserve">Transition from institution setting with majority transitioning from </w:t>
            </w:r>
            <w:r>
              <w:rPr>
                <w:rFonts w:ascii="Calibri" w:eastAsia="Times New Roman" w:hAnsi="Calibri" w:cs="Calibri"/>
                <w:color w:val="000000"/>
                <w:lang w:eastAsia="en-AU"/>
              </w:rPr>
              <w:t>n</w:t>
            </w:r>
            <w:r w:rsidRPr="000C6F79">
              <w:rPr>
                <w:rFonts w:ascii="Calibri" w:eastAsia="Times New Roman" w:hAnsi="Calibri" w:cs="Calibri"/>
                <w:color w:val="000000"/>
                <w:lang w:eastAsia="en-AU"/>
              </w:rPr>
              <w:t>ursing home (73%) to community residential settings</w:t>
            </w:r>
            <w:r>
              <w:rPr>
                <w:rFonts w:ascii="Calibri" w:eastAsia="Times New Roman" w:hAnsi="Calibri" w:cs="Calibri"/>
                <w:color w:val="000000"/>
                <w:lang w:eastAsia="en-AU"/>
              </w:rPr>
              <w:t>.</w:t>
            </w:r>
          </w:p>
        </w:tc>
      </w:tr>
      <w:tr w:rsidR="00F00CFD" w:rsidRPr="00F66260" w14:paraId="24BD03F5" w14:textId="77777777" w:rsidTr="006E2C88">
        <w:tc>
          <w:tcPr>
            <w:tcW w:w="234" w:type="pct"/>
          </w:tcPr>
          <w:p w14:paraId="6DDD9DEA" w14:textId="50D80FDD" w:rsidR="00F00CFD" w:rsidRPr="00F66260" w:rsidRDefault="00F00CFD" w:rsidP="00046E15">
            <w:r>
              <w:t>13</w:t>
            </w:r>
            <w:r w:rsidR="004873BD">
              <w:t>4</w:t>
            </w:r>
          </w:p>
        </w:tc>
        <w:tc>
          <w:tcPr>
            <w:tcW w:w="573" w:type="pct"/>
            <w:hideMark/>
          </w:tcPr>
          <w:p w14:paraId="6A000826" w14:textId="77777777" w:rsidR="00F00CFD" w:rsidRPr="00F66260" w:rsidRDefault="00F00CFD" w:rsidP="00046E15">
            <w:r w:rsidRPr="00F66260">
              <w:t>Shirk</w:t>
            </w:r>
            <w:r>
              <w:t xml:space="preserve"> (2007)</w:t>
            </w:r>
          </w:p>
        </w:tc>
        <w:tc>
          <w:tcPr>
            <w:tcW w:w="707" w:type="pct"/>
          </w:tcPr>
          <w:p w14:paraId="1E459A9C" w14:textId="77777777" w:rsidR="00F00CFD" w:rsidRPr="00F66260" w:rsidRDefault="00F00CFD" w:rsidP="00046E15">
            <w:r>
              <w:t>Exploration of</w:t>
            </w:r>
            <w:r w:rsidRPr="00F66260">
              <w:t xml:space="preserve"> Choice Systems</w:t>
            </w:r>
            <w:r>
              <w:t>,</w:t>
            </w:r>
            <w:r w:rsidRPr="00F66260">
              <w:t xml:space="preserve"> Change grants and the movement to community-based long-term care supports</w:t>
            </w:r>
          </w:p>
        </w:tc>
        <w:tc>
          <w:tcPr>
            <w:tcW w:w="404" w:type="pct"/>
            <w:noWrap/>
            <w:hideMark/>
          </w:tcPr>
          <w:p w14:paraId="6F490F5C" w14:textId="77777777" w:rsidR="00F00CFD" w:rsidRPr="00F66260" w:rsidRDefault="00F00CFD" w:rsidP="00046E15">
            <w:r w:rsidRPr="00F66260">
              <w:t xml:space="preserve">USA </w:t>
            </w:r>
          </w:p>
        </w:tc>
        <w:tc>
          <w:tcPr>
            <w:tcW w:w="606" w:type="pct"/>
            <w:noWrap/>
          </w:tcPr>
          <w:p w14:paraId="60DF4191" w14:textId="77777777" w:rsidR="00F00CFD" w:rsidRPr="00F66260" w:rsidRDefault="00F00CFD" w:rsidP="00046E15">
            <w:r>
              <w:t xml:space="preserve">Discussion. Grey literature </w:t>
            </w:r>
          </w:p>
        </w:tc>
        <w:tc>
          <w:tcPr>
            <w:tcW w:w="619" w:type="pct"/>
            <w:noWrap/>
            <w:hideMark/>
          </w:tcPr>
          <w:p w14:paraId="6FE34F55" w14:textId="77777777" w:rsidR="00F00CFD" w:rsidRPr="00F66260" w:rsidRDefault="00F00CFD" w:rsidP="00046E15">
            <w:r w:rsidRPr="00F66260">
              <w:t xml:space="preserve">Ageing into disability; seniors; people with disability </w:t>
            </w:r>
          </w:p>
        </w:tc>
        <w:tc>
          <w:tcPr>
            <w:tcW w:w="1011" w:type="pct"/>
            <w:hideMark/>
          </w:tcPr>
          <w:p w14:paraId="7E677326" w14:textId="77777777" w:rsidR="00F00CFD" w:rsidRPr="00F66260" w:rsidRDefault="00F00CFD" w:rsidP="00046E15">
            <w:r w:rsidRPr="00F66260">
              <w:t xml:space="preserve">Community based long term care; ageing and disability resource centres (ADRC) </w:t>
            </w:r>
          </w:p>
        </w:tc>
        <w:tc>
          <w:tcPr>
            <w:tcW w:w="846" w:type="pct"/>
            <w:noWrap/>
            <w:hideMark/>
          </w:tcPr>
          <w:p w14:paraId="61B981FF" w14:textId="77777777" w:rsidR="00F00CFD" w:rsidRPr="00F66260" w:rsidRDefault="00F00CFD" w:rsidP="00046E15">
            <w:r w:rsidRPr="00F66260">
              <w:t>To community</w:t>
            </w:r>
          </w:p>
        </w:tc>
      </w:tr>
      <w:tr w:rsidR="00F00CFD" w:rsidRPr="00650916" w14:paraId="6C59AE6B" w14:textId="77777777" w:rsidTr="006E2C88">
        <w:tc>
          <w:tcPr>
            <w:tcW w:w="234" w:type="pct"/>
          </w:tcPr>
          <w:p w14:paraId="024D8C33" w14:textId="51C6C09C"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13</w:t>
            </w:r>
            <w:r w:rsidR="004873BD">
              <w:rPr>
                <w:rFonts w:ascii="Calibri" w:eastAsia="Times New Roman" w:hAnsi="Calibri" w:cs="Calibri"/>
                <w:color w:val="000000"/>
                <w:lang w:eastAsia="en-AU"/>
              </w:rPr>
              <w:t>5</w:t>
            </w:r>
          </w:p>
        </w:tc>
        <w:tc>
          <w:tcPr>
            <w:tcW w:w="573" w:type="pct"/>
            <w:hideMark/>
          </w:tcPr>
          <w:p w14:paraId="74082AD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Sines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2012</w:t>
            </w:r>
            <w:r>
              <w:rPr>
                <w:rFonts w:ascii="Calibri" w:eastAsia="Times New Roman" w:hAnsi="Calibri" w:cs="Calibri"/>
                <w:color w:val="000000"/>
                <w:lang w:eastAsia="en-AU"/>
              </w:rPr>
              <w:t>)</w:t>
            </w:r>
          </w:p>
        </w:tc>
        <w:tc>
          <w:tcPr>
            <w:tcW w:w="707" w:type="pct"/>
            <w:hideMark/>
          </w:tcPr>
          <w:p w14:paraId="78612BD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An evaluation of quality of life following transition to supported housing.</w:t>
            </w:r>
          </w:p>
        </w:tc>
        <w:tc>
          <w:tcPr>
            <w:tcW w:w="404" w:type="pct"/>
            <w:hideMark/>
          </w:tcPr>
          <w:p w14:paraId="42DABF13"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England</w:t>
            </w:r>
          </w:p>
        </w:tc>
        <w:tc>
          <w:tcPr>
            <w:tcW w:w="606" w:type="pct"/>
            <w:hideMark/>
          </w:tcPr>
          <w:p w14:paraId="5CE1272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One group pre/post repeated measures design </w:t>
            </w:r>
          </w:p>
        </w:tc>
        <w:tc>
          <w:tcPr>
            <w:tcW w:w="619" w:type="pct"/>
            <w:hideMark/>
          </w:tcPr>
          <w:p w14:paraId="44A6CDB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Profound learning disabilities.</w:t>
            </w:r>
          </w:p>
        </w:tc>
        <w:tc>
          <w:tcPr>
            <w:tcW w:w="1011" w:type="pct"/>
            <w:hideMark/>
          </w:tcPr>
          <w:p w14:paraId="4E2DDBB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 from long stay hospital accommodation (Orchard Hill) to</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supported community living accommodation</w:t>
            </w:r>
          </w:p>
        </w:tc>
        <w:tc>
          <w:tcPr>
            <w:tcW w:w="846" w:type="pct"/>
            <w:hideMark/>
          </w:tcPr>
          <w:p w14:paraId="5051C75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 from congregated to de-congregated setting</w:t>
            </w:r>
          </w:p>
        </w:tc>
      </w:tr>
      <w:tr w:rsidR="00F00CFD" w:rsidRPr="00F66260" w14:paraId="144107EE" w14:textId="77777777" w:rsidTr="006E2C88">
        <w:tc>
          <w:tcPr>
            <w:tcW w:w="234" w:type="pct"/>
          </w:tcPr>
          <w:p w14:paraId="47854032" w14:textId="2CD3BB57" w:rsidR="00F00CFD" w:rsidRPr="00F66260" w:rsidRDefault="00F00CFD" w:rsidP="00046E15">
            <w:r>
              <w:t>13</w:t>
            </w:r>
            <w:r w:rsidR="004873BD">
              <w:t>6</w:t>
            </w:r>
          </w:p>
        </w:tc>
        <w:tc>
          <w:tcPr>
            <w:tcW w:w="573" w:type="pct"/>
            <w:hideMark/>
          </w:tcPr>
          <w:p w14:paraId="5DFCABC8" w14:textId="77777777" w:rsidR="00F00CFD" w:rsidRPr="00F66260" w:rsidRDefault="00F00CFD" w:rsidP="00046E15">
            <w:r w:rsidRPr="00F66260">
              <w:t>Snell</w:t>
            </w:r>
            <w:r>
              <w:t xml:space="preserve"> (2000)</w:t>
            </w:r>
          </w:p>
        </w:tc>
        <w:tc>
          <w:tcPr>
            <w:tcW w:w="707" w:type="pct"/>
          </w:tcPr>
          <w:p w14:paraId="41570DE5" w14:textId="77777777" w:rsidR="00F00CFD" w:rsidRPr="00F66260" w:rsidRDefault="00F00CFD" w:rsidP="00046E15">
            <w:r>
              <w:t xml:space="preserve">Progress review of independent living </w:t>
            </w:r>
          </w:p>
        </w:tc>
        <w:tc>
          <w:tcPr>
            <w:tcW w:w="404" w:type="pct"/>
            <w:noWrap/>
            <w:hideMark/>
          </w:tcPr>
          <w:p w14:paraId="43BCD5CB" w14:textId="77777777" w:rsidR="00F00CFD" w:rsidRPr="00F66260" w:rsidRDefault="00F00CFD" w:rsidP="00046E15">
            <w:r w:rsidRPr="00F66260">
              <w:t>UK</w:t>
            </w:r>
          </w:p>
        </w:tc>
        <w:tc>
          <w:tcPr>
            <w:tcW w:w="606" w:type="pct"/>
            <w:noWrap/>
          </w:tcPr>
          <w:p w14:paraId="3E62B127" w14:textId="77777777" w:rsidR="00F00CFD" w:rsidRPr="00F66260" w:rsidRDefault="00F00CFD" w:rsidP="00046E15">
            <w:r>
              <w:t>Newspaper article</w:t>
            </w:r>
          </w:p>
        </w:tc>
        <w:tc>
          <w:tcPr>
            <w:tcW w:w="619" w:type="pct"/>
            <w:noWrap/>
            <w:hideMark/>
          </w:tcPr>
          <w:p w14:paraId="6B32E7ED" w14:textId="77777777" w:rsidR="00F00CFD" w:rsidRPr="00F66260" w:rsidRDefault="00F00CFD" w:rsidP="00046E15">
            <w:r w:rsidRPr="00F66260">
              <w:t>Young people with disabilities</w:t>
            </w:r>
          </w:p>
        </w:tc>
        <w:tc>
          <w:tcPr>
            <w:tcW w:w="1011" w:type="pct"/>
            <w:hideMark/>
          </w:tcPr>
          <w:p w14:paraId="1AF8693C" w14:textId="77777777" w:rsidR="00F00CFD" w:rsidRPr="00F66260" w:rsidRDefault="00F00CFD" w:rsidP="00046E15">
            <w:r w:rsidRPr="00F66260">
              <w:t>Independent living: staff training needed</w:t>
            </w:r>
          </w:p>
        </w:tc>
        <w:tc>
          <w:tcPr>
            <w:tcW w:w="846" w:type="pct"/>
            <w:noWrap/>
            <w:hideMark/>
          </w:tcPr>
          <w:p w14:paraId="46E9D945" w14:textId="77777777" w:rsidR="00F00CFD" w:rsidRPr="00F66260" w:rsidRDefault="00F00CFD" w:rsidP="00046E15">
            <w:r w:rsidRPr="00F66260">
              <w:t>Independent</w:t>
            </w:r>
          </w:p>
        </w:tc>
      </w:tr>
      <w:tr w:rsidR="00F00CFD" w:rsidRPr="00650916" w14:paraId="3E1941E3" w14:textId="77777777" w:rsidTr="006E2C88">
        <w:tc>
          <w:tcPr>
            <w:tcW w:w="234" w:type="pct"/>
          </w:tcPr>
          <w:p w14:paraId="1DDA0377" w14:textId="2D5EE714"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lastRenderedPageBreak/>
              <w:t>1</w:t>
            </w:r>
            <w:r w:rsidR="004873BD">
              <w:rPr>
                <w:rFonts w:ascii="Calibri" w:eastAsia="Times New Roman" w:hAnsi="Calibri" w:cs="Calibri"/>
                <w:color w:val="000000"/>
                <w:lang w:eastAsia="en-AU"/>
              </w:rPr>
              <w:t>37</w:t>
            </w:r>
          </w:p>
        </w:tc>
        <w:tc>
          <w:tcPr>
            <w:tcW w:w="573" w:type="pct"/>
            <w:hideMark/>
          </w:tcPr>
          <w:p w14:paraId="4FC3A314"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Spreat &amp; Conroy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2002</w:t>
            </w:r>
            <w:r>
              <w:rPr>
                <w:rFonts w:ascii="Calibri" w:eastAsia="Times New Roman" w:hAnsi="Calibri" w:cs="Calibri"/>
                <w:color w:val="000000"/>
                <w:lang w:eastAsia="en-AU"/>
              </w:rPr>
              <w:t>)</w:t>
            </w:r>
          </w:p>
        </w:tc>
        <w:tc>
          <w:tcPr>
            <w:tcW w:w="707" w:type="pct"/>
            <w:hideMark/>
          </w:tcPr>
          <w:p w14:paraId="1F540E9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Longitudinal examination of family contact across four groups of individuals who transferred from congregated settings to small homes in the community.</w:t>
            </w:r>
          </w:p>
        </w:tc>
        <w:tc>
          <w:tcPr>
            <w:tcW w:w="404" w:type="pct"/>
            <w:hideMark/>
          </w:tcPr>
          <w:p w14:paraId="76C1301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USA</w:t>
            </w:r>
          </w:p>
        </w:tc>
        <w:tc>
          <w:tcPr>
            <w:tcW w:w="606" w:type="pct"/>
            <w:hideMark/>
          </w:tcPr>
          <w:p w14:paraId="6C5DDB4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Other - Institutional cycle design</w:t>
            </w:r>
          </w:p>
        </w:tc>
        <w:tc>
          <w:tcPr>
            <w:tcW w:w="619" w:type="pct"/>
            <w:hideMark/>
          </w:tcPr>
          <w:p w14:paraId="67B16025"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Mental retardation</w:t>
            </w:r>
          </w:p>
        </w:tc>
        <w:tc>
          <w:tcPr>
            <w:tcW w:w="1011" w:type="pct"/>
            <w:hideMark/>
          </w:tcPr>
          <w:p w14:paraId="1AC25E4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Supported living arrangements </w:t>
            </w:r>
          </w:p>
        </w:tc>
        <w:tc>
          <w:tcPr>
            <w:tcW w:w="846" w:type="pct"/>
            <w:hideMark/>
          </w:tcPr>
          <w:p w14:paraId="2DA8C1A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Movement to the community</w:t>
            </w:r>
          </w:p>
        </w:tc>
      </w:tr>
      <w:tr w:rsidR="00F00CFD" w:rsidRPr="00650916" w14:paraId="298246BA" w14:textId="77777777" w:rsidTr="006E2C88">
        <w:tc>
          <w:tcPr>
            <w:tcW w:w="234" w:type="pct"/>
            <w:shd w:val="clear" w:color="auto" w:fill="auto"/>
          </w:tcPr>
          <w:p w14:paraId="6A0179BA" w14:textId="2E41CCEA"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w:t>
            </w:r>
            <w:r w:rsidR="004873BD">
              <w:rPr>
                <w:rFonts w:ascii="Calibri" w:eastAsia="Times New Roman" w:hAnsi="Calibri" w:cs="Calibri"/>
                <w:color w:val="000000"/>
                <w:lang w:eastAsia="en-AU"/>
              </w:rPr>
              <w:t>38</w:t>
            </w:r>
          </w:p>
        </w:tc>
        <w:tc>
          <w:tcPr>
            <w:tcW w:w="573" w:type="pct"/>
            <w:shd w:val="clear" w:color="auto" w:fill="auto"/>
            <w:hideMark/>
          </w:tcPr>
          <w:p w14:paraId="55A7D3B9"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Stancliffe &amp; Keane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2000</w:t>
            </w:r>
            <w:r>
              <w:rPr>
                <w:rFonts w:ascii="Calibri" w:eastAsia="Times New Roman" w:hAnsi="Calibri" w:cs="Calibri"/>
                <w:color w:val="000000"/>
                <w:lang w:eastAsia="en-AU"/>
              </w:rPr>
              <w:t>)</w:t>
            </w:r>
          </w:p>
        </w:tc>
        <w:tc>
          <w:tcPr>
            <w:tcW w:w="707" w:type="pct"/>
            <w:shd w:val="clear" w:color="auto" w:fill="auto"/>
            <w:hideMark/>
          </w:tcPr>
          <w:p w14:paraId="2272436A" w14:textId="0BE3221D" w:rsidR="00F00CFD" w:rsidRPr="00650916" w:rsidRDefault="003F4D3F" w:rsidP="00046E15">
            <w:pPr>
              <w:rPr>
                <w:rFonts w:ascii="Calibri" w:eastAsia="Times New Roman" w:hAnsi="Calibri" w:cs="Calibri"/>
                <w:color w:val="000000"/>
                <w:lang w:eastAsia="en-AU"/>
              </w:rPr>
            </w:pPr>
            <w:r>
              <w:rPr>
                <w:rFonts w:ascii="Calibri" w:eastAsia="Times New Roman" w:hAnsi="Calibri" w:cs="Calibri"/>
                <w:color w:val="000000"/>
                <w:lang w:eastAsia="en-AU"/>
              </w:rPr>
              <w:t>An evaluation of o</w:t>
            </w:r>
            <w:r w:rsidRPr="003F4D3F">
              <w:rPr>
                <w:rFonts w:ascii="Calibri" w:eastAsia="Times New Roman" w:hAnsi="Calibri" w:cs="Calibri"/>
                <w:color w:val="000000"/>
                <w:lang w:eastAsia="en-AU"/>
              </w:rPr>
              <w:t>utcomes and costs of community living</w:t>
            </w:r>
            <w:r>
              <w:rPr>
                <w:rFonts w:ascii="Calibri" w:eastAsia="Times New Roman" w:hAnsi="Calibri" w:cs="Calibri"/>
                <w:color w:val="000000"/>
                <w:lang w:eastAsia="en-AU"/>
              </w:rPr>
              <w:t>.</w:t>
            </w:r>
          </w:p>
        </w:tc>
        <w:tc>
          <w:tcPr>
            <w:tcW w:w="404" w:type="pct"/>
            <w:shd w:val="clear" w:color="auto" w:fill="auto"/>
            <w:hideMark/>
          </w:tcPr>
          <w:p w14:paraId="1490FFDE"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Australia</w:t>
            </w:r>
          </w:p>
        </w:tc>
        <w:tc>
          <w:tcPr>
            <w:tcW w:w="606" w:type="pct"/>
            <w:shd w:val="clear" w:color="auto" w:fill="auto"/>
            <w:hideMark/>
          </w:tcPr>
          <w:p w14:paraId="19B4B0A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Cross sectional</w:t>
            </w:r>
          </w:p>
        </w:tc>
        <w:tc>
          <w:tcPr>
            <w:tcW w:w="619" w:type="pct"/>
            <w:shd w:val="clear" w:color="auto" w:fill="auto"/>
            <w:hideMark/>
          </w:tcPr>
          <w:p w14:paraId="43E8E72E"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Cross section of disabilities including physical, psychiatric and neurodevelopmental disabilities.</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Sample selection and matching into two groups was based on the 'adaptive' and 'challenging' behaviour scores of the Inventory for Client and Agency Planning (ICAP).</w:t>
            </w:r>
          </w:p>
        </w:tc>
        <w:tc>
          <w:tcPr>
            <w:tcW w:w="1011" w:type="pct"/>
            <w:shd w:val="clear" w:color="auto" w:fill="auto"/>
            <w:hideMark/>
          </w:tcPr>
          <w:p w14:paraId="58F9AF9E"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1) Group home - a household of 3 to 7 people with full-time support (at least during waking hours) by paid staff from an accommodation support agency for people with a disability 2) Semi-independent living arrangement - a household of 1 to 4 people living together with regular part-time support by paid staff from an accommodation support agency for people with a disability. There is no regularly scheduled overnight staff support (including no sleepovers.</w:t>
            </w:r>
          </w:p>
        </w:tc>
        <w:tc>
          <w:tcPr>
            <w:tcW w:w="846" w:type="pct"/>
            <w:shd w:val="clear" w:color="auto" w:fill="auto"/>
            <w:hideMark/>
          </w:tcPr>
          <w:p w14:paraId="7DD32D6A" w14:textId="357D1CAB" w:rsidR="00F00CFD" w:rsidRPr="00650916" w:rsidRDefault="003F4D3F" w:rsidP="00046E15">
            <w:pPr>
              <w:rPr>
                <w:rFonts w:ascii="Calibri" w:eastAsia="Times New Roman" w:hAnsi="Calibri" w:cs="Calibri"/>
                <w:color w:val="000000"/>
                <w:lang w:eastAsia="en-AU"/>
              </w:rPr>
            </w:pPr>
            <w:r>
              <w:rPr>
                <w:rFonts w:ascii="Calibri" w:eastAsia="Times New Roman" w:hAnsi="Calibri" w:cs="Calibri"/>
                <w:color w:val="000000"/>
                <w:lang w:eastAsia="en-AU"/>
              </w:rPr>
              <w:t>Cross sectional study of different housing models.</w:t>
            </w:r>
          </w:p>
        </w:tc>
      </w:tr>
      <w:tr w:rsidR="00F00CFD" w:rsidRPr="00650916" w14:paraId="660D48DF" w14:textId="77777777" w:rsidTr="006E2C88">
        <w:tc>
          <w:tcPr>
            <w:tcW w:w="234" w:type="pct"/>
            <w:shd w:val="clear" w:color="auto" w:fill="auto"/>
          </w:tcPr>
          <w:p w14:paraId="05E013EF" w14:textId="513B13EC" w:rsidR="00F00CFD" w:rsidRPr="00650916" w:rsidRDefault="00F00CFD" w:rsidP="00961495">
            <w:pPr>
              <w:keepNext/>
              <w:rPr>
                <w:rFonts w:ascii="Calibri" w:eastAsia="Times New Roman" w:hAnsi="Calibri" w:cs="Calibri"/>
                <w:color w:val="000000"/>
                <w:lang w:eastAsia="en-AU"/>
              </w:rPr>
            </w:pPr>
            <w:r>
              <w:rPr>
                <w:rFonts w:ascii="Calibri" w:eastAsia="Times New Roman" w:hAnsi="Calibri" w:cs="Calibri"/>
                <w:color w:val="000000"/>
                <w:lang w:eastAsia="en-AU"/>
              </w:rPr>
              <w:lastRenderedPageBreak/>
              <w:t>1</w:t>
            </w:r>
            <w:r w:rsidR="004873BD">
              <w:rPr>
                <w:rFonts w:ascii="Calibri" w:eastAsia="Times New Roman" w:hAnsi="Calibri" w:cs="Calibri"/>
                <w:color w:val="000000"/>
                <w:lang w:eastAsia="en-AU"/>
              </w:rPr>
              <w:t>39</w:t>
            </w:r>
          </w:p>
        </w:tc>
        <w:tc>
          <w:tcPr>
            <w:tcW w:w="573" w:type="pct"/>
            <w:shd w:val="clear" w:color="auto" w:fill="auto"/>
            <w:hideMark/>
          </w:tcPr>
          <w:p w14:paraId="00695A72" w14:textId="77777777" w:rsidR="00F00CFD" w:rsidRPr="00650916" w:rsidRDefault="00F00CFD" w:rsidP="00961495">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Stancliffe &amp; Lakin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2006</w:t>
            </w:r>
            <w:r>
              <w:rPr>
                <w:rFonts w:ascii="Calibri" w:eastAsia="Times New Roman" w:hAnsi="Calibri" w:cs="Calibri"/>
                <w:color w:val="000000"/>
                <w:lang w:eastAsia="en-AU"/>
              </w:rPr>
              <w:t>)</w:t>
            </w:r>
          </w:p>
        </w:tc>
        <w:tc>
          <w:tcPr>
            <w:tcW w:w="707" w:type="pct"/>
            <w:shd w:val="clear" w:color="auto" w:fill="auto"/>
            <w:hideMark/>
          </w:tcPr>
          <w:p w14:paraId="64BF77BE" w14:textId="77777777" w:rsidR="00F00CFD" w:rsidRPr="00650916" w:rsidRDefault="00F00CFD" w:rsidP="00961495">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Examination of the frequency and stability of family contact with long term institutional residents following transition to the community.</w:t>
            </w:r>
          </w:p>
        </w:tc>
        <w:tc>
          <w:tcPr>
            <w:tcW w:w="404" w:type="pct"/>
            <w:shd w:val="clear" w:color="auto" w:fill="auto"/>
            <w:hideMark/>
          </w:tcPr>
          <w:p w14:paraId="206193EF" w14:textId="77777777" w:rsidR="00F00CFD" w:rsidRPr="00650916" w:rsidRDefault="00F00CFD" w:rsidP="00961495">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USA</w:t>
            </w:r>
          </w:p>
        </w:tc>
        <w:tc>
          <w:tcPr>
            <w:tcW w:w="606" w:type="pct"/>
            <w:shd w:val="clear" w:color="auto" w:fill="auto"/>
            <w:hideMark/>
          </w:tcPr>
          <w:p w14:paraId="5A750CDE" w14:textId="77777777" w:rsidR="00F00CFD" w:rsidRPr="00650916" w:rsidRDefault="00F00CFD" w:rsidP="00961495">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Two group repeated measures design</w:t>
            </w:r>
          </w:p>
        </w:tc>
        <w:tc>
          <w:tcPr>
            <w:tcW w:w="619" w:type="pct"/>
            <w:shd w:val="clear" w:color="auto" w:fill="auto"/>
            <w:hideMark/>
          </w:tcPr>
          <w:p w14:paraId="577B80B5" w14:textId="77777777" w:rsidR="00F00CFD" w:rsidRPr="00650916" w:rsidRDefault="00F00CFD" w:rsidP="00961495">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Intellectual disability </w:t>
            </w:r>
          </w:p>
        </w:tc>
        <w:tc>
          <w:tcPr>
            <w:tcW w:w="1011" w:type="pct"/>
            <w:shd w:val="clear" w:color="auto" w:fill="auto"/>
            <w:hideMark/>
          </w:tcPr>
          <w:p w14:paraId="38057459" w14:textId="77777777" w:rsidR="00F00CFD" w:rsidRPr="00650916" w:rsidRDefault="00F00CFD" w:rsidP="00961495">
            <w:pPr>
              <w:keepNext/>
              <w:rPr>
                <w:rFonts w:ascii="Calibri" w:eastAsia="Times New Roman" w:hAnsi="Calibri" w:cs="Calibri"/>
                <w:color w:val="000000"/>
                <w:lang w:eastAsia="en-AU"/>
              </w:rPr>
            </w:pPr>
            <w:r w:rsidRPr="00650916">
              <w:rPr>
                <w:rFonts w:ascii="Calibri" w:eastAsia="Times New Roman" w:hAnsi="Calibri" w:cs="Calibri"/>
                <w:color w:val="000000"/>
                <w:lang w:eastAsia="en-AU"/>
              </w:rPr>
              <w:t>Congregated setting (institution): institutional residential settings with each setting range of number of residents, 5-26; decongregated setting (community housing) with each setting range of number of residents, 2-15.</w:t>
            </w:r>
          </w:p>
        </w:tc>
        <w:tc>
          <w:tcPr>
            <w:tcW w:w="846" w:type="pct"/>
            <w:shd w:val="clear" w:color="auto" w:fill="auto"/>
            <w:hideMark/>
          </w:tcPr>
          <w:p w14:paraId="444D56F2" w14:textId="759185F2" w:rsidR="00F00CFD" w:rsidRPr="00650916" w:rsidRDefault="003F4D3F" w:rsidP="00961495">
            <w:pPr>
              <w:keepNext/>
              <w:rPr>
                <w:rFonts w:ascii="Calibri" w:eastAsia="Times New Roman" w:hAnsi="Calibri" w:cs="Calibri"/>
                <w:color w:val="000000"/>
                <w:lang w:eastAsia="en-AU"/>
              </w:rPr>
            </w:pPr>
            <w:r>
              <w:rPr>
                <w:rFonts w:ascii="Calibri" w:eastAsia="Times New Roman" w:hAnsi="Calibri" w:cs="Calibri"/>
                <w:color w:val="000000"/>
                <w:lang w:eastAsia="en-AU"/>
              </w:rPr>
              <w:t>Deinstitutionalisation to community housing.</w:t>
            </w:r>
          </w:p>
        </w:tc>
      </w:tr>
      <w:tr w:rsidR="00F00CFD" w:rsidRPr="00F66260" w14:paraId="41428273" w14:textId="77777777" w:rsidTr="006E2C88">
        <w:tc>
          <w:tcPr>
            <w:tcW w:w="234" w:type="pct"/>
          </w:tcPr>
          <w:p w14:paraId="26B16D61" w14:textId="515763FF" w:rsidR="00F00CFD" w:rsidRPr="00F66260" w:rsidRDefault="00F00CFD" w:rsidP="00046E15">
            <w:r>
              <w:t>14</w:t>
            </w:r>
            <w:r w:rsidR="004873BD">
              <w:t>0</w:t>
            </w:r>
          </w:p>
        </w:tc>
        <w:tc>
          <w:tcPr>
            <w:tcW w:w="573" w:type="pct"/>
            <w:hideMark/>
          </w:tcPr>
          <w:p w14:paraId="7FBDD7F5" w14:textId="77777777" w:rsidR="00F00CFD" w:rsidRDefault="00F00CFD" w:rsidP="00046E15">
            <w:r w:rsidRPr="00F66260">
              <w:t>Stancliffe</w:t>
            </w:r>
            <w:r>
              <w:t xml:space="preserve"> (2014)</w:t>
            </w:r>
          </w:p>
          <w:p w14:paraId="3112DB46" w14:textId="77777777" w:rsidR="00F00CFD" w:rsidRPr="00F66260" w:rsidRDefault="00F00CFD" w:rsidP="00046E15"/>
        </w:tc>
        <w:tc>
          <w:tcPr>
            <w:tcW w:w="707" w:type="pct"/>
          </w:tcPr>
          <w:p w14:paraId="3B72DD47" w14:textId="77777777" w:rsidR="00F00CFD" w:rsidRPr="00F66260" w:rsidRDefault="00F00CFD" w:rsidP="00046E15">
            <w:r w:rsidRPr="00F66260">
              <w:t>Inclusion of adults with disability in Australia: outcomes, legislation and issues</w:t>
            </w:r>
          </w:p>
        </w:tc>
        <w:tc>
          <w:tcPr>
            <w:tcW w:w="404" w:type="pct"/>
            <w:noWrap/>
            <w:hideMark/>
          </w:tcPr>
          <w:p w14:paraId="409FC642" w14:textId="77777777" w:rsidR="00F00CFD" w:rsidRPr="00F66260" w:rsidRDefault="00F00CFD" w:rsidP="00046E15">
            <w:r w:rsidRPr="00F66260">
              <w:t xml:space="preserve">Australia </w:t>
            </w:r>
          </w:p>
        </w:tc>
        <w:tc>
          <w:tcPr>
            <w:tcW w:w="606" w:type="pct"/>
            <w:noWrap/>
          </w:tcPr>
          <w:p w14:paraId="4C85A72B" w14:textId="77777777" w:rsidR="00F00CFD" w:rsidRPr="00F66260" w:rsidRDefault="00F00CFD" w:rsidP="00046E15">
            <w:r>
              <w:t xml:space="preserve">Policy review. Grey literature. </w:t>
            </w:r>
          </w:p>
        </w:tc>
        <w:tc>
          <w:tcPr>
            <w:tcW w:w="619" w:type="pct"/>
            <w:noWrap/>
            <w:hideMark/>
          </w:tcPr>
          <w:p w14:paraId="3E6B0A9E" w14:textId="77777777" w:rsidR="00F00CFD" w:rsidRPr="00F66260" w:rsidRDefault="00F00CFD" w:rsidP="00046E15">
            <w:r w:rsidRPr="00F66260">
              <w:t xml:space="preserve">People with disability, people with intellectual disability </w:t>
            </w:r>
          </w:p>
        </w:tc>
        <w:tc>
          <w:tcPr>
            <w:tcW w:w="1011" w:type="pct"/>
            <w:hideMark/>
          </w:tcPr>
          <w:p w14:paraId="2B831BC0" w14:textId="77777777" w:rsidR="00F00CFD" w:rsidRPr="00F66260" w:rsidRDefault="00F00CFD" w:rsidP="00046E15">
            <w:r w:rsidRPr="00F66260">
              <w:t>Community</w:t>
            </w:r>
          </w:p>
        </w:tc>
        <w:tc>
          <w:tcPr>
            <w:tcW w:w="846" w:type="pct"/>
            <w:noWrap/>
            <w:hideMark/>
          </w:tcPr>
          <w:p w14:paraId="5FCC721C" w14:textId="77777777" w:rsidR="00F00CFD" w:rsidRPr="00F66260" w:rsidRDefault="00F00CFD" w:rsidP="00046E15">
            <w:r w:rsidRPr="00F66260">
              <w:t>To community</w:t>
            </w:r>
          </w:p>
        </w:tc>
      </w:tr>
      <w:tr w:rsidR="00F00CFD" w:rsidRPr="00650916" w14:paraId="04FDCB5C" w14:textId="77777777" w:rsidTr="00AE0078">
        <w:tc>
          <w:tcPr>
            <w:tcW w:w="234" w:type="pct"/>
          </w:tcPr>
          <w:p w14:paraId="2F934D4B" w14:textId="20A4115E"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14</w:t>
            </w:r>
            <w:r w:rsidR="004873BD">
              <w:rPr>
                <w:rFonts w:ascii="Calibri" w:eastAsia="Times New Roman" w:hAnsi="Calibri" w:cs="Calibri"/>
                <w:color w:val="000000"/>
                <w:lang w:eastAsia="en-AU"/>
              </w:rPr>
              <w:t>1</w:t>
            </w:r>
          </w:p>
        </w:tc>
        <w:tc>
          <w:tcPr>
            <w:tcW w:w="573" w:type="pct"/>
            <w:hideMark/>
          </w:tcPr>
          <w:p w14:paraId="41091614"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Styron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2006</w:t>
            </w:r>
            <w:r>
              <w:rPr>
                <w:rFonts w:ascii="Calibri" w:eastAsia="Times New Roman" w:hAnsi="Calibri" w:cs="Calibri"/>
                <w:color w:val="000000"/>
                <w:lang w:eastAsia="en-AU"/>
              </w:rPr>
              <w:t>)</w:t>
            </w:r>
          </w:p>
        </w:tc>
        <w:tc>
          <w:tcPr>
            <w:tcW w:w="707" w:type="pct"/>
            <w:hideMark/>
          </w:tcPr>
          <w:p w14:paraId="14A0E352" w14:textId="1B1204AB" w:rsidR="00F00CFD" w:rsidRPr="00650916" w:rsidRDefault="00DC1C61" w:rsidP="00046E15">
            <w:pPr>
              <w:rPr>
                <w:rFonts w:ascii="Calibri" w:eastAsia="Times New Roman" w:hAnsi="Calibri" w:cs="Calibri"/>
                <w:color w:val="000000"/>
                <w:lang w:eastAsia="en-AU"/>
              </w:rPr>
            </w:pPr>
            <w:r>
              <w:rPr>
                <w:rFonts w:ascii="Calibri" w:eastAsia="Times New Roman" w:hAnsi="Calibri" w:cs="Calibri"/>
                <w:color w:val="000000"/>
                <w:lang w:eastAsia="en-AU"/>
              </w:rPr>
              <w:t>T</w:t>
            </w:r>
            <w:r w:rsidRPr="00DC1C61">
              <w:rPr>
                <w:rFonts w:ascii="Calibri" w:eastAsia="Times New Roman" w:hAnsi="Calibri" w:cs="Calibri"/>
                <w:color w:val="000000"/>
                <w:lang w:eastAsia="en-AU"/>
              </w:rPr>
              <w:t>o provide descriptive information on client characteristics and psychological functioning; to identify program components related to positive client outcomes; and to present qualitative data on clients' experiences in the program and other relevant areas</w:t>
            </w:r>
          </w:p>
        </w:tc>
        <w:tc>
          <w:tcPr>
            <w:tcW w:w="404" w:type="pct"/>
            <w:hideMark/>
          </w:tcPr>
          <w:p w14:paraId="7B3D836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USA</w:t>
            </w:r>
          </w:p>
        </w:tc>
        <w:tc>
          <w:tcPr>
            <w:tcW w:w="606" w:type="pct"/>
            <w:hideMark/>
          </w:tcPr>
          <w:p w14:paraId="01E6CC4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Pre/post intervention single group design</w:t>
            </w:r>
          </w:p>
        </w:tc>
        <w:tc>
          <w:tcPr>
            <w:tcW w:w="619" w:type="pct"/>
            <w:hideMark/>
          </w:tcPr>
          <w:p w14:paraId="0E36982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Psychiatric diagnosis</w:t>
            </w:r>
          </w:p>
        </w:tc>
        <w:tc>
          <w:tcPr>
            <w:tcW w:w="1011" w:type="pct"/>
            <w:shd w:val="clear" w:color="auto" w:fill="auto"/>
            <w:hideMark/>
          </w:tcPr>
          <w:p w14:paraId="5F78E9E3" w14:textId="21AFF5D7" w:rsidR="00F00CFD" w:rsidRPr="00650916" w:rsidRDefault="00DC1C61" w:rsidP="00046E15">
            <w:pPr>
              <w:rPr>
                <w:rFonts w:ascii="Calibri" w:eastAsia="Times New Roman" w:hAnsi="Calibri" w:cs="Calibri"/>
                <w:color w:val="000000"/>
                <w:lang w:eastAsia="en-AU"/>
              </w:rPr>
            </w:pPr>
            <w:r>
              <w:rPr>
                <w:rFonts w:ascii="Calibri" w:eastAsia="Times New Roman" w:hAnsi="Calibri" w:cs="Calibri"/>
                <w:color w:val="000000"/>
                <w:lang w:eastAsia="en-AU"/>
              </w:rPr>
              <w:t xml:space="preserve">Independent community living </w:t>
            </w:r>
          </w:p>
        </w:tc>
        <w:tc>
          <w:tcPr>
            <w:tcW w:w="846" w:type="pct"/>
            <w:hideMark/>
          </w:tcPr>
          <w:p w14:paraId="3CB19DC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Young Adult Services (YAS) program. Comprised of developmentally appropriate clinical, residential, vocational, social rehabilitation, and/or case management services.</w:t>
            </w:r>
          </w:p>
        </w:tc>
      </w:tr>
      <w:tr w:rsidR="00F00CFD" w:rsidRPr="00F66260" w14:paraId="757954E2" w14:textId="77777777" w:rsidTr="006E2C88">
        <w:tc>
          <w:tcPr>
            <w:tcW w:w="234" w:type="pct"/>
          </w:tcPr>
          <w:p w14:paraId="176F3E86" w14:textId="109E349E" w:rsidR="00F00CFD" w:rsidRPr="00F66260" w:rsidRDefault="00F00CFD" w:rsidP="00046E15">
            <w:r>
              <w:lastRenderedPageBreak/>
              <w:t>14</w:t>
            </w:r>
            <w:r w:rsidR="004873BD">
              <w:t>2</w:t>
            </w:r>
          </w:p>
        </w:tc>
        <w:tc>
          <w:tcPr>
            <w:tcW w:w="573" w:type="pct"/>
            <w:noWrap/>
            <w:hideMark/>
          </w:tcPr>
          <w:p w14:paraId="21BE53B4" w14:textId="1F9B9221" w:rsidR="00F00CFD" w:rsidRPr="00F66260" w:rsidRDefault="00F00CFD" w:rsidP="00046E15">
            <w:r w:rsidRPr="00F66260">
              <w:t>Summer Foundation</w:t>
            </w:r>
            <w:r w:rsidR="004873BD">
              <w:t xml:space="preserve"> (</w:t>
            </w:r>
            <w:r w:rsidR="00EC0A64">
              <w:t>20</w:t>
            </w:r>
            <w:r w:rsidR="00105582">
              <w:t>2</w:t>
            </w:r>
            <w:r w:rsidR="00EC0A64">
              <w:t>0</w:t>
            </w:r>
            <w:r w:rsidR="004873BD">
              <w:t>)</w:t>
            </w:r>
          </w:p>
        </w:tc>
        <w:tc>
          <w:tcPr>
            <w:tcW w:w="707" w:type="pct"/>
            <w:noWrap/>
          </w:tcPr>
          <w:p w14:paraId="1D9DDCA3" w14:textId="77777777" w:rsidR="00F00CFD" w:rsidRPr="00F66260" w:rsidRDefault="00F00CFD" w:rsidP="00046E15">
            <w:r w:rsidRPr="00F66260">
              <w:t>Transitional Housing and Support in Australia for People with Disability</w:t>
            </w:r>
          </w:p>
        </w:tc>
        <w:tc>
          <w:tcPr>
            <w:tcW w:w="404" w:type="pct"/>
            <w:noWrap/>
            <w:hideMark/>
          </w:tcPr>
          <w:p w14:paraId="4C260E30" w14:textId="77777777" w:rsidR="00F00CFD" w:rsidRPr="00F66260" w:rsidRDefault="00F00CFD" w:rsidP="00046E15">
            <w:r w:rsidRPr="00F66260">
              <w:t>Aus</w:t>
            </w:r>
            <w:r>
              <w:t>tralia</w:t>
            </w:r>
          </w:p>
        </w:tc>
        <w:tc>
          <w:tcPr>
            <w:tcW w:w="606" w:type="pct"/>
            <w:noWrap/>
          </w:tcPr>
          <w:p w14:paraId="6AFB3162" w14:textId="77777777" w:rsidR="00F00CFD" w:rsidRPr="00F66260" w:rsidRDefault="00F00CFD" w:rsidP="00046E15">
            <w:r>
              <w:t xml:space="preserve">Environmental scan. Grey literature </w:t>
            </w:r>
          </w:p>
        </w:tc>
        <w:tc>
          <w:tcPr>
            <w:tcW w:w="619" w:type="pct"/>
            <w:noWrap/>
            <w:hideMark/>
          </w:tcPr>
          <w:p w14:paraId="41A276A9" w14:textId="77777777" w:rsidR="00F00CFD" w:rsidRPr="00F66260" w:rsidRDefault="00F00CFD" w:rsidP="00046E15">
            <w:r w:rsidRPr="00F66260">
              <w:t>People with disability - complex needs exiting hospital and returning to community</w:t>
            </w:r>
          </w:p>
        </w:tc>
        <w:tc>
          <w:tcPr>
            <w:tcW w:w="1011" w:type="pct"/>
            <w:hideMark/>
          </w:tcPr>
          <w:p w14:paraId="10AF0731" w14:textId="77777777" w:rsidR="00F00CFD" w:rsidRPr="00F66260" w:rsidRDefault="00F00CFD" w:rsidP="00046E15">
            <w:r w:rsidRPr="00F66260">
              <w:t>Transitional housing upon exiting hospital and returning to community; transitional supports upon exiting hospital and returning to community</w:t>
            </w:r>
          </w:p>
        </w:tc>
        <w:tc>
          <w:tcPr>
            <w:tcW w:w="846" w:type="pct"/>
            <w:noWrap/>
            <w:hideMark/>
          </w:tcPr>
          <w:p w14:paraId="25B39574" w14:textId="77777777" w:rsidR="00F00CFD" w:rsidRPr="00F66260" w:rsidRDefault="00F00CFD" w:rsidP="00046E15">
            <w:r w:rsidRPr="00F66260">
              <w:t>Transitional housing</w:t>
            </w:r>
          </w:p>
        </w:tc>
      </w:tr>
      <w:tr w:rsidR="00F00CFD" w:rsidRPr="00FE0180" w14:paraId="447136EB"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4ABA68D3" w14:textId="20555CB4" w:rsidR="00F00CFD" w:rsidRPr="00FE0180" w:rsidRDefault="00F00CFD" w:rsidP="00046E15">
            <w:r>
              <w:t>14</w:t>
            </w:r>
            <w:r w:rsidR="004873BD">
              <w:t>3</w:t>
            </w:r>
          </w:p>
        </w:tc>
        <w:tc>
          <w:tcPr>
            <w:tcW w:w="573" w:type="pct"/>
            <w:tcBorders>
              <w:top w:val="single" w:sz="4" w:space="0" w:color="auto"/>
              <w:left w:val="single" w:sz="4" w:space="0" w:color="auto"/>
              <w:bottom w:val="single" w:sz="4" w:space="0" w:color="auto"/>
              <w:right w:val="single" w:sz="4" w:space="0" w:color="auto"/>
            </w:tcBorders>
            <w:hideMark/>
          </w:tcPr>
          <w:p w14:paraId="6C5430E7" w14:textId="05D22DED" w:rsidR="00F00CFD" w:rsidRPr="00FE0180" w:rsidRDefault="00F00CFD" w:rsidP="00046E15">
            <w:r w:rsidRPr="00FE0180">
              <w:t xml:space="preserve">Tabatabainia, </w:t>
            </w:r>
            <w:r>
              <w:t>(2003)</w:t>
            </w:r>
          </w:p>
        </w:tc>
        <w:tc>
          <w:tcPr>
            <w:tcW w:w="707" w:type="pct"/>
            <w:tcBorders>
              <w:top w:val="single" w:sz="4" w:space="0" w:color="auto"/>
              <w:left w:val="single" w:sz="4" w:space="0" w:color="auto"/>
              <w:bottom w:val="single" w:sz="4" w:space="0" w:color="auto"/>
              <w:right w:val="single" w:sz="4" w:space="0" w:color="auto"/>
            </w:tcBorders>
            <w:hideMark/>
          </w:tcPr>
          <w:p w14:paraId="74E50E58" w14:textId="77777777" w:rsidR="00F00CFD" w:rsidRPr="00FE0180" w:rsidRDefault="00F00CFD" w:rsidP="00046E15">
            <w:r w:rsidRPr="00FE0180">
              <w:t>What are the perceptions of family members who have relatives with an intellectual disability living in Zafar Institution about institutionalization and deinstitutionalization?</w:t>
            </w:r>
          </w:p>
        </w:tc>
        <w:tc>
          <w:tcPr>
            <w:tcW w:w="404" w:type="pct"/>
            <w:tcBorders>
              <w:top w:val="single" w:sz="4" w:space="0" w:color="auto"/>
              <w:left w:val="single" w:sz="4" w:space="0" w:color="auto"/>
              <w:bottom w:val="single" w:sz="4" w:space="0" w:color="auto"/>
              <w:right w:val="single" w:sz="4" w:space="0" w:color="auto"/>
            </w:tcBorders>
          </w:tcPr>
          <w:p w14:paraId="12642CB3" w14:textId="77777777" w:rsidR="00F00CFD" w:rsidRDefault="00F00CFD" w:rsidP="00046E15">
            <w:r w:rsidRPr="00FE0180">
              <w:t>Aus</w:t>
            </w:r>
          </w:p>
        </w:tc>
        <w:tc>
          <w:tcPr>
            <w:tcW w:w="606" w:type="pct"/>
            <w:tcBorders>
              <w:top w:val="single" w:sz="4" w:space="0" w:color="auto"/>
              <w:left w:val="single" w:sz="4" w:space="0" w:color="auto"/>
              <w:bottom w:val="single" w:sz="4" w:space="0" w:color="auto"/>
              <w:right w:val="single" w:sz="4" w:space="0" w:color="auto"/>
            </w:tcBorders>
          </w:tcPr>
          <w:p w14:paraId="281383B4" w14:textId="77777777" w:rsidR="00F00CFD" w:rsidRPr="00FE0180" w:rsidRDefault="00F00CFD" w:rsidP="00046E15">
            <w:r>
              <w:t>Semi-structured interviews (n=22)</w:t>
            </w:r>
          </w:p>
        </w:tc>
        <w:tc>
          <w:tcPr>
            <w:tcW w:w="619" w:type="pct"/>
            <w:tcBorders>
              <w:top w:val="single" w:sz="4" w:space="0" w:color="auto"/>
              <w:left w:val="single" w:sz="4" w:space="0" w:color="auto"/>
              <w:bottom w:val="single" w:sz="4" w:space="0" w:color="auto"/>
              <w:right w:val="single" w:sz="4" w:space="0" w:color="auto"/>
            </w:tcBorders>
            <w:hideMark/>
          </w:tcPr>
          <w:p w14:paraId="0FB05E78" w14:textId="77777777" w:rsidR="00F00CFD" w:rsidRPr="00FE0180" w:rsidRDefault="00F00CFD" w:rsidP="00046E15">
            <w:r w:rsidRPr="00FE0180">
              <w:t xml:space="preserve">Intellectual disability </w:t>
            </w:r>
          </w:p>
        </w:tc>
        <w:tc>
          <w:tcPr>
            <w:tcW w:w="1011" w:type="pct"/>
            <w:tcBorders>
              <w:top w:val="single" w:sz="4" w:space="0" w:color="auto"/>
              <w:left w:val="single" w:sz="4" w:space="0" w:color="auto"/>
              <w:bottom w:val="single" w:sz="4" w:space="0" w:color="auto"/>
              <w:right w:val="single" w:sz="4" w:space="0" w:color="auto"/>
            </w:tcBorders>
            <w:hideMark/>
          </w:tcPr>
          <w:p w14:paraId="7C24DF68" w14:textId="77777777" w:rsidR="00F00CFD" w:rsidRPr="00FE0180" w:rsidRDefault="00F00CFD" w:rsidP="00046E15">
            <w:r w:rsidRPr="00FE0180">
              <w:t xml:space="preserve">Deinstitutionlaistion </w:t>
            </w:r>
          </w:p>
        </w:tc>
        <w:tc>
          <w:tcPr>
            <w:tcW w:w="846" w:type="pct"/>
            <w:tcBorders>
              <w:top w:val="single" w:sz="4" w:space="0" w:color="auto"/>
              <w:left w:val="single" w:sz="4" w:space="0" w:color="auto"/>
              <w:bottom w:val="single" w:sz="4" w:space="0" w:color="auto"/>
              <w:right w:val="single" w:sz="4" w:space="0" w:color="auto"/>
            </w:tcBorders>
            <w:hideMark/>
          </w:tcPr>
          <w:p w14:paraId="2D9B935E" w14:textId="77777777" w:rsidR="00F00CFD" w:rsidRPr="00FE0180" w:rsidRDefault="00F00CFD" w:rsidP="00046E15">
            <w:r w:rsidRPr="00FE0180">
              <w:t>Parent/family perspective</w:t>
            </w:r>
          </w:p>
        </w:tc>
      </w:tr>
      <w:tr w:rsidR="00F00CFD" w:rsidRPr="00650916" w14:paraId="41412ACF" w14:textId="77777777" w:rsidTr="006E2C88">
        <w:tc>
          <w:tcPr>
            <w:tcW w:w="234" w:type="pct"/>
          </w:tcPr>
          <w:p w14:paraId="4654B0EF" w14:textId="6B3889FA"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14</w:t>
            </w:r>
            <w:r w:rsidR="004873BD">
              <w:rPr>
                <w:rFonts w:ascii="Calibri" w:eastAsia="Times New Roman" w:hAnsi="Calibri" w:cs="Calibri"/>
                <w:color w:val="000000"/>
                <w:lang w:eastAsia="en-AU"/>
              </w:rPr>
              <w:t>4</w:t>
            </w:r>
          </w:p>
        </w:tc>
        <w:tc>
          <w:tcPr>
            <w:tcW w:w="573" w:type="pct"/>
            <w:hideMark/>
          </w:tcPr>
          <w:p w14:paraId="3A14995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Trauer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2001</w:t>
            </w:r>
            <w:r>
              <w:rPr>
                <w:rFonts w:ascii="Calibri" w:eastAsia="Times New Roman" w:hAnsi="Calibri" w:cs="Calibri"/>
                <w:color w:val="000000"/>
                <w:lang w:eastAsia="en-AU"/>
              </w:rPr>
              <w:t>)</w:t>
            </w:r>
          </w:p>
        </w:tc>
        <w:tc>
          <w:tcPr>
            <w:tcW w:w="707" w:type="pct"/>
            <w:hideMark/>
          </w:tcPr>
          <w:p w14:paraId="434A7FC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An evaluation of the status of psychiatric patients following move to Community Care Units (CCU).</w:t>
            </w:r>
          </w:p>
        </w:tc>
        <w:tc>
          <w:tcPr>
            <w:tcW w:w="404" w:type="pct"/>
            <w:hideMark/>
          </w:tcPr>
          <w:p w14:paraId="1C140C5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Australia</w:t>
            </w:r>
          </w:p>
        </w:tc>
        <w:tc>
          <w:tcPr>
            <w:tcW w:w="606" w:type="pct"/>
            <w:hideMark/>
          </w:tcPr>
          <w:p w14:paraId="48296D45"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One group pre/post repeated measures design </w:t>
            </w:r>
          </w:p>
        </w:tc>
        <w:tc>
          <w:tcPr>
            <w:tcW w:w="619" w:type="pct"/>
            <w:hideMark/>
          </w:tcPr>
          <w:p w14:paraId="7851D4D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Psychiatric illness</w:t>
            </w:r>
          </w:p>
        </w:tc>
        <w:tc>
          <w:tcPr>
            <w:tcW w:w="1011" w:type="pct"/>
            <w:hideMark/>
          </w:tcPr>
          <w:p w14:paraId="765F481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CCU Community Care Unit-cluster housing development for 20 residents with 24 hr staffing.</w:t>
            </w:r>
            <w:r>
              <w:rPr>
                <w:rFonts w:ascii="Calibri" w:eastAsia="Times New Roman" w:hAnsi="Calibri" w:cs="Calibri"/>
                <w:color w:val="000000"/>
                <w:lang w:eastAsia="en-AU"/>
              </w:rPr>
              <w:t xml:space="preserve"> </w:t>
            </w:r>
            <w:r w:rsidRPr="00650916">
              <w:rPr>
                <w:rFonts w:ascii="Calibri" w:eastAsia="Times New Roman" w:hAnsi="Calibri" w:cs="Calibri"/>
                <w:color w:val="000000"/>
                <w:lang w:eastAsia="en-AU"/>
              </w:rPr>
              <w:t>Interim CCUs-located on hospital grounds</w:t>
            </w:r>
          </w:p>
        </w:tc>
        <w:tc>
          <w:tcPr>
            <w:tcW w:w="846" w:type="pct"/>
            <w:hideMark/>
          </w:tcPr>
          <w:p w14:paraId="405CC011"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 from institution to de-congregated setting (N=20 residents)</w:t>
            </w:r>
          </w:p>
        </w:tc>
      </w:tr>
      <w:tr w:rsidR="00F00CFD" w:rsidRPr="00650916" w14:paraId="366D5F52" w14:textId="77777777" w:rsidTr="006E2C88">
        <w:tc>
          <w:tcPr>
            <w:tcW w:w="234" w:type="pct"/>
            <w:shd w:val="clear" w:color="auto" w:fill="auto"/>
          </w:tcPr>
          <w:p w14:paraId="7C1430D8" w14:textId="73123474"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14</w:t>
            </w:r>
            <w:r w:rsidR="004873BD">
              <w:rPr>
                <w:rFonts w:ascii="Calibri" w:eastAsia="Times New Roman" w:hAnsi="Calibri" w:cs="Calibri"/>
                <w:color w:val="000000"/>
                <w:lang w:eastAsia="en-AU"/>
              </w:rPr>
              <w:t>5</w:t>
            </w:r>
          </w:p>
        </w:tc>
        <w:tc>
          <w:tcPr>
            <w:tcW w:w="573" w:type="pct"/>
            <w:shd w:val="clear" w:color="auto" w:fill="auto"/>
            <w:hideMark/>
          </w:tcPr>
          <w:p w14:paraId="2DA2D305"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Umansky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2003</w:t>
            </w:r>
            <w:r>
              <w:rPr>
                <w:rFonts w:ascii="Calibri" w:eastAsia="Times New Roman" w:hAnsi="Calibri" w:cs="Calibri"/>
                <w:color w:val="000000"/>
                <w:lang w:eastAsia="en-AU"/>
              </w:rPr>
              <w:t>)</w:t>
            </w:r>
          </w:p>
        </w:tc>
        <w:tc>
          <w:tcPr>
            <w:tcW w:w="707" w:type="pct"/>
            <w:shd w:val="clear" w:color="auto" w:fill="auto"/>
            <w:hideMark/>
          </w:tcPr>
          <w:p w14:paraId="5A8626B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Examination whether transition from hospital to a hostel improved quality of life</w:t>
            </w:r>
          </w:p>
        </w:tc>
        <w:tc>
          <w:tcPr>
            <w:tcW w:w="404" w:type="pct"/>
            <w:shd w:val="clear" w:color="auto" w:fill="auto"/>
            <w:hideMark/>
          </w:tcPr>
          <w:p w14:paraId="6788AB73"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Israel</w:t>
            </w:r>
          </w:p>
        </w:tc>
        <w:tc>
          <w:tcPr>
            <w:tcW w:w="606" w:type="pct"/>
            <w:shd w:val="clear" w:color="auto" w:fill="auto"/>
            <w:hideMark/>
          </w:tcPr>
          <w:p w14:paraId="01263A9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Two group repeated measures design</w:t>
            </w:r>
          </w:p>
        </w:tc>
        <w:tc>
          <w:tcPr>
            <w:tcW w:w="619" w:type="pct"/>
            <w:shd w:val="clear" w:color="auto" w:fill="auto"/>
            <w:hideMark/>
          </w:tcPr>
          <w:p w14:paraId="32A358B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Psychiatric condition/Schizophrenia</w:t>
            </w:r>
          </w:p>
        </w:tc>
        <w:tc>
          <w:tcPr>
            <w:tcW w:w="1011" w:type="pct"/>
            <w:shd w:val="clear" w:color="auto" w:fill="auto"/>
            <w:hideMark/>
          </w:tcPr>
          <w:p w14:paraId="3F8F9A2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Institution compared with shared community hostel accommodation</w:t>
            </w:r>
          </w:p>
        </w:tc>
        <w:tc>
          <w:tcPr>
            <w:tcW w:w="846" w:type="pct"/>
            <w:shd w:val="clear" w:color="auto" w:fill="auto"/>
            <w:hideMark/>
          </w:tcPr>
          <w:p w14:paraId="031ACE6A" w14:textId="7DD6C7C8" w:rsidR="00F00CFD" w:rsidRPr="00650916" w:rsidRDefault="003F4D3F" w:rsidP="00046E15">
            <w:pPr>
              <w:rPr>
                <w:rFonts w:ascii="Calibri" w:eastAsia="Times New Roman" w:hAnsi="Calibri" w:cs="Calibri"/>
                <w:color w:val="000000"/>
                <w:lang w:eastAsia="en-AU"/>
              </w:rPr>
            </w:pPr>
            <w:r>
              <w:rPr>
                <w:rFonts w:ascii="Calibri" w:eastAsia="Times New Roman" w:hAnsi="Calibri" w:cs="Calibri"/>
                <w:color w:val="000000"/>
                <w:lang w:eastAsia="en-AU"/>
              </w:rPr>
              <w:t>Deinstitutionalisation</w:t>
            </w:r>
          </w:p>
        </w:tc>
      </w:tr>
      <w:tr w:rsidR="00F00CFD" w:rsidRPr="00650916" w14:paraId="4E302028" w14:textId="77777777" w:rsidTr="006E2C88">
        <w:tc>
          <w:tcPr>
            <w:tcW w:w="234" w:type="pct"/>
          </w:tcPr>
          <w:p w14:paraId="1CEEAA14" w14:textId="1C733111"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14</w:t>
            </w:r>
            <w:r w:rsidR="004873BD">
              <w:rPr>
                <w:rFonts w:ascii="Calibri" w:eastAsia="Times New Roman" w:hAnsi="Calibri" w:cs="Calibri"/>
                <w:color w:val="000000"/>
                <w:lang w:eastAsia="en-AU"/>
              </w:rPr>
              <w:t>6</w:t>
            </w:r>
          </w:p>
        </w:tc>
        <w:tc>
          <w:tcPr>
            <w:tcW w:w="573" w:type="pct"/>
            <w:hideMark/>
          </w:tcPr>
          <w:p w14:paraId="0AFF9138" w14:textId="0A2E1473"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Wehmeyer </w:t>
            </w:r>
            <w:r w:rsidR="004873BD">
              <w:rPr>
                <w:rFonts w:ascii="Calibri" w:eastAsia="Times New Roman" w:hAnsi="Calibri" w:cs="Calibri"/>
                <w:color w:val="000000"/>
                <w:lang w:eastAsia="en-AU"/>
              </w:rPr>
              <w:t>&amp; Bolding</w:t>
            </w:r>
            <w:r w:rsidRPr="00650916">
              <w:rPr>
                <w:rFonts w:ascii="Calibri" w:eastAsia="Times New Roman" w:hAnsi="Calibri" w:cs="Calibri"/>
                <w:color w:val="000000"/>
                <w:lang w:eastAsia="en-AU"/>
              </w:rPr>
              <w:t xml:space="preserve">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2001</w:t>
            </w:r>
            <w:r>
              <w:rPr>
                <w:rFonts w:ascii="Calibri" w:eastAsia="Times New Roman" w:hAnsi="Calibri" w:cs="Calibri"/>
                <w:color w:val="000000"/>
                <w:lang w:eastAsia="en-AU"/>
              </w:rPr>
              <w:t>)</w:t>
            </w:r>
          </w:p>
        </w:tc>
        <w:tc>
          <w:tcPr>
            <w:tcW w:w="707" w:type="pct"/>
            <w:hideMark/>
          </w:tcPr>
          <w:p w14:paraId="0972BD8E" w14:textId="77777777" w:rsidR="00F00CFD" w:rsidRPr="00961495" w:rsidRDefault="00F00CFD" w:rsidP="00046E15">
            <w:pPr>
              <w:rPr>
                <w:rFonts w:ascii="Calibri" w:eastAsia="Times New Roman" w:hAnsi="Calibri" w:cs="Calibri"/>
                <w:color w:val="000000"/>
                <w:sz w:val="20"/>
                <w:szCs w:val="20"/>
                <w:lang w:eastAsia="en-AU"/>
              </w:rPr>
            </w:pPr>
            <w:r w:rsidRPr="00961495">
              <w:rPr>
                <w:rFonts w:ascii="Calibri" w:eastAsia="Times New Roman" w:hAnsi="Calibri" w:cs="Calibri"/>
                <w:color w:val="000000"/>
                <w:sz w:val="20"/>
                <w:szCs w:val="20"/>
                <w:lang w:eastAsia="en-AU"/>
              </w:rPr>
              <w:t xml:space="preserve">The study examined the self-determination, </w:t>
            </w:r>
            <w:r w:rsidRPr="00961495">
              <w:rPr>
                <w:rFonts w:ascii="Calibri" w:eastAsia="Times New Roman" w:hAnsi="Calibri" w:cs="Calibri"/>
                <w:color w:val="000000"/>
                <w:sz w:val="20"/>
                <w:szCs w:val="20"/>
                <w:lang w:eastAsia="en-AU"/>
              </w:rPr>
              <w:lastRenderedPageBreak/>
              <w:t>autonomy and life choices of individuals with ID before and after they moved from a more restrictive work or living environment.</w:t>
            </w:r>
          </w:p>
        </w:tc>
        <w:tc>
          <w:tcPr>
            <w:tcW w:w="404" w:type="pct"/>
            <w:hideMark/>
          </w:tcPr>
          <w:p w14:paraId="11DEAA8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USA</w:t>
            </w:r>
          </w:p>
        </w:tc>
        <w:tc>
          <w:tcPr>
            <w:tcW w:w="606" w:type="pct"/>
            <w:hideMark/>
          </w:tcPr>
          <w:p w14:paraId="2640005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One group pre/post repeated </w:t>
            </w:r>
            <w:r w:rsidRPr="00650916">
              <w:rPr>
                <w:rFonts w:ascii="Calibri" w:eastAsia="Times New Roman" w:hAnsi="Calibri" w:cs="Calibri"/>
                <w:color w:val="000000"/>
                <w:lang w:eastAsia="en-AU"/>
              </w:rPr>
              <w:lastRenderedPageBreak/>
              <w:t xml:space="preserve">measures design </w:t>
            </w:r>
          </w:p>
        </w:tc>
        <w:tc>
          <w:tcPr>
            <w:tcW w:w="619" w:type="pct"/>
            <w:hideMark/>
          </w:tcPr>
          <w:p w14:paraId="005AC00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Intellectual disability</w:t>
            </w:r>
          </w:p>
        </w:tc>
        <w:tc>
          <w:tcPr>
            <w:tcW w:w="1011" w:type="pct"/>
            <w:hideMark/>
          </w:tcPr>
          <w:p w14:paraId="3485E15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 to community based work OR living environment</w:t>
            </w:r>
          </w:p>
        </w:tc>
        <w:tc>
          <w:tcPr>
            <w:tcW w:w="846" w:type="pct"/>
            <w:hideMark/>
          </w:tcPr>
          <w:p w14:paraId="0F23098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Transition to community based work or living arrangements.</w:t>
            </w:r>
          </w:p>
        </w:tc>
      </w:tr>
      <w:tr w:rsidR="00F00CFD" w:rsidRPr="00F66260" w14:paraId="45E21D7C" w14:textId="77777777" w:rsidTr="006E2C88">
        <w:tc>
          <w:tcPr>
            <w:tcW w:w="234" w:type="pct"/>
          </w:tcPr>
          <w:p w14:paraId="274E8243" w14:textId="24D326E4" w:rsidR="00F00CFD" w:rsidRPr="00F66260" w:rsidRDefault="00F00CFD" w:rsidP="00046E15">
            <w:r>
              <w:t>1</w:t>
            </w:r>
            <w:r w:rsidR="004873BD">
              <w:t>47</w:t>
            </w:r>
          </w:p>
        </w:tc>
        <w:tc>
          <w:tcPr>
            <w:tcW w:w="573" w:type="pct"/>
            <w:hideMark/>
          </w:tcPr>
          <w:p w14:paraId="09E8151E" w14:textId="77777777" w:rsidR="00F00CFD" w:rsidRPr="00F66260" w:rsidRDefault="00F00CFD" w:rsidP="00046E15">
            <w:r w:rsidRPr="00F66260">
              <w:t>Weinbach</w:t>
            </w:r>
            <w:r>
              <w:t xml:space="preserve"> (2009)</w:t>
            </w:r>
          </w:p>
        </w:tc>
        <w:tc>
          <w:tcPr>
            <w:tcW w:w="707" w:type="pct"/>
          </w:tcPr>
          <w:p w14:paraId="277ECC08" w14:textId="77777777" w:rsidR="00F00CFD" w:rsidRPr="00F66260" w:rsidRDefault="00F00CFD" w:rsidP="00046E15">
            <w:r w:rsidRPr="00F66260">
              <w:t>Commentary on 'Deinstitutionalisation and community living for people with intellectual disabilities in Austria'</w:t>
            </w:r>
          </w:p>
        </w:tc>
        <w:tc>
          <w:tcPr>
            <w:tcW w:w="404" w:type="pct"/>
            <w:noWrap/>
            <w:hideMark/>
          </w:tcPr>
          <w:p w14:paraId="46662839" w14:textId="77777777" w:rsidR="00F00CFD" w:rsidRPr="00F66260" w:rsidRDefault="00F00CFD" w:rsidP="00046E15">
            <w:r w:rsidRPr="00F66260">
              <w:t>Austria and Germany</w:t>
            </w:r>
          </w:p>
        </w:tc>
        <w:tc>
          <w:tcPr>
            <w:tcW w:w="606" w:type="pct"/>
            <w:noWrap/>
          </w:tcPr>
          <w:p w14:paraId="5821D9F6" w14:textId="77777777" w:rsidR="00F00CFD" w:rsidRPr="00F66260" w:rsidRDefault="00F00CFD" w:rsidP="00046E15">
            <w:r>
              <w:t xml:space="preserve">Discussion piece. Grey literature. </w:t>
            </w:r>
          </w:p>
        </w:tc>
        <w:tc>
          <w:tcPr>
            <w:tcW w:w="619" w:type="pct"/>
            <w:noWrap/>
            <w:hideMark/>
          </w:tcPr>
          <w:p w14:paraId="25B3A89B" w14:textId="77777777" w:rsidR="00F00CFD" w:rsidRPr="00F66260" w:rsidRDefault="00F00CFD" w:rsidP="00046E15">
            <w:r w:rsidRPr="00F66260">
              <w:t>Intellectual disability</w:t>
            </w:r>
          </w:p>
        </w:tc>
        <w:tc>
          <w:tcPr>
            <w:tcW w:w="1011" w:type="pct"/>
            <w:hideMark/>
          </w:tcPr>
          <w:p w14:paraId="78580DE8" w14:textId="77777777" w:rsidR="00F00CFD" w:rsidRPr="00F66260" w:rsidRDefault="00F00CFD" w:rsidP="00046E15">
            <w:r w:rsidRPr="00F66260">
              <w:t>Deinstitutionalization and community living</w:t>
            </w:r>
          </w:p>
        </w:tc>
        <w:tc>
          <w:tcPr>
            <w:tcW w:w="846" w:type="pct"/>
            <w:noWrap/>
            <w:hideMark/>
          </w:tcPr>
          <w:p w14:paraId="651A880C" w14:textId="77777777" w:rsidR="00F00CFD" w:rsidRPr="00F66260" w:rsidRDefault="00F00CFD" w:rsidP="00046E15">
            <w:r w:rsidRPr="00F66260">
              <w:t>Deinstitutionalisation</w:t>
            </w:r>
          </w:p>
        </w:tc>
      </w:tr>
      <w:tr w:rsidR="00F00CFD" w:rsidRPr="00F66260" w14:paraId="3A0B53E1" w14:textId="77777777" w:rsidTr="006E2C88">
        <w:tc>
          <w:tcPr>
            <w:tcW w:w="234" w:type="pct"/>
          </w:tcPr>
          <w:p w14:paraId="0E91F1D2" w14:textId="1B9B87F4" w:rsidR="00F00CFD" w:rsidRPr="00F66260" w:rsidRDefault="00F00CFD" w:rsidP="00046E15">
            <w:r>
              <w:t>1</w:t>
            </w:r>
            <w:r w:rsidR="004873BD">
              <w:t>48</w:t>
            </w:r>
          </w:p>
        </w:tc>
        <w:tc>
          <w:tcPr>
            <w:tcW w:w="573" w:type="pct"/>
            <w:hideMark/>
          </w:tcPr>
          <w:p w14:paraId="0FF6BB9E" w14:textId="77777777" w:rsidR="00F00CFD" w:rsidRDefault="00F00CFD" w:rsidP="00046E15">
            <w:r w:rsidRPr="00F66260">
              <w:t>White</w:t>
            </w:r>
            <w:r>
              <w:t xml:space="preserve"> et al (2010)</w:t>
            </w:r>
          </w:p>
          <w:p w14:paraId="078843F7" w14:textId="77777777" w:rsidR="00F00CFD" w:rsidRPr="00F66260" w:rsidRDefault="00F00CFD" w:rsidP="00046E15"/>
        </w:tc>
        <w:tc>
          <w:tcPr>
            <w:tcW w:w="707" w:type="pct"/>
          </w:tcPr>
          <w:p w14:paraId="11A40A9D" w14:textId="77777777" w:rsidR="00F00CFD" w:rsidRPr="00F66260" w:rsidRDefault="00F00CFD" w:rsidP="00046E15">
            <w:r w:rsidRPr="00F66260">
              <w:t>Moving from independence to interdependence: a conceptual model for better understanding community participation of centers for independent living consumers</w:t>
            </w:r>
          </w:p>
        </w:tc>
        <w:tc>
          <w:tcPr>
            <w:tcW w:w="404" w:type="pct"/>
            <w:noWrap/>
            <w:hideMark/>
          </w:tcPr>
          <w:p w14:paraId="5D37DF22" w14:textId="77777777" w:rsidR="00F00CFD" w:rsidRPr="00F66260" w:rsidRDefault="00F00CFD" w:rsidP="00046E15">
            <w:r w:rsidRPr="00F66260">
              <w:t>General</w:t>
            </w:r>
          </w:p>
        </w:tc>
        <w:tc>
          <w:tcPr>
            <w:tcW w:w="606" w:type="pct"/>
            <w:noWrap/>
          </w:tcPr>
          <w:p w14:paraId="4377FABC" w14:textId="77777777" w:rsidR="00F00CFD" w:rsidRPr="00F66260" w:rsidRDefault="00F00CFD" w:rsidP="00046E15">
            <w:r>
              <w:t xml:space="preserve">Historical review of policy developments. Grey literature </w:t>
            </w:r>
          </w:p>
        </w:tc>
        <w:tc>
          <w:tcPr>
            <w:tcW w:w="619" w:type="pct"/>
            <w:noWrap/>
            <w:hideMark/>
          </w:tcPr>
          <w:p w14:paraId="6CDAE0E6" w14:textId="77777777" w:rsidR="00F00CFD" w:rsidRPr="00F66260" w:rsidRDefault="00F00CFD" w:rsidP="00046E15">
            <w:r w:rsidRPr="00F66260">
              <w:t>People with disability more generally</w:t>
            </w:r>
          </w:p>
        </w:tc>
        <w:tc>
          <w:tcPr>
            <w:tcW w:w="1011" w:type="pct"/>
            <w:hideMark/>
          </w:tcPr>
          <w:p w14:paraId="23F2D942" w14:textId="77777777" w:rsidR="00F00CFD" w:rsidRPr="00F66260" w:rsidRDefault="00F00CFD" w:rsidP="00046E15">
            <w:r w:rsidRPr="00F66260">
              <w:t>Independent living movement</w:t>
            </w:r>
          </w:p>
        </w:tc>
        <w:tc>
          <w:tcPr>
            <w:tcW w:w="846" w:type="pct"/>
            <w:noWrap/>
            <w:hideMark/>
          </w:tcPr>
          <w:p w14:paraId="36857CA3" w14:textId="77777777" w:rsidR="00F00CFD" w:rsidRPr="00F66260" w:rsidRDefault="00F00CFD" w:rsidP="00046E15">
            <w:r w:rsidRPr="00F66260">
              <w:t>Independent</w:t>
            </w:r>
          </w:p>
        </w:tc>
      </w:tr>
      <w:tr w:rsidR="00F00CFD" w:rsidRPr="00F66260" w14:paraId="4381FBBE" w14:textId="77777777" w:rsidTr="006E2C88">
        <w:tc>
          <w:tcPr>
            <w:tcW w:w="234" w:type="pct"/>
          </w:tcPr>
          <w:p w14:paraId="5F9DB055" w14:textId="05557DE2" w:rsidR="00F00CFD" w:rsidRPr="00F66260" w:rsidRDefault="00F00CFD" w:rsidP="00046E15">
            <w:r>
              <w:t>1</w:t>
            </w:r>
            <w:r w:rsidR="004873BD">
              <w:t>49</w:t>
            </w:r>
          </w:p>
        </w:tc>
        <w:tc>
          <w:tcPr>
            <w:tcW w:w="573" w:type="pct"/>
            <w:noWrap/>
            <w:hideMark/>
          </w:tcPr>
          <w:p w14:paraId="3F82A5AA" w14:textId="3BCB049E" w:rsidR="00F00CFD" w:rsidRPr="00F66260" w:rsidRDefault="00F00CFD" w:rsidP="00046E15">
            <w:r w:rsidRPr="00F66260">
              <w:t>Wiesel (2015)</w:t>
            </w:r>
          </w:p>
        </w:tc>
        <w:tc>
          <w:tcPr>
            <w:tcW w:w="707" w:type="pct"/>
            <w:noWrap/>
          </w:tcPr>
          <w:p w14:paraId="121A3D1B" w14:textId="77777777" w:rsidR="00F00CFD" w:rsidRPr="00F66260" w:rsidRDefault="00F00CFD" w:rsidP="00046E15">
            <w:r w:rsidRPr="00F66260">
              <w:t xml:space="preserve">Moving to my home: housing aspirations, transitions and outcomes for people with </w:t>
            </w:r>
            <w:r>
              <w:t>disabilities</w:t>
            </w:r>
          </w:p>
        </w:tc>
        <w:tc>
          <w:tcPr>
            <w:tcW w:w="404" w:type="pct"/>
            <w:noWrap/>
            <w:hideMark/>
          </w:tcPr>
          <w:p w14:paraId="13A70031" w14:textId="77777777" w:rsidR="00F00CFD" w:rsidRPr="00F66260" w:rsidRDefault="00F00CFD" w:rsidP="00046E15">
            <w:r w:rsidRPr="00F66260">
              <w:t>Aus</w:t>
            </w:r>
            <w:r>
              <w:t>tralia</w:t>
            </w:r>
            <w:r w:rsidRPr="00F66260">
              <w:t xml:space="preserve"> (NSW, </w:t>
            </w:r>
            <w:r>
              <w:t>VIC</w:t>
            </w:r>
            <w:r w:rsidRPr="00F66260">
              <w:t>, WA)</w:t>
            </w:r>
          </w:p>
        </w:tc>
        <w:tc>
          <w:tcPr>
            <w:tcW w:w="606" w:type="pct"/>
            <w:noWrap/>
          </w:tcPr>
          <w:p w14:paraId="08BF00F1" w14:textId="77777777" w:rsidR="00F00CFD" w:rsidRPr="00F66260" w:rsidRDefault="00F00CFD" w:rsidP="00046E15">
            <w:r>
              <w:t xml:space="preserve">Mixed methods. Grey literature </w:t>
            </w:r>
          </w:p>
        </w:tc>
        <w:tc>
          <w:tcPr>
            <w:tcW w:w="619" w:type="pct"/>
            <w:noWrap/>
            <w:hideMark/>
          </w:tcPr>
          <w:p w14:paraId="2293C650" w14:textId="77777777" w:rsidR="00F00CFD" w:rsidRPr="00F66260" w:rsidRDefault="00F00CFD" w:rsidP="00046E15">
            <w:r w:rsidRPr="00F66260">
              <w:t xml:space="preserve">People with disability who moved or planned to move from congregate, group, parent homes or </w:t>
            </w:r>
            <w:r w:rsidRPr="00F66260">
              <w:lastRenderedPageBreak/>
              <w:t>unstable housing, to more independent and stable accommodation and living options, and who have individualised funding package (n=13 frontline staff; n=51 people with disability who moved or planned to move)</w:t>
            </w:r>
          </w:p>
        </w:tc>
        <w:tc>
          <w:tcPr>
            <w:tcW w:w="1011" w:type="pct"/>
            <w:hideMark/>
          </w:tcPr>
          <w:p w14:paraId="1A2BBDB6" w14:textId="77777777" w:rsidR="00F00CFD" w:rsidRPr="00F66260" w:rsidRDefault="00F00CFD" w:rsidP="00046E15">
            <w:r w:rsidRPr="00F66260">
              <w:lastRenderedPageBreak/>
              <w:t xml:space="preserve">Independent housing of preference; flexible funding and support </w:t>
            </w:r>
          </w:p>
        </w:tc>
        <w:tc>
          <w:tcPr>
            <w:tcW w:w="846" w:type="pct"/>
            <w:noWrap/>
            <w:hideMark/>
          </w:tcPr>
          <w:p w14:paraId="1B19B002" w14:textId="77777777" w:rsidR="00F00CFD" w:rsidRPr="00F66260" w:rsidRDefault="00F00CFD" w:rsidP="00046E15">
            <w:r w:rsidRPr="00F66260">
              <w:t>Independent</w:t>
            </w:r>
          </w:p>
        </w:tc>
      </w:tr>
      <w:tr w:rsidR="00F00CFD" w:rsidRPr="00F66260" w14:paraId="242A3BDF" w14:textId="77777777" w:rsidTr="006E2C88">
        <w:tc>
          <w:tcPr>
            <w:tcW w:w="234" w:type="pct"/>
          </w:tcPr>
          <w:p w14:paraId="6CA378A5" w14:textId="767D001B" w:rsidR="00F00CFD" w:rsidRPr="00F66260" w:rsidRDefault="00F00CFD" w:rsidP="00046E15">
            <w:r>
              <w:t>15</w:t>
            </w:r>
            <w:r w:rsidR="004873BD">
              <w:t>0</w:t>
            </w:r>
          </w:p>
        </w:tc>
        <w:tc>
          <w:tcPr>
            <w:tcW w:w="573" w:type="pct"/>
            <w:noWrap/>
            <w:hideMark/>
          </w:tcPr>
          <w:p w14:paraId="56583CDD" w14:textId="77777777" w:rsidR="00F00CFD" w:rsidRPr="00F66260" w:rsidRDefault="00F00CFD" w:rsidP="00046E15">
            <w:r w:rsidRPr="00F66260">
              <w:t>Wiesel</w:t>
            </w:r>
            <w:r>
              <w:t xml:space="preserve"> et al (2017)</w:t>
            </w:r>
          </w:p>
        </w:tc>
        <w:tc>
          <w:tcPr>
            <w:tcW w:w="707" w:type="pct"/>
            <w:noWrap/>
          </w:tcPr>
          <w:p w14:paraId="1223CBEB" w14:textId="77777777" w:rsidR="00F00CFD" w:rsidRPr="00F66260" w:rsidRDefault="00F00CFD" w:rsidP="00046E15">
            <w:r w:rsidRPr="00F66260">
              <w:t>Shared home ownership by people with disability</w:t>
            </w:r>
          </w:p>
        </w:tc>
        <w:tc>
          <w:tcPr>
            <w:tcW w:w="404" w:type="pct"/>
            <w:noWrap/>
            <w:hideMark/>
          </w:tcPr>
          <w:p w14:paraId="0252C3DA" w14:textId="77777777" w:rsidR="00F00CFD" w:rsidRPr="00F66260" w:rsidRDefault="00F00CFD" w:rsidP="00046E15">
            <w:r w:rsidRPr="00F66260">
              <w:t>Aus</w:t>
            </w:r>
            <w:r>
              <w:t>tralia</w:t>
            </w:r>
          </w:p>
        </w:tc>
        <w:tc>
          <w:tcPr>
            <w:tcW w:w="606" w:type="pct"/>
            <w:noWrap/>
          </w:tcPr>
          <w:p w14:paraId="3C302EA1" w14:textId="77777777" w:rsidR="00F00CFD" w:rsidRPr="00F66260" w:rsidRDefault="00F00CFD" w:rsidP="00046E15">
            <w:r>
              <w:t>Mixed Methods. Case study. Grey literature.</w:t>
            </w:r>
          </w:p>
        </w:tc>
        <w:tc>
          <w:tcPr>
            <w:tcW w:w="619" w:type="pct"/>
            <w:noWrap/>
            <w:hideMark/>
          </w:tcPr>
          <w:p w14:paraId="1F79A551" w14:textId="77777777" w:rsidR="00F00CFD" w:rsidRPr="00F66260" w:rsidRDefault="00F00CFD" w:rsidP="00046E15">
            <w:r w:rsidRPr="00F66260">
              <w:t xml:space="preserve">People with disabilities </w:t>
            </w:r>
          </w:p>
        </w:tc>
        <w:tc>
          <w:tcPr>
            <w:tcW w:w="1011" w:type="pct"/>
            <w:hideMark/>
          </w:tcPr>
          <w:p w14:paraId="18C7E234" w14:textId="77777777" w:rsidR="00F00CFD" w:rsidRPr="00F66260" w:rsidRDefault="00F00CFD" w:rsidP="00046E15">
            <w:r w:rsidRPr="00F66260">
              <w:t>Shared ownership schemes</w:t>
            </w:r>
          </w:p>
        </w:tc>
        <w:tc>
          <w:tcPr>
            <w:tcW w:w="846" w:type="pct"/>
            <w:noWrap/>
            <w:hideMark/>
          </w:tcPr>
          <w:p w14:paraId="473DAD32" w14:textId="77777777" w:rsidR="00F00CFD" w:rsidRPr="00F66260" w:rsidRDefault="00F00CFD" w:rsidP="00046E15">
            <w:r w:rsidRPr="00F66260">
              <w:t>Independent</w:t>
            </w:r>
          </w:p>
        </w:tc>
      </w:tr>
      <w:tr w:rsidR="00F00CFD" w:rsidRPr="00F66260" w14:paraId="1ABCE774" w14:textId="77777777" w:rsidTr="006E2C88">
        <w:tc>
          <w:tcPr>
            <w:tcW w:w="234" w:type="pct"/>
          </w:tcPr>
          <w:p w14:paraId="03479249" w14:textId="3479FC6D" w:rsidR="00F00CFD" w:rsidRPr="00F66260" w:rsidRDefault="00F00CFD" w:rsidP="00046E15">
            <w:r>
              <w:t>15</w:t>
            </w:r>
            <w:r w:rsidR="004873BD">
              <w:t>1</w:t>
            </w:r>
          </w:p>
        </w:tc>
        <w:tc>
          <w:tcPr>
            <w:tcW w:w="573" w:type="pct"/>
            <w:noWrap/>
            <w:hideMark/>
          </w:tcPr>
          <w:p w14:paraId="6BC3BDCE" w14:textId="77777777" w:rsidR="00F00CFD" w:rsidRPr="00F66260" w:rsidRDefault="00F00CFD" w:rsidP="00046E15">
            <w:r w:rsidRPr="00F66260">
              <w:t>Wilkinson</w:t>
            </w:r>
            <w:r>
              <w:t xml:space="preserve"> et al</w:t>
            </w:r>
            <w:r w:rsidRPr="00F66260">
              <w:t xml:space="preserve"> (2018) </w:t>
            </w:r>
          </w:p>
        </w:tc>
        <w:tc>
          <w:tcPr>
            <w:tcW w:w="707" w:type="pct"/>
            <w:noWrap/>
          </w:tcPr>
          <w:p w14:paraId="4F556606" w14:textId="77777777" w:rsidR="00F00CFD" w:rsidRPr="00F66260" w:rsidRDefault="00F00CFD" w:rsidP="00046E15">
            <w:r>
              <w:t xml:space="preserve">An </w:t>
            </w:r>
            <w:r w:rsidRPr="00F66260">
              <w:t>evidence review of post-occupancy evaluation instruments</w:t>
            </w:r>
            <w:r>
              <w:t xml:space="preserve"> for housing for people with disabilities </w:t>
            </w:r>
          </w:p>
        </w:tc>
        <w:tc>
          <w:tcPr>
            <w:tcW w:w="404" w:type="pct"/>
            <w:noWrap/>
            <w:hideMark/>
          </w:tcPr>
          <w:p w14:paraId="1A37CB06" w14:textId="77777777" w:rsidR="00F00CFD" w:rsidRPr="00F66260" w:rsidRDefault="00F00CFD" w:rsidP="00046E15">
            <w:r>
              <w:t>Australia</w:t>
            </w:r>
          </w:p>
        </w:tc>
        <w:tc>
          <w:tcPr>
            <w:tcW w:w="606" w:type="pct"/>
            <w:noWrap/>
          </w:tcPr>
          <w:p w14:paraId="69746CA9" w14:textId="77777777" w:rsidR="00F00CFD" w:rsidRPr="00F66260" w:rsidRDefault="00F00CFD" w:rsidP="00046E15">
            <w:r>
              <w:t xml:space="preserve">Scoping. Grey literature. </w:t>
            </w:r>
          </w:p>
        </w:tc>
        <w:tc>
          <w:tcPr>
            <w:tcW w:w="619" w:type="pct"/>
            <w:noWrap/>
            <w:hideMark/>
          </w:tcPr>
          <w:p w14:paraId="3279742D" w14:textId="77777777" w:rsidR="00F00CFD" w:rsidRPr="00F66260" w:rsidRDefault="00F00CFD" w:rsidP="00046E15">
            <w:r w:rsidRPr="00F66260">
              <w:t>People with disability with high physical support needs</w:t>
            </w:r>
          </w:p>
        </w:tc>
        <w:tc>
          <w:tcPr>
            <w:tcW w:w="1011" w:type="pct"/>
            <w:hideMark/>
          </w:tcPr>
          <w:p w14:paraId="786AA196" w14:textId="77777777" w:rsidR="00F00CFD" w:rsidRPr="00F66260" w:rsidRDefault="00F00CFD" w:rsidP="00046E15">
            <w:r w:rsidRPr="00F66260">
              <w:t>No one specific model but community based and outcomes focused piece</w:t>
            </w:r>
          </w:p>
        </w:tc>
        <w:tc>
          <w:tcPr>
            <w:tcW w:w="846" w:type="pct"/>
            <w:noWrap/>
            <w:hideMark/>
          </w:tcPr>
          <w:p w14:paraId="2DC5DD05" w14:textId="77777777" w:rsidR="00F00CFD" w:rsidRPr="00F66260" w:rsidRDefault="00F00CFD" w:rsidP="00046E15">
            <w:r w:rsidRPr="00F66260">
              <w:t>To community</w:t>
            </w:r>
          </w:p>
        </w:tc>
      </w:tr>
      <w:tr w:rsidR="00F00CFD" w:rsidRPr="00650916" w14:paraId="03B8B682" w14:textId="77777777" w:rsidTr="006E2C88">
        <w:tc>
          <w:tcPr>
            <w:tcW w:w="234" w:type="pct"/>
            <w:shd w:val="clear" w:color="auto" w:fill="auto"/>
          </w:tcPr>
          <w:p w14:paraId="5C08106D" w14:textId="46D5BBBC"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15</w:t>
            </w:r>
            <w:r w:rsidR="004873BD">
              <w:rPr>
                <w:rFonts w:ascii="Calibri" w:eastAsia="Times New Roman" w:hAnsi="Calibri" w:cs="Calibri"/>
                <w:color w:val="000000"/>
                <w:lang w:eastAsia="en-AU"/>
              </w:rPr>
              <w:t>2</w:t>
            </w:r>
          </w:p>
        </w:tc>
        <w:tc>
          <w:tcPr>
            <w:tcW w:w="573" w:type="pct"/>
            <w:shd w:val="clear" w:color="auto" w:fill="auto"/>
            <w:hideMark/>
          </w:tcPr>
          <w:p w14:paraId="3C6B03C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Wilson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2020</w:t>
            </w:r>
            <w:r>
              <w:rPr>
                <w:rFonts w:ascii="Calibri" w:eastAsia="Times New Roman" w:hAnsi="Calibri" w:cs="Calibri"/>
                <w:color w:val="000000"/>
                <w:lang w:eastAsia="en-AU"/>
              </w:rPr>
              <w:t>)</w:t>
            </w:r>
          </w:p>
        </w:tc>
        <w:tc>
          <w:tcPr>
            <w:tcW w:w="707" w:type="pct"/>
            <w:shd w:val="clear" w:color="auto" w:fill="auto"/>
            <w:hideMark/>
          </w:tcPr>
          <w:p w14:paraId="707CF5D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An investigation of how to maintain support needs in a </w:t>
            </w:r>
            <w:r w:rsidRPr="00650916">
              <w:rPr>
                <w:rFonts w:ascii="Calibri" w:eastAsia="Times New Roman" w:hAnsi="Calibri" w:cs="Calibri"/>
                <w:color w:val="000000"/>
                <w:lang w:eastAsia="en-AU"/>
              </w:rPr>
              <w:lastRenderedPageBreak/>
              <w:t>changing policy environment.</w:t>
            </w:r>
          </w:p>
        </w:tc>
        <w:tc>
          <w:tcPr>
            <w:tcW w:w="404" w:type="pct"/>
            <w:shd w:val="clear" w:color="auto" w:fill="auto"/>
            <w:hideMark/>
          </w:tcPr>
          <w:p w14:paraId="04F0C979"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Australia</w:t>
            </w:r>
          </w:p>
        </w:tc>
        <w:tc>
          <w:tcPr>
            <w:tcW w:w="606" w:type="pct"/>
            <w:shd w:val="clear" w:color="auto" w:fill="auto"/>
            <w:hideMark/>
          </w:tcPr>
          <w:p w14:paraId="246DE4A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Other - Retrospective electronic case-file audit design</w:t>
            </w:r>
          </w:p>
        </w:tc>
        <w:tc>
          <w:tcPr>
            <w:tcW w:w="619" w:type="pct"/>
            <w:shd w:val="clear" w:color="auto" w:fill="auto"/>
            <w:hideMark/>
          </w:tcPr>
          <w:p w14:paraId="26E89469"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shd w:val="clear" w:color="auto" w:fill="auto"/>
            <w:hideMark/>
          </w:tcPr>
          <w:p w14:paraId="4392422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Range of supported accommodation models including: 1) stand-alone community-based group </w:t>
            </w:r>
            <w:r w:rsidRPr="00650916">
              <w:rPr>
                <w:rFonts w:ascii="Calibri" w:eastAsia="Times New Roman" w:hAnsi="Calibri" w:cs="Calibri"/>
                <w:color w:val="000000"/>
                <w:lang w:eastAsia="en-AU"/>
              </w:rPr>
              <w:lastRenderedPageBreak/>
              <w:t>homes, 2) clustered group homes in the community (e.g., four separate houses clustered within a large block of land), and 3) secure residential facilities housing between four and five adults on the grounds of a large psychiatric complex</w:t>
            </w:r>
          </w:p>
        </w:tc>
        <w:tc>
          <w:tcPr>
            <w:tcW w:w="846" w:type="pct"/>
            <w:shd w:val="clear" w:color="auto" w:fill="auto"/>
            <w:hideMark/>
          </w:tcPr>
          <w:p w14:paraId="5D00D358" w14:textId="4E3E9142" w:rsidR="00F00CFD" w:rsidRPr="00650916" w:rsidRDefault="003F4D3F" w:rsidP="00046E15">
            <w:pPr>
              <w:rPr>
                <w:rFonts w:ascii="Calibri" w:eastAsia="Times New Roman" w:hAnsi="Calibri" w:cs="Calibri"/>
                <w:color w:val="000000"/>
                <w:lang w:eastAsia="en-AU"/>
              </w:rPr>
            </w:pPr>
            <w:r>
              <w:rPr>
                <w:rFonts w:ascii="Calibri" w:eastAsia="Times New Roman" w:hAnsi="Calibri" w:cs="Calibri"/>
                <w:color w:val="000000"/>
                <w:lang w:eastAsia="en-AU"/>
              </w:rPr>
              <w:lastRenderedPageBreak/>
              <w:t>Cross sectional comparison</w:t>
            </w:r>
          </w:p>
        </w:tc>
      </w:tr>
      <w:tr w:rsidR="00F00CFD" w:rsidRPr="00FE0180" w14:paraId="18AD45F5"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603E3D0A" w14:textId="109008D8" w:rsidR="00F00CFD" w:rsidRPr="00FE0180" w:rsidRDefault="00F00CFD" w:rsidP="00046E15">
            <w:r>
              <w:t>15</w:t>
            </w:r>
            <w:r w:rsidR="004873BD">
              <w:t>3</w:t>
            </w:r>
          </w:p>
        </w:tc>
        <w:tc>
          <w:tcPr>
            <w:tcW w:w="573" w:type="pct"/>
            <w:tcBorders>
              <w:top w:val="single" w:sz="4" w:space="0" w:color="auto"/>
              <w:left w:val="single" w:sz="4" w:space="0" w:color="auto"/>
              <w:bottom w:val="single" w:sz="4" w:space="0" w:color="auto"/>
              <w:right w:val="single" w:sz="4" w:space="0" w:color="auto"/>
            </w:tcBorders>
            <w:hideMark/>
          </w:tcPr>
          <w:p w14:paraId="4EB8A217" w14:textId="00B00F61" w:rsidR="00F00CFD" w:rsidRPr="00FE0180" w:rsidRDefault="00F00CFD" w:rsidP="00046E15">
            <w:r w:rsidRPr="00FE0180">
              <w:t xml:space="preserve">Wilson, </w:t>
            </w:r>
            <w:r w:rsidR="004873BD">
              <w:t>A.</w:t>
            </w:r>
            <w:r>
              <w:t xml:space="preserve"> (2013)</w:t>
            </w:r>
          </w:p>
        </w:tc>
        <w:tc>
          <w:tcPr>
            <w:tcW w:w="707" w:type="pct"/>
            <w:tcBorders>
              <w:top w:val="single" w:sz="4" w:space="0" w:color="auto"/>
              <w:left w:val="single" w:sz="4" w:space="0" w:color="auto"/>
              <w:bottom w:val="single" w:sz="4" w:space="0" w:color="auto"/>
              <w:right w:val="single" w:sz="4" w:space="0" w:color="auto"/>
            </w:tcBorders>
            <w:hideMark/>
          </w:tcPr>
          <w:p w14:paraId="1C2F370E" w14:textId="77777777" w:rsidR="00F00CFD" w:rsidRPr="00FE0180" w:rsidRDefault="00F00CFD" w:rsidP="00046E15">
            <w:r>
              <w:t>To examine</w:t>
            </w:r>
            <w:r w:rsidRPr="00FE0180">
              <w:t xml:space="preserve"> how people with serious mental illness defined and prioritized their service needs when released from jail and how these service priorities shaped the sequencing of help-seeking activities after their release.</w:t>
            </w:r>
          </w:p>
        </w:tc>
        <w:tc>
          <w:tcPr>
            <w:tcW w:w="404" w:type="pct"/>
            <w:tcBorders>
              <w:top w:val="single" w:sz="4" w:space="0" w:color="auto"/>
              <w:left w:val="single" w:sz="4" w:space="0" w:color="auto"/>
              <w:bottom w:val="single" w:sz="4" w:space="0" w:color="auto"/>
              <w:right w:val="single" w:sz="4" w:space="0" w:color="auto"/>
            </w:tcBorders>
          </w:tcPr>
          <w:p w14:paraId="5A5FE0BC" w14:textId="77777777" w:rsidR="00F00CFD" w:rsidRDefault="00F00CFD" w:rsidP="00046E15">
            <w:r w:rsidRPr="00FE0180">
              <w:t>USA</w:t>
            </w:r>
          </w:p>
        </w:tc>
        <w:tc>
          <w:tcPr>
            <w:tcW w:w="606" w:type="pct"/>
            <w:tcBorders>
              <w:top w:val="single" w:sz="4" w:space="0" w:color="auto"/>
              <w:left w:val="single" w:sz="4" w:space="0" w:color="auto"/>
              <w:bottom w:val="single" w:sz="4" w:space="0" w:color="auto"/>
              <w:right w:val="single" w:sz="4" w:space="0" w:color="auto"/>
            </w:tcBorders>
          </w:tcPr>
          <w:p w14:paraId="2B3D8588" w14:textId="77777777" w:rsidR="00F00CFD" w:rsidRPr="00FE0180" w:rsidRDefault="00F00CFD" w:rsidP="00046E15">
            <w:r>
              <w:t>Ethnography &amp; written response (n=115)</w:t>
            </w:r>
          </w:p>
        </w:tc>
        <w:tc>
          <w:tcPr>
            <w:tcW w:w="619" w:type="pct"/>
            <w:tcBorders>
              <w:top w:val="single" w:sz="4" w:space="0" w:color="auto"/>
              <w:left w:val="single" w:sz="4" w:space="0" w:color="auto"/>
              <w:bottom w:val="single" w:sz="4" w:space="0" w:color="auto"/>
              <w:right w:val="single" w:sz="4" w:space="0" w:color="auto"/>
            </w:tcBorders>
            <w:hideMark/>
          </w:tcPr>
          <w:p w14:paraId="72388832" w14:textId="77777777" w:rsidR="00F00CFD" w:rsidRPr="00FE0180" w:rsidRDefault="00F00CFD" w:rsidP="00046E15">
            <w:r w:rsidRPr="00FE0180">
              <w:t>Psychiatric illness</w:t>
            </w:r>
          </w:p>
        </w:tc>
        <w:tc>
          <w:tcPr>
            <w:tcW w:w="1011" w:type="pct"/>
            <w:tcBorders>
              <w:top w:val="single" w:sz="4" w:space="0" w:color="auto"/>
              <w:left w:val="single" w:sz="4" w:space="0" w:color="auto"/>
              <w:bottom w:val="single" w:sz="4" w:space="0" w:color="auto"/>
              <w:right w:val="single" w:sz="4" w:space="0" w:color="auto"/>
            </w:tcBorders>
            <w:hideMark/>
          </w:tcPr>
          <w:p w14:paraId="7DCDE58A" w14:textId="77777777" w:rsidR="00F00CFD" w:rsidRPr="00FE0180" w:rsidRDefault="00F00CFD" w:rsidP="00046E15">
            <w:r w:rsidRPr="00FE0180">
              <w:t xml:space="preserve">Forensic to community </w:t>
            </w:r>
          </w:p>
        </w:tc>
        <w:tc>
          <w:tcPr>
            <w:tcW w:w="846" w:type="pct"/>
            <w:tcBorders>
              <w:top w:val="single" w:sz="4" w:space="0" w:color="auto"/>
              <w:left w:val="single" w:sz="4" w:space="0" w:color="auto"/>
              <w:bottom w:val="single" w:sz="4" w:space="0" w:color="auto"/>
              <w:right w:val="single" w:sz="4" w:space="0" w:color="auto"/>
            </w:tcBorders>
            <w:hideMark/>
          </w:tcPr>
          <w:p w14:paraId="5EEBD73E" w14:textId="77777777" w:rsidR="00F00CFD" w:rsidRPr="00FE0180" w:rsidRDefault="00F00CFD" w:rsidP="00046E15">
            <w:r w:rsidRPr="00FE0180">
              <w:t xml:space="preserve">Forensic transition </w:t>
            </w:r>
          </w:p>
        </w:tc>
      </w:tr>
      <w:tr w:rsidR="00F00CFD" w:rsidRPr="00650916" w14:paraId="615C031B" w14:textId="77777777" w:rsidTr="006E2C88">
        <w:tc>
          <w:tcPr>
            <w:tcW w:w="234" w:type="pct"/>
            <w:shd w:val="clear" w:color="auto" w:fill="auto"/>
          </w:tcPr>
          <w:p w14:paraId="4A619913" w14:textId="7D4AA598"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15</w:t>
            </w:r>
            <w:r w:rsidR="004873BD">
              <w:rPr>
                <w:rFonts w:ascii="Calibri" w:eastAsia="Times New Roman" w:hAnsi="Calibri" w:cs="Calibri"/>
                <w:color w:val="000000"/>
                <w:lang w:eastAsia="en-AU"/>
              </w:rPr>
              <w:t>4</w:t>
            </w:r>
          </w:p>
        </w:tc>
        <w:tc>
          <w:tcPr>
            <w:tcW w:w="573" w:type="pct"/>
            <w:shd w:val="clear" w:color="auto" w:fill="auto"/>
            <w:hideMark/>
          </w:tcPr>
          <w:p w14:paraId="1D3A5C46"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Winkler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2015</w:t>
            </w:r>
            <w:r>
              <w:rPr>
                <w:rFonts w:ascii="Calibri" w:eastAsia="Times New Roman" w:hAnsi="Calibri" w:cs="Calibri"/>
                <w:color w:val="000000"/>
                <w:lang w:eastAsia="en-AU"/>
              </w:rPr>
              <w:t>)</w:t>
            </w:r>
          </w:p>
        </w:tc>
        <w:tc>
          <w:tcPr>
            <w:tcW w:w="707" w:type="pct"/>
            <w:shd w:val="clear" w:color="auto" w:fill="auto"/>
            <w:hideMark/>
          </w:tcPr>
          <w:p w14:paraId="62F2B24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(1) Examine the opportunities young people with acquired brain injury (ABI) have to make everyday choices after moving out of residential aged care (RAC) into </w:t>
            </w:r>
            <w:r w:rsidRPr="00650916">
              <w:rPr>
                <w:rFonts w:ascii="Calibri" w:eastAsia="Times New Roman" w:hAnsi="Calibri" w:cs="Calibri"/>
                <w:color w:val="000000"/>
                <w:lang w:eastAsia="en-AU"/>
              </w:rPr>
              <w:lastRenderedPageBreak/>
              <w:t>community-based shared supported accommodation (SSA); (2) Compare everyday choice making of this group with a group of people with ABI living in RAC</w:t>
            </w:r>
          </w:p>
        </w:tc>
        <w:tc>
          <w:tcPr>
            <w:tcW w:w="404" w:type="pct"/>
            <w:shd w:val="clear" w:color="auto" w:fill="auto"/>
            <w:hideMark/>
          </w:tcPr>
          <w:p w14:paraId="13AD7D19"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Australia</w:t>
            </w:r>
          </w:p>
        </w:tc>
        <w:tc>
          <w:tcPr>
            <w:tcW w:w="606" w:type="pct"/>
            <w:shd w:val="clear" w:color="auto" w:fill="auto"/>
            <w:hideMark/>
          </w:tcPr>
          <w:p w14:paraId="01A4E9E0"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Cross sectional design</w:t>
            </w:r>
          </w:p>
        </w:tc>
        <w:tc>
          <w:tcPr>
            <w:tcW w:w="619" w:type="pct"/>
            <w:shd w:val="clear" w:color="auto" w:fill="auto"/>
            <w:hideMark/>
          </w:tcPr>
          <w:p w14:paraId="2EACD5E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Acquired brain injury</w:t>
            </w:r>
          </w:p>
        </w:tc>
        <w:tc>
          <w:tcPr>
            <w:tcW w:w="1011" w:type="pct"/>
            <w:shd w:val="clear" w:color="auto" w:fill="auto"/>
            <w:hideMark/>
          </w:tcPr>
          <w:p w14:paraId="37978445"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Community-based shared supported accommodation (SSA)</w:t>
            </w:r>
          </w:p>
        </w:tc>
        <w:tc>
          <w:tcPr>
            <w:tcW w:w="846" w:type="pct"/>
            <w:shd w:val="clear" w:color="auto" w:fill="auto"/>
            <w:hideMark/>
          </w:tcPr>
          <w:p w14:paraId="4ABA1F9F" w14:textId="41E7C896" w:rsidR="00F00CFD" w:rsidRPr="00650916" w:rsidRDefault="003F4D3F" w:rsidP="00046E15">
            <w:pPr>
              <w:rPr>
                <w:rFonts w:ascii="Calibri" w:eastAsia="Times New Roman" w:hAnsi="Calibri" w:cs="Calibri"/>
                <w:color w:val="000000"/>
                <w:lang w:eastAsia="en-AU"/>
              </w:rPr>
            </w:pPr>
            <w:r>
              <w:rPr>
                <w:rFonts w:ascii="Calibri" w:eastAsia="Times New Roman" w:hAnsi="Calibri" w:cs="Calibri"/>
                <w:color w:val="000000"/>
                <w:lang w:eastAsia="en-AU"/>
              </w:rPr>
              <w:t>Transition from residential aged care to community accommodation.</w:t>
            </w:r>
          </w:p>
        </w:tc>
      </w:tr>
      <w:tr w:rsidR="00F00CFD" w:rsidRPr="00FE0180" w14:paraId="7DC65582" w14:textId="77777777" w:rsidTr="006E2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cBorders>
          </w:tcPr>
          <w:p w14:paraId="21F015AD" w14:textId="33BFC29D" w:rsidR="00F00CFD" w:rsidRPr="00FE0180" w:rsidRDefault="00F00CFD" w:rsidP="00046E15">
            <w:r>
              <w:t>15</w:t>
            </w:r>
            <w:r w:rsidR="004873BD">
              <w:t>5</w:t>
            </w:r>
          </w:p>
        </w:tc>
        <w:tc>
          <w:tcPr>
            <w:tcW w:w="573" w:type="pct"/>
            <w:tcBorders>
              <w:top w:val="single" w:sz="4" w:space="0" w:color="auto"/>
              <w:left w:val="single" w:sz="4" w:space="0" w:color="auto"/>
              <w:bottom w:val="single" w:sz="4" w:space="0" w:color="auto"/>
              <w:right w:val="single" w:sz="4" w:space="0" w:color="auto"/>
            </w:tcBorders>
            <w:hideMark/>
          </w:tcPr>
          <w:p w14:paraId="127C52C9" w14:textId="5E99D2EE" w:rsidR="00F00CFD" w:rsidRPr="00FE0180" w:rsidRDefault="00F00CFD" w:rsidP="00046E15">
            <w:r w:rsidRPr="00FE0180">
              <w:t xml:space="preserve">Winkler, </w:t>
            </w:r>
            <w:r w:rsidR="004873BD">
              <w:t>et al</w:t>
            </w:r>
            <w:r>
              <w:t xml:space="preserve"> (2011)</w:t>
            </w:r>
          </w:p>
        </w:tc>
        <w:tc>
          <w:tcPr>
            <w:tcW w:w="707" w:type="pct"/>
            <w:tcBorders>
              <w:top w:val="single" w:sz="4" w:space="0" w:color="auto"/>
              <w:left w:val="single" w:sz="4" w:space="0" w:color="auto"/>
              <w:bottom w:val="single" w:sz="4" w:space="0" w:color="auto"/>
              <w:right w:val="single" w:sz="4" w:space="0" w:color="auto"/>
            </w:tcBorders>
            <w:hideMark/>
          </w:tcPr>
          <w:p w14:paraId="4680A0B1" w14:textId="77777777" w:rsidR="00F00CFD" w:rsidRPr="00FE0180" w:rsidRDefault="00F00CFD" w:rsidP="00046E15">
            <w:r>
              <w:t>To</w:t>
            </w:r>
            <w:r w:rsidRPr="00FE0180">
              <w:t xml:space="preserve"> explore the transition experiences of young people with acquired brain injury who have lived in aged care facilities and moved into community-based settings.</w:t>
            </w:r>
          </w:p>
        </w:tc>
        <w:tc>
          <w:tcPr>
            <w:tcW w:w="404" w:type="pct"/>
            <w:tcBorders>
              <w:top w:val="single" w:sz="4" w:space="0" w:color="auto"/>
              <w:left w:val="single" w:sz="4" w:space="0" w:color="auto"/>
              <w:bottom w:val="single" w:sz="4" w:space="0" w:color="auto"/>
              <w:right w:val="single" w:sz="4" w:space="0" w:color="auto"/>
            </w:tcBorders>
          </w:tcPr>
          <w:p w14:paraId="4FA17E91" w14:textId="77777777" w:rsidR="00F00CFD" w:rsidRDefault="00F00CFD" w:rsidP="00046E15">
            <w:r w:rsidRPr="00FE0180">
              <w:t>Aus</w:t>
            </w:r>
          </w:p>
        </w:tc>
        <w:tc>
          <w:tcPr>
            <w:tcW w:w="606" w:type="pct"/>
            <w:tcBorders>
              <w:top w:val="single" w:sz="4" w:space="0" w:color="auto"/>
              <w:left w:val="single" w:sz="4" w:space="0" w:color="auto"/>
              <w:bottom w:val="single" w:sz="4" w:space="0" w:color="auto"/>
              <w:right w:val="single" w:sz="4" w:space="0" w:color="auto"/>
            </w:tcBorders>
          </w:tcPr>
          <w:p w14:paraId="01815978" w14:textId="77777777" w:rsidR="00F00CFD" w:rsidRPr="00FE0180" w:rsidRDefault="00F00CFD" w:rsidP="00046E15">
            <w:r>
              <w:t>Semi-structured interviews (n=16)</w:t>
            </w:r>
          </w:p>
        </w:tc>
        <w:tc>
          <w:tcPr>
            <w:tcW w:w="619" w:type="pct"/>
            <w:tcBorders>
              <w:top w:val="single" w:sz="4" w:space="0" w:color="auto"/>
              <w:left w:val="single" w:sz="4" w:space="0" w:color="auto"/>
              <w:bottom w:val="single" w:sz="4" w:space="0" w:color="auto"/>
              <w:right w:val="single" w:sz="4" w:space="0" w:color="auto"/>
            </w:tcBorders>
            <w:hideMark/>
          </w:tcPr>
          <w:p w14:paraId="5A520D6F" w14:textId="77777777" w:rsidR="00F00CFD" w:rsidRPr="00FE0180" w:rsidRDefault="00F00CFD" w:rsidP="00046E15">
            <w:r w:rsidRPr="00FE0180">
              <w:t>ABI</w:t>
            </w:r>
          </w:p>
        </w:tc>
        <w:tc>
          <w:tcPr>
            <w:tcW w:w="1011" w:type="pct"/>
            <w:tcBorders>
              <w:top w:val="single" w:sz="4" w:space="0" w:color="auto"/>
              <w:left w:val="single" w:sz="4" w:space="0" w:color="auto"/>
              <w:bottom w:val="single" w:sz="4" w:space="0" w:color="auto"/>
              <w:right w:val="single" w:sz="4" w:space="0" w:color="auto"/>
            </w:tcBorders>
            <w:hideMark/>
          </w:tcPr>
          <w:p w14:paraId="18DA480D" w14:textId="77777777" w:rsidR="00F00CFD" w:rsidRPr="00FE0180" w:rsidRDefault="00F00CFD" w:rsidP="00046E15">
            <w:r w:rsidRPr="00FE0180">
              <w:t xml:space="preserve">Community supported living </w:t>
            </w:r>
          </w:p>
        </w:tc>
        <w:tc>
          <w:tcPr>
            <w:tcW w:w="846" w:type="pct"/>
            <w:tcBorders>
              <w:top w:val="single" w:sz="4" w:space="0" w:color="auto"/>
              <w:left w:val="single" w:sz="4" w:space="0" w:color="auto"/>
              <w:bottom w:val="single" w:sz="4" w:space="0" w:color="auto"/>
              <w:right w:val="single" w:sz="4" w:space="0" w:color="auto"/>
            </w:tcBorders>
            <w:hideMark/>
          </w:tcPr>
          <w:p w14:paraId="090AC8CF" w14:textId="77777777" w:rsidR="00F00CFD" w:rsidRPr="00FE0180" w:rsidRDefault="00F00CFD" w:rsidP="00046E15">
            <w:r w:rsidRPr="00FE0180">
              <w:t xml:space="preserve">Transition to community living </w:t>
            </w:r>
          </w:p>
        </w:tc>
      </w:tr>
      <w:tr w:rsidR="00F00CFD" w:rsidRPr="00650916" w14:paraId="69F95520" w14:textId="77777777" w:rsidTr="006E2C88">
        <w:tc>
          <w:tcPr>
            <w:tcW w:w="234" w:type="pct"/>
          </w:tcPr>
          <w:p w14:paraId="3CCB51CA" w14:textId="4E3DE2C1"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15</w:t>
            </w:r>
            <w:r w:rsidR="004873BD">
              <w:rPr>
                <w:rFonts w:ascii="Calibri" w:eastAsia="Times New Roman" w:hAnsi="Calibri" w:cs="Calibri"/>
                <w:color w:val="000000"/>
                <w:lang w:eastAsia="en-AU"/>
              </w:rPr>
              <w:t>6</w:t>
            </w:r>
          </w:p>
        </w:tc>
        <w:tc>
          <w:tcPr>
            <w:tcW w:w="573" w:type="pct"/>
            <w:hideMark/>
          </w:tcPr>
          <w:p w14:paraId="5F0D8C1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Wong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2009</w:t>
            </w:r>
            <w:r>
              <w:rPr>
                <w:rFonts w:ascii="Calibri" w:eastAsia="Times New Roman" w:hAnsi="Calibri" w:cs="Calibri"/>
                <w:color w:val="000000"/>
                <w:lang w:eastAsia="en-AU"/>
              </w:rPr>
              <w:t>)</w:t>
            </w:r>
          </w:p>
        </w:tc>
        <w:tc>
          <w:tcPr>
            <w:tcW w:w="707" w:type="pct"/>
            <w:hideMark/>
          </w:tcPr>
          <w:p w14:paraId="25C378A4"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1. To what extent do residents in supportive housing with DD and PD live in housing settings that are spatially dispersed? 2. To what extent do residents in supportive housing with DD and PD live in neighbourhoods </w:t>
            </w:r>
            <w:r w:rsidRPr="00650916">
              <w:rPr>
                <w:rFonts w:ascii="Calibri" w:eastAsia="Times New Roman" w:hAnsi="Calibri" w:cs="Calibri"/>
                <w:color w:val="000000"/>
                <w:lang w:eastAsia="en-AU"/>
              </w:rPr>
              <w:lastRenderedPageBreak/>
              <w:t xml:space="preserve">that have high levels of social distress, high levels of residential instability among their residents, and high levels of public insecurity, as well as in neighbourhoods that are racially/ethnically diverse? 3. How do residents in supportive housing with DD and PD compare with each other in terms of spatial dispersion and neighbourhood characteristics? </w:t>
            </w:r>
          </w:p>
        </w:tc>
        <w:tc>
          <w:tcPr>
            <w:tcW w:w="404" w:type="pct"/>
            <w:hideMark/>
          </w:tcPr>
          <w:p w14:paraId="56F7E6D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USA</w:t>
            </w:r>
          </w:p>
        </w:tc>
        <w:tc>
          <w:tcPr>
            <w:tcW w:w="606" w:type="pct"/>
            <w:hideMark/>
          </w:tcPr>
          <w:p w14:paraId="7F5FE04E"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Other-Raster analysis</w:t>
            </w:r>
          </w:p>
        </w:tc>
        <w:tc>
          <w:tcPr>
            <w:tcW w:w="619" w:type="pct"/>
            <w:hideMark/>
          </w:tcPr>
          <w:p w14:paraId="1C2D097F"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Developmental disabilities (DD) and psychiatric disabilities (PD) </w:t>
            </w:r>
          </w:p>
        </w:tc>
        <w:tc>
          <w:tcPr>
            <w:tcW w:w="1011" w:type="pct"/>
            <w:hideMark/>
          </w:tcPr>
          <w:p w14:paraId="06D21C0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Supportive housing</w:t>
            </w:r>
          </w:p>
        </w:tc>
        <w:tc>
          <w:tcPr>
            <w:tcW w:w="846" w:type="pct"/>
            <w:hideMark/>
          </w:tcPr>
          <w:p w14:paraId="458A6960" w14:textId="2834FC4B" w:rsidR="00F00CFD" w:rsidRPr="00650916" w:rsidRDefault="00FC4847" w:rsidP="00046E15">
            <w:pPr>
              <w:rPr>
                <w:rFonts w:ascii="Calibri" w:eastAsia="Times New Roman" w:hAnsi="Calibri" w:cs="Calibri"/>
                <w:color w:val="000000"/>
                <w:lang w:eastAsia="en-AU"/>
              </w:rPr>
            </w:pPr>
            <w:r>
              <w:rPr>
                <w:rFonts w:ascii="Calibri" w:eastAsia="Times New Roman" w:hAnsi="Calibri" w:cs="Calibri"/>
                <w:color w:val="000000"/>
                <w:lang w:eastAsia="en-AU"/>
              </w:rPr>
              <w:t>Not applicable</w:t>
            </w:r>
          </w:p>
        </w:tc>
      </w:tr>
      <w:tr w:rsidR="00F00CFD" w:rsidRPr="00650916" w14:paraId="200FCCED" w14:textId="77777777" w:rsidTr="006E2C88">
        <w:tc>
          <w:tcPr>
            <w:tcW w:w="234" w:type="pct"/>
            <w:shd w:val="clear" w:color="auto" w:fill="auto"/>
          </w:tcPr>
          <w:p w14:paraId="1D4390E2" w14:textId="3730EE57"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w:t>
            </w:r>
            <w:r w:rsidR="004873BD">
              <w:rPr>
                <w:rFonts w:ascii="Calibri" w:eastAsia="Times New Roman" w:hAnsi="Calibri" w:cs="Calibri"/>
                <w:color w:val="000000"/>
                <w:lang w:eastAsia="en-AU"/>
              </w:rPr>
              <w:t>57</w:t>
            </w:r>
          </w:p>
        </w:tc>
        <w:tc>
          <w:tcPr>
            <w:tcW w:w="573" w:type="pct"/>
            <w:shd w:val="clear" w:color="auto" w:fill="auto"/>
            <w:hideMark/>
          </w:tcPr>
          <w:p w14:paraId="4419E2ED"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Woodman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2014</w:t>
            </w:r>
            <w:r>
              <w:rPr>
                <w:rFonts w:ascii="Calibri" w:eastAsia="Times New Roman" w:hAnsi="Calibri" w:cs="Calibri"/>
                <w:color w:val="000000"/>
                <w:lang w:eastAsia="en-AU"/>
              </w:rPr>
              <w:t>)</w:t>
            </w:r>
          </w:p>
        </w:tc>
        <w:tc>
          <w:tcPr>
            <w:tcW w:w="707" w:type="pct"/>
            <w:shd w:val="clear" w:color="auto" w:fill="auto"/>
            <w:hideMark/>
          </w:tcPr>
          <w:p w14:paraId="30237A1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The present study addresses critical gaps in the literature by examining residential transitions among 303 adults with intellectual disability over 10 </w:t>
            </w:r>
            <w:r w:rsidRPr="00650916">
              <w:rPr>
                <w:rFonts w:ascii="Calibri" w:eastAsia="Times New Roman" w:hAnsi="Calibri" w:cs="Calibri"/>
                <w:color w:val="000000"/>
                <w:lang w:eastAsia="en-AU"/>
              </w:rPr>
              <w:lastRenderedPageBreak/>
              <w:t>years (Part 1) and 75 adults with Down syndrome over 20 years (Part 2).</w:t>
            </w:r>
          </w:p>
        </w:tc>
        <w:tc>
          <w:tcPr>
            <w:tcW w:w="404" w:type="pct"/>
            <w:shd w:val="clear" w:color="auto" w:fill="auto"/>
            <w:hideMark/>
          </w:tcPr>
          <w:p w14:paraId="5C10601C"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lastRenderedPageBreak/>
              <w:t>USA</w:t>
            </w:r>
          </w:p>
        </w:tc>
        <w:tc>
          <w:tcPr>
            <w:tcW w:w="606" w:type="pct"/>
            <w:shd w:val="clear" w:color="auto" w:fill="auto"/>
            <w:hideMark/>
          </w:tcPr>
          <w:p w14:paraId="7B43E723"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Repeated measures design</w:t>
            </w:r>
          </w:p>
        </w:tc>
        <w:tc>
          <w:tcPr>
            <w:tcW w:w="619" w:type="pct"/>
            <w:shd w:val="clear" w:color="auto" w:fill="auto"/>
            <w:hideMark/>
          </w:tcPr>
          <w:p w14:paraId="7707292A"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Intellectual disability</w:t>
            </w:r>
          </w:p>
        </w:tc>
        <w:tc>
          <w:tcPr>
            <w:tcW w:w="1011" w:type="pct"/>
            <w:shd w:val="clear" w:color="auto" w:fill="auto"/>
            <w:hideMark/>
          </w:tcPr>
          <w:p w14:paraId="68C32F69" w14:textId="2CF6788F" w:rsidR="00F00CFD" w:rsidRPr="00961495" w:rsidRDefault="00FC4847" w:rsidP="00046E15">
            <w:pPr>
              <w:rPr>
                <w:rFonts w:ascii="Calibri" w:eastAsia="Times New Roman" w:hAnsi="Calibri" w:cs="Calibri"/>
                <w:color w:val="000000"/>
                <w:sz w:val="21"/>
                <w:szCs w:val="21"/>
                <w:lang w:eastAsia="en-AU"/>
              </w:rPr>
            </w:pPr>
            <w:r w:rsidRPr="00961495">
              <w:rPr>
                <w:rFonts w:ascii="Calibri" w:eastAsia="Times New Roman" w:hAnsi="Calibri" w:cs="Calibri"/>
                <w:color w:val="000000"/>
                <w:sz w:val="21"/>
                <w:szCs w:val="21"/>
                <w:lang w:eastAsia="en-AU"/>
              </w:rPr>
              <w:t xml:space="preserve">Residential settings at last time point coded as follows: community living (group home/shared apartment with 100% supervision, foster home), semi-independent living (alone or with others with some but less than 100% supervision), independent living (alone or with others with no supervision), </w:t>
            </w:r>
            <w:r w:rsidRPr="00961495">
              <w:rPr>
                <w:rFonts w:ascii="Calibri" w:eastAsia="Times New Roman" w:hAnsi="Calibri" w:cs="Calibri"/>
                <w:color w:val="000000"/>
                <w:sz w:val="21"/>
                <w:szCs w:val="21"/>
                <w:lang w:eastAsia="en-AU"/>
              </w:rPr>
              <w:lastRenderedPageBreak/>
              <w:t xml:space="preserve">institution (public or private), and nursing home/hospital setting (nursing home, congregate care, hospital setting). </w:t>
            </w:r>
          </w:p>
        </w:tc>
        <w:tc>
          <w:tcPr>
            <w:tcW w:w="846" w:type="pct"/>
            <w:shd w:val="clear" w:color="auto" w:fill="auto"/>
            <w:hideMark/>
          </w:tcPr>
          <w:p w14:paraId="22FEB26D" w14:textId="61F5ADFB" w:rsidR="00F00CFD" w:rsidRPr="000C6F79" w:rsidRDefault="00FC4847" w:rsidP="00046E15">
            <w:pPr>
              <w:rPr>
                <w:rFonts w:ascii="Calibri" w:eastAsia="Times New Roman" w:hAnsi="Calibri" w:cs="Calibri"/>
                <w:color w:val="000000"/>
                <w:lang w:eastAsia="en-AU"/>
              </w:rPr>
            </w:pPr>
            <w:r w:rsidRPr="000C6F79">
              <w:rPr>
                <w:rFonts w:ascii="Calibri" w:eastAsia="Times New Roman" w:hAnsi="Calibri" w:cs="Calibri"/>
                <w:color w:val="000000"/>
                <w:lang w:eastAsia="en-AU"/>
              </w:rPr>
              <w:lastRenderedPageBreak/>
              <w:t xml:space="preserve">Transition </w:t>
            </w:r>
            <w:r>
              <w:rPr>
                <w:rFonts w:ascii="Calibri" w:eastAsia="Times New Roman" w:hAnsi="Calibri" w:cs="Calibri"/>
                <w:color w:val="000000"/>
                <w:lang w:eastAsia="en-AU"/>
              </w:rPr>
              <w:t xml:space="preserve">from home to a range of </w:t>
            </w:r>
            <w:r w:rsidRPr="000C6F79">
              <w:rPr>
                <w:rFonts w:ascii="Calibri" w:eastAsia="Times New Roman" w:hAnsi="Calibri" w:cs="Calibri"/>
                <w:color w:val="000000"/>
                <w:lang w:eastAsia="en-AU"/>
              </w:rPr>
              <w:t>residential settings over a 10 year (intellectual disability and 20 year (Down Syndrome) period.</w:t>
            </w:r>
          </w:p>
        </w:tc>
      </w:tr>
      <w:tr w:rsidR="00F00CFD" w:rsidRPr="00F66260" w14:paraId="69B4A93F" w14:textId="77777777" w:rsidTr="006E2C88">
        <w:tc>
          <w:tcPr>
            <w:tcW w:w="234" w:type="pct"/>
          </w:tcPr>
          <w:p w14:paraId="2689B9C0" w14:textId="5DF32199" w:rsidR="00F00CFD" w:rsidRPr="00F66260" w:rsidRDefault="00F00CFD" w:rsidP="00046E15">
            <w:r>
              <w:t>1</w:t>
            </w:r>
            <w:r w:rsidR="00D21814">
              <w:t>58</w:t>
            </w:r>
          </w:p>
        </w:tc>
        <w:tc>
          <w:tcPr>
            <w:tcW w:w="573" w:type="pct"/>
            <w:hideMark/>
          </w:tcPr>
          <w:p w14:paraId="0CA7C48F" w14:textId="77777777" w:rsidR="00F00CFD" w:rsidRPr="00F66260" w:rsidRDefault="00F00CFD" w:rsidP="00046E15">
            <w:r w:rsidRPr="00F66260">
              <w:t>Woolrych</w:t>
            </w:r>
            <w:r>
              <w:t xml:space="preserve"> (2000)</w:t>
            </w:r>
          </w:p>
        </w:tc>
        <w:tc>
          <w:tcPr>
            <w:tcW w:w="707" w:type="pct"/>
          </w:tcPr>
          <w:p w14:paraId="1B2C5235" w14:textId="77777777" w:rsidR="00F00CFD" w:rsidRPr="00F66260" w:rsidRDefault="00F00CFD" w:rsidP="00046E15">
            <w:r w:rsidRPr="00F66260">
              <w:t>Reshaping services -- a practical example: moving from a local authority hostel to supported housing</w:t>
            </w:r>
          </w:p>
        </w:tc>
        <w:tc>
          <w:tcPr>
            <w:tcW w:w="404" w:type="pct"/>
            <w:noWrap/>
            <w:hideMark/>
          </w:tcPr>
          <w:p w14:paraId="0E5A6DD5" w14:textId="77777777" w:rsidR="00F00CFD" w:rsidRPr="00F66260" w:rsidRDefault="00F00CFD" w:rsidP="00046E15">
            <w:r w:rsidRPr="00F66260">
              <w:t>UK</w:t>
            </w:r>
          </w:p>
        </w:tc>
        <w:tc>
          <w:tcPr>
            <w:tcW w:w="606" w:type="pct"/>
            <w:noWrap/>
          </w:tcPr>
          <w:p w14:paraId="3E344F28" w14:textId="77777777" w:rsidR="00F00CFD" w:rsidRPr="00F66260" w:rsidRDefault="00F00CFD" w:rsidP="00046E15">
            <w:r>
              <w:t xml:space="preserve">Discussion. Grey literature. </w:t>
            </w:r>
          </w:p>
        </w:tc>
        <w:tc>
          <w:tcPr>
            <w:tcW w:w="619" w:type="pct"/>
            <w:noWrap/>
            <w:hideMark/>
          </w:tcPr>
          <w:p w14:paraId="77CD9602" w14:textId="77777777" w:rsidR="00F00CFD" w:rsidRPr="00F66260" w:rsidRDefault="00F00CFD" w:rsidP="00046E15">
            <w:r w:rsidRPr="00F66260">
              <w:t>Learning disability (n=26)</w:t>
            </w:r>
          </w:p>
        </w:tc>
        <w:tc>
          <w:tcPr>
            <w:tcW w:w="1011" w:type="pct"/>
            <w:hideMark/>
          </w:tcPr>
          <w:p w14:paraId="2500BAD2" w14:textId="77777777" w:rsidR="00F00CFD" w:rsidRPr="00F66260" w:rsidRDefault="00F00CFD" w:rsidP="00046E15">
            <w:r w:rsidRPr="00F66260">
              <w:t>Supported accommodation from local authority hostel;</w:t>
            </w:r>
          </w:p>
        </w:tc>
        <w:tc>
          <w:tcPr>
            <w:tcW w:w="846" w:type="pct"/>
            <w:noWrap/>
            <w:hideMark/>
          </w:tcPr>
          <w:p w14:paraId="280BD9F1" w14:textId="77777777" w:rsidR="00F00CFD" w:rsidRPr="00F66260" w:rsidRDefault="00F00CFD" w:rsidP="00046E15">
            <w:r w:rsidRPr="00F66260">
              <w:t>Supported</w:t>
            </w:r>
          </w:p>
        </w:tc>
      </w:tr>
      <w:tr w:rsidR="00F00CFD" w:rsidRPr="00650916" w14:paraId="4A5FE68A" w14:textId="77777777" w:rsidTr="006E2C88">
        <w:tc>
          <w:tcPr>
            <w:tcW w:w="234" w:type="pct"/>
            <w:shd w:val="clear" w:color="auto" w:fill="auto"/>
          </w:tcPr>
          <w:p w14:paraId="52CDC6A7" w14:textId="27C99A6A" w:rsidR="00F00CFD" w:rsidRPr="00650916" w:rsidRDefault="00F00CFD" w:rsidP="00046E15">
            <w:pPr>
              <w:rPr>
                <w:rFonts w:ascii="Calibri" w:eastAsia="Times New Roman" w:hAnsi="Calibri" w:cs="Calibri"/>
                <w:color w:val="000000"/>
                <w:lang w:eastAsia="en-AU"/>
              </w:rPr>
            </w:pPr>
            <w:r>
              <w:rPr>
                <w:rFonts w:ascii="Calibri" w:eastAsia="Times New Roman" w:hAnsi="Calibri" w:cs="Calibri"/>
                <w:color w:val="000000"/>
                <w:lang w:eastAsia="en-AU"/>
              </w:rPr>
              <w:t>1</w:t>
            </w:r>
            <w:r w:rsidR="00D21814">
              <w:rPr>
                <w:rFonts w:ascii="Calibri" w:eastAsia="Times New Roman" w:hAnsi="Calibri" w:cs="Calibri"/>
                <w:color w:val="000000"/>
                <w:lang w:eastAsia="en-AU"/>
              </w:rPr>
              <w:t>59</w:t>
            </w:r>
          </w:p>
        </w:tc>
        <w:tc>
          <w:tcPr>
            <w:tcW w:w="573" w:type="pct"/>
            <w:shd w:val="clear" w:color="auto" w:fill="auto"/>
            <w:hideMark/>
          </w:tcPr>
          <w:p w14:paraId="3B4ADCAB"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Wright et al </w:t>
            </w:r>
            <w:r>
              <w:rPr>
                <w:rFonts w:ascii="Calibri" w:eastAsia="Times New Roman" w:hAnsi="Calibri" w:cs="Calibri"/>
                <w:color w:val="000000"/>
                <w:lang w:eastAsia="en-AU"/>
              </w:rPr>
              <w:t>(</w:t>
            </w:r>
            <w:r w:rsidRPr="00650916">
              <w:rPr>
                <w:rFonts w:ascii="Calibri" w:eastAsia="Times New Roman" w:hAnsi="Calibri" w:cs="Calibri"/>
                <w:color w:val="000000"/>
                <w:lang w:eastAsia="en-AU"/>
              </w:rPr>
              <w:t>2000</w:t>
            </w:r>
            <w:r>
              <w:rPr>
                <w:rFonts w:ascii="Calibri" w:eastAsia="Times New Roman" w:hAnsi="Calibri" w:cs="Calibri"/>
                <w:color w:val="000000"/>
                <w:lang w:eastAsia="en-AU"/>
              </w:rPr>
              <w:t>)</w:t>
            </w:r>
          </w:p>
        </w:tc>
        <w:tc>
          <w:tcPr>
            <w:tcW w:w="707" w:type="pct"/>
            <w:shd w:val="clear" w:color="auto" w:fill="auto"/>
            <w:hideMark/>
          </w:tcPr>
          <w:p w14:paraId="42006A75"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An examination of the social stigma experience of people with mental health issues following de-institutionalisation.</w:t>
            </w:r>
          </w:p>
        </w:tc>
        <w:tc>
          <w:tcPr>
            <w:tcW w:w="404" w:type="pct"/>
            <w:shd w:val="clear" w:color="auto" w:fill="auto"/>
            <w:hideMark/>
          </w:tcPr>
          <w:p w14:paraId="2500D848"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USA</w:t>
            </w:r>
          </w:p>
        </w:tc>
        <w:tc>
          <w:tcPr>
            <w:tcW w:w="606" w:type="pct"/>
            <w:shd w:val="clear" w:color="auto" w:fill="auto"/>
            <w:hideMark/>
          </w:tcPr>
          <w:p w14:paraId="2C760A77"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Longitudinal design with three repeated measures, baseline, 12 and 24 month follow up post transition</w:t>
            </w:r>
          </w:p>
        </w:tc>
        <w:tc>
          <w:tcPr>
            <w:tcW w:w="619" w:type="pct"/>
            <w:shd w:val="clear" w:color="auto" w:fill="auto"/>
            <w:hideMark/>
          </w:tcPr>
          <w:p w14:paraId="477C3592" w14:textId="77777777" w:rsidR="00F00CFD" w:rsidRPr="00650916" w:rsidRDefault="00F00CFD" w:rsidP="00046E15">
            <w:pPr>
              <w:rPr>
                <w:rFonts w:ascii="Calibri" w:eastAsia="Times New Roman" w:hAnsi="Calibri" w:cs="Calibri"/>
                <w:color w:val="000000"/>
                <w:lang w:eastAsia="en-AU"/>
              </w:rPr>
            </w:pPr>
            <w:r w:rsidRPr="00650916">
              <w:rPr>
                <w:rFonts w:ascii="Calibri" w:eastAsia="Times New Roman" w:hAnsi="Calibri" w:cs="Calibri"/>
                <w:color w:val="000000"/>
                <w:lang w:eastAsia="en-AU"/>
              </w:rPr>
              <w:t xml:space="preserve">Psychiatric disability </w:t>
            </w:r>
          </w:p>
        </w:tc>
        <w:tc>
          <w:tcPr>
            <w:tcW w:w="1011" w:type="pct"/>
            <w:shd w:val="clear" w:color="auto" w:fill="auto"/>
            <w:hideMark/>
          </w:tcPr>
          <w:p w14:paraId="032000AD" w14:textId="6F6B1C11" w:rsidR="00F00CFD" w:rsidRPr="00650916" w:rsidRDefault="00627073" w:rsidP="00046E15">
            <w:pPr>
              <w:rPr>
                <w:rFonts w:ascii="Calibri" w:eastAsia="Times New Roman" w:hAnsi="Calibri" w:cs="Calibri"/>
                <w:color w:val="000000"/>
                <w:lang w:eastAsia="en-AU"/>
              </w:rPr>
            </w:pPr>
            <w:r>
              <w:rPr>
                <w:rFonts w:ascii="Calibri" w:eastAsia="Times New Roman" w:hAnsi="Calibri" w:cs="Calibri"/>
                <w:color w:val="000000"/>
                <w:lang w:eastAsia="en-AU"/>
              </w:rPr>
              <w:t>Community setting (no further details).</w:t>
            </w:r>
          </w:p>
        </w:tc>
        <w:tc>
          <w:tcPr>
            <w:tcW w:w="846" w:type="pct"/>
            <w:shd w:val="clear" w:color="auto" w:fill="auto"/>
            <w:hideMark/>
          </w:tcPr>
          <w:p w14:paraId="7DC6B021" w14:textId="07B81C80" w:rsidR="00F00CFD" w:rsidRPr="000C6F79" w:rsidRDefault="00627073" w:rsidP="00046E15">
            <w:pPr>
              <w:rPr>
                <w:rFonts w:ascii="Calibri" w:eastAsia="Times New Roman" w:hAnsi="Calibri" w:cs="Calibri"/>
                <w:color w:val="000000"/>
                <w:lang w:eastAsia="en-AU"/>
              </w:rPr>
            </w:pPr>
            <w:r w:rsidRPr="000C6F79">
              <w:rPr>
                <w:rFonts w:ascii="Calibri" w:eastAsia="Times New Roman" w:hAnsi="Calibri" w:cs="Calibri"/>
                <w:color w:val="000000"/>
                <w:lang w:eastAsia="en-AU"/>
              </w:rPr>
              <w:t>Transition from hospitalised setting to community setting</w:t>
            </w:r>
            <w:r>
              <w:rPr>
                <w:rFonts w:ascii="Calibri" w:eastAsia="Times New Roman" w:hAnsi="Calibri" w:cs="Calibri"/>
                <w:color w:val="000000"/>
                <w:lang w:eastAsia="en-AU"/>
              </w:rPr>
              <w:t>.</w:t>
            </w:r>
          </w:p>
        </w:tc>
      </w:tr>
    </w:tbl>
    <w:p w14:paraId="17FBF43F" w14:textId="77777777" w:rsidR="00F00CFD" w:rsidRDefault="00F00CFD" w:rsidP="00F00CFD">
      <w:pPr>
        <w:sectPr w:rsidR="00F00CFD" w:rsidSect="006E2C88">
          <w:headerReference w:type="default" r:id="rId77"/>
          <w:footerReference w:type="default" r:id="rId78"/>
          <w:pgSz w:w="15840" w:h="12240" w:orient="landscape"/>
          <w:pgMar w:top="1440" w:right="1440" w:bottom="1440" w:left="1440" w:header="720" w:footer="720" w:gutter="0"/>
          <w:cols w:space="720"/>
          <w:docGrid w:linePitch="360"/>
        </w:sectPr>
      </w:pPr>
      <w:r>
        <w:br w:type="textWrapping" w:clear="all"/>
      </w:r>
    </w:p>
    <w:p w14:paraId="3004D71B" w14:textId="4DB42120" w:rsidR="00B06301" w:rsidRDefault="00B06301" w:rsidP="00B06301">
      <w:pPr>
        <w:pStyle w:val="Heading1"/>
      </w:pPr>
      <w:bookmarkStart w:id="84" w:name="_Toc73535990"/>
      <w:r w:rsidRPr="00B06301">
        <w:lastRenderedPageBreak/>
        <w:t xml:space="preserve">Appendix </w:t>
      </w:r>
      <w:r w:rsidR="000F6626">
        <w:t>F</w:t>
      </w:r>
      <w:r w:rsidRPr="00B06301">
        <w:t>: List of organisational websites and documents reviewed in the environmental scan</w:t>
      </w:r>
      <w:bookmarkEnd w:id="84"/>
    </w:p>
    <w:p w14:paraId="62C878FD" w14:textId="77777777" w:rsidR="00B06301" w:rsidRPr="00226C03" w:rsidRDefault="00B06301" w:rsidP="00B063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22"/>
        <w:gridCol w:w="6894"/>
      </w:tblGrid>
      <w:tr w:rsidR="00B06301" w:rsidRPr="00226C03" w14:paraId="20594618" w14:textId="77777777" w:rsidTr="002D631B">
        <w:tc>
          <w:tcPr>
            <w:tcW w:w="9016" w:type="dxa"/>
            <w:gridSpan w:val="2"/>
            <w:shd w:val="clear" w:color="auto" w:fill="FFFFFF" w:themeFill="background1"/>
          </w:tcPr>
          <w:p w14:paraId="3FD66E7B" w14:textId="77777777" w:rsidR="00B06301" w:rsidRPr="00226C03" w:rsidRDefault="00B06301" w:rsidP="002D631B">
            <w:pPr>
              <w:pStyle w:val="NoSpacing"/>
              <w:shd w:val="clear" w:color="auto" w:fill="FFFFFF" w:themeFill="background1"/>
              <w:rPr>
                <w:rFonts w:cstheme="minorHAnsi"/>
              </w:rPr>
            </w:pPr>
            <w:r w:rsidRPr="00226C03">
              <w:rPr>
                <w:rFonts w:cstheme="minorHAnsi"/>
              </w:rPr>
              <w:t>1</w:t>
            </w:r>
          </w:p>
        </w:tc>
      </w:tr>
      <w:tr w:rsidR="00B06301" w:rsidRPr="00226C03" w14:paraId="4E51C8B2" w14:textId="77777777" w:rsidTr="002D631B">
        <w:tc>
          <w:tcPr>
            <w:tcW w:w="2122" w:type="dxa"/>
            <w:shd w:val="clear" w:color="auto" w:fill="FFFFFF" w:themeFill="background1"/>
          </w:tcPr>
          <w:p w14:paraId="1BE2BF4B"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shd w:val="clear" w:color="auto" w:fill="FFFFFF" w:themeFill="background1"/>
          </w:tcPr>
          <w:p w14:paraId="64D1590A" w14:textId="77777777" w:rsidR="00B06301" w:rsidRPr="00226C03" w:rsidRDefault="00B06301" w:rsidP="002D631B">
            <w:pPr>
              <w:pStyle w:val="NoSpacing"/>
              <w:shd w:val="clear" w:color="auto" w:fill="FFFFFF" w:themeFill="background1"/>
              <w:rPr>
                <w:rFonts w:cstheme="minorHAnsi"/>
              </w:rPr>
            </w:pPr>
            <w:r w:rsidRPr="00226C03">
              <w:rPr>
                <w:rFonts w:cstheme="minorHAnsi"/>
              </w:rPr>
              <w:t>Summer Foundation (together with their sister organisation, Summer Housing)</w:t>
            </w:r>
          </w:p>
        </w:tc>
      </w:tr>
      <w:tr w:rsidR="00B06301" w:rsidRPr="00226C03" w14:paraId="2A24D2EF" w14:textId="77777777" w:rsidTr="002D631B">
        <w:tc>
          <w:tcPr>
            <w:tcW w:w="2122" w:type="dxa"/>
            <w:shd w:val="clear" w:color="auto" w:fill="FFFFFF" w:themeFill="background1"/>
          </w:tcPr>
          <w:p w14:paraId="328D3C5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shd w:val="clear" w:color="auto" w:fill="FFFFFF" w:themeFill="background1"/>
          </w:tcPr>
          <w:p w14:paraId="6F51A49B" w14:textId="77777777" w:rsidR="00B06301" w:rsidRPr="00226C03" w:rsidRDefault="00B06301" w:rsidP="002D631B">
            <w:pPr>
              <w:pStyle w:val="NoSpacing"/>
              <w:shd w:val="clear" w:color="auto" w:fill="FFFFFF" w:themeFill="background1"/>
              <w:rPr>
                <w:rFonts w:cstheme="minorHAnsi"/>
              </w:rPr>
            </w:pPr>
            <w:r w:rsidRPr="00226C03">
              <w:rPr>
                <w:rFonts w:cstheme="minorHAnsi"/>
              </w:rPr>
              <w:t>Di Winkler, CEO</w:t>
            </w:r>
          </w:p>
        </w:tc>
      </w:tr>
      <w:tr w:rsidR="00B06301" w:rsidRPr="00226C03" w14:paraId="6357EBE7" w14:textId="77777777" w:rsidTr="002D631B">
        <w:tc>
          <w:tcPr>
            <w:tcW w:w="2122" w:type="dxa"/>
            <w:shd w:val="clear" w:color="auto" w:fill="FFFFFF" w:themeFill="background1"/>
          </w:tcPr>
          <w:p w14:paraId="61BCE1C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shd w:val="clear" w:color="auto" w:fill="FFFFFF" w:themeFill="background1"/>
          </w:tcPr>
          <w:p w14:paraId="262E9006" w14:textId="77777777" w:rsidR="00B06301" w:rsidRPr="00226C03" w:rsidRDefault="001F76D0" w:rsidP="002D631B">
            <w:pPr>
              <w:pStyle w:val="NoSpacing"/>
              <w:shd w:val="clear" w:color="auto" w:fill="FFFFFF" w:themeFill="background1"/>
              <w:rPr>
                <w:rFonts w:cstheme="minorHAnsi"/>
              </w:rPr>
            </w:pPr>
            <w:hyperlink r:id="rId79" w:history="1">
              <w:r w:rsidR="00B06301" w:rsidRPr="00226C03">
                <w:rPr>
                  <w:rStyle w:val="Hyperlink"/>
                  <w:rFonts w:cstheme="minorHAnsi"/>
                </w:rPr>
                <w:t>https://www.summerfoundation.org.au/</w:t>
              </w:r>
            </w:hyperlink>
            <w:r w:rsidR="00B06301" w:rsidRPr="00226C03">
              <w:rPr>
                <w:rFonts w:cstheme="minorHAnsi"/>
              </w:rPr>
              <w:t xml:space="preserve"> (or </w:t>
            </w:r>
            <w:hyperlink r:id="rId80" w:history="1">
              <w:r w:rsidR="00B06301" w:rsidRPr="00226C03">
                <w:rPr>
                  <w:rStyle w:val="Hyperlink"/>
                  <w:rFonts w:cstheme="minorHAnsi"/>
                </w:rPr>
                <w:t>https://summerhousing.org.au/</w:t>
              </w:r>
            </w:hyperlink>
            <w:r w:rsidR="00B06301" w:rsidRPr="00226C03">
              <w:rPr>
                <w:rFonts w:cstheme="minorHAnsi"/>
              </w:rPr>
              <w:t xml:space="preserve">) </w:t>
            </w:r>
          </w:p>
        </w:tc>
      </w:tr>
      <w:tr w:rsidR="00B06301" w:rsidRPr="00226C03" w14:paraId="4DD971F7" w14:textId="77777777" w:rsidTr="002D631B">
        <w:tc>
          <w:tcPr>
            <w:tcW w:w="2122" w:type="dxa"/>
            <w:shd w:val="clear" w:color="auto" w:fill="FFFFFF" w:themeFill="background1"/>
          </w:tcPr>
          <w:p w14:paraId="3F01DFD3"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shd w:val="clear" w:color="auto" w:fill="FFFFFF" w:themeFill="background1"/>
          </w:tcPr>
          <w:p w14:paraId="45F47280" w14:textId="77777777" w:rsidR="00B06301" w:rsidRPr="00226C03" w:rsidRDefault="00B06301" w:rsidP="002D631B">
            <w:pPr>
              <w:pStyle w:val="NoSpacing"/>
              <w:shd w:val="clear" w:color="auto" w:fill="FFFFFF" w:themeFill="background1"/>
              <w:rPr>
                <w:rFonts w:cstheme="minorHAnsi"/>
              </w:rPr>
            </w:pPr>
            <w:r w:rsidRPr="00226C03">
              <w:rPr>
                <w:rFonts w:cstheme="minorHAnsi"/>
              </w:rPr>
              <w:t>Based in Victoria, but work in most states and territories throughout Australia</w:t>
            </w:r>
          </w:p>
        </w:tc>
      </w:tr>
      <w:tr w:rsidR="00B06301" w:rsidRPr="00226C03" w14:paraId="7DF7DE48" w14:textId="77777777" w:rsidTr="002D631B">
        <w:tc>
          <w:tcPr>
            <w:tcW w:w="2122" w:type="dxa"/>
            <w:shd w:val="clear" w:color="auto" w:fill="FFFFFF" w:themeFill="background1"/>
          </w:tcPr>
          <w:p w14:paraId="29F5E5E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shd w:val="clear" w:color="auto" w:fill="FFFFFF" w:themeFill="background1"/>
          </w:tcPr>
          <w:p w14:paraId="59827CBA" w14:textId="77777777" w:rsidR="00B06301" w:rsidRPr="00226C03" w:rsidRDefault="00B06301" w:rsidP="002D631B">
            <w:pPr>
              <w:pStyle w:val="NoSpacing"/>
              <w:shd w:val="clear" w:color="auto" w:fill="FFFFFF" w:themeFill="background1"/>
              <w:rPr>
                <w:rFonts w:cstheme="minorHAnsi"/>
              </w:rPr>
            </w:pPr>
            <w:r w:rsidRPr="00226C03">
              <w:rPr>
                <w:rFonts w:cstheme="minorHAnsi"/>
              </w:rPr>
              <w:t>Their mandate is to resolve the issue of young people living in nursing homes/aged care</w:t>
            </w:r>
          </w:p>
        </w:tc>
      </w:tr>
      <w:tr w:rsidR="00B06301" w:rsidRPr="00226C03" w14:paraId="46C6E1B6" w14:textId="77777777" w:rsidTr="002D631B">
        <w:tc>
          <w:tcPr>
            <w:tcW w:w="2122" w:type="dxa"/>
            <w:shd w:val="clear" w:color="auto" w:fill="FFFFFF" w:themeFill="background1"/>
          </w:tcPr>
          <w:p w14:paraId="291773E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shd w:val="clear" w:color="auto" w:fill="FFFFFF" w:themeFill="background1"/>
          </w:tcPr>
          <w:p w14:paraId="03C5652B" w14:textId="77777777" w:rsidR="00B06301" w:rsidRPr="00226C03" w:rsidRDefault="00B06301" w:rsidP="002D631B">
            <w:pPr>
              <w:pStyle w:val="NoSpacing"/>
              <w:shd w:val="clear" w:color="auto" w:fill="FFFFFF" w:themeFill="background1"/>
              <w:rPr>
                <w:rFonts w:cstheme="minorHAnsi"/>
              </w:rPr>
            </w:pPr>
            <w:r w:rsidRPr="00226C03">
              <w:rPr>
                <w:rFonts w:cstheme="minorHAnsi"/>
              </w:rPr>
              <w:t>Might be worth looking into the Abbotsford Housing and Support Demonstration Project (</w:t>
            </w:r>
            <w:hyperlink r:id="rId81" w:history="1">
              <w:r w:rsidRPr="00226C03">
                <w:rPr>
                  <w:rStyle w:val="Hyperlink"/>
                  <w:rFonts w:cstheme="minorHAnsi"/>
                </w:rPr>
                <w:t>https://www.summerfoundation.org.au/our-focus/housing/housing-prototypes/abbotsford-housing-demonstration-project/</w:t>
              </w:r>
            </w:hyperlink>
            <w:r w:rsidRPr="00226C03">
              <w:rPr>
                <w:rFonts w:cstheme="minorHAnsi"/>
              </w:rPr>
              <w:t>) and the Hunter Housing and Support Demonstration Project (</w:t>
            </w:r>
            <w:hyperlink r:id="rId82" w:history="1">
              <w:r w:rsidRPr="00226C03">
                <w:rPr>
                  <w:rStyle w:val="Hyperlink"/>
                  <w:rFonts w:cstheme="minorHAnsi"/>
                </w:rPr>
                <w:t>https://www.summerfoundation.org.au/our-focus/housing/housing-prototypes/hunter-housing-demonstration-project/</w:t>
              </w:r>
            </w:hyperlink>
            <w:r w:rsidRPr="00226C03">
              <w:rPr>
                <w:rFonts w:cstheme="minorHAnsi"/>
              </w:rPr>
              <w:t xml:space="preserve">) </w:t>
            </w:r>
          </w:p>
        </w:tc>
      </w:tr>
    </w:tbl>
    <w:p w14:paraId="56CDDAB5" w14:textId="77777777" w:rsidR="00B06301" w:rsidRPr="00226C03" w:rsidRDefault="00B06301" w:rsidP="00B06301">
      <w:pPr>
        <w:pStyle w:val="NoSpacing"/>
        <w:shd w:val="clear" w:color="auto" w:fill="FFFFFF" w:themeFill="background1"/>
        <w:rPr>
          <w:rFonts w:cstheme="minorHAnsi"/>
        </w:rPr>
      </w:pPr>
    </w:p>
    <w:p w14:paraId="324C388F"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22"/>
        <w:gridCol w:w="6894"/>
      </w:tblGrid>
      <w:tr w:rsidR="00B06301" w:rsidRPr="00226C03" w14:paraId="13CF8E4E" w14:textId="77777777" w:rsidTr="002D631B">
        <w:tc>
          <w:tcPr>
            <w:tcW w:w="9016" w:type="dxa"/>
            <w:gridSpan w:val="2"/>
            <w:shd w:val="clear" w:color="auto" w:fill="FFFFFF" w:themeFill="background1"/>
          </w:tcPr>
          <w:p w14:paraId="3122818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2</w:t>
            </w:r>
          </w:p>
        </w:tc>
      </w:tr>
      <w:tr w:rsidR="00B06301" w:rsidRPr="00226C03" w14:paraId="044F278B" w14:textId="77777777" w:rsidTr="002D631B">
        <w:tc>
          <w:tcPr>
            <w:tcW w:w="2122" w:type="dxa"/>
            <w:shd w:val="clear" w:color="auto" w:fill="FFFFFF" w:themeFill="background1"/>
          </w:tcPr>
          <w:p w14:paraId="1C9308A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shd w:val="clear" w:color="auto" w:fill="FFFFFF" w:themeFill="background1"/>
          </w:tcPr>
          <w:p w14:paraId="4FBF98A1" w14:textId="77777777" w:rsidR="00B06301" w:rsidRPr="00226C03" w:rsidRDefault="00B06301" w:rsidP="002D631B">
            <w:pPr>
              <w:pStyle w:val="NoSpacing"/>
              <w:shd w:val="clear" w:color="auto" w:fill="FFFFFF" w:themeFill="background1"/>
              <w:rPr>
                <w:rFonts w:cstheme="minorHAnsi"/>
              </w:rPr>
            </w:pPr>
            <w:r w:rsidRPr="00226C03">
              <w:rPr>
                <w:rFonts w:cstheme="minorHAnsi"/>
              </w:rPr>
              <w:t>BlueCHP Limited</w:t>
            </w:r>
          </w:p>
        </w:tc>
      </w:tr>
      <w:tr w:rsidR="00B06301" w:rsidRPr="00226C03" w14:paraId="5B59BA1E" w14:textId="77777777" w:rsidTr="002D631B">
        <w:tc>
          <w:tcPr>
            <w:tcW w:w="2122" w:type="dxa"/>
            <w:shd w:val="clear" w:color="auto" w:fill="FFFFFF" w:themeFill="background1"/>
          </w:tcPr>
          <w:p w14:paraId="6BACA4C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shd w:val="clear" w:color="auto" w:fill="FFFFFF" w:themeFill="background1"/>
          </w:tcPr>
          <w:p w14:paraId="593B8492" w14:textId="77777777" w:rsidR="00B06301" w:rsidRPr="00226C03" w:rsidRDefault="00B06301" w:rsidP="002D631B">
            <w:pPr>
              <w:pStyle w:val="NoSpacing"/>
              <w:shd w:val="clear" w:color="auto" w:fill="FFFFFF" w:themeFill="background1"/>
              <w:rPr>
                <w:rFonts w:cstheme="minorHAnsi"/>
              </w:rPr>
            </w:pPr>
            <w:r w:rsidRPr="00226C03">
              <w:rPr>
                <w:rFonts w:cstheme="minorHAnsi"/>
              </w:rPr>
              <w:t>Charles Northcote, CEO</w:t>
            </w:r>
          </w:p>
        </w:tc>
      </w:tr>
      <w:tr w:rsidR="00B06301" w:rsidRPr="00226C03" w14:paraId="4DB76C69" w14:textId="77777777" w:rsidTr="002D631B">
        <w:tc>
          <w:tcPr>
            <w:tcW w:w="2122" w:type="dxa"/>
            <w:shd w:val="clear" w:color="auto" w:fill="FFFFFF" w:themeFill="background1"/>
          </w:tcPr>
          <w:p w14:paraId="1C45EC0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shd w:val="clear" w:color="auto" w:fill="FFFFFF" w:themeFill="background1"/>
          </w:tcPr>
          <w:p w14:paraId="417C0422" w14:textId="77777777" w:rsidR="00B06301" w:rsidRPr="00226C03" w:rsidRDefault="001F76D0" w:rsidP="002D631B">
            <w:pPr>
              <w:pStyle w:val="NoSpacing"/>
              <w:shd w:val="clear" w:color="auto" w:fill="FFFFFF" w:themeFill="background1"/>
              <w:rPr>
                <w:rFonts w:cstheme="minorHAnsi"/>
              </w:rPr>
            </w:pPr>
            <w:hyperlink r:id="rId83" w:history="1">
              <w:r w:rsidR="00B06301" w:rsidRPr="00226C03">
                <w:rPr>
                  <w:rStyle w:val="Hyperlink"/>
                  <w:rFonts w:cstheme="minorHAnsi"/>
                </w:rPr>
                <w:t>https://bluechp.com.au/</w:t>
              </w:r>
            </w:hyperlink>
            <w:r w:rsidR="00B06301" w:rsidRPr="00226C03">
              <w:rPr>
                <w:rFonts w:cstheme="minorHAnsi"/>
              </w:rPr>
              <w:t xml:space="preserve"> </w:t>
            </w:r>
          </w:p>
        </w:tc>
      </w:tr>
      <w:tr w:rsidR="00B06301" w:rsidRPr="00226C03" w14:paraId="3AB98363" w14:textId="77777777" w:rsidTr="002D631B">
        <w:tc>
          <w:tcPr>
            <w:tcW w:w="2122" w:type="dxa"/>
            <w:shd w:val="clear" w:color="auto" w:fill="FFFFFF" w:themeFill="background1"/>
          </w:tcPr>
          <w:p w14:paraId="10C6CCB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shd w:val="clear" w:color="auto" w:fill="FFFFFF" w:themeFill="background1"/>
          </w:tcPr>
          <w:p w14:paraId="35A94B46" w14:textId="77777777" w:rsidR="00B06301" w:rsidRPr="00226C03" w:rsidRDefault="00B06301" w:rsidP="002D631B">
            <w:pPr>
              <w:pStyle w:val="NoSpacing"/>
              <w:shd w:val="clear" w:color="auto" w:fill="FFFFFF" w:themeFill="background1"/>
              <w:rPr>
                <w:rFonts w:cstheme="minorHAnsi"/>
              </w:rPr>
            </w:pPr>
            <w:r w:rsidRPr="00226C03">
              <w:rPr>
                <w:rFonts w:cstheme="minorHAnsi"/>
              </w:rPr>
              <w:t>New South Wales and Queensland</w:t>
            </w:r>
          </w:p>
        </w:tc>
      </w:tr>
      <w:tr w:rsidR="00B06301" w:rsidRPr="00226C03" w14:paraId="50F31FED" w14:textId="77777777" w:rsidTr="002D631B">
        <w:tc>
          <w:tcPr>
            <w:tcW w:w="2122" w:type="dxa"/>
            <w:shd w:val="clear" w:color="auto" w:fill="FFFFFF" w:themeFill="background1"/>
          </w:tcPr>
          <w:p w14:paraId="79F24753"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shd w:val="clear" w:color="auto" w:fill="FFFFFF" w:themeFill="background1"/>
          </w:tcPr>
          <w:p w14:paraId="5EA73D9A" w14:textId="77777777" w:rsidR="00B06301" w:rsidRPr="00226C03" w:rsidRDefault="00B06301" w:rsidP="002D631B">
            <w:pPr>
              <w:pStyle w:val="NoSpacing"/>
              <w:shd w:val="clear" w:color="auto" w:fill="FFFFFF" w:themeFill="background1"/>
              <w:rPr>
                <w:rFonts w:cstheme="minorHAnsi"/>
              </w:rPr>
            </w:pPr>
            <w:r w:rsidRPr="00226C03">
              <w:rPr>
                <w:rFonts w:cstheme="minorHAnsi"/>
              </w:rPr>
              <w:t>BlueCHP is a Not-for-Profit, Tier 1 Community Housing Provider. We specialise in developing social, affordable and disability housing.</w:t>
            </w:r>
          </w:p>
        </w:tc>
      </w:tr>
      <w:tr w:rsidR="00B06301" w:rsidRPr="00226C03" w14:paraId="1AC2EE44" w14:textId="77777777" w:rsidTr="002D631B">
        <w:tc>
          <w:tcPr>
            <w:tcW w:w="2122" w:type="dxa"/>
            <w:shd w:val="clear" w:color="auto" w:fill="FFFFFF" w:themeFill="background1"/>
          </w:tcPr>
          <w:p w14:paraId="1A1C9EEB"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shd w:val="clear" w:color="auto" w:fill="FFFFFF" w:themeFill="background1"/>
          </w:tcPr>
          <w:p w14:paraId="57094C5A" w14:textId="77777777" w:rsidR="00B06301" w:rsidRPr="00226C03" w:rsidRDefault="00B06301" w:rsidP="002D631B">
            <w:pPr>
              <w:pStyle w:val="NoSpacing"/>
              <w:shd w:val="clear" w:color="auto" w:fill="FFFFFF" w:themeFill="background1"/>
              <w:rPr>
                <w:rFonts w:cstheme="minorHAnsi"/>
              </w:rPr>
            </w:pPr>
          </w:p>
        </w:tc>
      </w:tr>
    </w:tbl>
    <w:p w14:paraId="433B6AD0" w14:textId="77777777" w:rsidR="00B06301" w:rsidRPr="00226C03" w:rsidRDefault="00B06301" w:rsidP="00B06301">
      <w:pPr>
        <w:pStyle w:val="NoSpacing"/>
        <w:shd w:val="clear" w:color="auto" w:fill="FFFFFF" w:themeFill="background1"/>
        <w:rPr>
          <w:rFonts w:cstheme="minorHAnsi"/>
        </w:rPr>
      </w:pPr>
    </w:p>
    <w:p w14:paraId="597D8BAC"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5CE17B83" w14:textId="77777777" w:rsidTr="002D631B">
        <w:tc>
          <w:tcPr>
            <w:tcW w:w="9016" w:type="dxa"/>
            <w:gridSpan w:val="2"/>
          </w:tcPr>
          <w:p w14:paraId="406424B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3</w:t>
            </w:r>
          </w:p>
        </w:tc>
      </w:tr>
      <w:tr w:rsidR="00B06301" w:rsidRPr="00226C03" w14:paraId="33C8D907" w14:textId="77777777" w:rsidTr="002D631B">
        <w:tc>
          <w:tcPr>
            <w:tcW w:w="2122" w:type="dxa"/>
          </w:tcPr>
          <w:p w14:paraId="514C342B"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737A3ED1" w14:textId="77777777" w:rsidR="00B06301" w:rsidRPr="00226C03" w:rsidRDefault="00B06301" w:rsidP="002D631B">
            <w:pPr>
              <w:pStyle w:val="NoSpacing"/>
              <w:shd w:val="clear" w:color="auto" w:fill="FFFFFF" w:themeFill="background1"/>
              <w:rPr>
                <w:rFonts w:cstheme="minorHAnsi"/>
              </w:rPr>
            </w:pPr>
            <w:r w:rsidRPr="00226C03">
              <w:rPr>
                <w:rFonts w:cstheme="minorHAnsi"/>
              </w:rPr>
              <w:t>Achieve Australia</w:t>
            </w:r>
          </w:p>
        </w:tc>
      </w:tr>
      <w:tr w:rsidR="00B06301" w:rsidRPr="00226C03" w14:paraId="07006893" w14:textId="77777777" w:rsidTr="002D631B">
        <w:tc>
          <w:tcPr>
            <w:tcW w:w="2122" w:type="dxa"/>
          </w:tcPr>
          <w:p w14:paraId="3B3ABA2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57057257" w14:textId="77777777" w:rsidR="00B06301" w:rsidRPr="00226C03" w:rsidRDefault="00B06301" w:rsidP="002D631B">
            <w:pPr>
              <w:pStyle w:val="NoSpacing"/>
              <w:shd w:val="clear" w:color="auto" w:fill="FFFFFF" w:themeFill="background1"/>
              <w:rPr>
                <w:rFonts w:cstheme="minorHAnsi"/>
              </w:rPr>
            </w:pPr>
            <w:r w:rsidRPr="00226C03">
              <w:rPr>
                <w:rFonts w:cstheme="minorHAnsi"/>
              </w:rPr>
              <w:t>Jo-Anne Hewitt, CEO</w:t>
            </w:r>
          </w:p>
        </w:tc>
      </w:tr>
      <w:tr w:rsidR="00B06301" w:rsidRPr="00226C03" w14:paraId="0C8F383B" w14:textId="77777777" w:rsidTr="002D631B">
        <w:tc>
          <w:tcPr>
            <w:tcW w:w="2122" w:type="dxa"/>
          </w:tcPr>
          <w:p w14:paraId="35B8714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7FDE41CC" w14:textId="77777777" w:rsidR="00B06301" w:rsidRPr="00226C03" w:rsidRDefault="001F76D0" w:rsidP="002D631B">
            <w:pPr>
              <w:pStyle w:val="NoSpacing"/>
              <w:shd w:val="clear" w:color="auto" w:fill="FFFFFF" w:themeFill="background1"/>
              <w:rPr>
                <w:rFonts w:cstheme="minorHAnsi"/>
              </w:rPr>
            </w:pPr>
            <w:hyperlink r:id="rId84" w:history="1">
              <w:r w:rsidR="00B06301" w:rsidRPr="00226C03">
                <w:rPr>
                  <w:rStyle w:val="Hyperlink"/>
                  <w:rFonts w:cstheme="minorHAnsi"/>
                </w:rPr>
                <w:t>https://achieveaustralia.org.au/</w:t>
              </w:r>
            </w:hyperlink>
            <w:r w:rsidR="00B06301" w:rsidRPr="00226C03">
              <w:rPr>
                <w:rFonts w:cstheme="minorHAnsi"/>
              </w:rPr>
              <w:t xml:space="preserve"> </w:t>
            </w:r>
          </w:p>
        </w:tc>
      </w:tr>
      <w:tr w:rsidR="00B06301" w:rsidRPr="00226C03" w14:paraId="15E5C43A" w14:textId="77777777" w:rsidTr="002D631B">
        <w:tc>
          <w:tcPr>
            <w:tcW w:w="2122" w:type="dxa"/>
          </w:tcPr>
          <w:p w14:paraId="6D6CF27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079FBB6C" w14:textId="77777777" w:rsidR="00B06301" w:rsidRPr="00226C03" w:rsidRDefault="00B06301" w:rsidP="002D631B">
            <w:pPr>
              <w:pStyle w:val="NoSpacing"/>
              <w:shd w:val="clear" w:color="auto" w:fill="FFFFFF" w:themeFill="background1"/>
              <w:rPr>
                <w:rFonts w:cstheme="minorHAnsi"/>
              </w:rPr>
            </w:pPr>
            <w:r w:rsidRPr="00226C03">
              <w:rPr>
                <w:rFonts w:cstheme="minorHAnsi"/>
              </w:rPr>
              <w:t>New South Wales</w:t>
            </w:r>
          </w:p>
        </w:tc>
      </w:tr>
      <w:tr w:rsidR="00B06301" w:rsidRPr="00226C03" w14:paraId="5EDA1FA8" w14:textId="77777777" w:rsidTr="002D631B">
        <w:tc>
          <w:tcPr>
            <w:tcW w:w="2122" w:type="dxa"/>
          </w:tcPr>
          <w:p w14:paraId="2AA59C1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2E611E74" w14:textId="77777777" w:rsidR="00B06301" w:rsidRPr="00226C03" w:rsidRDefault="00B06301" w:rsidP="002D631B">
            <w:pPr>
              <w:pStyle w:val="NoSpacing"/>
              <w:shd w:val="clear" w:color="auto" w:fill="FFFFFF" w:themeFill="background1"/>
              <w:rPr>
                <w:rFonts w:cstheme="minorHAnsi"/>
              </w:rPr>
            </w:pPr>
            <w:r w:rsidRPr="00226C03">
              <w:rPr>
                <w:rFonts w:cstheme="minorHAnsi"/>
              </w:rPr>
              <w:t>Achieve Australia’s Sydney based disability accommodation provides varying levels of accessibility and support. We work with our clients to understand their individual needs and help create a true home.</w:t>
            </w:r>
          </w:p>
        </w:tc>
      </w:tr>
      <w:tr w:rsidR="00B06301" w:rsidRPr="00226C03" w14:paraId="7A9F475D" w14:textId="77777777" w:rsidTr="002D631B">
        <w:tc>
          <w:tcPr>
            <w:tcW w:w="2122" w:type="dxa"/>
          </w:tcPr>
          <w:p w14:paraId="70FD4FD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40EDB756" w14:textId="77777777" w:rsidR="00B06301" w:rsidRPr="00226C03" w:rsidRDefault="00B06301" w:rsidP="002D631B">
            <w:pPr>
              <w:pStyle w:val="NoSpacing"/>
              <w:shd w:val="clear" w:color="auto" w:fill="FFFFFF" w:themeFill="background1"/>
              <w:rPr>
                <w:rFonts w:cstheme="minorHAnsi"/>
              </w:rPr>
            </w:pPr>
          </w:p>
        </w:tc>
      </w:tr>
    </w:tbl>
    <w:p w14:paraId="4B81B4EB" w14:textId="77777777" w:rsidR="00B06301" w:rsidRPr="00226C03" w:rsidRDefault="00B06301" w:rsidP="00B06301">
      <w:pPr>
        <w:pStyle w:val="NoSpacing"/>
        <w:shd w:val="clear" w:color="auto" w:fill="FFFFFF" w:themeFill="background1"/>
        <w:rPr>
          <w:rFonts w:cstheme="minorHAnsi"/>
        </w:rPr>
      </w:pPr>
    </w:p>
    <w:p w14:paraId="4A067835" w14:textId="3D3DFF60" w:rsidR="00727856" w:rsidRDefault="00727856">
      <w:pPr>
        <w:rPr>
          <w:rFonts w:cstheme="minorHAnsi"/>
          <w:lang w:val="en-IE"/>
        </w:rPr>
      </w:pPr>
      <w:r>
        <w:rPr>
          <w:rFonts w:cstheme="minorHAnsi"/>
        </w:rPr>
        <w:br w:type="page"/>
      </w:r>
    </w:p>
    <w:p w14:paraId="0E7AD7ED"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22"/>
        <w:gridCol w:w="6894"/>
      </w:tblGrid>
      <w:tr w:rsidR="00B06301" w:rsidRPr="00226C03" w14:paraId="75B9FDE5" w14:textId="77777777" w:rsidTr="002D631B">
        <w:tc>
          <w:tcPr>
            <w:tcW w:w="9016" w:type="dxa"/>
            <w:gridSpan w:val="2"/>
            <w:shd w:val="clear" w:color="auto" w:fill="FFFFFF" w:themeFill="background1"/>
          </w:tcPr>
          <w:p w14:paraId="753E651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4</w:t>
            </w:r>
          </w:p>
        </w:tc>
      </w:tr>
      <w:tr w:rsidR="00B06301" w:rsidRPr="00226C03" w14:paraId="4261DE17" w14:textId="77777777" w:rsidTr="002D631B">
        <w:tc>
          <w:tcPr>
            <w:tcW w:w="2122" w:type="dxa"/>
            <w:shd w:val="clear" w:color="auto" w:fill="FFFFFF" w:themeFill="background1"/>
          </w:tcPr>
          <w:p w14:paraId="7B4E3DD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shd w:val="clear" w:color="auto" w:fill="FFFFFF" w:themeFill="background1"/>
          </w:tcPr>
          <w:p w14:paraId="03A7407E" w14:textId="77777777" w:rsidR="00B06301" w:rsidRPr="00226C03" w:rsidRDefault="00B06301" w:rsidP="002D631B">
            <w:pPr>
              <w:pStyle w:val="NoSpacing"/>
              <w:shd w:val="clear" w:color="auto" w:fill="FFFFFF" w:themeFill="background1"/>
              <w:rPr>
                <w:rFonts w:cstheme="minorHAnsi"/>
              </w:rPr>
            </w:pPr>
            <w:r w:rsidRPr="00226C03">
              <w:rPr>
                <w:rFonts w:cstheme="minorHAnsi"/>
              </w:rPr>
              <w:t>Northcott</w:t>
            </w:r>
          </w:p>
        </w:tc>
      </w:tr>
      <w:tr w:rsidR="00B06301" w:rsidRPr="00226C03" w14:paraId="599D5DC6" w14:textId="77777777" w:rsidTr="002D631B">
        <w:tc>
          <w:tcPr>
            <w:tcW w:w="2122" w:type="dxa"/>
            <w:shd w:val="clear" w:color="auto" w:fill="FFFFFF" w:themeFill="background1"/>
          </w:tcPr>
          <w:p w14:paraId="3F91FAA9"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shd w:val="clear" w:color="auto" w:fill="FFFFFF" w:themeFill="background1"/>
          </w:tcPr>
          <w:p w14:paraId="5E4A0B38" w14:textId="77777777" w:rsidR="00B06301" w:rsidRPr="00226C03" w:rsidRDefault="00B06301" w:rsidP="002D631B">
            <w:pPr>
              <w:pStyle w:val="NoSpacing"/>
              <w:shd w:val="clear" w:color="auto" w:fill="FFFFFF" w:themeFill="background1"/>
              <w:rPr>
                <w:rFonts w:cstheme="minorHAnsi"/>
              </w:rPr>
            </w:pPr>
            <w:r w:rsidRPr="00226C03">
              <w:rPr>
                <w:rFonts w:cstheme="minorHAnsi"/>
              </w:rPr>
              <w:t>Liz Forsyth, CEO</w:t>
            </w:r>
          </w:p>
        </w:tc>
      </w:tr>
      <w:tr w:rsidR="00B06301" w:rsidRPr="00226C03" w14:paraId="2A756DB9" w14:textId="77777777" w:rsidTr="002D631B">
        <w:tc>
          <w:tcPr>
            <w:tcW w:w="2122" w:type="dxa"/>
            <w:shd w:val="clear" w:color="auto" w:fill="FFFFFF" w:themeFill="background1"/>
          </w:tcPr>
          <w:p w14:paraId="05236D7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shd w:val="clear" w:color="auto" w:fill="FFFFFF" w:themeFill="background1"/>
          </w:tcPr>
          <w:p w14:paraId="3B2C3837" w14:textId="77777777" w:rsidR="00B06301" w:rsidRPr="00226C03" w:rsidRDefault="001F76D0" w:rsidP="002D631B">
            <w:pPr>
              <w:pStyle w:val="NoSpacing"/>
              <w:shd w:val="clear" w:color="auto" w:fill="FFFFFF" w:themeFill="background1"/>
              <w:rPr>
                <w:rFonts w:cstheme="minorHAnsi"/>
              </w:rPr>
            </w:pPr>
            <w:hyperlink r:id="rId85" w:history="1">
              <w:r w:rsidR="00B06301" w:rsidRPr="00226C03">
                <w:rPr>
                  <w:rStyle w:val="Hyperlink"/>
                  <w:rFonts w:cstheme="minorHAnsi"/>
                </w:rPr>
                <w:t>https://northcott.com.au/</w:t>
              </w:r>
            </w:hyperlink>
            <w:r w:rsidR="00B06301" w:rsidRPr="00226C03">
              <w:rPr>
                <w:rFonts w:cstheme="minorHAnsi"/>
              </w:rPr>
              <w:t xml:space="preserve"> </w:t>
            </w:r>
          </w:p>
        </w:tc>
      </w:tr>
      <w:tr w:rsidR="00B06301" w:rsidRPr="00226C03" w14:paraId="0F91B51A" w14:textId="77777777" w:rsidTr="002D631B">
        <w:tc>
          <w:tcPr>
            <w:tcW w:w="2122" w:type="dxa"/>
            <w:shd w:val="clear" w:color="auto" w:fill="FFFFFF" w:themeFill="background1"/>
          </w:tcPr>
          <w:p w14:paraId="75FF209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shd w:val="clear" w:color="auto" w:fill="FFFFFF" w:themeFill="background1"/>
          </w:tcPr>
          <w:p w14:paraId="5791CDD1" w14:textId="77777777" w:rsidR="00B06301" w:rsidRPr="00226C03" w:rsidRDefault="00B06301" w:rsidP="002D631B">
            <w:pPr>
              <w:pStyle w:val="NoSpacing"/>
              <w:shd w:val="clear" w:color="auto" w:fill="FFFFFF" w:themeFill="background1"/>
              <w:rPr>
                <w:rFonts w:cstheme="minorHAnsi"/>
              </w:rPr>
            </w:pPr>
            <w:r w:rsidRPr="00226C03">
              <w:rPr>
                <w:rFonts w:cstheme="minorHAnsi"/>
              </w:rPr>
              <w:t>New South Wales and Australian Capital Territory</w:t>
            </w:r>
          </w:p>
        </w:tc>
      </w:tr>
      <w:tr w:rsidR="00B06301" w:rsidRPr="00226C03" w14:paraId="3946DFA2" w14:textId="77777777" w:rsidTr="002D631B">
        <w:tc>
          <w:tcPr>
            <w:tcW w:w="2122" w:type="dxa"/>
            <w:shd w:val="clear" w:color="auto" w:fill="FFFFFF" w:themeFill="background1"/>
          </w:tcPr>
          <w:p w14:paraId="63DD68A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shd w:val="clear" w:color="auto" w:fill="FFFFFF" w:themeFill="background1"/>
          </w:tcPr>
          <w:p w14:paraId="4005CAEE" w14:textId="77777777" w:rsidR="00B06301" w:rsidRPr="00226C03" w:rsidRDefault="00B06301" w:rsidP="002D631B">
            <w:pPr>
              <w:pStyle w:val="NoSpacing"/>
              <w:shd w:val="clear" w:color="auto" w:fill="FFFFFF" w:themeFill="background1"/>
              <w:rPr>
                <w:rFonts w:cstheme="minorHAnsi"/>
              </w:rPr>
            </w:pPr>
            <w:r w:rsidRPr="00226C03">
              <w:rPr>
                <w:rFonts w:cstheme="minorHAnsi"/>
              </w:rPr>
              <w:t>We offer Housing and Supported Independent Living services that support people with disability who are searching for a new place to call home.</w:t>
            </w:r>
          </w:p>
        </w:tc>
      </w:tr>
      <w:tr w:rsidR="00B06301" w:rsidRPr="00226C03" w14:paraId="0B1F69F7" w14:textId="77777777" w:rsidTr="002D631B">
        <w:tc>
          <w:tcPr>
            <w:tcW w:w="2122" w:type="dxa"/>
            <w:shd w:val="clear" w:color="auto" w:fill="FFFFFF" w:themeFill="background1"/>
          </w:tcPr>
          <w:p w14:paraId="6EFE1527"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shd w:val="clear" w:color="auto" w:fill="FFFFFF" w:themeFill="background1"/>
          </w:tcPr>
          <w:p w14:paraId="247E6810" w14:textId="77777777" w:rsidR="00B06301" w:rsidRPr="00226C03" w:rsidRDefault="00B06301" w:rsidP="002D631B">
            <w:pPr>
              <w:pStyle w:val="NoSpacing"/>
              <w:shd w:val="clear" w:color="auto" w:fill="FFFFFF" w:themeFill="background1"/>
              <w:rPr>
                <w:rFonts w:cstheme="minorHAnsi"/>
              </w:rPr>
            </w:pPr>
            <w:r w:rsidRPr="00226C03">
              <w:rPr>
                <w:rFonts w:cstheme="minorHAnsi"/>
              </w:rPr>
              <w:t>Housing and Supported Independent Living Services</w:t>
            </w:r>
          </w:p>
          <w:p w14:paraId="206B010F" w14:textId="77777777" w:rsidR="00B06301" w:rsidRPr="00226C03" w:rsidRDefault="00B06301" w:rsidP="002D631B">
            <w:pPr>
              <w:pStyle w:val="NoSpacing"/>
              <w:shd w:val="clear" w:color="auto" w:fill="FFFFFF" w:themeFill="background1"/>
              <w:rPr>
                <w:rFonts w:cstheme="minorHAnsi"/>
              </w:rPr>
            </w:pPr>
            <w:r w:rsidRPr="00226C03">
              <w:rPr>
                <w:rFonts w:cstheme="minorHAnsi"/>
              </w:rPr>
              <w:t>The types of Housing and Supported Independent Living services we offer include:</w:t>
            </w:r>
          </w:p>
          <w:p w14:paraId="44146EB8" w14:textId="77777777" w:rsidR="00B06301" w:rsidRPr="00226C03" w:rsidRDefault="00B06301" w:rsidP="002D631B">
            <w:pPr>
              <w:pStyle w:val="NoSpacing"/>
              <w:shd w:val="clear" w:color="auto" w:fill="FFFFFF" w:themeFill="background1"/>
              <w:rPr>
                <w:rFonts w:cstheme="minorHAnsi"/>
              </w:rPr>
            </w:pPr>
          </w:p>
          <w:p w14:paraId="5EE8739D" w14:textId="77777777" w:rsidR="00B06301" w:rsidRPr="00226C03" w:rsidRDefault="00B06301" w:rsidP="00B06301">
            <w:pPr>
              <w:pStyle w:val="NoSpacing"/>
              <w:numPr>
                <w:ilvl w:val="0"/>
                <w:numId w:val="17"/>
              </w:numPr>
              <w:shd w:val="clear" w:color="auto" w:fill="FFFFFF" w:themeFill="background1"/>
              <w:rPr>
                <w:rFonts w:cstheme="minorHAnsi"/>
              </w:rPr>
            </w:pPr>
            <w:r w:rsidRPr="00226C03">
              <w:rPr>
                <w:rFonts w:cstheme="minorHAnsi"/>
              </w:rPr>
              <w:t>Shared Housing and Supports</w:t>
            </w:r>
          </w:p>
          <w:p w14:paraId="16A84805" w14:textId="77777777" w:rsidR="00B06301" w:rsidRPr="00226C03" w:rsidRDefault="00B06301" w:rsidP="00B06301">
            <w:pPr>
              <w:pStyle w:val="NoSpacing"/>
              <w:numPr>
                <w:ilvl w:val="0"/>
                <w:numId w:val="17"/>
              </w:numPr>
              <w:shd w:val="clear" w:color="auto" w:fill="FFFFFF" w:themeFill="background1"/>
              <w:rPr>
                <w:rFonts w:cstheme="minorHAnsi"/>
              </w:rPr>
            </w:pPr>
            <w:r w:rsidRPr="00226C03">
              <w:rPr>
                <w:rFonts w:cstheme="minorHAnsi"/>
              </w:rPr>
              <w:t>Individual Housing and Support</w:t>
            </w:r>
          </w:p>
          <w:p w14:paraId="50DFB691" w14:textId="77777777" w:rsidR="00B06301" w:rsidRPr="00226C03" w:rsidRDefault="00B06301" w:rsidP="00B06301">
            <w:pPr>
              <w:pStyle w:val="NoSpacing"/>
              <w:numPr>
                <w:ilvl w:val="0"/>
                <w:numId w:val="17"/>
              </w:numPr>
              <w:shd w:val="clear" w:color="auto" w:fill="FFFFFF" w:themeFill="background1"/>
              <w:rPr>
                <w:rFonts w:cstheme="minorHAnsi"/>
              </w:rPr>
            </w:pPr>
            <w:r w:rsidRPr="00226C03">
              <w:rPr>
                <w:rFonts w:cstheme="minorHAnsi"/>
              </w:rPr>
              <w:t>Supported Living</w:t>
            </w:r>
          </w:p>
          <w:p w14:paraId="316BAED8" w14:textId="77777777" w:rsidR="00B06301" w:rsidRPr="00226C03" w:rsidRDefault="00B06301" w:rsidP="00B06301">
            <w:pPr>
              <w:pStyle w:val="NoSpacing"/>
              <w:numPr>
                <w:ilvl w:val="0"/>
                <w:numId w:val="17"/>
              </w:numPr>
              <w:shd w:val="clear" w:color="auto" w:fill="FFFFFF" w:themeFill="background1"/>
              <w:rPr>
                <w:rFonts w:cstheme="minorHAnsi"/>
              </w:rPr>
            </w:pPr>
            <w:r w:rsidRPr="00226C03">
              <w:rPr>
                <w:rFonts w:cstheme="minorHAnsi"/>
              </w:rPr>
              <w:t>Specialist Supported Living</w:t>
            </w:r>
          </w:p>
        </w:tc>
      </w:tr>
    </w:tbl>
    <w:p w14:paraId="4F30E5DF" w14:textId="77777777" w:rsidR="00B06301" w:rsidRPr="00226C03" w:rsidRDefault="00B06301" w:rsidP="00B06301">
      <w:pPr>
        <w:pStyle w:val="NoSpacing"/>
        <w:shd w:val="clear" w:color="auto" w:fill="FFFFFF" w:themeFill="background1"/>
        <w:rPr>
          <w:rFonts w:cstheme="minorHAnsi"/>
        </w:rPr>
      </w:pPr>
    </w:p>
    <w:p w14:paraId="21EF7E3F"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334E5ACB" w14:textId="77777777" w:rsidTr="002D631B">
        <w:tc>
          <w:tcPr>
            <w:tcW w:w="9016" w:type="dxa"/>
            <w:gridSpan w:val="2"/>
          </w:tcPr>
          <w:p w14:paraId="7BCAEF61"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226C03">
              <w:rPr>
                <w:rFonts w:asciiTheme="minorHAnsi" w:hAnsiTheme="minorHAnsi" w:cstheme="minorHAnsi"/>
                <w:b/>
                <w:bCs/>
                <w:color w:val="000000"/>
                <w:sz w:val="22"/>
                <w:szCs w:val="22"/>
                <w:bdr w:val="none" w:sz="0" w:space="0" w:color="auto" w:frame="1"/>
              </w:rPr>
              <w:t>5</w:t>
            </w:r>
          </w:p>
        </w:tc>
      </w:tr>
      <w:tr w:rsidR="00B06301" w:rsidRPr="00226C03" w14:paraId="31C7D73D" w14:textId="77777777" w:rsidTr="002D631B">
        <w:tc>
          <w:tcPr>
            <w:tcW w:w="2122" w:type="dxa"/>
          </w:tcPr>
          <w:p w14:paraId="5FFDEFA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2BDF54E0"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000000"/>
                <w:sz w:val="22"/>
                <w:szCs w:val="22"/>
                <w:bdr w:val="none" w:sz="0" w:space="0" w:color="auto" w:frame="1"/>
              </w:rPr>
              <w:t>The Housing Hub</w:t>
            </w:r>
          </w:p>
        </w:tc>
      </w:tr>
      <w:tr w:rsidR="00B06301" w:rsidRPr="00226C03" w14:paraId="20E89ECB" w14:textId="77777777" w:rsidTr="002D631B">
        <w:tc>
          <w:tcPr>
            <w:tcW w:w="2122" w:type="dxa"/>
          </w:tcPr>
          <w:p w14:paraId="5A990C09"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3C6F9D0C" w14:textId="77777777" w:rsidR="00B06301" w:rsidRPr="00226C03" w:rsidRDefault="00B06301" w:rsidP="002D631B">
            <w:pPr>
              <w:pStyle w:val="NoSpacing"/>
              <w:shd w:val="clear" w:color="auto" w:fill="FFFFFF" w:themeFill="background1"/>
              <w:rPr>
                <w:rFonts w:cstheme="minorHAnsi"/>
              </w:rPr>
            </w:pPr>
            <w:r w:rsidRPr="00226C03">
              <w:rPr>
                <w:rFonts w:cstheme="minorHAnsi"/>
              </w:rPr>
              <w:t>Alecia Rathbone, General Manager</w:t>
            </w:r>
          </w:p>
        </w:tc>
      </w:tr>
      <w:tr w:rsidR="00B06301" w:rsidRPr="00226C03" w14:paraId="3C58E331" w14:textId="77777777" w:rsidTr="002D631B">
        <w:tc>
          <w:tcPr>
            <w:tcW w:w="2122" w:type="dxa"/>
          </w:tcPr>
          <w:p w14:paraId="1720858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55AF2CDC" w14:textId="77777777" w:rsidR="00B06301" w:rsidRPr="00226C03" w:rsidRDefault="001F76D0" w:rsidP="002D631B">
            <w:pPr>
              <w:pStyle w:val="NoSpacing"/>
              <w:shd w:val="clear" w:color="auto" w:fill="FFFFFF" w:themeFill="background1"/>
              <w:rPr>
                <w:rFonts w:cstheme="minorHAnsi"/>
              </w:rPr>
            </w:pPr>
            <w:hyperlink r:id="rId86" w:history="1">
              <w:r w:rsidR="00B06301" w:rsidRPr="00226C03">
                <w:rPr>
                  <w:rStyle w:val="Hyperlink"/>
                  <w:rFonts w:cstheme="minorHAnsi"/>
                </w:rPr>
                <w:t>https://www.housinghub.org.au/</w:t>
              </w:r>
            </w:hyperlink>
            <w:r w:rsidR="00B06301" w:rsidRPr="00226C03">
              <w:rPr>
                <w:rFonts w:cstheme="minorHAnsi"/>
              </w:rPr>
              <w:t xml:space="preserve"> </w:t>
            </w:r>
          </w:p>
        </w:tc>
      </w:tr>
      <w:tr w:rsidR="00B06301" w:rsidRPr="00226C03" w14:paraId="4FA43266" w14:textId="77777777" w:rsidTr="002D631B">
        <w:tc>
          <w:tcPr>
            <w:tcW w:w="2122" w:type="dxa"/>
          </w:tcPr>
          <w:p w14:paraId="39109E8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4D9E5EB5" w14:textId="77777777" w:rsidR="00B06301" w:rsidRPr="00226C03" w:rsidRDefault="00B06301" w:rsidP="002D631B">
            <w:pPr>
              <w:pStyle w:val="NoSpacing"/>
              <w:shd w:val="clear" w:color="auto" w:fill="FFFFFF" w:themeFill="background1"/>
              <w:rPr>
                <w:rFonts w:cstheme="minorHAnsi"/>
              </w:rPr>
            </w:pPr>
            <w:r w:rsidRPr="00226C03">
              <w:rPr>
                <w:rFonts w:cstheme="minorHAnsi"/>
              </w:rPr>
              <w:t>The Housing Hub is a nationwide platform.</w:t>
            </w:r>
          </w:p>
        </w:tc>
      </w:tr>
      <w:tr w:rsidR="00B06301" w:rsidRPr="00226C03" w14:paraId="032B3C78" w14:textId="77777777" w:rsidTr="002D631B">
        <w:tc>
          <w:tcPr>
            <w:tcW w:w="2122" w:type="dxa"/>
          </w:tcPr>
          <w:p w14:paraId="692E5B6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327665C6"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The Housing Hub is a way for people with disability to find suitable housing. Advertising properties from a range of housing providers, the Housing Hub also hosts a library of useful information about housing options and planning your move. </w:t>
            </w:r>
          </w:p>
        </w:tc>
      </w:tr>
      <w:tr w:rsidR="00B06301" w:rsidRPr="00226C03" w14:paraId="03D61BDD" w14:textId="77777777" w:rsidTr="002D631B">
        <w:tc>
          <w:tcPr>
            <w:tcW w:w="2122" w:type="dxa"/>
          </w:tcPr>
          <w:p w14:paraId="2CBB6B69"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2D146E3E"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The Housing Hub is an initiative of the Summer Foundation. </w:t>
            </w:r>
          </w:p>
        </w:tc>
      </w:tr>
    </w:tbl>
    <w:p w14:paraId="47F7B0DF" w14:textId="77777777" w:rsidR="00B06301" w:rsidRPr="00226C03" w:rsidRDefault="00B06301" w:rsidP="00B06301">
      <w:pPr>
        <w:pStyle w:val="NoSpacing"/>
        <w:shd w:val="clear" w:color="auto" w:fill="FFFFFF" w:themeFill="background1"/>
        <w:rPr>
          <w:rFonts w:cstheme="minorHAnsi"/>
        </w:rPr>
      </w:pPr>
    </w:p>
    <w:p w14:paraId="04492EB6"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1D6C1302" w14:textId="77777777" w:rsidTr="002D631B">
        <w:tc>
          <w:tcPr>
            <w:tcW w:w="9016" w:type="dxa"/>
            <w:gridSpan w:val="2"/>
          </w:tcPr>
          <w:p w14:paraId="0691AB7A"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226C03">
              <w:rPr>
                <w:rFonts w:asciiTheme="minorHAnsi" w:hAnsiTheme="minorHAnsi" w:cstheme="minorHAnsi"/>
                <w:b/>
                <w:bCs/>
                <w:color w:val="000000"/>
                <w:sz w:val="22"/>
                <w:szCs w:val="22"/>
                <w:bdr w:val="none" w:sz="0" w:space="0" w:color="auto" w:frame="1"/>
              </w:rPr>
              <w:t>6</w:t>
            </w:r>
          </w:p>
        </w:tc>
      </w:tr>
      <w:tr w:rsidR="00B06301" w:rsidRPr="00226C03" w14:paraId="2D5C8C80" w14:textId="77777777" w:rsidTr="002D631B">
        <w:tc>
          <w:tcPr>
            <w:tcW w:w="2122" w:type="dxa"/>
          </w:tcPr>
          <w:p w14:paraId="5621E33B"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6D172E6A"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000000"/>
                <w:sz w:val="22"/>
                <w:szCs w:val="22"/>
                <w:bdr w:val="none" w:sz="0" w:space="0" w:color="auto" w:frame="1"/>
              </w:rPr>
              <w:t>Challenge Community Services</w:t>
            </w:r>
          </w:p>
        </w:tc>
      </w:tr>
      <w:tr w:rsidR="00B06301" w:rsidRPr="00226C03" w14:paraId="5CB5561A" w14:textId="77777777" w:rsidTr="002D631B">
        <w:tc>
          <w:tcPr>
            <w:tcW w:w="2122" w:type="dxa"/>
          </w:tcPr>
          <w:p w14:paraId="5286C4D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173B6599" w14:textId="77777777" w:rsidR="00B06301" w:rsidRPr="00226C03" w:rsidRDefault="00B06301" w:rsidP="002D631B">
            <w:pPr>
              <w:pStyle w:val="NoSpacing"/>
              <w:shd w:val="clear" w:color="auto" w:fill="FFFFFF" w:themeFill="background1"/>
              <w:rPr>
                <w:rFonts w:cstheme="minorHAnsi"/>
              </w:rPr>
            </w:pPr>
            <w:r w:rsidRPr="00226C03">
              <w:rPr>
                <w:rFonts w:cstheme="minorHAnsi"/>
              </w:rPr>
              <w:t>Peter Maher, CEO</w:t>
            </w:r>
          </w:p>
        </w:tc>
      </w:tr>
      <w:tr w:rsidR="00B06301" w:rsidRPr="00226C03" w14:paraId="564978D7" w14:textId="77777777" w:rsidTr="002D631B">
        <w:tc>
          <w:tcPr>
            <w:tcW w:w="2122" w:type="dxa"/>
          </w:tcPr>
          <w:p w14:paraId="33B51423"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44D263BF" w14:textId="77777777" w:rsidR="00B06301" w:rsidRPr="00226C03" w:rsidRDefault="001F76D0" w:rsidP="002D631B">
            <w:pPr>
              <w:pStyle w:val="NoSpacing"/>
              <w:shd w:val="clear" w:color="auto" w:fill="FFFFFF" w:themeFill="background1"/>
              <w:rPr>
                <w:rFonts w:cstheme="minorHAnsi"/>
              </w:rPr>
            </w:pPr>
            <w:hyperlink r:id="rId87" w:history="1">
              <w:r w:rsidR="00B06301" w:rsidRPr="00226C03">
                <w:rPr>
                  <w:rStyle w:val="Hyperlink"/>
                  <w:rFonts w:cstheme="minorHAnsi"/>
                </w:rPr>
                <w:t>https://www.challengecommunity.org.au/disability-services/</w:t>
              </w:r>
            </w:hyperlink>
            <w:r w:rsidR="00B06301" w:rsidRPr="00226C03">
              <w:rPr>
                <w:rFonts w:cstheme="minorHAnsi"/>
              </w:rPr>
              <w:t xml:space="preserve"> </w:t>
            </w:r>
          </w:p>
        </w:tc>
      </w:tr>
      <w:tr w:rsidR="00B06301" w:rsidRPr="00226C03" w14:paraId="185FC40E" w14:textId="77777777" w:rsidTr="002D631B">
        <w:tc>
          <w:tcPr>
            <w:tcW w:w="2122" w:type="dxa"/>
          </w:tcPr>
          <w:p w14:paraId="5BADC3D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34400DD7"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Challenge Disability Services has sites across the Hunter, Central West, North West, Far West and New England regions of New South Wales as well as Queensland. Head Office in Tamworth, New South Wales. </w:t>
            </w:r>
          </w:p>
        </w:tc>
      </w:tr>
      <w:tr w:rsidR="00B06301" w:rsidRPr="00226C03" w14:paraId="14A26FAD" w14:textId="77777777" w:rsidTr="002D631B">
        <w:tc>
          <w:tcPr>
            <w:tcW w:w="2122" w:type="dxa"/>
          </w:tcPr>
          <w:p w14:paraId="2CF1037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351F80F1" w14:textId="77777777" w:rsidR="00B06301" w:rsidRPr="00226C03" w:rsidRDefault="00B06301" w:rsidP="002D631B">
            <w:pPr>
              <w:pStyle w:val="NoSpacing"/>
              <w:shd w:val="clear" w:color="auto" w:fill="FFFFFF" w:themeFill="background1"/>
              <w:rPr>
                <w:rFonts w:cstheme="minorHAnsi"/>
              </w:rPr>
            </w:pPr>
            <w:r w:rsidRPr="00226C03">
              <w:rPr>
                <w:rFonts w:cstheme="minorHAnsi"/>
              </w:rPr>
              <w:t>We provide Supported Independent Living (also known as group homes), as well as Assistance with Daily Living (or drop-in support).</w:t>
            </w:r>
          </w:p>
        </w:tc>
      </w:tr>
      <w:tr w:rsidR="00B06301" w:rsidRPr="00226C03" w14:paraId="6E576BAA" w14:textId="77777777" w:rsidTr="002D631B">
        <w:tc>
          <w:tcPr>
            <w:tcW w:w="2122" w:type="dxa"/>
          </w:tcPr>
          <w:p w14:paraId="36A2F65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24D083A7"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Exclude from this environmental scan? </w:t>
            </w:r>
          </w:p>
        </w:tc>
      </w:tr>
    </w:tbl>
    <w:p w14:paraId="2ACA5C55" w14:textId="77777777" w:rsidR="00B06301" w:rsidRPr="00226C03" w:rsidRDefault="00B06301" w:rsidP="00B06301">
      <w:pPr>
        <w:pStyle w:val="NoSpacing"/>
        <w:shd w:val="clear" w:color="auto" w:fill="FFFFFF" w:themeFill="background1"/>
        <w:rPr>
          <w:rFonts w:cstheme="minorHAnsi"/>
        </w:rPr>
      </w:pPr>
    </w:p>
    <w:p w14:paraId="30450138" w14:textId="19BA4E9B" w:rsidR="00727856" w:rsidRDefault="00727856">
      <w:pPr>
        <w:rPr>
          <w:rFonts w:cstheme="minorHAnsi"/>
          <w:lang w:val="en-IE"/>
        </w:rPr>
      </w:pPr>
      <w:r>
        <w:rPr>
          <w:rFonts w:cstheme="minorHAnsi"/>
        </w:rPr>
        <w:br w:type="page"/>
      </w:r>
    </w:p>
    <w:p w14:paraId="1B6649EE"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30CD4188" w14:textId="77777777" w:rsidTr="002D631B">
        <w:tc>
          <w:tcPr>
            <w:tcW w:w="9016" w:type="dxa"/>
            <w:gridSpan w:val="2"/>
          </w:tcPr>
          <w:p w14:paraId="624CA11A" w14:textId="77777777" w:rsidR="00B06301" w:rsidRPr="00727856"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000000"/>
                <w:sz w:val="21"/>
                <w:szCs w:val="21"/>
                <w:bdr w:val="none" w:sz="0" w:space="0" w:color="auto" w:frame="1"/>
              </w:rPr>
            </w:pPr>
            <w:r w:rsidRPr="00727856">
              <w:rPr>
                <w:rFonts w:asciiTheme="minorHAnsi" w:hAnsiTheme="minorHAnsi" w:cstheme="minorHAnsi"/>
                <w:b/>
                <w:bCs/>
                <w:color w:val="000000"/>
                <w:sz w:val="21"/>
                <w:szCs w:val="21"/>
                <w:bdr w:val="none" w:sz="0" w:space="0" w:color="auto" w:frame="1"/>
              </w:rPr>
              <w:t>7</w:t>
            </w:r>
          </w:p>
        </w:tc>
      </w:tr>
      <w:tr w:rsidR="00B06301" w:rsidRPr="00226C03" w14:paraId="24515F39" w14:textId="77777777" w:rsidTr="002D631B">
        <w:tc>
          <w:tcPr>
            <w:tcW w:w="2122" w:type="dxa"/>
          </w:tcPr>
          <w:p w14:paraId="4D57C523"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Organisation Name</w:t>
            </w:r>
          </w:p>
        </w:tc>
        <w:tc>
          <w:tcPr>
            <w:tcW w:w="6894" w:type="dxa"/>
          </w:tcPr>
          <w:p w14:paraId="3B32BB8A" w14:textId="77777777" w:rsidR="00B06301" w:rsidRPr="00727856"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1"/>
                <w:szCs w:val="21"/>
              </w:rPr>
            </w:pPr>
            <w:r w:rsidRPr="00727856">
              <w:rPr>
                <w:rFonts w:asciiTheme="minorHAnsi" w:hAnsiTheme="minorHAnsi" w:cstheme="minorHAnsi"/>
                <w:color w:val="000000"/>
                <w:sz w:val="21"/>
                <w:szCs w:val="21"/>
                <w:bdr w:val="none" w:sz="0" w:space="0" w:color="auto" w:frame="1"/>
              </w:rPr>
              <w:t>Sylvandale</w:t>
            </w:r>
          </w:p>
        </w:tc>
      </w:tr>
      <w:tr w:rsidR="00B06301" w:rsidRPr="00226C03" w14:paraId="5672C62F" w14:textId="77777777" w:rsidTr="002D631B">
        <w:tc>
          <w:tcPr>
            <w:tcW w:w="2122" w:type="dxa"/>
          </w:tcPr>
          <w:p w14:paraId="60BEC920"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Contact</w:t>
            </w:r>
          </w:p>
        </w:tc>
        <w:tc>
          <w:tcPr>
            <w:tcW w:w="6894" w:type="dxa"/>
          </w:tcPr>
          <w:p w14:paraId="1236AC0A" w14:textId="77777777" w:rsidR="00B06301" w:rsidRPr="00727856" w:rsidRDefault="00B06301" w:rsidP="002D631B">
            <w:pPr>
              <w:pStyle w:val="NoSpacing"/>
              <w:shd w:val="clear" w:color="auto" w:fill="FFFFFF" w:themeFill="background1"/>
              <w:rPr>
                <w:rFonts w:cstheme="minorHAnsi"/>
                <w:sz w:val="21"/>
                <w:szCs w:val="21"/>
              </w:rPr>
            </w:pPr>
            <w:r w:rsidRPr="00727856">
              <w:rPr>
                <w:rFonts w:cstheme="minorHAnsi"/>
                <w:sz w:val="21"/>
                <w:szCs w:val="21"/>
              </w:rPr>
              <w:t>Leanne Fretten, CEO</w:t>
            </w:r>
          </w:p>
        </w:tc>
      </w:tr>
      <w:tr w:rsidR="00B06301" w:rsidRPr="00226C03" w14:paraId="3B1D059A" w14:textId="77777777" w:rsidTr="002D631B">
        <w:tc>
          <w:tcPr>
            <w:tcW w:w="2122" w:type="dxa"/>
          </w:tcPr>
          <w:p w14:paraId="0C29EF04"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Website</w:t>
            </w:r>
          </w:p>
        </w:tc>
        <w:tc>
          <w:tcPr>
            <w:tcW w:w="6894" w:type="dxa"/>
          </w:tcPr>
          <w:p w14:paraId="3FC31C2F" w14:textId="77777777" w:rsidR="00B06301" w:rsidRPr="00727856" w:rsidRDefault="001F76D0" w:rsidP="002D631B">
            <w:pPr>
              <w:pStyle w:val="NoSpacing"/>
              <w:shd w:val="clear" w:color="auto" w:fill="FFFFFF" w:themeFill="background1"/>
              <w:rPr>
                <w:rFonts w:cstheme="minorHAnsi"/>
                <w:sz w:val="21"/>
                <w:szCs w:val="21"/>
              </w:rPr>
            </w:pPr>
            <w:hyperlink r:id="rId88" w:history="1">
              <w:r w:rsidR="00B06301" w:rsidRPr="00727856">
                <w:rPr>
                  <w:rStyle w:val="Hyperlink"/>
                  <w:rFonts w:cstheme="minorHAnsi"/>
                  <w:sz w:val="21"/>
                  <w:szCs w:val="21"/>
                </w:rPr>
                <w:t>https://www.sylvanvale.com.au/</w:t>
              </w:r>
            </w:hyperlink>
            <w:r w:rsidR="00B06301" w:rsidRPr="00727856">
              <w:rPr>
                <w:rFonts w:cstheme="minorHAnsi"/>
                <w:sz w:val="21"/>
                <w:szCs w:val="21"/>
              </w:rPr>
              <w:t xml:space="preserve"> &amp; </w:t>
            </w:r>
            <w:hyperlink r:id="rId89" w:history="1">
              <w:r w:rsidR="00B06301" w:rsidRPr="00727856">
                <w:rPr>
                  <w:rStyle w:val="Hyperlink"/>
                  <w:rFonts w:cstheme="minorHAnsi"/>
                  <w:sz w:val="21"/>
                  <w:szCs w:val="21"/>
                </w:rPr>
                <w:t>https://www.sylvanvale.com.au/supported-independent-living/</w:t>
              </w:r>
            </w:hyperlink>
            <w:r w:rsidR="00B06301" w:rsidRPr="00727856">
              <w:rPr>
                <w:rFonts w:cstheme="minorHAnsi"/>
                <w:sz w:val="21"/>
                <w:szCs w:val="21"/>
              </w:rPr>
              <w:t xml:space="preserve"> </w:t>
            </w:r>
          </w:p>
        </w:tc>
      </w:tr>
      <w:tr w:rsidR="00B06301" w:rsidRPr="00226C03" w14:paraId="29D0118E" w14:textId="77777777" w:rsidTr="002D631B">
        <w:tc>
          <w:tcPr>
            <w:tcW w:w="2122" w:type="dxa"/>
          </w:tcPr>
          <w:p w14:paraId="636CA635"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Location</w:t>
            </w:r>
          </w:p>
        </w:tc>
        <w:tc>
          <w:tcPr>
            <w:tcW w:w="6894" w:type="dxa"/>
          </w:tcPr>
          <w:p w14:paraId="5A31211C" w14:textId="77777777" w:rsidR="00B06301" w:rsidRPr="00727856" w:rsidRDefault="00B06301" w:rsidP="002D631B">
            <w:pPr>
              <w:pStyle w:val="NoSpacing"/>
              <w:shd w:val="clear" w:color="auto" w:fill="FFFFFF" w:themeFill="background1"/>
              <w:rPr>
                <w:rFonts w:cstheme="minorHAnsi"/>
                <w:sz w:val="21"/>
                <w:szCs w:val="21"/>
              </w:rPr>
            </w:pPr>
            <w:r w:rsidRPr="00727856">
              <w:rPr>
                <w:rFonts w:cstheme="minorHAnsi"/>
                <w:sz w:val="21"/>
                <w:szCs w:val="21"/>
              </w:rPr>
              <w:t>Sylvanvale's Head Office is located at Kirrawee in the Sutherland Shire. We offer place-based or centre-based services throughout the Greater Sydney area.</w:t>
            </w:r>
          </w:p>
        </w:tc>
      </w:tr>
      <w:tr w:rsidR="00B06301" w:rsidRPr="00226C03" w14:paraId="37BC77C6" w14:textId="77777777" w:rsidTr="002D631B">
        <w:tc>
          <w:tcPr>
            <w:tcW w:w="2122" w:type="dxa"/>
          </w:tcPr>
          <w:p w14:paraId="2E3E3B05"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Brief details</w:t>
            </w:r>
          </w:p>
        </w:tc>
        <w:tc>
          <w:tcPr>
            <w:tcW w:w="6894" w:type="dxa"/>
          </w:tcPr>
          <w:p w14:paraId="246AFEC4" w14:textId="77777777" w:rsidR="00B06301" w:rsidRPr="00727856" w:rsidRDefault="00B06301" w:rsidP="002D631B">
            <w:pPr>
              <w:pStyle w:val="NoSpacing"/>
              <w:shd w:val="clear" w:color="auto" w:fill="FFFFFF" w:themeFill="background1"/>
              <w:rPr>
                <w:rFonts w:cstheme="minorHAnsi"/>
                <w:sz w:val="21"/>
                <w:szCs w:val="21"/>
              </w:rPr>
            </w:pPr>
            <w:r w:rsidRPr="00727856">
              <w:rPr>
                <w:rFonts w:cstheme="minorHAnsi"/>
                <w:sz w:val="21"/>
                <w:szCs w:val="21"/>
              </w:rPr>
              <w:t>Sylvanvale was founded in 1947 when a group of parents united to form an organisation that would give their children with disability a better quality of life through access to education and social inclusion.</w:t>
            </w:r>
          </w:p>
        </w:tc>
      </w:tr>
      <w:tr w:rsidR="00B06301" w:rsidRPr="00226C03" w14:paraId="2A42EB26" w14:textId="77777777" w:rsidTr="002D631B">
        <w:tc>
          <w:tcPr>
            <w:tcW w:w="2122" w:type="dxa"/>
          </w:tcPr>
          <w:p w14:paraId="544BC736"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Any other notes</w:t>
            </w:r>
          </w:p>
        </w:tc>
        <w:tc>
          <w:tcPr>
            <w:tcW w:w="6894" w:type="dxa"/>
          </w:tcPr>
          <w:p w14:paraId="7A264C1D" w14:textId="77777777" w:rsidR="00B06301" w:rsidRPr="00727856" w:rsidRDefault="00B06301" w:rsidP="002D631B">
            <w:pPr>
              <w:pStyle w:val="NoSpacing"/>
              <w:shd w:val="clear" w:color="auto" w:fill="FFFFFF" w:themeFill="background1"/>
              <w:rPr>
                <w:rFonts w:cstheme="minorHAnsi"/>
                <w:sz w:val="21"/>
                <w:szCs w:val="21"/>
              </w:rPr>
            </w:pPr>
          </w:p>
        </w:tc>
      </w:tr>
    </w:tbl>
    <w:p w14:paraId="19E72C23"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7276C8F8" w14:textId="77777777" w:rsidTr="002D631B">
        <w:tc>
          <w:tcPr>
            <w:tcW w:w="9016" w:type="dxa"/>
            <w:gridSpan w:val="2"/>
          </w:tcPr>
          <w:p w14:paraId="5494FB3A" w14:textId="77777777" w:rsidR="00B06301" w:rsidRPr="00727856"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000000"/>
                <w:sz w:val="21"/>
                <w:szCs w:val="21"/>
                <w:bdr w:val="none" w:sz="0" w:space="0" w:color="auto" w:frame="1"/>
              </w:rPr>
            </w:pPr>
            <w:r w:rsidRPr="00727856">
              <w:rPr>
                <w:rFonts w:asciiTheme="minorHAnsi" w:hAnsiTheme="minorHAnsi" w:cstheme="minorHAnsi"/>
                <w:b/>
                <w:bCs/>
                <w:color w:val="000000"/>
                <w:sz w:val="21"/>
                <w:szCs w:val="21"/>
                <w:bdr w:val="none" w:sz="0" w:space="0" w:color="auto" w:frame="1"/>
              </w:rPr>
              <w:t>8</w:t>
            </w:r>
          </w:p>
        </w:tc>
      </w:tr>
      <w:tr w:rsidR="00B06301" w:rsidRPr="00226C03" w14:paraId="11B5BDC8" w14:textId="77777777" w:rsidTr="002D631B">
        <w:tc>
          <w:tcPr>
            <w:tcW w:w="2122" w:type="dxa"/>
          </w:tcPr>
          <w:p w14:paraId="5208B752"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Organisation Name</w:t>
            </w:r>
          </w:p>
        </w:tc>
        <w:tc>
          <w:tcPr>
            <w:tcW w:w="6894" w:type="dxa"/>
          </w:tcPr>
          <w:p w14:paraId="336DADEA" w14:textId="77777777" w:rsidR="00B06301" w:rsidRPr="00727856"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1"/>
                <w:szCs w:val="21"/>
              </w:rPr>
            </w:pPr>
            <w:r w:rsidRPr="00727856">
              <w:rPr>
                <w:rFonts w:asciiTheme="minorHAnsi" w:hAnsiTheme="minorHAnsi" w:cstheme="minorHAnsi"/>
                <w:color w:val="000000"/>
                <w:sz w:val="21"/>
                <w:szCs w:val="21"/>
                <w:bdr w:val="none" w:sz="0" w:space="0" w:color="auto" w:frame="1"/>
              </w:rPr>
              <w:t>Good Directions</w:t>
            </w:r>
          </w:p>
        </w:tc>
      </w:tr>
      <w:tr w:rsidR="00B06301" w:rsidRPr="00226C03" w14:paraId="3C71366A" w14:textId="77777777" w:rsidTr="002D631B">
        <w:tc>
          <w:tcPr>
            <w:tcW w:w="2122" w:type="dxa"/>
          </w:tcPr>
          <w:p w14:paraId="043E57FC"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Contact</w:t>
            </w:r>
          </w:p>
        </w:tc>
        <w:tc>
          <w:tcPr>
            <w:tcW w:w="6894" w:type="dxa"/>
          </w:tcPr>
          <w:p w14:paraId="66C2061B" w14:textId="77777777" w:rsidR="00B06301" w:rsidRPr="00727856" w:rsidRDefault="00B06301" w:rsidP="002D631B">
            <w:pPr>
              <w:pStyle w:val="NoSpacing"/>
              <w:shd w:val="clear" w:color="auto" w:fill="FFFFFF" w:themeFill="background1"/>
              <w:rPr>
                <w:rFonts w:cstheme="minorHAnsi"/>
                <w:sz w:val="21"/>
                <w:szCs w:val="21"/>
              </w:rPr>
            </w:pPr>
            <w:r w:rsidRPr="00727856">
              <w:rPr>
                <w:rFonts w:cstheme="minorHAnsi"/>
                <w:sz w:val="21"/>
                <w:szCs w:val="21"/>
              </w:rPr>
              <w:t>Unknown</w:t>
            </w:r>
          </w:p>
        </w:tc>
      </w:tr>
      <w:tr w:rsidR="00B06301" w:rsidRPr="00226C03" w14:paraId="4FDFABED" w14:textId="77777777" w:rsidTr="002D631B">
        <w:tc>
          <w:tcPr>
            <w:tcW w:w="2122" w:type="dxa"/>
          </w:tcPr>
          <w:p w14:paraId="5E415CF8"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Website</w:t>
            </w:r>
          </w:p>
        </w:tc>
        <w:tc>
          <w:tcPr>
            <w:tcW w:w="6894" w:type="dxa"/>
          </w:tcPr>
          <w:p w14:paraId="0C98757B" w14:textId="77777777" w:rsidR="00B06301" w:rsidRPr="00727856" w:rsidRDefault="001F76D0" w:rsidP="002D631B">
            <w:pPr>
              <w:pStyle w:val="NoSpacing"/>
              <w:shd w:val="clear" w:color="auto" w:fill="FFFFFF" w:themeFill="background1"/>
              <w:rPr>
                <w:rFonts w:cstheme="minorHAnsi"/>
                <w:sz w:val="21"/>
                <w:szCs w:val="21"/>
              </w:rPr>
            </w:pPr>
            <w:hyperlink r:id="rId90" w:history="1">
              <w:r w:rsidR="00B06301" w:rsidRPr="00727856">
                <w:rPr>
                  <w:rStyle w:val="Hyperlink"/>
                  <w:rFonts w:cstheme="minorHAnsi"/>
                  <w:sz w:val="21"/>
                  <w:szCs w:val="21"/>
                </w:rPr>
                <w:t>https://www.gooddirections.com.au/index.php</w:t>
              </w:r>
            </w:hyperlink>
            <w:r w:rsidR="00B06301" w:rsidRPr="00727856">
              <w:rPr>
                <w:rFonts w:cstheme="minorHAnsi"/>
                <w:sz w:val="21"/>
                <w:szCs w:val="21"/>
              </w:rPr>
              <w:t xml:space="preserve"> </w:t>
            </w:r>
          </w:p>
        </w:tc>
      </w:tr>
      <w:tr w:rsidR="00B06301" w:rsidRPr="00226C03" w14:paraId="05AF1B21" w14:textId="77777777" w:rsidTr="002D631B">
        <w:tc>
          <w:tcPr>
            <w:tcW w:w="2122" w:type="dxa"/>
          </w:tcPr>
          <w:p w14:paraId="52D37E6F"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Location</w:t>
            </w:r>
          </w:p>
        </w:tc>
        <w:tc>
          <w:tcPr>
            <w:tcW w:w="6894" w:type="dxa"/>
          </w:tcPr>
          <w:p w14:paraId="16A65247" w14:textId="77777777" w:rsidR="00B06301" w:rsidRPr="00727856" w:rsidRDefault="00B06301" w:rsidP="002D631B">
            <w:pPr>
              <w:pStyle w:val="NoSpacing"/>
              <w:shd w:val="clear" w:color="auto" w:fill="FFFFFF" w:themeFill="background1"/>
              <w:rPr>
                <w:rFonts w:cstheme="minorHAnsi"/>
                <w:sz w:val="21"/>
                <w:szCs w:val="21"/>
              </w:rPr>
            </w:pPr>
            <w:r w:rsidRPr="00727856">
              <w:rPr>
                <w:rFonts w:cstheme="minorHAnsi"/>
                <w:sz w:val="21"/>
                <w:szCs w:val="21"/>
              </w:rPr>
              <w:t>Unknown</w:t>
            </w:r>
          </w:p>
        </w:tc>
      </w:tr>
      <w:tr w:rsidR="00B06301" w:rsidRPr="00226C03" w14:paraId="5E4C3EEC" w14:textId="77777777" w:rsidTr="002D631B">
        <w:tc>
          <w:tcPr>
            <w:tcW w:w="2122" w:type="dxa"/>
          </w:tcPr>
          <w:p w14:paraId="29B07058"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Brief details</w:t>
            </w:r>
          </w:p>
        </w:tc>
        <w:tc>
          <w:tcPr>
            <w:tcW w:w="6894" w:type="dxa"/>
          </w:tcPr>
          <w:p w14:paraId="70D2B203" w14:textId="77777777" w:rsidR="00B06301" w:rsidRPr="00727856" w:rsidRDefault="00B06301" w:rsidP="002D631B">
            <w:pPr>
              <w:pStyle w:val="NoSpacing"/>
              <w:shd w:val="clear" w:color="auto" w:fill="FFFFFF" w:themeFill="background1"/>
              <w:rPr>
                <w:rFonts w:cstheme="minorHAnsi"/>
                <w:sz w:val="21"/>
                <w:szCs w:val="21"/>
              </w:rPr>
            </w:pPr>
            <w:r w:rsidRPr="00727856">
              <w:rPr>
                <w:rFonts w:cstheme="minorHAnsi"/>
                <w:sz w:val="21"/>
                <w:szCs w:val="21"/>
              </w:rPr>
              <w:t>Good Directions supports participant-owned disability services.</w:t>
            </w:r>
          </w:p>
          <w:p w14:paraId="5E041952" w14:textId="77777777" w:rsidR="00B06301" w:rsidRPr="00727856" w:rsidRDefault="00B06301" w:rsidP="002D631B">
            <w:pPr>
              <w:pStyle w:val="NoSpacing"/>
              <w:shd w:val="clear" w:color="auto" w:fill="FFFFFF" w:themeFill="background1"/>
              <w:rPr>
                <w:rFonts w:cstheme="minorHAnsi"/>
                <w:sz w:val="21"/>
                <w:szCs w:val="21"/>
              </w:rPr>
            </w:pPr>
            <w:r w:rsidRPr="00727856">
              <w:rPr>
                <w:rFonts w:cstheme="minorHAnsi"/>
                <w:sz w:val="21"/>
                <w:szCs w:val="21"/>
              </w:rPr>
              <w:t>A participant-owned service is the purest form of person-centred service and Good Directions looks to support clients in managing their own service. Good Directions offers a comprehensive service and tailors our service using a specialist person-centred support plan called PATH, developed by the Centre for Disability Studies, Sydney University. This provides a cutting edge personal plan which serves as a referral to any number of international experts who are associated with the Centre.</w:t>
            </w:r>
          </w:p>
        </w:tc>
      </w:tr>
      <w:tr w:rsidR="00B06301" w:rsidRPr="00226C03" w14:paraId="07A56FC8" w14:textId="77777777" w:rsidTr="002D631B">
        <w:tc>
          <w:tcPr>
            <w:tcW w:w="2122" w:type="dxa"/>
          </w:tcPr>
          <w:p w14:paraId="2E16BF4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39B59F1A" w14:textId="77777777" w:rsidR="00B06301" w:rsidRPr="00226C03" w:rsidRDefault="00B06301" w:rsidP="002D631B">
            <w:pPr>
              <w:pStyle w:val="NoSpacing"/>
              <w:shd w:val="clear" w:color="auto" w:fill="FFFFFF" w:themeFill="background1"/>
              <w:rPr>
                <w:rFonts w:cstheme="minorHAnsi"/>
              </w:rPr>
            </w:pPr>
          </w:p>
        </w:tc>
      </w:tr>
    </w:tbl>
    <w:p w14:paraId="437E9232"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727856" w14:paraId="5654FEE5" w14:textId="77777777" w:rsidTr="002D631B">
        <w:tc>
          <w:tcPr>
            <w:tcW w:w="9016" w:type="dxa"/>
            <w:gridSpan w:val="2"/>
          </w:tcPr>
          <w:p w14:paraId="69BB6D17" w14:textId="77777777" w:rsidR="00B06301" w:rsidRPr="00727856"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0"/>
                <w:szCs w:val="20"/>
              </w:rPr>
            </w:pPr>
            <w:r w:rsidRPr="00727856">
              <w:rPr>
                <w:rFonts w:asciiTheme="minorHAnsi" w:hAnsiTheme="minorHAnsi" w:cstheme="minorHAnsi"/>
                <w:b/>
                <w:bCs/>
                <w:sz w:val="20"/>
                <w:szCs w:val="20"/>
              </w:rPr>
              <w:t>9</w:t>
            </w:r>
          </w:p>
        </w:tc>
      </w:tr>
      <w:tr w:rsidR="00B06301" w:rsidRPr="00727856" w14:paraId="045A3B21" w14:textId="77777777" w:rsidTr="002D631B">
        <w:tc>
          <w:tcPr>
            <w:tcW w:w="2122" w:type="dxa"/>
          </w:tcPr>
          <w:p w14:paraId="15C3747B" w14:textId="77777777" w:rsidR="00B06301" w:rsidRPr="00727856" w:rsidRDefault="00B06301" w:rsidP="002D631B">
            <w:pPr>
              <w:pStyle w:val="NoSpacing"/>
              <w:shd w:val="clear" w:color="auto" w:fill="FFFFFF" w:themeFill="background1"/>
              <w:rPr>
                <w:rFonts w:cstheme="minorHAnsi"/>
                <w:b/>
                <w:bCs/>
                <w:sz w:val="20"/>
                <w:szCs w:val="20"/>
              </w:rPr>
            </w:pPr>
            <w:r w:rsidRPr="00727856">
              <w:rPr>
                <w:rFonts w:cstheme="minorHAnsi"/>
                <w:b/>
                <w:bCs/>
                <w:sz w:val="20"/>
                <w:szCs w:val="20"/>
              </w:rPr>
              <w:t>Organisation Name</w:t>
            </w:r>
          </w:p>
        </w:tc>
        <w:tc>
          <w:tcPr>
            <w:tcW w:w="6894" w:type="dxa"/>
          </w:tcPr>
          <w:p w14:paraId="06584BA2" w14:textId="77777777" w:rsidR="00B06301" w:rsidRPr="00727856"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0"/>
                <w:szCs w:val="20"/>
              </w:rPr>
            </w:pPr>
            <w:r w:rsidRPr="00727856">
              <w:rPr>
                <w:rFonts w:asciiTheme="minorHAnsi" w:hAnsiTheme="minorHAnsi" w:cstheme="minorHAnsi"/>
                <w:color w:val="201F1E"/>
                <w:sz w:val="20"/>
                <w:szCs w:val="20"/>
              </w:rPr>
              <w:t>DSC</w:t>
            </w:r>
          </w:p>
        </w:tc>
      </w:tr>
      <w:tr w:rsidR="00B06301" w:rsidRPr="00727856" w14:paraId="681D7F1B" w14:textId="77777777" w:rsidTr="002D631B">
        <w:trPr>
          <w:trHeight w:val="70"/>
        </w:trPr>
        <w:tc>
          <w:tcPr>
            <w:tcW w:w="2122" w:type="dxa"/>
          </w:tcPr>
          <w:p w14:paraId="149B1A16" w14:textId="77777777" w:rsidR="00B06301" w:rsidRPr="00727856" w:rsidRDefault="00B06301" w:rsidP="002D631B">
            <w:pPr>
              <w:pStyle w:val="NoSpacing"/>
              <w:shd w:val="clear" w:color="auto" w:fill="FFFFFF" w:themeFill="background1"/>
              <w:rPr>
                <w:rFonts w:cstheme="minorHAnsi"/>
                <w:b/>
                <w:bCs/>
                <w:sz w:val="20"/>
                <w:szCs w:val="20"/>
              </w:rPr>
            </w:pPr>
            <w:r w:rsidRPr="00727856">
              <w:rPr>
                <w:rFonts w:cstheme="minorHAnsi"/>
                <w:b/>
                <w:bCs/>
                <w:sz w:val="20"/>
                <w:szCs w:val="20"/>
              </w:rPr>
              <w:t>Contact</w:t>
            </w:r>
          </w:p>
        </w:tc>
        <w:tc>
          <w:tcPr>
            <w:tcW w:w="6894" w:type="dxa"/>
          </w:tcPr>
          <w:p w14:paraId="1D448135" w14:textId="77777777" w:rsidR="00B06301" w:rsidRPr="00727856" w:rsidRDefault="00B06301" w:rsidP="002D631B">
            <w:pPr>
              <w:pStyle w:val="NoSpacing"/>
              <w:shd w:val="clear" w:color="auto" w:fill="FFFFFF" w:themeFill="background1"/>
              <w:rPr>
                <w:rFonts w:cstheme="minorHAnsi"/>
                <w:sz w:val="20"/>
                <w:szCs w:val="20"/>
              </w:rPr>
            </w:pPr>
            <w:r w:rsidRPr="00727856">
              <w:rPr>
                <w:rFonts w:cstheme="minorHAnsi"/>
                <w:sz w:val="20"/>
                <w:szCs w:val="20"/>
              </w:rPr>
              <w:t>Roland Naufal, Director</w:t>
            </w:r>
          </w:p>
        </w:tc>
      </w:tr>
      <w:tr w:rsidR="00B06301" w:rsidRPr="00727856" w14:paraId="29CCE528" w14:textId="77777777" w:rsidTr="002D631B">
        <w:tc>
          <w:tcPr>
            <w:tcW w:w="2122" w:type="dxa"/>
          </w:tcPr>
          <w:p w14:paraId="4EA21922" w14:textId="77777777" w:rsidR="00B06301" w:rsidRPr="00727856" w:rsidRDefault="00B06301" w:rsidP="002D631B">
            <w:pPr>
              <w:pStyle w:val="NoSpacing"/>
              <w:shd w:val="clear" w:color="auto" w:fill="FFFFFF" w:themeFill="background1"/>
              <w:rPr>
                <w:rFonts w:cstheme="minorHAnsi"/>
                <w:b/>
                <w:bCs/>
                <w:sz w:val="20"/>
                <w:szCs w:val="20"/>
              </w:rPr>
            </w:pPr>
            <w:r w:rsidRPr="00727856">
              <w:rPr>
                <w:rFonts w:cstheme="minorHAnsi"/>
                <w:b/>
                <w:bCs/>
                <w:sz w:val="20"/>
                <w:szCs w:val="20"/>
              </w:rPr>
              <w:t>Website</w:t>
            </w:r>
          </w:p>
        </w:tc>
        <w:tc>
          <w:tcPr>
            <w:tcW w:w="6894" w:type="dxa"/>
          </w:tcPr>
          <w:p w14:paraId="3BAAFD87" w14:textId="77777777" w:rsidR="00B06301" w:rsidRPr="00727856" w:rsidRDefault="001F76D0" w:rsidP="002D631B">
            <w:pPr>
              <w:pStyle w:val="NoSpacing"/>
              <w:shd w:val="clear" w:color="auto" w:fill="FFFFFF" w:themeFill="background1"/>
              <w:rPr>
                <w:rFonts w:cstheme="minorHAnsi"/>
                <w:sz w:val="20"/>
                <w:szCs w:val="20"/>
              </w:rPr>
            </w:pPr>
            <w:hyperlink r:id="rId91" w:history="1">
              <w:r w:rsidR="00B06301" w:rsidRPr="00727856">
                <w:rPr>
                  <w:rStyle w:val="Hyperlink"/>
                  <w:rFonts w:cstheme="minorHAnsi"/>
                  <w:sz w:val="20"/>
                  <w:szCs w:val="20"/>
                </w:rPr>
                <w:t>https://teamdsc.com.au/</w:t>
              </w:r>
            </w:hyperlink>
            <w:r w:rsidR="00B06301" w:rsidRPr="00727856">
              <w:rPr>
                <w:rFonts w:cstheme="minorHAnsi"/>
                <w:sz w:val="20"/>
                <w:szCs w:val="20"/>
              </w:rPr>
              <w:t xml:space="preserve"> &amp; </w:t>
            </w:r>
            <w:hyperlink r:id="rId92" w:history="1">
              <w:r w:rsidR="00B06301" w:rsidRPr="00727856">
                <w:rPr>
                  <w:rStyle w:val="Hyperlink"/>
                  <w:rFonts w:cstheme="minorHAnsi"/>
                  <w:sz w:val="20"/>
                  <w:szCs w:val="20"/>
                </w:rPr>
                <w:t>https://teamdsc.com.au/home-living</w:t>
              </w:r>
            </w:hyperlink>
            <w:r w:rsidR="00B06301" w:rsidRPr="00727856">
              <w:rPr>
                <w:rFonts w:cstheme="minorHAnsi"/>
                <w:sz w:val="20"/>
                <w:szCs w:val="20"/>
              </w:rPr>
              <w:t xml:space="preserve"> </w:t>
            </w:r>
          </w:p>
        </w:tc>
      </w:tr>
      <w:tr w:rsidR="00B06301" w:rsidRPr="00727856" w14:paraId="666D5E19" w14:textId="77777777" w:rsidTr="002D631B">
        <w:tc>
          <w:tcPr>
            <w:tcW w:w="2122" w:type="dxa"/>
          </w:tcPr>
          <w:p w14:paraId="34800374" w14:textId="77777777" w:rsidR="00B06301" w:rsidRPr="00727856" w:rsidRDefault="00B06301" w:rsidP="002D631B">
            <w:pPr>
              <w:pStyle w:val="NoSpacing"/>
              <w:shd w:val="clear" w:color="auto" w:fill="FFFFFF" w:themeFill="background1"/>
              <w:rPr>
                <w:rFonts w:cstheme="minorHAnsi"/>
                <w:b/>
                <w:bCs/>
                <w:sz w:val="20"/>
                <w:szCs w:val="20"/>
              </w:rPr>
            </w:pPr>
            <w:r w:rsidRPr="00727856">
              <w:rPr>
                <w:rFonts w:cstheme="minorHAnsi"/>
                <w:b/>
                <w:bCs/>
                <w:sz w:val="20"/>
                <w:szCs w:val="20"/>
              </w:rPr>
              <w:t>Location</w:t>
            </w:r>
          </w:p>
        </w:tc>
        <w:tc>
          <w:tcPr>
            <w:tcW w:w="6894" w:type="dxa"/>
          </w:tcPr>
          <w:p w14:paraId="2E113D67" w14:textId="77777777" w:rsidR="00B06301" w:rsidRPr="00727856" w:rsidRDefault="00B06301" w:rsidP="002D631B">
            <w:pPr>
              <w:pStyle w:val="NoSpacing"/>
              <w:shd w:val="clear" w:color="auto" w:fill="FFFFFF" w:themeFill="background1"/>
              <w:rPr>
                <w:rFonts w:cstheme="minorHAnsi"/>
                <w:sz w:val="20"/>
                <w:szCs w:val="20"/>
              </w:rPr>
            </w:pPr>
            <w:r w:rsidRPr="00727856">
              <w:rPr>
                <w:rFonts w:cstheme="minorHAnsi"/>
                <w:sz w:val="20"/>
                <w:szCs w:val="20"/>
              </w:rPr>
              <w:t xml:space="preserve">We provide consulting support all over Australia. Head office in Melbourne, Victoria. </w:t>
            </w:r>
          </w:p>
        </w:tc>
      </w:tr>
      <w:tr w:rsidR="00B06301" w:rsidRPr="00727856" w14:paraId="071BAD74" w14:textId="77777777" w:rsidTr="002D631B">
        <w:tc>
          <w:tcPr>
            <w:tcW w:w="2122" w:type="dxa"/>
          </w:tcPr>
          <w:p w14:paraId="0CBFE271" w14:textId="77777777" w:rsidR="00B06301" w:rsidRPr="00727856" w:rsidRDefault="00B06301" w:rsidP="002D631B">
            <w:pPr>
              <w:pStyle w:val="NoSpacing"/>
              <w:shd w:val="clear" w:color="auto" w:fill="FFFFFF" w:themeFill="background1"/>
              <w:rPr>
                <w:rFonts w:cstheme="minorHAnsi"/>
                <w:b/>
                <w:bCs/>
                <w:sz w:val="20"/>
                <w:szCs w:val="20"/>
              </w:rPr>
            </w:pPr>
            <w:r w:rsidRPr="00727856">
              <w:rPr>
                <w:rFonts w:cstheme="minorHAnsi"/>
                <w:b/>
                <w:bCs/>
                <w:sz w:val="20"/>
                <w:szCs w:val="20"/>
              </w:rPr>
              <w:t>Brief details</w:t>
            </w:r>
          </w:p>
        </w:tc>
        <w:tc>
          <w:tcPr>
            <w:tcW w:w="6894" w:type="dxa"/>
          </w:tcPr>
          <w:p w14:paraId="385EB81B" w14:textId="77777777" w:rsidR="00B06301" w:rsidRPr="00727856" w:rsidRDefault="00B06301" w:rsidP="002D631B">
            <w:pPr>
              <w:pStyle w:val="NoSpacing"/>
              <w:shd w:val="clear" w:color="auto" w:fill="FFFFFF" w:themeFill="background1"/>
              <w:rPr>
                <w:rFonts w:cstheme="minorHAnsi"/>
                <w:sz w:val="20"/>
                <w:szCs w:val="20"/>
              </w:rPr>
            </w:pPr>
            <w:r w:rsidRPr="00727856">
              <w:rPr>
                <w:rFonts w:cstheme="minorHAnsi"/>
                <w:sz w:val="20"/>
                <w:szCs w:val="20"/>
              </w:rPr>
              <w:t>Support to live independently makes up an enormous proportion of NDIS dollars and yet it is so frequently misunderstood by providers, planners and participants. Our specialist team comprises some of Australia’s leading experts in accessible housing and individualised support design and implementation.</w:t>
            </w:r>
          </w:p>
          <w:p w14:paraId="24C9C059" w14:textId="77777777" w:rsidR="00B06301" w:rsidRPr="00727856" w:rsidRDefault="00B06301" w:rsidP="002D631B">
            <w:pPr>
              <w:pStyle w:val="NoSpacing"/>
              <w:shd w:val="clear" w:color="auto" w:fill="FFFFFF" w:themeFill="background1"/>
              <w:rPr>
                <w:rFonts w:cstheme="minorHAnsi"/>
                <w:sz w:val="20"/>
                <w:szCs w:val="20"/>
              </w:rPr>
            </w:pPr>
          </w:p>
          <w:p w14:paraId="6AE4D652" w14:textId="77777777" w:rsidR="00B06301" w:rsidRPr="00727856" w:rsidRDefault="00B06301" w:rsidP="002D631B">
            <w:pPr>
              <w:pStyle w:val="NoSpacing"/>
              <w:shd w:val="clear" w:color="auto" w:fill="FFFFFF" w:themeFill="background1"/>
              <w:rPr>
                <w:rFonts w:cstheme="minorHAnsi"/>
                <w:sz w:val="20"/>
                <w:szCs w:val="20"/>
              </w:rPr>
            </w:pPr>
            <w:r w:rsidRPr="00727856">
              <w:rPr>
                <w:rFonts w:cstheme="minorHAnsi"/>
                <w:sz w:val="20"/>
                <w:szCs w:val="20"/>
              </w:rPr>
              <w:t>DSC’s expertise covers the full span of NDIS funded supports for home and living, including:</w:t>
            </w:r>
          </w:p>
          <w:p w14:paraId="67FEE646" w14:textId="77777777" w:rsidR="00B06301" w:rsidRPr="00727856" w:rsidRDefault="00B06301" w:rsidP="002D631B">
            <w:pPr>
              <w:pStyle w:val="NoSpacing"/>
              <w:shd w:val="clear" w:color="auto" w:fill="FFFFFF" w:themeFill="background1"/>
              <w:rPr>
                <w:rFonts w:cstheme="minorHAnsi"/>
                <w:sz w:val="20"/>
                <w:szCs w:val="20"/>
              </w:rPr>
            </w:pPr>
          </w:p>
          <w:p w14:paraId="38D4E738" w14:textId="77777777" w:rsidR="00B06301" w:rsidRPr="00727856" w:rsidRDefault="00B06301" w:rsidP="00B06301">
            <w:pPr>
              <w:pStyle w:val="NoSpacing"/>
              <w:numPr>
                <w:ilvl w:val="0"/>
                <w:numId w:val="18"/>
              </w:numPr>
              <w:shd w:val="clear" w:color="auto" w:fill="FFFFFF" w:themeFill="background1"/>
              <w:rPr>
                <w:rFonts w:cstheme="minorHAnsi"/>
                <w:sz w:val="20"/>
                <w:szCs w:val="20"/>
              </w:rPr>
            </w:pPr>
            <w:r w:rsidRPr="00727856">
              <w:rPr>
                <w:rFonts w:cstheme="minorHAnsi"/>
                <w:sz w:val="20"/>
                <w:szCs w:val="20"/>
              </w:rPr>
              <w:t>Specialist Disability Accommodation (SDA)</w:t>
            </w:r>
          </w:p>
          <w:p w14:paraId="5AB71660" w14:textId="77777777" w:rsidR="00B06301" w:rsidRPr="00727856" w:rsidRDefault="00B06301" w:rsidP="00B06301">
            <w:pPr>
              <w:pStyle w:val="NoSpacing"/>
              <w:numPr>
                <w:ilvl w:val="0"/>
                <w:numId w:val="18"/>
              </w:numPr>
              <w:shd w:val="clear" w:color="auto" w:fill="FFFFFF" w:themeFill="background1"/>
              <w:rPr>
                <w:rFonts w:cstheme="minorHAnsi"/>
                <w:sz w:val="20"/>
                <w:szCs w:val="20"/>
              </w:rPr>
            </w:pPr>
            <w:r w:rsidRPr="00727856">
              <w:rPr>
                <w:rFonts w:cstheme="minorHAnsi"/>
                <w:sz w:val="20"/>
                <w:szCs w:val="20"/>
              </w:rPr>
              <w:t>Supported Independent Living (SIL)</w:t>
            </w:r>
          </w:p>
          <w:p w14:paraId="3CE24235" w14:textId="77777777" w:rsidR="00B06301" w:rsidRPr="00727856" w:rsidRDefault="00B06301" w:rsidP="00B06301">
            <w:pPr>
              <w:pStyle w:val="NoSpacing"/>
              <w:numPr>
                <w:ilvl w:val="0"/>
                <w:numId w:val="18"/>
              </w:numPr>
              <w:shd w:val="clear" w:color="auto" w:fill="FFFFFF" w:themeFill="background1"/>
              <w:rPr>
                <w:rFonts w:cstheme="minorHAnsi"/>
                <w:sz w:val="20"/>
                <w:szCs w:val="20"/>
              </w:rPr>
            </w:pPr>
            <w:r w:rsidRPr="00727856">
              <w:rPr>
                <w:rFonts w:cstheme="minorHAnsi"/>
                <w:sz w:val="20"/>
                <w:szCs w:val="20"/>
              </w:rPr>
              <w:t>Individual Living Options (ILO)</w:t>
            </w:r>
          </w:p>
          <w:p w14:paraId="4F12C338" w14:textId="77777777" w:rsidR="00B06301" w:rsidRPr="00727856" w:rsidRDefault="00B06301" w:rsidP="00B06301">
            <w:pPr>
              <w:pStyle w:val="NoSpacing"/>
              <w:numPr>
                <w:ilvl w:val="0"/>
                <w:numId w:val="18"/>
              </w:numPr>
              <w:shd w:val="clear" w:color="auto" w:fill="FFFFFF" w:themeFill="background1"/>
              <w:rPr>
                <w:rFonts w:cstheme="minorHAnsi"/>
                <w:sz w:val="20"/>
                <w:szCs w:val="20"/>
              </w:rPr>
            </w:pPr>
            <w:r w:rsidRPr="00727856">
              <w:rPr>
                <w:rFonts w:cstheme="minorHAnsi"/>
                <w:sz w:val="20"/>
                <w:szCs w:val="20"/>
              </w:rPr>
              <w:t>Flexible core supports</w:t>
            </w:r>
          </w:p>
          <w:p w14:paraId="1DD81EA0" w14:textId="77777777" w:rsidR="00B06301" w:rsidRPr="00727856" w:rsidRDefault="00B06301" w:rsidP="00B06301">
            <w:pPr>
              <w:pStyle w:val="NoSpacing"/>
              <w:numPr>
                <w:ilvl w:val="0"/>
                <w:numId w:val="18"/>
              </w:numPr>
              <w:shd w:val="clear" w:color="auto" w:fill="FFFFFF" w:themeFill="background1"/>
              <w:rPr>
                <w:rFonts w:cstheme="minorHAnsi"/>
                <w:sz w:val="20"/>
                <w:szCs w:val="20"/>
              </w:rPr>
            </w:pPr>
            <w:r w:rsidRPr="00727856">
              <w:rPr>
                <w:rFonts w:cstheme="minorHAnsi"/>
                <w:sz w:val="20"/>
                <w:szCs w:val="20"/>
              </w:rPr>
              <w:t>Assistive Technology &amp; Home Modifications</w:t>
            </w:r>
          </w:p>
        </w:tc>
      </w:tr>
      <w:tr w:rsidR="00B06301" w:rsidRPr="00727856" w14:paraId="56CD8390" w14:textId="77777777" w:rsidTr="002D631B">
        <w:tc>
          <w:tcPr>
            <w:tcW w:w="2122" w:type="dxa"/>
          </w:tcPr>
          <w:p w14:paraId="4BDA0000" w14:textId="77777777" w:rsidR="00B06301" w:rsidRPr="00727856" w:rsidRDefault="00B06301" w:rsidP="002D631B">
            <w:pPr>
              <w:pStyle w:val="NoSpacing"/>
              <w:shd w:val="clear" w:color="auto" w:fill="FFFFFF" w:themeFill="background1"/>
              <w:rPr>
                <w:rFonts w:cstheme="minorHAnsi"/>
                <w:b/>
                <w:bCs/>
                <w:sz w:val="20"/>
                <w:szCs w:val="20"/>
              </w:rPr>
            </w:pPr>
            <w:r w:rsidRPr="00727856">
              <w:rPr>
                <w:rFonts w:cstheme="minorHAnsi"/>
                <w:b/>
                <w:bCs/>
                <w:sz w:val="20"/>
                <w:szCs w:val="20"/>
              </w:rPr>
              <w:t>Any other notes</w:t>
            </w:r>
          </w:p>
        </w:tc>
        <w:tc>
          <w:tcPr>
            <w:tcW w:w="6894" w:type="dxa"/>
          </w:tcPr>
          <w:p w14:paraId="053ED712" w14:textId="77777777" w:rsidR="00B06301" w:rsidRPr="00727856" w:rsidRDefault="00B06301" w:rsidP="002D631B">
            <w:pPr>
              <w:pStyle w:val="NoSpacing"/>
              <w:shd w:val="clear" w:color="auto" w:fill="FFFFFF" w:themeFill="background1"/>
              <w:rPr>
                <w:rFonts w:cstheme="minorHAnsi"/>
                <w:sz w:val="20"/>
                <w:szCs w:val="20"/>
              </w:rPr>
            </w:pPr>
          </w:p>
        </w:tc>
      </w:tr>
    </w:tbl>
    <w:p w14:paraId="30C4DD4C" w14:textId="2177FB70" w:rsidR="00727856" w:rsidRDefault="00727856">
      <w:pPr>
        <w:rPr>
          <w:rFonts w:cstheme="minorHAnsi"/>
          <w:lang w:val="en-IE"/>
        </w:rPr>
      </w:pPr>
      <w:r>
        <w:rPr>
          <w:rFonts w:cstheme="minorHAnsi"/>
        </w:rPr>
        <w:br w:type="page"/>
      </w:r>
    </w:p>
    <w:p w14:paraId="12F5C88A"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10DFD983" w14:textId="77777777" w:rsidTr="002D631B">
        <w:tc>
          <w:tcPr>
            <w:tcW w:w="9016" w:type="dxa"/>
            <w:gridSpan w:val="2"/>
          </w:tcPr>
          <w:p w14:paraId="0B6A8793"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10</w:t>
            </w:r>
          </w:p>
        </w:tc>
      </w:tr>
      <w:tr w:rsidR="00B06301" w:rsidRPr="00226C03" w14:paraId="01B0F633" w14:textId="77777777" w:rsidTr="002D631B">
        <w:tc>
          <w:tcPr>
            <w:tcW w:w="2122" w:type="dxa"/>
          </w:tcPr>
          <w:p w14:paraId="76A8388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2E8D66E4"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My Supports</w:t>
            </w:r>
          </w:p>
        </w:tc>
      </w:tr>
      <w:tr w:rsidR="00B06301" w:rsidRPr="00226C03" w14:paraId="36E23AE5" w14:textId="77777777" w:rsidTr="002D631B">
        <w:tc>
          <w:tcPr>
            <w:tcW w:w="2122" w:type="dxa"/>
          </w:tcPr>
          <w:p w14:paraId="7CE1ACE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78B445AF" w14:textId="77777777" w:rsidR="00B06301" w:rsidRPr="00226C03" w:rsidRDefault="00B06301" w:rsidP="002D631B">
            <w:pPr>
              <w:pStyle w:val="NoSpacing"/>
              <w:shd w:val="clear" w:color="auto" w:fill="FFFFFF" w:themeFill="background1"/>
              <w:rPr>
                <w:rFonts w:cstheme="minorHAnsi"/>
              </w:rPr>
            </w:pPr>
            <w:r w:rsidRPr="00226C03">
              <w:rPr>
                <w:rFonts w:cstheme="minorHAnsi"/>
              </w:rPr>
              <w:t>Unknown</w:t>
            </w:r>
          </w:p>
        </w:tc>
      </w:tr>
      <w:tr w:rsidR="00B06301" w:rsidRPr="00226C03" w14:paraId="5C1D2864" w14:textId="77777777" w:rsidTr="002D631B">
        <w:tc>
          <w:tcPr>
            <w:tcW w:w="2122" w:type="dxa"/>
          </w:tcPr>
          <w:p w14:paraId="1FFA217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59E25D2B" w14:textId="77777777" w:rsidR="00B06301" w:rsidRPr="00226C03" w:rsidRDefault="001F76D0" w:rsidP="002D631B">
            <w:pPr>
              <w:pStyle w:val="NoSpacing"/>
              <w:shd w:val="clear" w:color="auto" w:fill="FFFFFF" w:themeFill="background1"/>
              <w:rPr>
                <w:rFonts w:cstheme="minorHAnsi"/>
              </w:rPr>
            </w:pPr>
            <w:hyperlink r:id="rId93" w:history="1">
              <w:r w:rsidR="00B06301" w:rsidRPr="00226C03">
                <w:rPr>
                  <w:rStyle w:val="Hyperlink"/>
                  <w:rFonts w:cstheme="minorHAnsi"/>
                </w:rPr>
                <w:t>https://mysupports.com.au/</w:t>
              </w:r>
            </w:hyperlink>
            <w:r w:rsidR="00B06301" w:rsidRPr="00226C03">
              <w:rPr>
                <w:rFonts w:cstheme="minorHAnsi"/>
              </w:rPr>
              <w:t xml:space="preserve"> </w:t>
            </w:r>
          </w:p>
        </w:tc>
      </w:tr>
      <w:tr w:rsidR="00B06301" w:rsidRPr="00226C03" w14:paraId="2D4827D8" w14:textId="77777777" w:rsidTr="002D631B">
        <w:tc>
          <w:tcPr>
            <w:tcW w:w="2122" w:type="dxa"/>
          </w:tcPr>
          <w:p w14:paraId="65A36223"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47F8C270" w14:textId="77777777" w:rsidR="00B06301" w:rsidRPr="00226C03" w:rsidRDefault="00B06301" w:rsidP="002D631B">
            <w:pPr>
              <w:pStyle w:val="NoSpacing"/>
              <w:shd w:val="clear" w:color="auto" w:fill="FFFFFF" w:themeFill="background1"/>
              <w:rPr>
                <w:rFonts w:cstheme="minorHAnsi"/>
              </w:rPr>
            </w:pPr>
            <w:r w:rsidRPr="00226C03">
              <w:rPr>
                <w:rFonts w:cstheme="minorHAnsi"/>
              </w:rPr>
              <w:t>My Supports operates in NSW, Victoria, Queensland, WA and SA.</w:t>
            </w:r>
          </w:p>
        </w:tc>
      </w:tr>
      <w:tr w:rsidR="00B06301" w:rsidRPr="00226C03" w14:paraId="00ECF2A3" w14:textId="77777777" w:rsidTr="002D631B">
        <w:tc>
          <w:tcPr>
            <w:tcW w:w="2122" w:type="dxa"/>
          </w:tcPr>
          <w:p w14:paraId="442D453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17C4135D" w14:textId="77777777" w:rsidR="00B06301" w:rsidRPr="00226C03" w:rsidRDefault="00B06301" w:rsidP="002D631B">
            <w:pPr>
              <w:pStyle w:val="NoSpacing"/>
              <w:shd w:val="clear" w:color="auto" w:fill="FFFFFF" w:themeFill="background1"/>
              <w:rPr>
                <w:rFonts w:cstheme="minorHAnsi"/>
              </w:rPr>
            </w:pPr>
            <w:r w:rsidRPr="00226C03">
              <w:rPr>
                <w:rFonts w:cstheme="minorHAnsi"/>
              </w:rPr>
              <w:t>My Supports was founded in 2015 by people with a disability and families.</w:t>
            </w:r>
          </w:p>
          <w:p w14:paraId="582790DA" w14:textId="77777777" w:rsidR="00B06301" w:rsidRPr="00226C03" w:rsidRDefault="00B06301" w:rsidP="002D631B">
            <w:pPr>
              <w:pStyle w:val="NoSpacing"/>
              <w:shd w:val="clear" w:color="auto" w:fill="FFFFFF" w:themeFill="background1"/>
              <w:rPr>
                <w:rFonts w:cstheme="minorHAnsi"/>
              </w:rPr>
            </w:pPr>
            <w:r w:rsidRPr="00226C03">
              <w:rPr>
                <w:rFonts w:cstheme="minorHAnsi"/>
              </w:rPr>
              <w:t>The founders – Jim Cairns, Rex Baker and Terry Mader – saw the NDIS as an opportunity for people with a disability to play a greater role in designing and delivering services. They believe this will lead to better, more innovative services, due to the experiences and insights people with the lived experience can bring.</w:t>
            </w:r>
          </w:p>
        </w:tc>
      </w:tr>
      <w:tr w:rsidR="00B06301" w:rsidRPr="00226C03" w14:paraId="7A67385E" w14:textId="77777777" w:rsidTr="002D631B">
        <w:tc>
          <w:tcPr>
            <w:tcW w:w="2122" w:type="dxa"/>
          </w:tcPr>
          <w:p w14:paraId="1D24F8D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2E6BD8C1" w14:textId="77777777" w:rsidR="00B06301" w:rsidRPr="00226C03" w:rsidRDefault="00B06301" w:rsidP="002D631B">
            <w:pPr>
              <w:pStyle w:val="NoSpacing"/>
              <w:shd w:val="clear" w:color="auto" w:fill="FFFFFF" w:themeFill="background1"/>
              <w:rPr>
                <w:rFonts w:cstheme="minorHAnsi"/>
              </w:rPr>
            </w:pPr>
          </w:p>
        </w:tc>
      </w:tr>
    </w:tbl>
    <w:p w14:paraId="64EA64F2" w14:textId="77777777" w:rsidR="00B06301" w:rsidRPr="00226C03" w:rsidRDefault="00B06301" w:rsidP="00B06301">
      <w:pPr>
        <w:pStyle w:val="NoSpacing"/>
        <w:shd w:val="clear" w:color="auto" w:fill="FFFFFF" w:themeFill="background1"/>
        <w:rPr>
          <w:rFonts w:cstheme="minorHAnsi"/>
        </w:rPr>
      </w:pPr>
    </w:p>
    <w:p w14:paraId="0F2F84A3"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7A5F96DA" w14:textId="77777777" w:rsidTr="002D631B">
        <w:tc>
          <w:tcPr>
            <w:tcW w:w="9016" w:type="dxa"/>
            <w:gridSpan w:val="2"/>
          </w:tcPr>
          <w:p w14:paraId="2D002A32" w14:textId="77777777" w:rsidR="00B06301" w:rsidRPr="00226C03" w:rsidRDefault="00B06301" w:rsidP="002D631B">
            <w:pPr>
              <w:pStyle w:val="xmsonormal"/>
              <w:shd w:val="clear" w:color="auto" w:fill="FFFFFF" w:themeFill="background1"/>
              <w:spacing w:after="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11</w:t>
            </w:r>
          </w:p>
        </w:tc>
      </w:tr>
      <w:tr w:rsidR="00B06301" w:rsidRPr="00226C03" w14:paraId="5AA9DD1A" w14:textId="77777777" w:rsidTr="002D631B">
        <w:tc>
          <w:tcPr>
            <w:tcW w:w="2122" w:type="dxa"/>
          </w:tcPr>
          <w:p w14:paraId="402B2F7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53C8D540" w14:textId="77777777" w:rsidR="00B06301" w:rsidRPr="00226C03" w:rsidRDefault="00B06301" w:rsidP="002D631B">
            <w:pPr>
              <w:pStyle w:val="xmsonormal"/>
              <w:shd w:val="clear" w:color="auto" w:fill="FFFFFF" w:themeFill="background1"/>
              <w:spacing w:after="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QCOSS (Queensland Council of Social Service)</w:t>
            </w:r>
          </w:p>
        </w:tc>
      </w:tr>
      <w:tr w:rsidR="00B06301" w:rsidRPr="00226C03" w14:paraId="69675BDB" w14:textId="77777777" w:rsidTr="002D631B">
        <w:tc>
          <w:tcPr>
            <w:tcW w:w="2122" w:type="dxa"/>
          </w:tcPr>
          <w:p w14:paraId="41941B0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69DD49DC" w14:textId="77777777" w:rsidR="00B06301" w:rsidRPr="00226C03" w:rsidRDefault="00B06301" w:rsidP="002D631B">
            <w:pPr>
              <w:pStyle w:val="NoSpacing"/>
              <w:shd w:val="clear" w:color="auto" w:fill="FFFFFF" w:themeFill="background1"/>
              <w:rPr>
                <w:rFonts w:cstheme="minorHAnsi"/>
              </w:rPr>
            </w:pPr>
            <w:r w:rsidRPr="00226C03">
              <w:rPr>
                <w:rFonts w:cstheme="minorHAnsi"/>
              </w:rPr>
              <w:t>Aimee McVeigh, CEO</w:t>
            </w:r>
          </w:p>
        </w:tc>
      </w:tr>
      <w:tr w:rsidR="00B06301" w:rsidRPr="00226C03" w14:paraId="27F89333" w14:textId="77777777" w:rsidTr="002D631B">
        <w:tc>
          <w:tcPr>
            <w:tcW w:w="2122" w:type="dxa"/>
          </w:tcPr>
          <w:p w14:paraId="3D3BBFB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3836C38C" w14:textId="77777777" w:rsidR="00B06301" w:rsidRPr="00226C03" w:rsidRDefault="001F76D0" w:rsidP="002D631B">
            <w:pPr>
              <w:pStyle w:val="NoSpacing"/>
              <w:shd w:val="clear" w:color="auto" w:fill="FFFFFF" w:themeFill="background1"/>
              <w:rPr>
                <w:rFonts w:cstheme="minorHAnsi"/>
              </w:rPr>
            </w:pPr>
            <w:hyperlink r:id="rId94" w:history="1">
              <w:r w:rsidR="00B06301" w:rsidRPr="00226C03">
                <w:rPr>
                  <w:rStyle w:val="Hyperlink"/>
                  <w:rFonts w:cstheme="minorHAnsi"/>
                </w:rPr>
                <w:t>https://www.qcoss.org.au/</w:t>
              </w:r>
            </w:hyperlink>
            <w:r w:rsidR="00B06301" w:rsidRPr="00226C03">
              <w:rPr>
                <w:rFonts w:cstheme="minorHAnsi"/>
              </w:rPr>
              <w:t xml:space="preserve"> &amp; </w:t>
            </w:r>
            <w:hyperlink r:id="rId95" w:history="1">
              <w:r w:rsidR="00B06301" w:rsidRPr="00226C03">
                <w:rPr>
                  <w:rStyle w:val="Hyperlink"/>
                  <w:rFonts w:cstheme="minorHAnsi"/>
                </w:rPr>
                <w:t>https://www.qcoss.org.au/our-work/place-based-approaches/</w:t>
              </w:r>
            </w:hyperlink>
            <w:r w:rsidR="00B06301" w:rsidRPr="00226C03">
              <w:rPr>
                <w:rFonts w:cstheme="minorHAnsi"/>
              </w:rPr>
              <w:t xml:space="preserve"> </w:t>
            </w:r>
          </w:p>
        </w:tc>
      </w:tr>
      <w:tr w:rsidR="00B06301" w:rsidRPr="00226C03" w14:paraId="163AFBCB" w14:textId="77777777" w:rsidTr="002D631B">
        <w:tc>
          <w:tcPr>
            <w:tcW w:w="2122" w:type="dxa"/>
          </w:tcPr>
          <w:p w14:paraId="0633CDF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0C72412C" w14:textId="77777777" w:rsidR="00B06301" w:rsidRPr="00226C03" w:rsidRDefault="00B06301" w:rsidP="002D631B">
            <w:pPr>
              <w:pStyle w:val="NoSpacing"/>
              <w:shd w:val="clear" w:color="auto" w:fill="FFFFFF" w:themeFill="background1"/>
              <w:rPr>
                <w:rFonts w:cstheme="minorHAnsi"/>
              </w:rPr>
            </w:pPr>
            <w:r w:rsidRPr="00226C03">
              <w:rPr>
                <w:rFonts w:cstheme="minorHAnsi"/>
              </w:rPr>
              <w:t>Queensland, Australia</w:t>
            </w:r>
          </w:p>
        </w:tc>
      </w:tr>
      <w:tr w:rsidR="00B06301" w:rsidRPr="00226C03" w14:paraId="3F1ACA4B" w14:textId="77777777" w:rsidTr="002D631B">
        <w:tc>
          <w:tcPr>
            <w:tcW w:w="2122" w:type="dxa"/>
          </w:tcPr>
          <w:p w14:paraId="6FDA672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28B4E751" w14:textId="77777777" w:rsidR="00B06301" w:rsidRPr="00226C03" w:rsidRDefault="00B06301" w:rsidP="002D631B">
            <w:pPr>
              <w:pStyle w:val="xmsonormal"/>
              <w:shd w:val="clear" w:color="auto" w:fill="FFFFFF" w:themeFill="background1"/>
              <w:spacing w:after="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Queensland’s peak body for the social service sector. Our vision is to achieve equality, opportunity and wellbeing for every person, in every community.</w:t>
            </w:r>
          </w:p>
        </w:tc>
      </w:tr>
      <w:tr w:rsidR="00B06301" w:rsidRPr="00226C03" w14:paraId="0FF793D4" w14:textId="77777777" w:rsidTr="002D631B">
        <w:tc>
          <w:tcPr>
            <w:tcW w:w="2122" w:type="dxa"/>
          </w:tcPr>
          <w:p w14:paraId="01CF7E1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1025AA01" w14:textId="77777777" w:rsidR="00B06301" w:rsidRPr="00226C03" w:rsidRDefault="00B06301" w:rsidP="002D631B">
            <w:pPr>
              <w:pStyle w:val="NoSpacing"/>
              <w:shd w:val="clear" w:color="auto" w:fill="FFFFFF" w:themeFill="background1"/>
              <w:rPr>
                <w:rFonts w:cstheme="minorHAnsi"/>
              </w:rPr>
            </w:pPr>
          </w:p>
        </w:tc>
      </w:tr>
    </w:tbl>
    <w:p w14:paraId="11B8D9AE"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06D833FF" w14:textId="77777777" w:rsidTr="002D631B">
        <w:tc>
          <w:tcPr>
            <w:tcW w:w="9016" w:type="dxa"/>
            <w:gridSpan w:val="2"/>
          </w:tcPr>
          <w:p w14:paraId="7B83B589"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12</w:t>
            </w:r>
          </w:p>
        </w:tc>
      </w:tr>
      <w:tr w:rsidR="00B06301" w:rsidRPr="00226C03" w14:paraId="1572E195" w14:textId="77777777" w:rsidTr="002D631B">
        <w:tc>
          <w:tcPr>
            <w:tcW w:w="2122" w:type="dxa"/>
          </w:tcPr>
          <w:p w14:paraId="2F4F6E6B"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154BBBDE"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 xml:space="preserve">Young People In Nursing Homes National Alliance (YPINHna) </w:t>
            </w:r>
          </w:p>
        </w:tc>
      </w:tr>
      <w:tr w:rsidR="00B06301" w:rsidRPr="00226C03" w14:paraId="114D904C" w14:textId="77777777" w:rsidTr="002D631B">
        <w:tc>
          <w:tcPr>
            <w:tcW w:w="2122" w:type="dxa"/>
          </w:tcPr>
          <w:p w14:paraId="7344D1D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32340917" w14:textId="77777777" w:rsidR="00B06301" w:rsidRPr="00226C03" w:rsidRDefault="00B06301" w:rsidP="002D631B">
            <w:pPr>
              <w:pStyle w:val="NoSpacing"/>
              <w:shd w:val="clear" w:color="auto" w:fill="FFFFFF" w:themeFill="background1"/>
              <w:rPr>
                <w:rFonts w:cstheme="minorHAnsi"/>
              </w:rPr>
            </w:pPr>
            <w:r w:rsidRPr="00226C03">
              <w:rPr>
                <w:rFonts w:cstheme="minorHAnsi"/>
              </w:rPr>
              <w:t>Bronwyn Morkham, National Director</w:t>
            </w:r>
          </w:p>
        </w:tc>
      </w:tr>
      <w:tr w:rsidR="00B06301" w:rsidRPr="00226C03" w14:paraId="22C25F25" w14:textId="77777777" w:rsidTr="002D631B">
        <w:tc>
          <w:tcPr>
            <w:tcW w:w="2122" w:type="dxa"/>
          </w:tcPr>
          <w:p w14:paraId="67A57E63"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52EE8071" w14:textId="77777777" w:rsidR="00B06301" w:rsidRPr="00226C03" w:rsidRDefault="001F76D0" w:rsidP="002D631B">
            <w:pPr>
              <w:pStyle w:val="NoSpacing"/>
              <w:shd w:val="clear" w:color="auto" w:fill="FFFFFF" w:themeFill="background1"/>
              <w:rPr>
                <w:rFonts w:cstheme="minorHAnsi"/>
              </w:rPr>
            </w:pPr>
            <w:hyperlink r:id="rId96" w:history="1">
              <w:r w:rsidR="00B06301" w:rsidRPr="00226C03">
                <w:rPr>
                  <w:rStyle w:val="Hyperlink"/>
                  <w:rFonts w:cstheme="minorHAnsi"/>
                </w:rPr>
                <w:t>https://www.ypinh.org.au/</w:t>
              </w:r>
            </w:hyperlink>
            <w:r w:rsidR="00B06301" w:rsidRPr="00226C03">
              <w:rPr>
                <w:rFonts w:cstheme="minorHAnsi"/>
              </w:rPr>
              <w:t xml:space="preserve"> </w:t>
            </w:r>
          </w:p>
        </w:tc>
      </w:tr>
      <w:tr w:rsidR="00B06301" w:rsidRPr="00226C03" w14:paraId="645FD446" w14:textId="77777777" w:rsidTr="002D631B">
        <w:tc>
          <w:tcPr>
            <w:tcW w:w="2122" w:type="dxa"/>
          </w:tcPr>
          <w:p w14:paraId="15C8DE1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55FCF56A" w14:textId="77777777" w:rsidR="00B06301" w:rsidRPr="00226C03" w:rsidRDefault="00B06301" w:rsidP="002D631B">
            <w:pPr>
              <w:pStyle w:val="NoSpacing"/>
              <w:shd w:val="clear" w:color="auto" w:fill="FFFFFF" w:themeFill="background1"/>
              <w:rPr>
                <w:rFonts w:cstheme="minorHAnsi"/>
              </w:rPr>
            </w:pPr>
            <w:r w:rsidRPr="00226C03">
              <w:rPr>
                <w:rFonts w:cstheme="minorHAnsi"/>
              </w:rPr>
              <w:t>Hawthorn, Victoria</w:t>
            </w:r>
          </w:p>
        </w:tc>
      </w:tr>
      <w:tr w:rsidR="00B06301" w:rsidRPr="00226C03" w14:paraId="4ADE7480" w14:textId="77777777" w:rsidTr="002D631B">
        <w:tc>
          <w:tcPr>
            <w:tcW w:w="2122" w:type="dxa"/>
          </w:tcPr>
          <w:p w14:paraId="4B5F696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265C7F4C"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The Young People In Nursing Homes National Alliance (YPINHna) was established in 2002. We work with young people living in, or at risk of entry into, aged care facilities; their families, carers and other stakeholders. These young people have an acquired disability with complex support needs that often bridge the aged care, disability, health, housing and community services sectors. </w:t>
            </w:r>
          </w:p>
          <w:p w14:paraId="458C5463" w14:textId="77777777" w:rsidR="00B06301" w:rsidRPr="00226C03" w:rsidRDefault="00B06301" w:rsidP="002D631B">
            <w:pPr>
              <w:pStyle w:val="NoSpacing"/>
              <w:shd w:val="clear" w:color="auto" w:fill="FFFFFF" w:themeFill="background1"/>
              <w:rPr>
                <w:rFonts w:cstheme="minorHAnsi"/>
              </w:rPr>
            </w:pPr>
          </w:p>
          <w:p w14:paraId="338E2246" w14:textId="77777777" w:rsidR="00B06301" w:rsidRPr="00226C03" w:rsidRDefault="00B06301" w:rsidP="002D631B">
            <w:pPr>
              <w:pStyle w:val="NoSpacing"/>
              <w:shd w:val="clear" w:color="auto" w:fill="FFFFFF" w:themeFill="background1"/>
              <w:rPr>
                <w:rFonts w:cstheme="minorHAnsi"/>
              </w:rPr>
            </w:pPr>
            <w:r w:rsidRPr="00226C03">
              <w:rPr>
                <w:rFonts w:cstheme="minorHAnsi"/>
              </w:rPr>
              <w:t>We are firmly committed to ensuring these young people have:</w:t>
            </w:r>
          </w:p>
          <w:p w14:paraId="6EC595C4" w14:textId="77777777" w:rsidR="00B06301" w:rsidRPr="00226C03" w:rsidRDefault="00B06301" w:rsidP="002D631B">
            <w:pPr>
              <w:pStyle w:val="NoSpacing"/>
              <w:shd w:val="clear" w:color="auto" w:fill="FFFFFF" w:themeFill="background1"/>
              <w:rPr>
                <w:rFonts w:cstheme="minorHAnsi"/>
              </w:rPr>
            </w:pPr>
          </w:p>
          <w:p w14:paraId="2D0F8534" w14:textId="77777777" w:rsidR="00B06301" w:rsidRPr="00226C03" w:rsidRDefault="00B06301" w:rsidP="00B06301">
            <w:pPr>
              <w:pStyle w:val="NoSpacing"/>
              <w:numPr>
                <w:ilvl w:val="0"/>
                <w:numId w:val="19"/>
              </w:numPr>
              <w:shd w:val="clear" w:color="auto" w:fill="FFFFFF" w:themeFill="background1"/>
              <w:rPr>
                <w:rFonts w:cstheme="minorHAnsi"/>
              </w:rPr>
            </w:pPr>
            <w:r w:rsidRPr="00226C03">
              <w:rPr>
                <w:rFonts w:cstheme="minorHAnsi"/>
              </w:rPr>
              <w:t>a voice about where they want to live and how they want to be supported</w:t>
            </w:r>
          </w:p>
          <w:p w14:paraId="4775DF40" w14:textId="77777777" w:rsidR="00B06301" w:rsidRPr="00226C03" w:rsidRDefault="00B06301" w:rsidP="00B06301">
            <w:pPr>
              <w:pStyle w:val="NoSpacing"/>
              <w:numPr>
                <w:ilvl w:val="0"/>
                <w:numId w:val="19"/>
              </w:numPr>
              <w:shd w:val="clear" w:color="auto" w:fill="FFFFFF" w:themeFill="background1"/>
              <w:rPr>
                <w:rFonts w:cstheme="minorHAnsi"/>
              </w:rPr>
            </w:pPr>
            <w:r w:rsidRPr="00226C03">
              <w:rPr>
                <w:rFonts w:cstheme="minorHAnsi"/>
              </w:rPr>
              <w:t>the capacity to participate in efforts to achieve this, and</w:t>
            </w:r>
          </w:p>
          <w:p w14:paraId="10027F68" w14:textId="77777777" w:rsidR="00B06301" w:rsidRPr="00226C03" w:rsidRDefault="00B06301" w:rsidP="00B06301">
            <w:pPr>
              <w:pStyle w:val="NoSpacing"/>
              <w:numPr>
                <w:ilvl w:val="0"/>
                <w:numId w:val="19"/>
              </w:numPr>
              <w:shd w:val="clear" w:color="auto" w:fill="FFFFFF" w:themeFill="background1"/>
              <w:rPr>
                <w:rFonts w:cstheme="minorHAnsi"/>
              </w:rPr>
            </w:pPr>
            <w:r w:rsidRPr="00226C03">
              <w:rPr>
                <w:rFonts w:cstheme="minorHAnsi"/>
              </w:rPr>
              <w:t>'a place of the table', so they can be directly involved in developing "lives worth living" in the community</w:t>
            </w:r>
          </w:p>
        </w:tc>
      </w:tr>
      <w:tr w:rsidR="00B06301" w:rsidRPr="00226C03" w14:paraId="4E495F31" w14:textId="77777777" w:rsidTr="002D631B">
        <w:tc>
          <w:tcPr>
            <w:tcW w:w="2122" w:type="dxa"/>
          </w:tcPr>
          <w:p w14:paraId="5328236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45E3C6AB" w14:textId="77777777" w:rsidR="00B06301" w:rsidRPr="00226C03" w:rsidRDefault="00B06301" w:rsidP="002D631B">
            <w:pPr>
              <w:pStyle w:val="NoSpacing"/>
              <w:shd w:val="clear" w:color="auto" w:fill="FFFFFF" w:themeFill="background1"/>
              <w:rPr>
                <w:rFonts w:cstheme="minorHAnsi"/>
              </w:rPr>
            </w:pPr>
          </w:p>
        </w:tc>
      </w:tr>
    </w:tbl>
    <w:p w14:paraId="034F9A95" w14:textId="77777777" w:rsidR="00727856" w:rsidRDefault="00727856">
      <w:pPr>
        <w:rPr>
          <w:rFonts w:cstheme="minorHAnsi"/>
          <w:lang w:val="en-IE"/>
        </w:rPr>
      </w:pPr>
      <w:r>
        <w:rPr>
          <w:rFonts w:cstheme="minorHAnsi"/>
        </w:rPr>
        <w:br w:type="page"/>
      </w:r>
    </w:p>
    <w:p w14:paraId="779365D0"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1553BA70" w14:textId="77777777" w:rsidTr="002D631B">
        <w:tc>
          <w:tcPr>
            <w:tcW w:w="9016" w:type="dxa"/>
            <w:gridSpan w:val="2"/>
          </w:tcPr>
          <w:p w14:paraId="6CB5CBAE"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13</w:t>
            </w:r>
          </w:p>
        </w:tc>
      </w:tr>
      <w:tr w:rsidR="00B06301" w:rsidRPr="00226C03" w14:paraId="717350AC" w14:textId="77777777" w:rsidTr="002D631B">
        <w:tc>
          <w:tcPr>
            <w:tcW w:w="2122" w:type="dxa"/>
          </w:tcPr>
          <w:p w14:paraId="482427A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2E1186F6"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VALID</w:t>
            </w:r>
          </w:p>
        </w:tc>
      </w:tr>
      <w:tr w:rsidR="00B06301" w:rsidRPr="00226C03" w14:paraId="1380C628" w14:textId="77777777" w:rsidTr="002D631B">
        <w:tc>
          <w:tcPr>
            <w:tcW w:w="2122" w:type="dxa"/>
          </w:tcPr>
          <w:p w14:paraId="6FEAD75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1F54CE73" w14:textId="77777777" w:rsidR="00B06301" w:rsidRPr="00226C03" w:rsidRDefault="00B06301" w:rsidP="002D631B">
            <w:pPr>
              <w:pStyle w:val="NoSpacing"/>
              <w:shd w:val="clear" w:color="auto" w:fill="FFFFFF" w:themeFill="background1"/>
              <w:rPr>
                <w:rFonts w:cstheme="minorHAnsi"/>
              </w:rPr>
            </w:pPr>
            <w:r w:rsidRPr="00226C03">
              <w:rPr>
                <w:rFonts w:cstheme="minorHAnsi"/>
              </w:rPr>
              <w:t>Kevin Stone, CEO</w:t>
            </w:r>
          </w:p>
        </w:tc>
      </w:tr>
      <w:tr w:rsidR="00B06301" w:rsidRPr="00226C03" w14:paraId="19F2A04E" w14:textId="77777777" w:rsidTr="002D631B">
        <w:tc>
          <w:tcPr>
            <w:tcW w:w="2122" w:type="dxa"/>
          </w:tcPr>
          <w:p w14:paraId="4E3E9EB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535C6099" w14:textId="77777777" w:rsidR="00B06301" w:rsidRPr="00226C03" w:rsidRDefault="001F76D0" w:rsidP="002D631B">
            <w:pPr>
              <w:pStyle w:val="NoSpacing"/>
              <w:shd w:val="clear" w:color="auto" w:fill="FFFFFF" w:themeFill="background1"/>
              <w:rPr>
                <w:rFonts w:cstheme="minorHAnsi"/>
              </w:rPr>
            </w:pPr>
            <w:hyperlink r:id="rId97" w:history="1">
              <w:r w:rsidR="00B06301" w:rsidRPr="00226C03">
                <w:rPr>
                  <w:rStyle w:val="Hyperlink"/>
                  <w:rFonts w:cstheme="minorHAnsi"/>
                </w:rPr>
                <w:t>https://www.valid.org.au/</w:t>
              </w:r>
            </w:hyperlink>
            <w:r w:rsidR="00B06301" w:rsidRPr="00226C03">
              <w:rPr>
                <w:rFonts w:cstheme="minorHAnsi"/>
              </w:rPr>
              <w:t xml:space="preserve"> &amp; </w:t>
            </w:r>
            <w:hyperlink r:id="rId98" w:history="1">
              <w:r w:rsidR="00B06301" w:rsidRPr="00226C03">
                <w:rPr>
                  <w:rStyle w:val="Hyperlink"/>
                  <w:rFonts w:cstheme="minorHAnsi"/>
                </w:rPr>
                <w:t>https://www.valid.org.au/valid-submission-regarding-supported-independent-living/</w:t>
              </w:r>
            </w:hyperlink>
            <w:r w:rsidR="00B06301" w:rsidRPr="00226C03">
              <w:rPr>
                <w:rFonts w:cstheme="minorHAnsi"/>
              </w:rPr>
              <w:t xml:space="preserve"> </w:t>
            </w:r>
          </w:p>
        </w:tc>
      </w:tr>
      <w:tr w:rsidR="00B06301" w:rsidRPr="00226C03" w14:paraId="3F691D72" w14:textId="77777777" w:rsidTr="002D631B">
        <w:tc>
          <w:tcPr>
            <w:tcW w:w="2122" w:type="dxa"/>
          </w:tcPr>
          <w:p w14:paraId="0BFC983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7467710E" w14:textId="77777777" w:rsidR="00B06301" w:rsidRPr="00226C03" w:rsidRDefault="00B06301" w:rsidP="002D631B">
            <w:pPr>
              <w:pStyle w:val="NoSpacing"/>
              <w:shd w:val="clear" w:color="auto" w:fill="FFFFFF" w:themeFill="background1"/>
              <w:rPr>
                <w:rFonts w:cstheme="minorHAnsi"/>
              </w:rPr>
            </w:pPr>
            <w:r w:rsidRPr="00226C03">
              <w:rPr>
                <w:rFonts w:cstheme="minorHAnsi"/>
              </w:rPr>
              <w:t>Victoria</w:t>
            </w:r>
          </w:p>
        </w:tc>
      </w:tr>
      <w:tr w:rsidR="00B06301" w:rsidRPr="00226C03" w14:paraId="06FD61DA" w14:textId="77777777" w:rsidTr="002D631B">
        <w:tc>
          <w:tcPr>
            <w:tcW w:w="2122" w:type="dxa"/>
          </w:tcPr>
          <w:p w14:paraId="3E9B85E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6F6C4FBF"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VALID is an award-winning organisation that has been at the forefront of advocating for people with a disability in Victoria since 1989. </w:t>
            </w:r>
          </w:p>
          <w:p w14:paraId="293C3D03" w14:textId="77777777" w:rsidR="00B06301" w:rsidRPr="00226C03" w:rsidRDefault="00B06301" w:rsidP="002D631B">
            <w:pPr>
              <w:pStyle w:val="NoSpacing"/>
              <w:shd w:val="clear" w:color="auto" w:fill="FFFFFF" w:themeFill="background1"/>
              <w:rPr>
                <w:rFonts w:cstheme="minorHAnsi"/>
              </w:rPr>
            </w:pPr>
            <w:r w:rsidRPr="00226C03">
              <w:rPr>
                <w:rFonts w:cstheme="minorHAnsi"/>
              </w:rPr>
              <w:t>Over that time, we have developed training tools, information and resources, and advocacy to help empower people with disability and their families.</w:t>
            </w:r>
          </w:p>
        </w:tc>
      </w:tr>
      <w:tr w:rsidR="00B06301" w:rsidRPr="00226C03" w14:paraId="648882E8" w14:textId="77777777" w:rsidTr="002D631B">
        <w:tc>
          <w:tcPr>
            <w:tcW w:w="2122" w:type="dxa"/>
          </w:tcPr>
          <w:p w14:paraId="419F9FCB"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23C2000C" w14:textId="77777777" w:rsidR="00B06301" w:rsidRPr="00226C03" w:rsidRDefault="00B06301" w:rsidP="002D631B">
            <w:pPr>
              <w:pStyle w:val="NoSpacing"/>
              <w:shd w:val="clear" w:color="auto" w:fill="FFFFFF" w:themeFill="background1"/>
              <w:rPr>
                <w:rFonts w:cstheme="minorHAnsi"/>
              </w:rPr>
            </w:pPr>
          </w:p>
        </w:tc>
      </w:tr>
    </w:tbl>
    <w:p w14:paraId="4352DF6A"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228"/>
      </w:tblGrid>
      <w:tr w:rsidR="00B06301" w:rsidRPr="00226C03" w14:paraId="24B6448A" w14:textId="77777777" w:rsidTr="00961495">
        <w:trPr>
          <w:trHeight w:val="249"/>
        </w:trPr>
        <w:tc>
          <w:tcPr>
            <w:tcW w:w="9350" w:type="dxa"/>
            <w:gridSpan w:val="2"/>
          </w:tcPr>
          <w:p w14:paraId="5D51C317"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14</w:t>
            </w:r>
          </w:p>
        </w:tc>
      </w:tr>
      <w:tr w:rsidR="00B06301" w:rsidRPr="00226C03" w14:paraId="6F1865F4" w14:textId="77777777" w:rsidTr="00961495">
        <w:trPr>
          <w:trHeight w:val="485"/>
        </w:trPr>
        <w:tc>
          <w:tcPr>
            <w:tcW w:w="2122" w:type="dxa"/>
          </w:tcPr>
          <w:p w14:paraId="7F702D4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7228" w:type="dxa"/>
          </w:tcPr>
          <w:p w14:paraId="0D862A7B"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Disability Housing Advocacy Service – People With Disability Australia</w:t>
            </w:r>
          </w:p>
        </w:tc>
      </w:tr>
      <w:tr w:rsidR="00B06301" w:rsidRPr="00226C03" w14:paraId="58DF7D02" w14:textId="77777777" w:rsidTr="00961495">
        <w:trPr>
          <w:trHeight w:val="249"/>
        </w:trPr>
        <w:tc>
          <w:tcPr>
            <w:tcW w:w="2122" w:type="dxa"/>
          </w:tcPr>
          <w:p w14:paraId="160C4777"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7228" w:type="dxa"/>
          </w:tcPr>
          <w:p w14:paraId="701E6397" w14:textId="77777777" w:rsidR="00B06301" w:rsidRPr="00226C03" w:rsidRDefault="00B06301" w:rsidP="002D631B">
            <w:pPr>
              <w:pStyle w:val="NoSpacing"/>
              <w:shd w:val="clear" w:color="auto" w:fill="FFFFFF" w:themeFill="background1"/>
              <w:rPr>
                <w:rFonts w:cstheme="minorHAnsi"/>
              </w:rPr>
            </w:pPr>
            <w:r w:rsidRPr="00226C03">
              <w:rPr>
                <w:rFonts w:cstheme="minorHAnsi"/>
              </w:rPr>
              <w:t>Karin Waldmann, CEO</w:t>
            </w:r>
          </w:p>
        </w:tc>
      </w:tr>
      <w:tr w:rsidR="00B06301" w:rsidRPr="00226C03" w14:paraId="7FA3A679" w14:textId="77777777" w:rsidTr="00961495">
        <w:trPr>
          <w:trHeight w:val="485"/>
        </w:trPr>
        <w:tc>
          <w:tcPr>
            <w:tcW w:w="2122" w:type="dxa"/>
          </w:tcPr>
          <w:p w14:paraId="10CB97F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7228" w:type="dxa"/>
          </w:tcPr>
          <w:p w14:paraId="6D9170DC" w14:textId="77777777" w:rsidR="00B06301" w:rsidRPr="00226C03" w:rsidRDefault="001F76D0" w:rsidP="002D631B">
            <w:pPr>
              <w:pStyle w:val="NoSpacing"/>
              <w:shd w:val="clear" w:color="auto" w:fill="FFFFFF" w:themeFill="background1"/>
              <w:rPr>
                <w:rFonts w:cstheme="minorHAnsi"/>
              </w:rPr>
            </w:pPr>
            <w:hyperlink r:id="rId99" w:anchor=":~:text=The%20Disability%20Housing%20Advocacy%20Service,mediation%20or%20other%20dispute%20resolution" w:history="1">
              <w:r w:rsidR="00B06301" w:rsidRPr="00226C03">
                <w:rPr>
                  <w:rStyle w:val="Hyperlink"/>
                  <w:rFonts w:cstheme="minorHAnsi"/>
                </w:rPr>
                <w:t>https://pwd.org.au/get-help/housing/disability-housing-advocacy-service/#:~:text=The%20Disability%20Housing%20Advocacy%20Service,mediation%20or%20other%20dispute%20resolution</w:t>
              </w:r>
            </w:hyperlink>
            <w:r w:rsidR="00B06301" w:rsidRPr="00226C03">
              <w:rPr>
                <w:rFonts w:cstheme="minorHAnsi"/>
              </w:rPr>
              <w:t xml:space="preserve"> </w:t>
            </w:r>
          </w:p>
        </w:tc>
      </w:tr>
      <w:tr w:rsidR="00B06301" w:rsidRPr="00226C03" w14:paraId="67D2E986" w14:textId="77777777" w:rsidTr="00961495">
        <w:trPr>
          <w:trHeight w:val="249"/>
        </w:trPr>
        <w:tc>
          <w:tcPr>
            <w:tcW w:w="2122" w:type="dxa"/>
          </w:tcPr>
          <w:p w14:paraId="4436683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7228" w:type="dxa"/>
          </w:tcPr>
          <w:p w14:paraId="7648F459" w14:textId="77777777" w:rsidR="00B06301" w:rsidRPr="00226C03" w:rsidRDefault="00B06301" w:rsidP="002D631B">
            <w:pPr>
              <w:pStyle w:val="NoSpacing"/>
              <w:shd w:val="clear" w:color="auto" w:fill="FFFFFF" w:themeFill="background1"/>
              <w:rPr>
                <w:rFonts w:cstheme="minorHAnsi"/>
              </w:rPr>
            </w:pPr>
            <w:r w:rsidRPr="00226C03">
              <w:rPr>
                <w:rFonts w:cstheme="minorHAnsi"/>
              </w:rPr>
              <w:t>Nationwide. Head office in Sydney.</w:t>
            </w:r>
          </w:p>
        </w:tc>
      </w:tr>
      <w:tr w:rsidR="00B06301" w:rsidRPr="00226C03" w14:paraId="2F470A40" w14:textId="77777777" w:rsidTr="00961495">
        <w:trPr>
          <w:trHeight w:val="485"/>
        </w:trPr>
        <w:tc>
          <w:tcPr>
            <w:tcW w:w="2122" w:type="dxa"/>
          </w:tcPr>
          <w:p w14:paraId="2155A8C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7228" w:type="dxa"/>
          </w:tcPr>
          <w:p w14:paraId="6E398242" w14:textId="77777777" w:rsidR="00B06301" w:rsidRPr="00226C03" w:rsidRDefault="00B06301" w:rsidP="002D631B">
            <w:pPr>
              <w:pStyle w:val="NoSpacing"/>
              <w:shd w:val="clear" w:color="auto" w:fill="FFFFFF" w:themeFill="background1"/>
              <w:rPr>
                <w:rFonts w:cstheme="minorHAnsi"/>
              </w:rPr>
            </w:pPr>
            <w:r w:rsidRPr="00226C03">
              <w:rPr>
                <w:rFonts w:cstheme="minorHAnsi"/>
              </w:rPr>
              <w:t>The Disability Housing Advocacy Service provides people in disability housing with a professional advocate, who will help them resolve their housing concerns and enforce their rights. This may be through mediation or other dispute resolution.</w:t>
            </w:r>
          </w:p>
        </w:tc>
      </w:tr>
      <w:tr w:rsidR="00B06301" w:rsidRPr="00226C03" w14:paraId="5B09D674" w14:textId="77777777" w:rsidTr="00961495">
        <w:trPr>
          <w:trHeight w:val="485"/>
        </w:trPr>
        <w:tc>
          <w:tcPr>
            <w:tcW w:w="2122" w:type="dxa"/>
          </w:tcPr>
          <w:p w14:paraId="5360FED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7228" w:type="dxa"/>
          </w:tcPr>
          <w:p w14:paraId="4B1E0DF2" w14:textId="77777777" w:rsidR="00B06301" w:rsidRPr="00226C03" w:rsidRDefault="00B06301" w:rsidP="002D631B">
            <w:pPr>
              <w:pStyle w:val="NoSpacing"/>
              <w:shd w:val="clear" w:color="auto" w:fill="FFFFFF" w:themeFill="background1"/>
              <w:rPr>
                <w:rFonts w:cstheme="minorHAnsi"/>
              </w:rPr>
            </w:pPr>
          </w:p>
        </w:tc>
      </w:tr>
    </w:tbl>
    <w:p w14:paraId="59FFFFD8"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1EE0EBCA" w14:textId="77777777" w:rsidTr="002D631B">
        <w:tc>
          <w:tcPr>
            <w:tcW w:w="9016" w:type="dxa"/>
            <w:gridSpan w:val="2"/>
          </w:tcPr>
          <w:p w14:paraId="4D06F48F"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15</w:t>
            </w:r>
          </w:p>
        </w:tc>
      </w:tr>
      <w:tr w:rsidR="00B06301" w:rsidRPr="00226C03" w14:paraId="7845A68B" w14:textId="77777777" w:rsidTr="002D631B">
        <w:tc>
          <w:tcPr>
            <w:tcW w:w="2122" w:type="dxa"/>
          </w:tcPr>
          <w:p w14:paraId="35C2760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0037D07B"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SDA Housing Investments</w:t>
            </w:r>
          </w:p>
        </w:tc>
      </w:tr>
      <w:tr w:rsidR="00B06301" w:rsidRPr="00226C03" w14:paraId="697AF603" w14:textId="77777777" w:rsidTr="002D631B">
        <w:tc>
          <w:tcPr>
            <w:tcW w:w="2122" w:type="dxa"/>
          </w:tcPr>
          <w:p w14:paraId="2313149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2E0AA57A" w14:textId="77777777" w:rsidR="00B06301" w:rsidRPr="00226C03" w:rsidRDefault="00B06301" w:rsidP="002D631B">
            <w:pPr>
              <w:pStyle w:val="NoSpacing"/>
              <w:shd w:val="clear" w:color="auto" w:fill="FFFFFF" w:themeFill="background1"/>
              <w:rPr>
                <w:rFonts w:cstheme="minorHAnsi"/>
              </w:rPr>
            </w:pPr>
            <w:r w:rsidRPr="00226C03">
              <w:rPr>
                <w:rFonts w:cstheme="minorHAnsi"/>
              </w:rPr>
              <w:t>Barry Rice, Managing Director</w:t>
            </w:r>
          </w:p>
        </w:tc>
      </w:tr>
      <w:tr w:rsidR="00B06301" w:rsidRPr="00226C03" w14:paraId="4061C486" w14:textId="77777777" w:rsidTr="002D631B">
        <w:tc>
          <w:tcPr>
            <w:tcW w:w="2122" w:type="dxa"/>
          </w:tcPr>
          <w:p w14:paraId="2D3CAFE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0C33F59A" w14:textId="77777777" w:rsidR="00B06301" w:rsidRPr="00226C03" w:rsidRDefault="001F76D0" w:rsidP="002D631B">
            <w:pPr>
              <w:pStyle w:val="NoSpacing"/>
              <w:shd w:val="clear" w:color="auto" w:fill="FFFFFF" w:themeFill="background1"/>
              <w:rPr>
                <w:rFonts w:cstheme="minorHAnsi"/>
              </w:rPr>
            </w:pPr>
            <w:hyperlink r:id="rId100" w:history="1">
              <w:r w:rsidR="00B06301" w:rsidRPr="00226C03">
                <w:rPr>
                  <w:rStyle w:val="Hyperlink"/>
                  <w:rFonts w:cstheme="minorHAnsi"/>
                </w:rPr>
                <w:t>https://www.sdahousinginvestments.com.au/</w:t>
              </w:r>
            </w:hyperlink>
            <w:r w:rsidR="00B06301" w:rsidRPr="00226C03">
              <w:rPr>
                <w:rFonts w:cstheme="minorHAnsi"/>
              </w:rPr>
              <w:t xml:space="preserve"> &amp; </w:t>
            </w:r>
            <w:hyperlink r:id="rId101" w:history="1">
              <w:r w:rsidR="00B06301" w:rsidRPr="00226C03">
                <w:rPr>
                  <w:rStyle w:val="Hyperlink"/>
                  <w:rFonts w:cstheme="minorHAnsi"/>
                </w:rPr>
                <w:t>https://www.sdahousinginvestments.com.au/about-us</w:t>
              </w:r>
            </w:hyperlink>
            <w:r w:rsidR="00B06301" w:rsidRPr="00226C03">
              <w:rPr>
                <w:rFonts w:cstheme="minorHAnsi"/>
              </w:rPr>
              <w:t xml:space="preserve"> </w:t>
            </w:r>
          </w:p>
        </w:tc>
      </w:tr>
      <w:tr w:rsidR="00B06301" w:rsidRPr="00226C03" w14:paraId="122E3B2C" w14:textId="77777777" w:rsidTr="002D631B">
        <w:tc>
          <w:tcPr>
            <w:tcW w:w="2122" w:type="dxa"/>
          </w:tcPr>
          <w:p w14:paraId="01BD2FA3"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51D9235B" w14:textId="77777777" w:rsidR="00B06301" w:rsidRPr="00226C03" w:rsidRDefault="00B06301" w:rsidP="002D631B">
            <w:pPr>
              <w:pStyle w:val="NoSpacing"/>
              <w:shd w:val="clear" w:color="auto" w:fill="FFFFFF" w:themeFill="background1"/>
              <w:rPr>
                <w:rFonts w:cstheme="minorHAnsi"/>
              </w:rPr>
            </w:pPr>
            <w:r w:rsidRPr="00226C03">
              <w:rPr>
                <w:rFonts w:cstheme="minorHAnsi"/>
              </w:rPr>
              <w:t>Unknown</w:t>
            </w:r>
          </w:p>
        </w:tc>
      </w:tr>
      <w:tr w:rsidR="00B06301" w:rsidRPr="00226C03" w14:paraId="568D4F31" w14:textId="77777777" w:rsidTr="002D631B">
        <w:tc>
          <w:tcPr>
            <w:tcW w:w="2122" w:type="dxa"/>
          </w:tcPr>
          <w:p w14:paraId="12A0BAB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3B26B227" w14:textId="77777777" w:rsidR="00B06301" w:rsidRPr="00226C03" w:rsidRDefault="00B06301" w:rsidP="002D631B">
            <w:pPr>
              <w:pStyle w:val="NoSpacing"/>
              <w:shd w:val="clear" w:color="auto" w:fill="FFFFFF" w:themeFill="background1"/>
              <w:rPr>
                <w:rFonts w:cstheme="minorHAnsi"/>
              </w:rPr>
            </w:pPr>
            <w:r w:rsidRPr="00226C03">
              <w:rPr>
                <w:rFonts w:cstheme="minorHAnsi"/>
              </w:rPr>
              <w:t>We noticed that there have been many groups and individuals operating in this space, many with fragmented knowledge and limited understanding of the NDIS/SDA concept and its complicated processes. Although the NDIS/SDA rolled out in Victoria, Canberra and NSW some years earlier, the main entities creating SDA housing were big institutions focused on building unit complexes, and hardly any private housing investors involved in delivering homes in suburban environments for 2, 3, and 4 tenant/participants.</w:t>
            </w:r>
          </w:p>
        </w:tc>
      </w:tr>
      <w:tr w:rsidR="00B06301" w:rsidRPr="00226C03" w14:paraId="307E04F8" w14:textId="77777777" w:rsidTr="002D631B">
        <w:tc>
          <w:tcPr>
            <w:tcW w:w="2122" w:type="dxa"/>
          </w:tcPr>
          <w:p w14:paraId="0624008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2E348924" w14:textId="77777777" w:rsidR="00B06301" w:rsidRPr="00226C03" w:rsidRDefault="00B06301" w:rsidP="002D631B">
            <w:pPr>
              <w:pStyle w:val="NoSpacing"/>
              <w:shd w:val="clear" w:color="auto" w:fill="FFFFFF" w:themeFill="background1"/>
              <w:rPr>
                <w:rFonts w:cstheme="minorHAnsi"/>
              </w:rPr>
            </w:pPr>
          </w:p>
        </w:tc>
      </w:tr>
    </w:tbl>
    <w:p w14:paraId="6D915E3B" w14:textId="77777777" w:rsidR="00B06301" w:rsidRPr="00226C03" w:rsidRDefault="00B06301" w:rsidP="00B06301">
      <w:pPr>
        <w:pStyle w:val="NoSpacing"/>
        <w:shd w:val="clear" w:color="auto" w:fill="FFFFFF" w:themeFill="background1"/>
        <w:rPr>
          <w:rFonts w:cstheme="minorHAnsi"/>
        </w:rPr>
      </w:pPr>
    </w:p>
    <w:p w14:paraId="7CD8E9DA" w14:textId="1FE9FFFA" w:rsidR="00727856" w:rsidRDefault="00727856">
      <w:pPr>
        <w:rPr>
          <w:rFonts w:cstheme="minorHAnsi"/>
          <w:lang w:val="en-IE"/>
        </w:rPr>
      </w:pPr>
      <w:r>
        <w:rPr>
          <w:rFonts w:cs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4277B5AA" w14:textId="77777777" w:rsidTr="002D631B">
        <w:tc>
          <w:tcPr>
            <w:tcW w:w="9016" w:type="dxa"/>
            <w:gridSpan w:val="2"/>
          </w:tcPr>
          <w:p w14:paraId="28904A1B"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lastRenderedPageBreak/>
              <w:t>16</w:t>
            </w:r>
          </w:p>
        </w:tc>
      </w:tr>
      <w:tr w:rsidR="00B06301" w:rsidRPr="00226C03" w14:paraId="74C4A12D" w14:textId="77777777" w:rsidTr="002D631B">
        <w:tc>
          <w:tcPr>
            <w:tcW w:w="2122" w:type="dxa"/>
          </w:tcPr>
          <w:p w14:paraId="05811C0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451C9673"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Sunnyfield</w:t>
            </w:r>
          </w:p>
        </w:tc>
      </w:tr>
      <w:tr w:rsidR="00B06301" w:rsidRPr="00226C03" w14:paraId="19892243" w14:textId="77777777" w:rsidTr="002D631B">
        <w:tc>
          <w:tcPr>
            <w:tcW w:w="2122" w:type="dxa"/>
          </w:tcPr>
          <w:p w14:paraId="36682EAA"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55D2F836" w14:textId="77777777" w:rsidR="00B06301" w:rsidRPr="00226C03" w:rsidRDefault="00B06301" w:rsidP="002D631B">
            <w:pPr>
              <w:pStyle w:val="NoSpacing"/>
              <w:shd w:val="clear" w:color="auto" w:fill="FFFFFF" w:themeFill="background1"/>
              <w:rPr>
                <w:rFonts w:cstheme="minorHAnsi"/>
              </w:rPr>
            </w:pPr>
            <w:r w:rsidRPr="00226C03">
              <w:rPr>
                <w:rFonts w:cstheme="minorHAnsi"/>
              </w:rPr>
              <w:t>Caroline Cuddihy, CEO</w:t>
            </w:r>
          </w:p>
        </w:tc>
      </w:tr>
      <w:tr w:rsidR="00B06301" w:rsidRPr="00226C03" w14:paraId="70588600" w14:textId="77777777" w:rsidTr="002D631B">
        <w:tc>
          <w:tcPr>
            <w:tcW w:w="2122" w:type="dxa"/>
          </w:tcPr>
          <w:p w14:paraId="3CF4145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7ABE448B" w14:textId="77777777" w:rsidR="00B06301" w:rsidRPr="00226C03" w:rsidRDefault="001F76D0" w:rsidP="002D631B">
            <w:pPr>
              <w:pStyle w:val="NoSpacing"/>
              <w:shd w:val="clear" w:color="auto" w:fill="FFFFFF" w:themeFill="background1"/>
              <w:rPr>
                <w:rFonts w:cstheme="minorHAnsi"/>
              </w:rPr>
            </w:pPr>
            <w:hyperlink r:id="rId102" w:history="1">
              <w:r w:rsidR="00B06301" w:rsidRPr="00226C03">
                <w:rPr>
                  <w:rStyle w:val="Hyperlink"/>
                  <w:rFonts w:cstheme="minorHAnsi"/>
                </w:rPr>
                <w:t>https://www.sunnyfield.org.au/</w:t>
              </w:r>
            </w:hyperlink>
            <w:r w:rsidR="00B06301" w:rsidRPr="00226C03">
              <w:rPr>
                <w:rFonts w:cstheme="minorHAnsi"/>
              </w:rPr>
              <w:t xml:space="preserve"> &amp; </w:t>
            </w:r>
            <w:hyperlink r:id="rId103" w:history="1">
              <w:r w:rsidR="00B06301" w:rsidRPr="00226C03">
                <w:rPr>
                  <w:rStyle w:val="Hyperlink"/>
                  <w:rFonts w:cstheme="minorHAnsi"/>
                </w:rPr>
                <w:t>https://www.sunnyfield.org.au/services/accommodation/</w:t>
              </w:r>
            </w:hyperlink>
            <w:r w:rsidR="00B06301" w:rsidRPr="00226C03">
              <w:rPr>
                <w:rFonts w:cstheme="minorHAnsi"/>
              </w:rPr>
              <w:t xml:space="preserve"> </w:t>
            </w:r>
          </w:p>
        </w:tc>
      </w:tr>
      <w:tr w:rsidR="00B06301" w:rsidRPr="00226C03" w14:paraId="39CAC18F" w14:textId="77777777" w:rsidTr="002D631B">
        <w:tc>
          <w:tcPr>
            <w:tcW w:w="2122" w:type="dxa"/>
          </w:tcPr>
          <w:p w14:paraId="0F19916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62ED044C" w14:textId="77777777" w:rsidR="00B06301" w:rsidRPr="00226C03" w:rsidRDefault="00B06301" w:rsidP="002D631B">
            <w:pPr>
              <w:pStyle w:val="NoSpacing"/>
              <w:shd w:val="clear" w:color="auto" w:fill="FFFFFF" w:themeFill="background1"/>
              <w:rPr>
                <w:rFonts w:cstheme="minorHAnsi"/>
              </w:rPr>
            </w:pPr>
            <w:r w:rsidRPr="00226C03">
              <w:rPr>
                <w:rFonts w:cstheme="minorHAnsi"/>
              </w:rPr>
              <w:t>New South Wales</w:t>
            </w:r>
          </w:p>
        </w:tc>
      </w:tr>
      <w:tr w:rsidR="00B06301" w:rsidRPr="00226C03" w14:paraId="3CA4E671" w14:textId="77777777" w:rsidTr="002D631B">
        <w:tc>
          <w:tcPr>
            <w:tcW w:w="2122" w:type="dxa"/>
          </w:tcPr>
          <w:p w14:paraId="32705EA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1BEBB5A9"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Supporting people with disability to find a home. </w:t>
            </w:r>
          </w:p>
        </w:tc>
      </w:tr>
      <w:tr w:rsidR="00B06301" w:rsidRPr="00226C03" w14:paraId="33F82DAF" w14:textId="77777777" w:rsidTr="002D631B">
        <w:tc>
          <w:tcPr>
            <w:tcW w:w="2122" w:type="dxa"/>
          </w:tcPr>
          <w:p w14:paraId="1D2952E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555EE15A" w14:textId="77777777" w:rsidR="00B06301" w:rsidRPr="00226C03" w:rsidRDefault="00B06301" w:rsidP="002D631B">
            <w:pPr>
              <w:pStyle w:val="NoSpacing"/>
              <w:shd w:val="clear" w:color="auto" w:fill="FFFFFF" w:themeFill="background1"/>
              <w:rPr>
                <w:rFonts w:cstheme="minorHAnsi"/>
              </w:rPr>
            </w:pPr>
          </w:p>
        </w:tc>
      </w:tr>
    </w:tbl>
    <w:p w14:paraId="603D6448"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749DFC52" w14:textId="77777777" w:rsidTr="002D631B">
        <w:tc>
          <w:tcPr>
            <w:tcW w:w="9016" w:type="dxa"/>
            <w:gridSpan w:val="2"/>
          </w:tcPr>
          <w:p w14:paraId="2E3CFC0B"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17</w:t>
            </w:r>
          </w:p>
        </w:tc>
      </w:tr>
      <w:tr w:rsidR="00B06301" w:rsidRPr="00226C03" w14:paraId="3532ACC1" w14:textId="77777777" w:rsidTr="002D631B">
        <w:tc>
          <w:tcPr>
            <w:tcW w:w="2122" w:type="dxa"/>
          </w:tcPr>
          <w:p w14:paraId="6BE5DD2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6C63369A"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Bridge Housing</w:t>
            </w:r>
          </w:p>
        </w:tc>
      </w:tr>
      <w:tr w:rsidR="00B06301" w:rsidRPr="00226C03" w14:paraId="197A41C9" w14:textId="77777777" w:rsidTr="002D631B">
        <w:tc>
          <w:tcPr>
            <w:tcW w:w="2122" w:type="dxa"/>
          </w:tcPr>
          <w:p w14:paraId="741A36D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2CB79274"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John Nicolades, CEO </w:t>
            </w:r>
          </w:p>
        </w:tc>
      </w:tr>
      <w:tr w:rsidR="00B06301" w:rsidRPr="00226C03" w14:paraId="156C2627" w14:textId="77777777" w:rsidTr="002D631B">
        <w:tc>
          <w:tcPr>
            <w:tcW w:w="2122" w:type="dxa"/>
          </w:tcPr>
          <w:p w14:paraId="023A871A"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1A5DA413" w14:textId="77777777" w:rsidR="00B06301" w:rsidRPr="00226C03" w:rsidRDefault="001F76D0" w:rsidP="002D631B">
            <w:pPr>
              <w:pStyle w:val="NoSpacing"/>
              <w:shd w:val="clear" w:color="auto" w:fill="FFFFFF" w:themeFill="background1"/>
              <w:rPr>
                <w:rFonts w:cstheme="minorHAnsi"/>
              </w:rPr>
            </w:pPr>
            <w:hyperlink r:id="rId104" w:history="1">
              <w:r w:rsidR="00B06301" w:rsidRPr="00226C03">
                <w:rPr>
                  <w:rStyle w:val="Hyperlink"/>
                  <w:rFonts w:cstheme="minorHAnsi"/>
                </w:rPr>
                <w:t>https://www.bridgehousing.org.au/</w:t>
              </w:r>
            </w:hyperlink>
            <w:r w:rsidR="00B06301" w:rsidRPr="00226C03">
              <w:rPr>
                <w:rFonts w:cstheme="minorHAnsi"/>
              </w:rPr>
              <w:t xml:space="preserve"> </w:t>
            </w:r>
          </w:p>
        </w:tc>
      </w:tr>
      <w:tr w:rsidR="00B06301" w:rsidRPr="00226C03" w14:paraId="32EDC19E" w14:textId="77777777" w:rsidTr="002D631B">
        <w:tc>
          <w:tcPr>
            <w:tcW w:w="2122" w:type="dxa"/>
          </w:tcPr>
          <w:p w14:paraId="710067F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37A0E7EA" w14:textId="77777777" w:rsidR="00B06301" w:rsidRPr="00226C03" w:rsidRDefault="00B06301" w:rsidP="002D631B">
            <w:pPr>
              <w:pStyle w:val="NoSpacing"/>
              <w:shd w:val="clear" w:color="auto" w:fill="FFFFFF" w:themeFill="background1"/>
              <w:rPr>
                <w:rFonts w:cstheme="minorHAnsi"/>
              </w:rPr>
            </w:pPr>
            <w:r w:rsidRPr="00226C03">
              <w:rPr>
                <w:rFonts w:cstheme="minorHAnsi"/>
              </w:rPr>
              <w:t>New South Wales</w:t>
            </w:r>
          </w:p>
        </w:tc>
      </w:tr>
      <w:tr w:rsidR="00B06301" w:rsidRPr="00226C03" w14:paraId="17425A18" w14:textId="77777777" w:rsidTr="002D631B">
        <w:tc>
          <w:tcPr>
            <w:tcW w:w="2122" w:type="dxa"/>
          </w:tcPr>
          <w:p w14:paraId="66299A6B"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6515FAC6"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Bridge Housing’s vision is to be a dynamic organisation, recognised for excellence in meeting housing need, improving resident wellbeing and governing responsibly. </w:t>
            </w:r>
          </w:p>
        </w:tc>
      </w:tr>
      <w:tr w:rsidR="00B06301" w:rsidRPr="00226C03" w14:paraId="18A790BC" w14:textId="77777777" w:rsidTr="002D631B">
        <w:tc>
          <w:tcPr>
            <w:tcW w:w="2122" w:type="dxa"/>
          </w:tcPr>
          <w:p w14:paraId="67870E3A"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4339BA29" w14:textId="77777777" w:rsidR="00B06301" w:rsidRPr="00226C03" w:rsidRDefault="00B06301" w:rsidP="002D631B">
            <w:pPr>
              <w:pStyle w:val="NoSpacing"/>
              <w:shd w:val="clear" w:color="auto" w:fill="FFFFFF" w:themeFill="background1"/>
              <w:rPr>
                <w:rFonts w:cstheme="minorHAnsi"/>
              </w:rPr>
            </w:pPr>
          </w:p>
        </w:tc>
      </w:tr>
    </w:tbl>
    <w:p w14:paraId="0F83FC7D"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41DFFC0E" w14:textId="77777777" w:rsidTr="002D631B">
        <w:tc>
          <w:tcPr>
            <w:tcW w:w="9016" w:type="dxa"/>
            <w:gridSpan w:val="2"/>
          </w:tcPr>
          <w:p w14:paraId="5579EF59"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18</w:t>
            </w:r>
          </w:p>
        </w:tc>
      </w:tr>
      <w:tr w:rsidR="00B06301" w:rsidRPr="00226C03" w14:paraId="15F9E833" w14:textId="77777777" w:rsidTr="002D631B">
        <w:tc>
          <w:tcPr>
            <w:tcW w:w="2122" w:type="dxa"/>
          </w:tcPr>
          <w:p w14:paraId="48D56CF1"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3EC13ACF"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Link Housing</w:t>
            </w:r>
          </w:p>
        </w:tc>
      </w:tr>
      <w:tr w:rsidR="00B06301" w:rsidRPr="00226C03" w14:paraId="266FC8DF" w14:textId="77777777" w:rsidTr="002D631B">
        <w:tc>
          <w:tcPr>
            <w:tcW w:w="2122" w:type="dxa"/>
          </w:tcPr>
          <w:p w14:paraId="2F4DAD91"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520860A0" w14:textId="77777777" w:rsidR="00B06301" w:rsidRPr="00226C03" w:rsidRDefault="00B06301" w:rsidP="002D631B">
            <w:pPr>
              <w:pStyle w:val="NoSpacing"/>
              <w:shd w:val="clear" w:color="auto" w:fill="FFFFFF" w:themeFill="background1"/>
              <w:rPr>
                <w:rFonts w:cstheme="minorHAnsi"/>
              </w:rPr>
            </w:pPr>
            <w:r w:rsidRPr="00226C03">
              <w:rPr>
                <w:rFonts w:cstheme="minorHAnsi"/>
              </w:rPr>
              <w:t>Andrew McAnulty, CEO</w:t>
            </w:r>
          </w:p>
        </w:tc>
      </w:tr>
      <w:tr w:rsidR="00B06301" w:rsidRPr="00226C03" w14:paraId="5BB51FFF" w14:textId="77777777" w:rsidTr="002D631B">
        <w:tc>
          <w:tcPr>
            <w:tcW w:w="2122" w:type="dxa"/>
          </w:tcPr>
          <w:p w14:paraId="2979D85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426C9C4D" w14:textId="77777777" w:rsidR="00B06301" w:rsidRPr="00226C03" w:rsidRDefault="001F76D0" w:rsidP="002D631B">
            <w:pPr>
              <w:pStyle w:val="NoSpacing"/>
              <w:shd w:val="clear" w:color="auto" w:fill="FFFFFF" w:themeFill="background1"/>
              <w:rPr>
                <w:rFonts w:cstheme="minorHAnsi"/>
              </w:rPr>
            </w:pPr>
            <w:hyperlink r:id="rId105" w:history="1">
              <w:r w:rsidR="00B06301" w:rsidRPr="00226C03">
                <w:rPr>
                  <w:rStyle w:val="Hyperlink"/>
                  <w:rFonts w:cstheme="minorHAnsi"/>
                </w:rPr>
                <w:t>https://www.linkhousing.org.au/</w:t>
              </w:r>
            </w:hyperlink>
            <w:r w:rsidR="00B06301" w:rsidRPr="00226C03">
              <w:rPr>
                <w:rFonts w:cstheme="minorHAnsi"/>
              </w:rPr>
              <w:t xml:space="preserve"> &amp; </w:t>
            </w:r>
            <w:hyperlink r:id="rId106" w:history="1">
              <w:r w:rsidR="00B06301" w:rsidRPr="00226C03">
                <w:rPr>
                  <w:rStyle w:val="Hyperlink"/>
                  <w:rFonts w:cstheme="minorHAnsi"/>
                </w:rPr>
                <w:t>https://www.linkhousing.org.au/apply/specialist-disability-housing/</w:t>
              </w:r>
            </w:hyperlink>
            <w:r w:rsidR="00B06301" w:rsidRPr="00226C03">
              <w:rPr>
                <w:rFonts w:cstheme="minorHAnsi"/>
              </w:rPr>
              <w:t xml:space="preserve"> </w:t>
            </w:r>
          </w:p>
        </w:tc>
      </w:tr>
      <w:tr w:rsidR="00B06301" w:rsidRPr="00226C03" w14:paraId="25E4B676" w14:textId="77777777" w:rsidTr="002D631B">
        <w:tc>
          <w:tcPr>
            <w:tcW w:w="2122" w:type="dxa"/>
          </w:tcPr>
          <w:p w14:paraId="4E99544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6B43DF91" w14:textId="77777777" w:rsidR="00B06301" w:rsidRPr="00226C03" w:rsidRDefault="00B06301" w:rsidP="002D631B">
            <w:pPr>
              <w:pStyle w:val="NoSpacing"/>
              <w:shd w:val="clear" w:color="auto" w:fill="FFFFFF" w:themeFill="background1"/>
              <w:rPr>
                <w:rFonts w:cstheme="minorHAnsi"/>
              </w:rPr>
            </w:pPr>
            <w:r w:rsidRPr="00226C03">
              <w:rPr>
                <w:rFonts w:cstheme="minorHAnsi"/>
              </w:rPr>
              <w:t>New South Wales</w:t>
            </w:r>
          </w:p>
        </w:tc>
      </w:tr>
      <w:tr w:rsidR="00B06301" w:rsidRPr="00226C03" w14:paraId="0DECB4ED" w14:textId="77777777" w:rsidTr="002D631B">
        <w:tc>
          <w:tcPr>
            <w:tcW w:w="2122" w:type="dxa"/>
          </w:tcPr>
          <w:p w14:paraId="52389F3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6140CC5B" w14:textId="77777777" w:rsidR="00B06301" w:rsidRPr="00226C03" w:rsidRDefault="00B06301" w:rsidP="002D631B">
            <w:pPr>
              <w:pStyle w:val="NoSpacing"/>
              <w:shd w:val="clear" w:color="auto" w:fill="FFFFFF" w:themeFill="background1"/>
              <w:rPr>
                <w:rFonts w:cstheme="minorHAnsi"/>
              </w:rPr>
            </w:pPr>
            <w:r w:rsidRPr="00226C03">
              <w:rPr>
                <w:rFonts w:cstheme="minorHAnsi"/>
              </w:rPr>
              <w:t>Link Housing is a long-term provider of housing for people with a disability. For the past 35 years, Link Housing has been providing safe, secure and affordable housing for people with a disability.</w:t>
            </w:r>
          </w:p>
        </w:tc>
      </w:tr>
      <w:tr w:rsidR="00B06301" w:rsidRPr="00226C03" w14:paraId="124F13EE" w14:textId="77777777" w:rsidTr="002D631B">
        <w:tc>
          <w:tcPr>
            <w:tcW w:w="2122" w:type="dxa"/>
          </w:tcPr>
          <w:p w14:paraId="4CE590D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1DF31A92" w14:textId="77777777" w:rsidR="00B06301" w:rsidRPr="00226C03" w:rsidRDefault="00B06301" w:rsidP="002D631B">
            <w:pPr>
              <w:pStyle w:val="NoSpacing"/>
              <w:shd w:val="clear" w:color="auto" w:fill="FFFFFF" w:themeFill="background1"/>
              <w:rPr>
                <w:rFonts w:cstheme="minorHAnsi"/>
              </w:rPr>
            </w:pPr>
          </w:p>
        </w:tc>
      </w:tr>
    </w:tbl>
    <w:p w14:paraId="196828F2"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736E5383" w14:textId="77777777" w:rsidTr="002D631B">
        <w:tc>
          <w:tcPr>
            <w:tcW w:w="9016" w:type="dxa"/>
            <w:gridSpan w:val="2"/>
          </w:tcPr>
          <w:p w14:paraId="4BF79079"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b/>
                <w:bCs/>
                <w:sz w:val="22"/>
                <w:szCs w:val="22"/>
              </w:rPr>
              <w:t>19</w:t>
            </w:r>
          </w:p>
        </w:tc>
      </w:tr>
      <w:tr w:rsidR="00B06301" w:rsidRPr="00226C03" w14:paraId="1F673B58" w14:textId="77777777" w:rsidTr="002D631B">
        <w:tc>
          <w:tcPr>
            <w:tcW w:w="2122" w:type="dxa"/>
          </w:tcPr>
          <w:p w14:paraId="6A86B57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4CEC46DC"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Compass Housing Services</w:t>
            </w:r>
          </w:p>
        </w:tc>
      </w:tr>
      <w:tr w:rsidR="00B06301" w:rsidRPr="00226C03" w14:paraId="0C245673" w14:textId="77777777" w:rsidTr="002D631B">
        <w:tc>
          <w:tcPr>
            <w:tcW w:w="2122" w:type="dxa"/>
          </w:tcPr>
          <w:p w14:paraId="565C552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2F3B2C6E" w14:textId="77777777" w:rsidR="00B06301" w:rsidRPr="00226C03" w:rsidRDefault="00B06301" w:rsidP="002D631B">
            <w:pPr>
              <w:pStyle w:val="NoSpacing"/>
              <w:shd w:val="clear" w:color="auto" w:fill="FFFFFF" w:themeFill="background1"/>
              <w:rPr>
                <w:rFonts w:cstheme="minorHAnsi"/>
              </w:rPr>
            </w:pPr>
            <w:r w:rsidRPr="00226C03">
              <w:rPr>
                <w:rFonts w:cstheme="minorHAnsi"/>
              </w:rPr>
              <w:t>Greg Budworth, Group managing Director</w:t>
            </w:r>
          </w:p>
        </w:tc>
      </w:tr>
      <w:tr w:rsidR="00B06301" w:rsidRPr="00226C03" w14:paraId="473D692D" w14:textId="77777777" w:rsidTr="002D631B">
        <w:tc>
          <w:tcPr>
            <w:tcW w:w="2122" w:type="dxa"/>
          </w:tcPr>
          <w:p w14:paraId="69152F2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6CBDC50D" w14:textId="77777777" w:rsidR="00B06301" w:rsidRPr="00226C03" w:rsidRDefault="001F76D0" w:rsidP="002D631B">
            <w:pPr>
              <w:pStyle w:val="NoSpacing"/>
              <w:shd w:val="clear" w:color="auto" w:fill="FFFFFF" w:themeFill="background1"/>
              <w:rPr>
                <w:rFonts w:cstheme="minorHAnsi"/>
              </w:rPr>
            </w:pPr>
            <w:hyperlink r:id="rId107" w:history="1">
              <w:r w:rsidR="00B06301" w:rsidRPr="00226C03">
                <w:rPr>
                  <w:rStyle w:val="Hyperlink"/>
                  <w:rFonts w:cstheme="minorHAnsi"/>
                </w:rPr>
                <w:t>https://www.compasshousing.org/</w:t>
              </w:r>
            </w:hyperlink>
            <w:r w:rsidR="00B06301" w:rsidRPr="00226C03">
              <w:rPr>
                <w:rFonts w:cstheme="minorHAnsi"/>
              </w:rPr>
              <w:t xml:space="preserve"> </w:t>
            </w:r>
          </w:p>
        </w:tc>
      </w:tr>
      <w:tr w:rsidR="00B06301" w:rsidRPr="00226C03" w14:paraId="64E9F29F" w14:textId="77777777" w:rsidTr="002D631B">
        <w:tc>
          <w:tcPr>
            <w:tcW w:w="2122" w:type="dxa"/>
          </w:tcPr>
          <w:p w14:paraId="19F8BB17"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762E2FBA"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New South Wales </w:t>
            </w:r>
          </w:p>
        </w:tc>
      </w:tr>
      <w:tr w:rsidR="00B06301" w:rsidRPr="00226C03" w14:paraId="5D4972F3" w14:textId="77777777" w:rsidTr="002D631B">
        <w:tc>
          <w:tcPr>
            <w:tcW w:w="2122" w:type="dxa"/>
          </w:tcPr>
          <w:p w14:paraId="7E0DA7E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6CF0646C" w14:textId="77777777" w:rsidR="00B06301" w:rsidRPr="00226C03" w:rsidRDefault="00B06301" w:rsidP="002D631B">
            <w:pPr>
              <w:pStyle w:val="NoSpacing"/>
              <w:shd w:val="clear" w:color="auto" w:fill="FFFFFF" w:themeFill="background1"/>
              <w:rPr>
                <w:rFonts w:cstheme="minorHAnsi"/>
              </w:rPr>
            </w:pPr>
            <w:r w:rsidRPr="00226C03">
              <w:rPr>
                <w:rFonts w:cstheme="minorHAnsi"/>
              </w:rPr>
              <w:t>Compass has a long and successful history of managing homes for people with high and complex support and housing needs. In the 2019 transfer of disability group homes and disability respite homes from the NSW Department of Family and Community Services to the non-government sector, Compass successfully took over the tenancy and property management of 114 group homes across Sydney, Northern NSW, Illawarra/Shoalhaven, New England, Southern NSW and the Central West.</w:t>
            </w:r>
          </w:p>
        </w:tc>
      </w:tr>
      <w:tr w:rsidR="00B06301" w:rsidRPr="00226C03" w14:paraId="454DCA12" w14:textId="77777777" w:rsidTr="002D631B">
        <w:tc>
          <w:tcPr>
            <w:tcW w:w="2122" w:type="dxa"/>
          </w:tcPr>
          <w:p w14:paraId="65CBCDE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56A64FBC" w14:textId="77777777" w:rsidR="00B06301" w:rsidRPr="00226C03" w:rsidRDefault="00B06301" w:rsidP="002D631B">
            <w:pPr>
              <w:pStyle w:val="NoSpacing"/>
              <w:shd w:val="clear" w:color="auto" w:fill="FFFFFF" w:themeFill="background1"/>
              <w:rPr>
                <w:rFonts w:cstheme="minorHAnsi"/>
              </w:rPr>
            </w:pPr>
          </w:p>
        </w:tc>
      </w:tr>
    </w:tbl>
    <w:p w14:paraId="544DE828" w14:textId="77777777" w:rsidR="00B06301" w:rsidRPr="00226C03" w:rsidRDefault="00B06301" w:rsidP="00B06301">
      <w:pPr>
        <w:pStyle w:val="NoSpacing"/>
        <w:shd w:val="clear" w:color="auto" w:fill="FFFFFF" w:themeFill="background1"/>
        <w:rPr>
          <w:rFonts w:cstheme="minorHAnsi"/>
        </w:rPr>
      </w:pPr>
    </w:p>
    <w:p w14:paraId="4BD03BA5" w14:textId="00D73649" w:rsidR="00727856" w:rsidRDefault="00727856">
      <w:pPr>
        <w:rPr>
          <w:rFonts w:cstheme="minorHAnsi"/>
          <w:lang w:val="en-IE"/>
        </w:rPr>
      </w:pPr>
      <w:r>
        <w:rPr>
          <w:rFonts w:cstheme="minorHAnsi"/>
        </w:rPr>
        <w:br w:type="page"/>
      </w:r>
    </w:p>
    <w:p w14:paraId="5B4A4D3C"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5223AAAA" w14:textId="77777777" w:rsidTr="002D631B">
        <w:tc>
          <w:tcPr>
            <w:tcW w:w="9016" w:type="dxa"/>
            <w:gridSpan w:val="2"/>
          </w:tcPr>
          <w:p w14:paraId="0E8CFF1D"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20</w:t>
            </w:r>
          </w:p>
        </w:tc>
      </w:tr>
      <w:tr w:rsidR="00B06301" w:rsidRPr="00226C03" w14:paraId="75C8D2E5" w14:textId="77777777" w:rsidTr="002D631B">
        <w:tc>
          <w:tcPr>
            <w:tcW w:w="2122" w:type="dxa"/>
          </w:tcPr>
          <w:p w14:paraId="3D571F43"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52572F92"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Kirinari</w:t>
            </w:r>
          </w:p>
        </w:tc>
      </w:tr>
      <w:tr w:rsidR="00B06301" w:rsidRPr="00226C03" w14:paraId="1D5FE674" w14:textId="77777777" w:rsidTr="002D631B">
        <w:tc>
          <w:tcPr>
            <w:tcW w:w="2122" w:type="dxa"/>
          </w:tcPr>
          <w:p w14:paraId="344F99B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6CCA0648" w14:textId="77777777" w:rsidR="00B06301" w:rsidRPr="00226C03" w:rsidRDefault="00B06301" w:rsidP="002D631B">
            <w:pPr>
              <w:pStyle w:val="NoSpacing"/>
              <w:shd w:val="clear" w:color="auto" w:fill="FFFFFF" w:themeFill="background1"/>
              <w:rPr>
                <w:rFonts w:cstheme="minorHAnsi"/>
              </w:rPr>
            </w:pPr>
            <w:r w:rsidRPr="00226C03">
              <w:rPr>
                <w:rFonts w:cstheme="minorHAnsi"/>
              </w:rPr>
              <w:t>Unknown</w:t>
            </w:r>
          </w:p>
        </w:tc>
      </w:tr>
      <w:tr w:rsidR="00B06301" w:rsidRPr="00226C03" w14:paraId="52AA14F0" w14:textId="77777777" w:rsidTr="002D631B">
        <w:tc>
          <w:tcPr>
            <w:tcW w:w="2122" w:type="dxa"/>
          </w:tcPr>
          <w:p w14:paraId="0318B20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65719D3D" w14:textId="77777777" w:rsidR="00B06301" w:rsidRPr="00226C03" w:rsidRDefault="001F76D0" w:rsidP="002D631B">
            <w:pPr>
              <w:pStyle w:val="NoSpacing"/>
              <w:shd w:val="clear" w:color="auto" w:fill="FFFFFF" w:themeFill="background1"/>
              <w:rPr>
                <w:rFonts w:cstheme="minorHAnsi"/>
              </w:rPr>
            </w:pPr>
            <w:hyperlink r:id="rId108" w:history="1">
              <w:r w:rsidR="00B06301" w:rsidRPr="00226C03">
                <w:rPr>
                  <w:rStyle w:val="Hyperlink"/>
                  <w:rFonts w:cstheme="minorHAnsi"/>
                </w:rPr>
                <w:t>https://kirinari.com.au/</w:t>
              </w:r>
            </w:hyperlink>
            <w:r w:rsidR="00B06301" w:rsidRPr="00226C03">
              <w:rPr>
                <w:rFonts w:cstheme="minorHAnsi"/>
              </w:rPr>
              <w:t xml:space="preserve"> &amp; </w:t>
            </w:r>
            <w:hyperlink r:id="rId109" w:history="1">
              <w:r w:rsidR="00B06301" w:rsidRPr="00226C03">
                <w:rPr>
                  <w:rStyle w:val="Hyperlink"/>
                  <w:rFonts w:cstheme="minorHAnsi"/>
                </w:rPr>
                <w:t>https://kirinari.com.au/specialist-disability-accommodation/</w:t>
              </w:r>
            </w:hyperlink>
            <w:r w:rsidR="00B06301" w:rsidRPr="00226C03">
              <w:rPr>
                <w:rFonts w:cstheme="minorHAnsi"/>
              </w:rPr>
              <w:t xml:space="preserve"> </w:t>
            </w:r>
          </w:p>
        </w:tc>
      </w:tr>
      <w:tr w:rsidR="00B06301" w:rsidRPr="00226C03" w14:paraId="31DAA0C0" w14:textId="77777777" w:rsidTr="002D631B">
        <w:tc>
          <w:tcPr>
            <w:tcW w:w="2122" w:type="dxa"/>
          </w:tcPr>
          <w:p w14:paraId="61F21B9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201A73D6" w14:textId="77777777" w:rsidR="00B06301" w:rsidRPr="00226C03" w:rsidRDefault="00B06301" w:rsidP="002D631B">
            <w:pPr>
              <w:pStyle w:val="NoSpacing"/>
              <w:shd w:val="clear" w:color="auto" w:fill="FFFFFF" w:themeFill="background1"/>
              <w:rPr>
                <w:rFonts w:cstheme="minorHAnsi"/>
              </w:rPr>
            </w:pPr>
            <w:r w:rsidRPr="00226C03">
              <w:rPr>
                <w:rFonts w:cstheme="minorHAnsi"/>
              </w:rPr>
              <w:t>New South Wales</w:t>
            </w:r>
          </w:p>
        </w:tc>
      </w:tr>
      <w:tr w:rsidR="00B06301" w:rsidRPr="00226C03" w14:paraId="46D39040" w14:textId="77777777" w:rsidTr="002D631B">
        <w:tc>
          <w:tcPr>
            <w:tcW w:w="2122" w:type="dxa"/>
          </w:tcPr>
          <w:p w14:paraId="2B55AE9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111752E3"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Kirinari’s Specialist Disability Accommodation (SDA) is for people who require specialist housing solutions to assist with the delivery of supports that cater for their extreme functional impairment or very high support needs. Specialist Disability Accommodation doesn’t refer to the support services but the homes in which these supports are delivered if supports are required.  </w:t>
            </w:r>
          </w:p>
        </w:tc>
      </w:tr>
      <w:tr w:rsidR="00B06301" w:rsidRPr="00226C03" w14:paraId="5165E409" w14:textId="77777777" w:rsidTr="002D631B">
        <w:tc>
          <w:tcPr>
            <w:tcW w:w="2122" w:type="dxa"/>
          </w:tcPr>
          <w:p w14:paraId="3D51D38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072C8138" w14:textId="77777777" w:rsidR="00B06301" w:rsidRPr="00226C03" w:rsidRDefault="00B06301" w:rsidP="002D631B">
            <w:pPr>
              <w:pStyle w:val="NoSpacing"/>
              <w:shd w:val="clear" w:color="auto" w:fill="FFFFFF" w:themeFill="background1"/>
              <w:rPr>
                <w:rFonts w:cstheme="minorHAnsi"/>
              </w:rPr>
            </w:pPr>
          </w:p>
        </w:tc>
      </w:tr>
    </w:tbl>
    <w:p w14:paraId="49B2283F"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0095397E" w14:textId="77777777" w:rsidTr="002D631B">
        <w:tc>
          <w:tcPr>
            <w:tcW w:w="9016" w:type="dxa"/>
            <w:gridSpan w:val="2"/>
          </w:tcPr>
          <w:p w14:paraId="52BEE648"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21</w:t>
            </w:r>
          </w:p>
        </w:tc>
      </w:tr>
      <w:tr w:rsidR="00B06301" w:rsidRPr="00226C03" w14:paraId="5B22CD78" w14:textId="77777777" w:rsidTr="002D631B">
        <w:tc>
          <w:tcPr>
            <w:tcW w:w="2122" w:type="dxa"/>
          </w:tcPr>
          <w:p w14:paraId="77CB485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4CA46E28"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Community Housing Limited</w:t>
            </w:r>
          </w:p>
        </w:tc>
      </w:tr>
      <w:tr w:rsidR="00B06301" w:rsidRPr="00226C03" w14:paraId="33CEB906" w14:textId="77777777" w:rsidTr="002D631B">
        <w:tc>
          <w:tcPr>
            <w:tcW w:w="2122" w:type="dxa"/>
          </w:tcPr>
          <w:p w14:paraId="613165B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3F18C1C7" w14:textId="77777777" w:rsidR="00B06301" w:rsidRPr="00226C03" w:rsidRDefault="00B06301" w:rsidP="002D631B">
            <w:pPr>
              <w:pStyle w:val="NoSpacing"/>
              <w:shd w:val="clear" w:color="auto" w:fill="FFFFFF" w:themeFill="background1"/>
              <w:rPr>
                <w:rFonts w:cstheme="minorHAnsi"/>
              </w:rPr>
            </w:pPr>
            <w:r w:rsidRPr="00226C03">
              <w:rPr>
                <w:rFonts w:cstheme="minorHAnsi"/>
              </w:rPr>
              <w:t>Unknown</w:t>
            </w:r>
          </w:p>
        </w:tc>
      </w:tr>
      <w:tr w:rsidR="00B06301" w:rsidRPr="00226C03" w14:paraId="00485DAC" w14:textId="77777777" w:rsidTr="002D631B">
        <w:tc>
          <w:tcPr>
            <w:tcW w:w="2122" w:type="dxa"/>
          </w:tcPr>
          <w:p w14:paraId="1C9CEAD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4AE9A414" w14:textId="77777777" w:rsidR="00B06301" w:rsidRPr="00226C03" w:rsidRDefault="001F76D0" w:rsidP="002D631B">
            <w:pPr>
              <w:pStyle w:val="NoSpacing"/>
              <w:shd w:val="clear" w:color="auto" w:fill="FFFFFF" w:themeFill="background1"/>
              <w:rPr>
                <w:rFonts w:cstheme="minorHAnsi"/>
              </w:rPr>
            </w:pPr>
            <w:hyperlink r:id="rId110" w:history="1">
              <w:r w:rsidR="00B06301" w:rsidRPr="00226C03">
                <w:rPr>
                  <w:rStyle w:val="Hyperlink"/>
                  <w:rFonts w:cstheme="minorHAnsi"/>
                </w:rPr>
                <w:t>https://chl.org.au/</w:t>
              </w:r>
            </w:hyperlink>
            <w:r w:rsidR="00B06301" w:rsidRPr="00226C03">
              <w:rPr>
                <w:rFonts w:cstheme="minorHAnsi"/>
              </w:rPr>
              <w:t xml:space="preserve"> </w:t>
            </w:r>
          </w:p>
        </w:tc>
      </w:tr>
      <w:tr w:rsidR="00B06301" w:rsidRPr="00226C03" w14:paraId="76ACF9D1" w14:textId="77777777" w:rsidTr="002D631B">
        <w:tc>
          <w:tcPr>
            <w:tcW w:w="2122" w:type="dxa"/>
          </w:tcPr>
          <w:p w14:paraId="733E511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38BAF099" w14:textId="77777777" w:rsidR="00B06301" w:rsidRPr="00226C03" w:rsidRDefault="00B06301" w:rsidP="002D631B">
            <w:pPr>
              <w:pStyle w:val="NoSpacing"/>
              <w:shd w:val="clear" w:color="auto" w:fill="FFFFFF" w:themeFill="background1"/>
              <w:rPr>
                <w:rFonts w:cstheme="minorHAnsi"/>
              </w:rPr>
            </w:pPr>
            <w:r w:rsidRPr="00226C03">
              <w:rPr>
                <w:rFonts w:cstheme="minorHAnsi"/>
              </w:rPr>
              <w:t>New South Wales &amp; Victoria</w:t>
            </w:r>
          </w:p>
        </w:tc>
      </w:tr>
      <w:tr w:rsidR="00B06301" w:rsidRPr="00226C03" w14:paraId="306E36F1" w14:textId="77777777" w:rsidTr="002D631B">
        <w:tc>
          <w:tcPr>
            <w:tcW w:w="2122" w:type="dxa"/>
          </w:tcPr>
          <w:p w14:paraId="64F8B7C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34AEC953" w14:textId="77777777" w:rsidR="00B06301" w:rsidRPr="00226C03" w:rsidRDefault="00B06301" w:rsidP="002D631B">
            <w:pPr>
              <w:pStyle w:val="NoSpacing"/>
              <w:shd w:val="clear" w:color="auto" w:fill="FFFFFF" w:themeFill="background1"/>
              <w:rPr>
                <w:rFonts w:cstheme="minorHAnsi"/>
              </w:rPr>
            </w:pPr>
            <w:r w:rsidRPr="00226C03">
              <w:rPr>
                <w:rFonts w:cstheme="minorHAnsi"/>
              </w:rPr>
              <w:t>Community Housing Ltd (CHL) Is A Multi Award Winning Organisation With Over 25 Years Of Expertise In The Design, Development And Management Of Housing For People Living With A Disability.</w:t>
            </w:r>
          </w:p>
        </w:tc>
      </w:tr>
      <w:tr w:rsidR="00B06301" w:rsidRPr="00226C03" w14:paraId="56B4A579" w14:textId="77777777" w:rsidTr="002D631B">
        <w:tc>
          <w:tcPr>
            <w:tcW w:w="2122" w:type="dxa"/>
          </w:tcPr>
          <w:p w14:paraId="0F3E817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6BF95166" w14:textId="77777777" w:rsidR="00B06301" w:rsidRPr="00226C03" w:rsidRDefault="00B06301" w:rsidP="002D631B">
            <w:pPr>
              <w:pStyle w:val="NoSpacing"/>
              <w:shd w:val="clear" w:color="auto" w:fill="FFFFFF" w:themeFill="background1"/>
              <w:rPr>
                <w:rFonts w:cstheme="minorHAnsi"/>
              </w:rPr>
            </w:pPr>
          </w:p>
        </w:tc>
      </w:tr>
    </w:tbl>
    <w:p w14:paraId="1BEA990F"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6F0745DE" w14:textId="77777777" w:rsidTr="002D631B">
        <w:tc>
          <w:tcPr>
            <w:tcW w:w="9016" w:type="dxa"/>
            <w:gridSpan w:val="2"/>
          </w:tcPr>
          <w:p w14:paraId="11FE9783"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22</w:t>
            </w:r>
          </w:p>
        </w:tc>
      </w:tr>
      <w:tr w:rsidR="00B06301" w:rsidRPr="00226C03" w14:paraId="48A37ECF" w14:textId="77777777" w:rsidTr="002D631B">
        <w:tc>
          <w:tcPr>
            <w:tcW w:w="2122" w:type="dxa"/>
          </w:tcPr>
          <w:p w14:paraId="0510483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5CAF357A"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The Housing Connection Limited</w:t>
            </w:r>
          </w:p>
        </w:tc>
      </w:tr>
      <w:tr w:rsidR="00B06301" w:rsidRPr="00226C03" w14:paraId="4EA0CE39" w14:textId="77777777" w:rsidTr="002D631B">
        <w:tc>
          <w:tcPr>
            <w:tcW w:w="2122" w:type="dxa"/>
          </w:tcPr>
          <w:p w14:paraId="43449DD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3A684EB8"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Nicola Hayhoe, CEO </w:t>
            </w:r>
          </w:p>
        </w:tc>
      </w:tr>
      <w:tr w:rsidR="00B06301" w:rsidRPr="00226C03" w14:paraId="1D8F003F" w14:textId="77777777" w:rsidTr="002D631B">
        <w:tc>
          <w:tcPr>
            <w:tcW w:w="2122" w:type="dxa"/>
          </w:tcPr>
          <w:p w14:paraId="0A14315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43B54E70" w14:textId="77777777" w:rsidR="00B06301" w:rsidRPr="00226C03" w:rsidRDefault="001F76D0" w:rsidP="002D631B">
            <w:pPr>
              <w:pStyle w:val="NoSpacing"/>
              <w:shd w:val="clear" w:color="auto" w:fill="FFFFFF" w:themeFill="background1"/>
              <w:rPr>
                <w:rFonts w:cstheme="minorHAnsi"/>
              </w:rPr>
            </w:pPr>
            <w:hyperlink r:id="rId111" w:history="1">
              <w:r w:rsidR="00B06301" w:rsidRPr="00226C03">
                <w:rPr>
                  <w:rStyle w:val="Hyperlink"/>
                  <w:rFonts w:cstheme="minorHAnsi"/>
                </w:rPr>
                <w:t>https://www.thc.org.au/</w:t>
              </w:r>
            </w:hyperlink>
            <w:r w:rsidR="00B06301" w:rsidRPr="00226C03">
              <w:rPr>
                <w:rFonts w:cstheme="minorHAnsi"/>
              </w:rPr>
              <w:t xml:space="preserve"> </w:t>
            </w:r>
          </w:p>
        </w:tc>
      </w:tr>
      <w:tr w:rsidR="00B06301" w:rsidRPr="00226C03" w14:paraId="1B1AD320" w14:textId="77777777" w:rsidTr="002D631B">
        <w:tc>
          <w:tcPr>
            <w:tcW w:w="2122" w:type="dxa"/>
          </w:tcPr>
          <w:p w14:paraId="1209376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069EF49D" w14:textId="77777777" w:rsidR="00B06301" w:rsidRPr="00226C03" w:rsidRDefault="00B06301" w:rsidP="002D631B">
            <w:pPr>
              <w:pStyle w:val="NoSpacing"/>
              <w:shd w:val="clear" w:color="auto" w:fill="FFFFFF" w:themeFill="background1"/>
              <w:rPr>
                <w:rFonts w:cstheme="minorHAnsi"/>
              </w:rPr>
            </w:pPr>
            <w:r w:rsidRPr="00226C03">
              <w:rPr>
                <w:rFonts w:cstheme="minorHAnsi"/>
              </w:rPr>
              <w:t>New South Wales</w:t>
            </w:r>
          </w:p>
        </w:tc>
      </w:tr>
      <w:tr w:rsidR="00B06301" w:rsidRPr="00226C03" w14:paraId="70334D69" w14:textId="77777777" w:rsidTr="002D631B">
        <w:tc>
          <w:tcPr>
            <w:tcW w:w="2122" w:type="dxa"/>
          </w:tcPr>
          <w:p w14:paraId="6F222CEB"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0D22195A" w14:textId="77777777" w:rsidR="00B06301" w:rsidRPr="00226C03" w:rsidRDefault="00B06301" w:rsidP="002D631B">
            <w:pPr>
              <w:pStyle w:val="NoSpacing"/>
              <w:shd w:val="clear" w:color="auto" w:fill="FFFFFF" w:themeFill="background1"/>
              <w:rPr>
                <w:rFonts w:cstheme="minorHAnsi"/>
              </w:rPr>
            </w:pPr>
            <w:r w:rsidRPr="00226C03">
              <w:rPr>
                <w:rFonts w:cstheme="minorHAnsi"/>
              </w:rPr>
              <w:t>The people we support may live in accommodation provided by Community Housing or the Department of Housing, in family homes, or in rented units and houses. We can assist people to find suitable accommodation and help the person and their families through the process of moving in and out. We provide skills development to support people before, during and after moving homes. We work collaboratively to focus on solutions, building partnerships with accommodation suppliers and the community to provide the best accommodation for the people we support.</w:t>
            </w:r>
          </w:p>
        </w:tc>
      </w:tr>
      <w:tr w:rsidR="00B06301" w:rsidRPr="00226C03" w14:paraId="13466BD8" w14:textId="77777777" w:rsidTr="002D631B">
        <w:tc>
          <w:tcPr>
            <w:tcW w:w="2122" w:type="dxa"/>
          </w:tcPr>
          <w:p w14:paraId="7B2DAC6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223CD865" w14:textId="77777777" w:rsidR="00B06301" w:rsidRPr="00226C03" w:rsidRDefault="00B06301" w:rsidP="002D631B">
            <w:pPr>
              <w:pStyle w:val="NoSpacing"/>
              <w:shd w:val="clear" w:color="auto" w:fill="FFFFFF" w:themeFill="background1"/>
              <w:rPr>
                <w:rFonts w:cstheme="minorHAnsi"/>
              </w:rPr>
            </w:pPr>
          </w:p>
        </w:tc>
      </w:tr>
    </w:tbl>
    <w:p w14:paraId="0FA3E615" w14:textId="6BCB8835" w:rsidR="00727856" w:rsidRDefault="00727856" w:rsidP="00B06301">
      <w:pPr>
        <w:pStyle w:val="NoSpacing"/>
        <w:shd w:val="clear" w:color="auto" w:fill="FFFFFF" w:themeFill="background1"/>
        <w:rPr>
          <w:rFonts w:cstheme="minorHAnsi"/>
        </w:rPr>
      </w:pPr>
    </w:p>
    <w:p w14:paraId="7A354380" w14:textId="77777777" w:rsidR="00727856" w:rsidRDefault="00727856">
      <w:pPr>
        <w:rPr>
          <w:rFonts w:cstheme="minorHAnsi"/>
          <w:lang w:val="en-IE"/>
        </w:rPr>
      </w:pPr>
      <w:r>
        <w:rPr>
          <w:rFonts w:cs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49DA92ED" w14:textId="77777777" w:rsidTr="002D631B">
        <w:tc>
          <w:tcPr>
            <w:tcW w:w="9016" w:type="dxa"/>
            <w:gridSpan w:val="2"/>
          </w:tcPr>
          <w:p w14:paraId="2F1B6ABD"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b/>
                <w:bCs/>
                <w:sz w:val="22"/>
                <w:szCs w:val="22"/>
              </w:rPr>
              <w:lastRenderedPageBreak/>
              <w:t>23</w:t>
            </w:r>
          </w:p>
        </w:tc>
      </w:tr>
      <w:tr w:rsidR="00B06301" w:rsidRPr="00226C03" w14:paraId="3593597C" w14:textId="77777777" w:rsidTr="002D631B">
        <w:tc>
          <w:tcPr>
            <w:tcW w:w="2122" w:type="dxa"/>
          </w:tcPr>
          <w:p w14:paraId="614365C3"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71A3D79B"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ARUMA</w:t>
            </w:r>
          </w:p>
        </w:tc>
      </w:tr>
      <w:tr w:rsidR="00B06301" w:rsidRPr="00226C03" w14:paraId="4AA1DA0E" w14:textId="77777777" w:rsidTr="002D631B">
        <w:tc>
          <w:tcPr>
            <w:tcW w:w="2122" w:type="dxa"/>
          </w:tcPr>
          <w:p w14:paraId="70DCAD6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5CF553EF" w14:textId="77777777" w:rsidR="00B06301" w:rsidRPr="00226C03" w:rsidRDefault="00B06301" w:rsidP="002D631B">
            <w:pPr>
              <w:pStyle w:val="NoSpacing"/>
              <w:shd w:val="clear" w:color="auto" w:fill="FFFFFF" w:themeFill="background1"/>
              <w:rPr>
                <w:rFonts w:cstheme="minorHAnsi"/>
              </w:rPr>
            </w:pPr>
            <w:r w:rsidRPr="00226C03">
              <w:rPr>
                <w:rFonts w:cstheme="minorHAnsi"/>
              </w:rPr>
              <w:t>Andrew Richardson, CEO</w:t>
            </w:r>
          </w:p>
        </w:tc>
      </w:tr>
      <w:tr w:rsidR="00B06301" w:rsidRPr="00226C03" w14:paraId="6FA43AA1" w14:textId="77777777" w:rsidTr="002D631B">
        <w:tc>
          <w:tcPr>
            <w:tcW w:w="2122" w:type="dxa"/>
          </w:tcPr>
          <w:p w14:paraId="3E3729F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6551011A" w14:textId="77777777" w:rsidR="00B06301" w:rsidRPr="00226C03" w:rsidRDefault="001F76D0" w:rsidP="002D631B">
            <w:pPr>
              <w:pStyle w:val="NoSpacing"/>
              <w:shd w:val="clear" w:color="auto" w:fill="FFFFFF" w:themeFill="background1"/>
              <w:rPr>
                <w:rFonts w:cstheme="minorHAnsi"/>
              </w:rPr>
            </w:pPr>
            <w:hyperlink r:id="rId112" w:history="1">
              <w:r w:rsidR="00B06301" w:rsidRPr="00226C03">
                <w:rPr>
                  <w:rStyle w:val="Hyperlink"/>
                  <w:rFonts w:cstheme="minorHAnsi"/>
                </w:rPr>
                <w:t>https://www.aruma.com.au/</w:t>
              </w:r>
            </w:hyperlink>
            <w:r w:rsidR="00B06301" w:rsidRPr="00226C03">
              <w:rPr>
                <w:rFonts w:cstheme="minorHAnsi"/>
              </w:rPr>
              <w:t xml:space="preserve"> </w:t>
            </w:r>
          </w:p>
        </w:tc>
      </w:tr>
      <w:tr w:rsidR="00B06301" w:rsidRPr="00226C03" w14:paraId="2E639305" w14:textId="77777777" w:rsidTr="002D631B">
        <w:tc>
          <w:tcPr>
            <w:tcW w:w="2122" w:type="dxa"/>
          </w:tcPr>
          <w:p w14:paraId="0A6A19D1"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236D2CFC" w14:textId="77777777" w:rsidR="00B06301" w:rsidRPr="00226C03" w:rsidRDefault="00B06301" w:rsidP="002D631B">
            <w:pPr>
              <w:pStyle w:val="NoSpacing"/>
              <w:shd w:val="clear" w:color="auto" w:fill="FFFFFF" w:themeFill="background1"/>
              <w:rPr>
                <w:rFonts w:cstheme="minorHAnsi"/>
              </w:rPr>
            </w:pPr>
            <w:r w:rsidRPr="00226C03">
              <w:rPr>
                <w:rFonts w:cstheme="minorHAnsi"/>
              </w:rPr>
              <w:t>New South Wales</w:t>
            </w:r>
          </w:p>
        </w:tc>
      </w:tr>
      <w:tr w:rsidR="00B06301" w:rsidRPr="00226C03" w14:paraId="0636F14D" w14:textId="77777777" w:rsidTr="002D631B">
        <w:tc>
          <w:tcPr>
            <w:tcW w:w="2122" w:type="dxa"/>
          </w:tcPr>
          <w:p w14:paraId="3D0BE7A1"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0CC1E9E7" w14:textId="77777777" w:rsidR="00B06301" w:rsidRPr="00226C03" w:rsidRDefault="00B06301" w:rsidP="002D631B">
            <w:pPr>
              <w:pStyle w:val="NoSpacing"/>
              <w:shd w:val="clear" w:color="auto" w:fill="FFFFFF" w:themeFill="background1"/>
              <w:rPr>
                <w:rFonts w:cstheme="minorHAnsi"/>
              </w:rPr>
            </w:pPr>
            <w:r w:rsidRPr="00226C03">
              <w:rPr>
                <w:rFonts w:cstheme="minorHAnsi"/>
              </w:rPr>
              <w:t>Supported Independent Living (SIL) is sometimes called shared accommodation. SIL is an NDIS support where a person with a disability lives with other people. You will also receive support with everyday tasks like cleaning, cooking and personal care. Specialist Disability Accommodation (SDA) is assessed and funded separately to SIL.</w:t>
            </w:r>
          </w:p>
        </w:tc>
      </w:tr>
      <w:tr w:rsidR="00B06301" w:rsidRPr="00226C03" w14:paraId="56B8A5C9" w14:textId="77777777" w:rsidTr="002D631B">
        <w:tc>
          <w:tcPr>
            <w:tcW w:w="2122" w:type="dxa"/>
          </w:tcPr>
          <w:p w14:paraId="04D3DB29"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4E8B729C" w14:textId="77777777" w:rsidR="00B06301" w:rsidRPr="00226C03" w:rsidRDefault="00B06301" w:rsidP="002D631B">
            <w:pPr>
              <w:pStyle w:val="NoSpacing"/>
              <w:shd w:val="clear" w:color="auto" w:fill="FFFFFF" w:themeFill="background1"/>
              <w:rPr>
                <w:rFonts w:cstheme="minorHAnsi"/>
              </w:rPr>
            </w:pPr>
          </w:p>
        </w:tc>
      </w:tr>
    </w:tbl>
    <w:p w14:paraId="5DAC76DE"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41D19FEC" w14:textId="77777777" w:rsidTr="002D631B">
        <w:tc>
          <w:tcPr>
            <w:tcW w:w="9016" w:type="dxa"/>
            <w:gridSpan w:val="2"/>
          </w:tcPr>
          <w:p w14:paraId="3C591D9B"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24</w:t>
            </w:r>
          </w:p>
        </w:tc>
      </w:tr>
      <w:tr w:rsidR="00B06301" w:rsidRPr="00226C03" w14:paraId="2A6494D9" w14:textId="77777777" w:rsidTr="002D631B">
        <w:tc>
          <w:tcPr>
            <w:tcW w:w="2122" w:type="dxa"/>
          </w:tcPr>
          <w:p w14:paraId="21F0E7B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31F54BAA"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 xml:space="preserve">Unisson Disability </w:t>
            </w:r>
          </w:p>
        </w:tc>
      </w:tr>
      <w:tr w:rsidR="00B06301" w:rsidRPr="00226C03" w14:paraId="1FB806C0" w14:textId="77777777" w:rsidTr="002D631B">
        <w:tc>
          <w:tcPr>
            <w:tcW w:w="2122" w:type="dxa"/>
          </w:tcPr>
          <w:p w14:paraId="6FAF055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286E04B9" w14:textId="77777777" w:rsidR="00B06301" w:rsidRPr="00226C03" w:rsidRDefault="00B06301" w:rsidP="002D631B">
            <w:pPr>
              <w:pStyle w:val="NoSpacing"/>
              <w:shd w:val="clear" w:color="auto" w:fill="FFFFFF" w:themeFill="background1"/>
              <w:rPr>
                <w:rFonts w:cstheme="minorHAnsi"/>
              </w:rPr>
            </w:pPr>
            <w:r w:rsidRPr="00226C03">
              <w:rPr>
                <w:rFonts w:cstheme="minorHAnsi"/>
              </w:rPr>
              <w:t>David Kneeshaw, CEO</w:t>
            </w:r>
          </w:p>
        </w:tc>
      </w:tr>
      <w:tr w:rsidR="00B06301" w:rsidRPr="00226C03" w14:paraId="0BF97E1A" w14:textId="77777777" w:rsidTr="002D631B">
        <w:tc>
          <w:tcPr>
            <w:tcW w:w="2122" w:type="dxa"/>
          </w:tcPr>
          <w:p w14:paraId="71E7A98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5F6049BB" w14:textId="77777777" w:rsidR="00B06301" w:rsidRPr="00226C03" w:rsidRDefault="001F76D0" w:rsidP="002D631B">
            <w:pPr>
              <w:pStyle w:val="NoSpacing"/>
              <w:shd w:val="clear" w:color="auto" w:fill="FFFFFF" w:themeFill="background1"/>
              <w:rPr>
                <w:rFonts w:cstheme="minorHAnsi"/>
              </w:rPr>
            </w:pPr>
            <w:hyperlink r:id="rId113" w:history="1">
              <w:r w:rsidR="00B06301" w:rsidRPr="00226C03">
                <w:rPr>
                  <w:rStyle w:val="Hyperlink"/>
                  <w:rFonts w:cstheme="minorHAnsi"/>
                </w:rPr>
                <w:t>https://unissondisability.org.au/</w:t>
              </w:r>
            </w:hyperlink>
            <w:r w:rsidR="00B06301" w:rsidRPr="00226C03">
              <w:rPr>
                <w:rFonts w:cstheme="minorHAnsi"/>
              </w:rPr>
              <w:t xml:space="preserve"> &amp; </w:t>
            </w:r>
            <w:hyperlink r:id="rId114" w:history="1">
              <w:r w:rsidR="00B06301" w:rsidRPr="00226C03">
                <w:rPr>
                  <w:rStyle w:val="Hyperlink"/>
                  <w:rFonts w:cstheme="minorHAnsi"/>
                </w:rPr>
                <w:t>https://www.lifestylesolutions.org.au/disability-services/accommodation/</w:t>
              </w:r>
            </w:hyperlink>
            <w:r w:rsidR="00B06301" w:rsidRPr="00226C03">
              <w:rPr>
                <w:rFonts w:cstheme="minorHAnsi"/>
              </w:rPr>
              <w:t xml:space="preserve"> </w:t>
            </w:r>
          </w:p>
        </w:tc>
      </w:tr>
      <w:tr w:rsidR="00B06301" w:rsidRPr="00226C03" w14:paraId="1ABAC814" w14:textId="77777777" w:rsidTr="002D631B">
        <w:tc>
          <w:tcPr>
            <w:tcW w:w="2122" w:type="dxa"/>
          </w:tcPr>
          <w:p w14:paraId="7D6765E3"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02BCA962"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New South Wales </w:t>
            </w:r>
          </w:p>
        </w:tc>
      </w:tr>
      <w:tr w:rsidR="00B06301" w:rsidRPr="00226C03" w14:paraId="24113C4A" w14:textId="77777777" w:rsidTr="002D631B">
        <w:tc>
          <w:tcPr>
            <w:tcW w:w="2122" w:type="dxa"/>
          </w:tcPr>
          <w:p w14:paraId="0A9A78F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631E7F94" w14:textId="77777777" w:rsidR="00B06301" w:rsidRPr="00226C03" w:rsidRDefault="00B06301" w:rsidP="002D631B">
            <w:pPr>
              <w:pStyle w:val="NoSpacing"/>
              <w:shd w:val="clear" w:color="auto" w:fill="FFFFFF" w:themeFill="background1"/>
              <w:rPr>
                <w:rFonts w:cstheme="minorHAnsi"/>
              </w:rPr>
            </w:pPr>
            <w:r w:rsidRPr="00226C03">
              <w:rPr>
                <w:rFonts w:cstheme="minorHAnsi"/>
              </w:rPr>
              <w:t>At Unisson Disability, our goal is to support your choice regarding where you live – whether that’s at home with your family, in a place of your own, or in a home with others in the community. We’ll listen carefully to get a clear picture of your goals. Then together, we’ll come up with a way forward that can help you achieve them. The accommodation support we offer is flexible and can adapt as your needs change over time. Accommodation support could be someone dropping in to your home once a week, all the way up to a 24 hour model of high needs support.</w:t>
            </w:r>
          </w:p>
        </w:tc>
      </w:tr>
      <w:tr w:rsidR="00B06301" w:rsidRPr="00226C03" w14:paraId="5FE7187B" w14:textId="77777777" w:rsidTr="002D631B">
        <w:tc>
          <w:tcPr>
            <w:tcW w:w="2122" w:type="dxa"/>
          </w:tcPr>
          <w:p w14:paraId="4442AF7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4D520DC5" w14:textId="77777777" w:rsidR="00B06301" w:rsidRPr="00226C03" w:rsidRDefault="00B06301" w:rsidP="002D631B">
            <w:pPr>
              <w:pStyle w:val="NoSpacing"/>
              <w:shd w:val="clear" w:color="auto" w:fill="FFFFFF" w:themeFill="background1"/>
              <w:rPr>
                <w:rFonts w:cstheme="minorHAnsi"/>
              </w:rPr>
            </w:pPr>
          </w:p>
        </w:tc>
      </w:tr>
    </w:tbl>
    <w:p w14:paraId="6B29E86B" w14:textId="77777777" w:rsidR="00B06301" w:rsidRPr="00226C03" w:rsidRDefault="00B06301" w:rsidP="00B06301">
      <w:pPr>
        <w:pStyle w:val="NoSpacing"/>
        <w:shd w:val="clear" w:color="auto" w:fill="FFFFFF" w:themeFill="background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6E71EB0C" w14:textId="77777777" w:rsidTr="002D631B">
        <w:tc>
          <w:tcPr>
            <w:tcW w:w="9016" w:type="dxa"/>
            <w:gridSpan w:val="2"/>
          </w:tcPr>
          <w:p w14:paraId="41C645D6"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25</w:t>
            </w:r>
          </w:p>
        </w:tc>
      </w:tr>
      <w:tr w:rsidR="00B06301" w:rsidRPr="00226C03" w14:paraId="32C94310" w14:textId="77777777" w:rsidTr="002D631B">
        <w:tc>
          <w:tcPr>
            <w:tcW w:w="2122" w:type="dxa"/>
          </w:tcPr>
          <w:p w14:paraId="23531011"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449C1472"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 xml:space="preserve">Lifestyle Solutions </w:t>
            </w:r>
          </w:p>
        </w:tc>
      </w:tr>
      <w:tr w:rsidR="00B06301" w:rsidRPr="00226C03" w14:paraId="069F1EA8" w14:textId="77777777" w:rsidTr="002D631B">
        <w:tc>
          <w:tcPr>
            <w:tcW w:w="2122" w:type="dxa"/>
          </w:tcPr>
          <w:p w14:paraId="6E1E9AF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272D0ED7" w14:textId="77777777" w:rsidR="00B06301" w:rsidRPr="00226C03" w:rsidRDefault="00B06301" w:rsidP="002D631B">
            <w:pPr>
              <w:pStyle w:val="NoSpacing"/>
              <w:shd w:val="clear" w:color="auto" w:fill="FFFFFF" w:themeFill="background1"/>
              <w:rPr>
                <w:rFonts w:cstheme="minorHAnsi"/>
              </w:rPr>
            </w:pPr>
            <w:r w:rsidRPr="00226C03">
              <w:rPr>
                <w:rFonts w:cstheme="minorHAnsi"/>
              </w:rPr>
              <w:t>Andrew Hyland, CEO</w:t>
            </w:r>
          </w:p>
        </w:tc>
      </w:tr>
      <w:tr w:rsidR="00B06301" w:rsidRPr="00226C03" w14:paraId="79FD3A2E" w14:textId="77777777" w:rsidTr="002D631B">
        <w:tc>
          <w:tcPr>
            <w:tcW w:w="2122" w:type="dxa"/>
          </w:tcPr>
          <w:p w14:paraId="2167D0A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26BB4971" w14:textId="77777777" w:rsidR="00B06301" w:rsidRPr="00226C03" w:rsidRDefault="001F76D0" w:rsidP="002D631B">
            <w:pPr>
              <w:pStyle w:val="NoSpacing"/>
              <w:shd w:val="clear" w:color="auto" w:fill="FFFFFF" w:themeFill="background1"/>
              <w:rPr>
                <w:rFonts w:cstheme="minorHAnsi"/>
              </w:rPr>
            </w:pPr>
            <w:hyperlink r:id="rId115" w:history="1">
              <w:r w:rsidR="00B06301" w:rsidRPr="00226C03">
                <w:rPr>
                  <w:rStyle w:val="Hyperlink"/>
                  <w:rFonts w:cstheme="minorHAnsi"/>
                </w:rPr>
                <w:t>https://www.lifestylesolutions.org.au/</w:t>
              </w:r>
            </w:hyperlink>
            <w:r w:rsidR="00B06301" w:rsidRPr="00226C03">
              <w:rPr>
                <w:rFonts w:cstheme="minorHAnsi"/>
              </w:rPr>
              <w:t xml:space="preserve"> </w:t>
            </w:r>
          </w:p>
        </w:tc>
      </w:tr>
      <w:tr w:rsidR="00B06301" w:rsidRPr="00226C03" w14:paraId="1C825B9A" w14:textId="77777777" w:rsidTr="002D631B">
        <w:tc>
          <w:tcPr>
            <w:tcW w:w="2122" w:type="dxa"/>
          </w:tcPr>
          <w:p w14:paraId="02ADF78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66FD3FB8"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Nationwide </w:t>
            </w:r>
          </w:p>
        </w:tc>
      </w:tr>
      <w:tr w:rsidR="00B06301" w:rsidRPr="00226C03" w14:paraId="5F0D4EB1" w14:textId="77777777" w:rsidTr="002D631B">
        <w:tc>
          <w:tcPr>
            <w:tcW w:w="2122" w:type="dxa"/>
          </w:tcPr>
          <w:p w14:paraId="5000E0B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4CB88D30" w14:textId="77777777" w:rsidR="00B06301" w:rsidRPr="00226C03" w:rsidRDefault="00B06301" w:rsidP="002D631B">
            <w:pPr>
              <w:pStyle w:val="NoSpacing"/>
              <w:shd w:val="clear" w:color="auto" w:fill="FFFFFF" w:themeFill="background1"/>
              <w:rPr>
                <w:rFonts w:cstheme="minorHAnsi"/>
              </w:rPr>
            </w:pPr>
            <w:r w:rsidRPr="00226C03">
              <w:rPr>
                <w:rFonts w:cstheme="minorHAnsi"/>
              </w:rPr>
              <w:t>Built around our customer’s needs we provide a range of accommodation options to enable you to live more independently. Specialist Disability Accommodation (SDA) is for people with high needs who need specialist accommodation. Your Specialist Disability Accommodation (SDA) funding is intended to cover the costs of building or modifying the home and physical environment. Our SDA properties have been built with your needs in mind, so they are ready to move into. Your SDA funding is not for the support services you receive while living in the home. This is funded separately by the NDIS through Supported Independent Living (SIL). If you have SDA funding for accommodation in your NDIS plan we have a number of current vacancies that may suit your needs.</w:t>
            </w:r>
          </w:p>
        </w:tc>
      </w:tr>
      <w:tr w:rsidR="00B06301" w:rsidRPr="00226C03" w14:paraId="73BB952B" w14:textId="77777777" w:rsidTr="002D631B">
        <w:tc>
          <w:tcPr>
            <w:tcW w:w="2122" w:type="dxa"/>
          </w:tcPr>
          <w:p w14:paraId="1C90B77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76DC126B" w14:textId="77777777" w:rsidR="00B06301" w:rsidRPr="00226C03" w:rsidRDefault="00B06301" w:rsidP="002D631B">
            <w:pPr>
              <w:pStyle w:val="NoSpacing"/>
              <w:shd w:val="clear" w:color="auto" w:fill="FFFFFF" w:themeFill="background1"/>
              <w:rPr>
                <w:rFonts w:cstheme="minorHAnsi"/>
              </w:rPr>
            </w:pPr>
          </w:p>
        </w:tc>
      </w:tr>
    </w:tbl>
    <w:p w14:paraId="7E568E06" w14:textId="77777777" w:rsidR="00B06301" w:rsidRPr="00226C03" w:rsidRDefault="00B06301" w:rsidP="00B06301">
      <w:pPr>
        <w:pStyle w:val="NoSpacing"/>
        <w:shd w:val="clear" w:color="auto" w:fill="FFFFFF" w:themeFill="background1"/>
        <w:rPr>
          <w:rFonts w:cstheme="minorHAnsi"/>
        </w:rPr>
      </w:pPr>
    </w:p>
    <w:p w14:paraId="599382AD" w14:textId="686B7537" w:rsidR="00727856" w:rsidRDefault="00727856">
      <w:pPr>
        <w:rPr>
          <w:rFonts w:cstheme="minorHAnsi"/>
          <w:lang w:val="en-IE"/>
        </w:rPr>
      </w:pPr>
      <w:r>
        <w:rPr>
          <w:rFonts w:cs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73B12E81" w14:textId="77777777" w:rsidTr="002D631B">
        <w:tc>
          <w:tcPr>
            <w:tcW w:w="9016" w:type="dxa"/>
            <w:gridSpan w:val="2"/>
          </w:tcPr>
          <w:p w14:paraId="0B09027D"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lastRenderedPageBreak/>
              <w:t>26</w:t>
            </w:r>
          </w:p>
        </w:tc>
      </w:tr>
      <w:tr w:rsidR="00B06301" w:rsidRPr="00226C03" w14:paraId="4F0BBF30" w14:textId="77777777" w:rsidTr="002D631B">
        <w:tc>
          <w:tcPr>
            <w:tcW w:w="2122" w:type="dxa"/>
          </w:tcPr>
          <w:p w14:paraId="6F51F46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361B43FB"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Disability Housing Information Line, People With Disability Australia</w:t>
            </w:r>
          </w:p>
        </w:tc>
      </w:tr>
      <w:tr w:rsidR="00B06301" w:rsidRPr="00226C03" w14:paraId="2448E992" w14:textId="77777777" w:rsidTr="002D631B">
        <w:tc>
          <w:tcPr>
            <w:tcW w:w="2122" w:type="dxa"/>
          </w:tcPr>
          <w:p w14:paraId="10B2677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2737D73C" w14:textId="77777777" w:rsidR="00B06301" w:rsidRPr="00226C03" w:rsidRDefault="00B06301" w:rsidP="002D631B">
            <w:pPr>
              <w:pStyle w:val="NoSpacing"/>
              <w:shd w:val="clear" w:color="auto" w:fill="FFFFFF" w:themeFill="background1"/>
              <w:rPr>
                <w:rFonts w:cstheme="minorHAnsi"/>
              </w:rPr>
            </w:pPr>
            <w:r w:rsidRPr="00226C03">
              <w:rPr>
                <w:rFonts w:cstheme="minorHAnsi"/>
              </w:rPr>
              <w:t>Karin Waldmann, CEO</w:t>
            </w:r>
          </w:p>
        </w:tc>
      </w:tr>
      <w:tr w:rsidR="00B06301" w:rsidRPr="00226C03" w14:paraId="1A706840" w14:textId="77777777" w:rsidTr="002D631B">
        <w:tc>
          <w:tcPr>
            <w:tcW w:w="2122" w:type="dxa"/>
          </w:tcPr>
          <w:p w14:paraId="1C35588A"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45925916" w14:textId="77777777" w:rsidR="00B06301" w:rsidRPr="00226C03" w:rsidRDefault="001F76D0" w:rsidP="002D631B">
            <w:pPr>
              <w:pStyle w:val="NoSpacing"/>
              <w:shd w:val="clear" w:color="auto" w:fill="FFFFFF" w:themeFill="background1"/>
              <w:rPr>
                <w:rFonts w:cstheme="minorHAnsi"/>
              </w:rPr>
            </w:pPr>
            <w:hyperlink r:id="rId116" w:history="1">
              <w:r w:rsidR="00B06301" w:rsidRPr="00226C03">
                <w:rPr>
                  <w:rStyle w:val="Hyperlink"/>
                  <w:rFonts w:cstheme="minorHAnsi"/>
                </w:rPr>
                <w:t>https://pwd.org.au/get-help/housing/disability-housing-information-line/</w:t>
              </w:r>
            </w:hyperlink>
            <w:r w:rsidR="00B06301" w:rsidRPr="00226C03">
              <w:rPr>
                <w:rFonts w:cstheme="minorHAnsi"/>
              </w:rPr>
              <w:t xml:space="preserve"> </w:t>
            </w:r>
          </w:p>
        </w:tc>
      </w:tr>
      <w:tr w:rsidR="00B06301" w:rsidRPr="00226C03" w14:paraId="41F75779" w14:textId="77777777" w:rsidTr="002D631B">
        <w:tc>
          <w:tcPr>
            <w:tcW w:w="2122" w:type="dxa"/>
          </w:tcPr>
          <w:p w14:paraId="655C2F1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1C88AA3B"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Nationwide. Head office in Sydney. </w:t>
            </w:r>
          </w:p>
        </w:tc>
      </w:tr>
      <w:tr w:rsidR="00B06301" w:rsidRPr="00226C03" w14:paraId="752AF0BD" w14:textId="77777777" w:rsidTr="002D631B">
        <w:tc>
          <w:tcPr>
            <w:tcW w:w="2122" w:type="dxa"/>
          </w:tcPr>
          <w:p w14:paraId="48E3A61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60674766" w14:textId="77777777" w:rsidR="00B06301" w:rsidRPr="00226C03" w:rsidRDefault="00B06301" w:rsidP="002D631B">
            <w:pPr>
              <w:pStyle w:val="NoSpacing"/>
              <w:shd w:val="clear" w:color="auto" w:fill="FFFFFF" w:themeFill="background1"/>
              <w:rPr>
                <w:rFonts w:cstheme="minorHAnsi"/>
              </w:rPr>
            </w:pPr>
            <w:r w:rsidRPr="00226C03">
              <w:rPr>
                <w:rFonts w:cstheme="minorHAnsi"/>
              </w:rPr>
              <w:t>It is important for those of us living in disability housing to have somewhere to go to get independent information and advice about our housing rights. The Disability Housing Information Line provides information and advice to people living in Specialist Disability Accommodation (SDA), their supporters and accommodation providers.</w:t>
            </w:r>
          </w:p>
        </w:tc>
      </w:tr>
      <w:tr w:rsidR="00B06301" w:rsidRPr="00226C03" w14:paraId="76F1B0C6" w14:textId="77777777" w:rsidTr="002D631B">
        <w:tc>
          <w:tcPr>
            <w:tcW w:w="2122" w:type="dxa"/>
          </w:tcPr>
          <w:p w14:paraId="0B6276F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5B7A1E85" w14:textId="77777777" w:rsidR="00B06301" w:rsidRPr="00226C03" w:rsidRDefault="00B06301" w:rsidP="002D631B">
            <w:pPr>
              <w:pStyle w:val="NoSpacing"/>
              <w:shd w:val="clear" w:color="auto" w:fill="FFFFFF" w:themeFill="background1"/>
              <w:rPr>
                <w:rFonts w:cstheme="minorHAnsi"/>
              </w:rPr>
            </w:pPr>
          </w:p>
        </w:tc>
      </w:tr>
    </w:tbl>
    <w:p w14:paraId="3117A1AE"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575EB959" w14:textId="77777777" w:rsidTr="002D631B">
        <w:tc>
          <w:tcPr>
            <w:tcW w:w="9016" w:type="dxa"/>
            <w:gridSpan w:val="2"/>
          </w:tcPr>
          <w:p w14:paraId="72A24C87"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27</w:t>
            </w:r>
          </w:p>
        </w:tc>
      </w:tr>
      <w:tr w:rsidR="00B06301" w:rsidRPr="00226C03" w14:paraId="5C2CA6ED" w14:textId="77777777" w:rsidTr="002D631B">
        <w:tc>
          <w:tcPr>
            <w:tcW w:w="2122" w:type="dxa"/>
          </w:tcPr>
          <w:p w14:paraId="67F9712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677705F6"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Shared Lives Plus</w:t>
            </w:r>
          </w:p>
        </w:tc>
      </w:tr>
      <w:tr w:rsidR="00B06301" w:rsidRPr="00226C03" w14:paraId="755CBFC4" w14:textId="77777777" w:rsidTr="002D631B">
        <w:tc>
          <w:tcPr>
            <w:tcW w:w="2122" w:type="dxa"/>
          </w:tcPr>
          <w:p w14:paraId="380CB5E7"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5AAB36A8" w14:textId="77777777" w:rsidR="00B06301" w:rsidRPr="00226C03" w:rsidRDefault="001F76D0" w:rsidP="002D631B">
            <w:pPr>
              <w:pStyle w:val="NoSpacing"/>
              <w:shd w:val="clear" w:color="auto" w:fill="FFFFFF" w:themeFill="background1"/>
              <w:rPr>
                <w:rFonts w:cstheme="minorHAnsi"/>
              </w:rPr>
            </w:pPr>
            <w:hyperlink r:id="rId117" w:history="1">
              <w:r w:rsidR="00B06301" w:rsidRPr="00226C03">
                <w:rPr>
                  <w:rStyle w:val="Hyperlink"/>
                  <w:rFonts w:cstheme="minorHAnsi"/>
                </w:rPr>
                <w:t>info@sharedlivesplus.org.uk</w:t>
              </w:r>
            </w:hyperlink>
            <w:r w:rsidR="00B06301" w:rsidRPr="00226C03">
              <w:rPr>
                <w:rFonts w:cstheme="minorHAnsi"/>
              </w:rPr>
              <w:t xml:space="preserve">  </w:t>
            </w:r>
          </w:p>
        </w:tc>
      </w:tr>
      <w:tr w:rsidR="00B06301" w:rsidRPr="00226C03" w14:paraId="799F049E" w14:textId="77777777" w:rsidTr="002D631B">
        <w:tc>
          <w:tcPr>
            <w:tcW w:w="2122" w:type="dxa"/>
          </w:tcPr>
          <w:p w14:paraId="0235C24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636A21C9" w14:textId="77777777" w:rsidR="00B06301" w:rsidRPr="00226C03" w:rsidRDefault="001F76D0" w:rsidP="002D631B">
            <w:pPr>
              <w:pStyle w:val="NoSpacing"/>
              <w:shd w:val="clear" w:color="auto" w:fill="FFFFFF" w:themeFill="background1"/>
              <w:rPr>
                <w:rFonts w:cstheme="minorHAnsi"/>
              </w:rPr>
            </w:pPr>
            <w:hyperlink r:id="rId118" w:history="1">
              <w:r w:rsidR="00B06301" w:rsidRPr="00226C03">
                <w:rPr>
                  <w:rStyle w:val="Hyperlink"/>
                  <w:rFonts w:cstheme="minorHAnsi"/>
                </w:rPr>
                <w:t>https://sharedlivesplus.org.uk/</w:t>
              </w:r>
            </w:hyperlink>
            <w:r w:rsidR="00B06301" w:rsidRPr="00226C03">
              <w:rPr>
                <w:rFonts w:cstheme="minorHAnsi"/>
              </w:rPr>
              <w:t xml:space="preserve"> </w:t>
            </w:r>
          </w:p>
        </w:tc>
      </w:tr>
      <w:tr w:rsidR="00B06301" w:rsidRPr="00226C03" w14:paraId="22E05D05" w14:textId="77777777" w:rsidTr="002D631B">
        <w:tc>
          <w:tcPr>
            <w:tcW w:w="2122" w:type="dxa"/>
          </w:tcPr>
          <w:p w14:paraId="6481281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49ECF784" w14:textId="77777777" w:rsidR="00B06301" w:rsidRPr="00226C03" w:rsidRDefault="00B06301" w:rsidP="002D631B">
            <w:pPr>
              <w:pStyle w:val="NoSpacing"/>
              <w:shd w:val="clear" w:color="auto" w:fill="FFFFFF" w:themeFill="background1"/>
              <w:rPr>
                <w:rFonts w:cstheme="minorHAnsi"/>
              </w:rPr>
            </w:pPr>
            <w:r w:rsidRPr="00226C03">
              <w:rPr>
                <w:rFonts w:cstheme="minorHAnsi"/>
              </w:rPr>
              <w:t>Based in Liverpool, United Kingdom, but works across the United Kingdom</w:t>
            </w:r>
          </w:p>
        </w:tc>
      </w:tr>
      <w:tr w:rsidR="00B06301" w:rsidRPr="00226C03" w14:paraId="5643942C" w14:textId="77777777" w:rsidTr="002D631B">
        <w:tc>
          <w:tcPr>
            <w:tcW w:w="2122" w:type="dxa"/>
          </w:tcPr>
          <w:p w14:paraId="145D490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59C784EE" w14:textId="77777777" w:rsidR="00B06301" w:rsidRPr="00226C03" w:rsidRDefault="00B06301" w:rsidP="002D631B">
            <w:pPr>
              <w:pStyle w:val="NoSpacing"/>
              <w:shd w:val="clear" w:color="auto" w:fill="FFFFFF" w:themeFill="background1"/>
              <w:rPr>
                <w:rFonts w:cstheme="minorHAnsi"/>
              </w:rPr>
            </w:pPr>
            <w:r w:rsidRPr="00226C03">
              <w:rPr>
                <w:rFonts w:cstheme="minorHAnsi"/>
              </w:rPr>
              <w:t>Shared Lives suits many people – over 14,000 people already enjoy visiting or living with a Shared Lives carer. When you choose who supports you, with the help of your local scheme, you and your Shared Lives carer, and their friends and family, often become friends – as well as getting the professional support you need.</w:t>
            </w:r>
          </w:p>
        </w:tc>
      </w:tr>
      <w:tr w:rsidR="00B06301" w:rsidRPr="00226C03" w14:paraId="49D6489C" w14:textId="77777777" w:rsidTr="002D631B">
        <w:tc>
          <w:tcPr>
            <w:tcW w:w="2122" w:type="dxa"/>
          </w:tcPr>
          <w:p w14:paraId="7998438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6163B9A8" w14:textId="77777777" w:rsidR="00B06301" w:rsidRPr="00226C03" w:rsidRDefault="00B06301" w:rsidP="002D631B">
            <w:pPr>
              <w:pStyle w:val="NoSpacing"/>
              <w:shd w:val="clear" w:color="auto" w:fill="FFFFFF" w:themeFill="background1"/>
              <w:rPr>
                <w:rFonts w:cstheme="minorHAnsi"/>
              </w:rPr>
            </w:pPr>
            <w:r w:rsidRPr="00226C03">
              <w:rPr>
                <w:rFonts w:cstheme="minorHAnsi"/>
              </w:rPr>
              <w:t>Recommended by Prof Chris Hatton. “Shared Lives is becoming a bit of a brand, but this and homeshare organisations are still gradually growing in the UK.”</w:t>
            </w:r>
          </w:p>
        </w:tc>
      </w:tr>
    </w:tbl>
    <w:p w14:paraId="3CAC55B3"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239CE16E" w14:textId="77777777" w:rsidTr="002D631B">
        <w:tc>
          <w:tcPr>
            <w:tcW w:w="9016" w:type="dxa"/>
            <w:gridSpan w:val="2"/>
          </w:tcPr>
          <w:p w14:paraId="3A608361"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28</w:t>
            </w:r>
          </w:p>
        </w:tc>
      </w:tr>
      <w:tr w:rsidR="00B06301" w:rsidRPr="00226C03" w14:paraId="7D06AB47" w14:textId="77777777" w:rsidTr="002D631B">
        <w:tc>
          <w:tcPr>
            <w:tcW w:w="2122" w:type="dxa"/>
          </w:tcPr>
          <w:p w14:paraId="5480ED7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7123948C"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Alderwood LLA</w:t>
            </w:r>
          </w:p>
        </w:tc>
      </w:tr>
      <w:tr w:rsidR="00B06301" w:rsidRPr="00226C03" w14:paraId="4E5A0B25" w14:textId="77777777" w:rsidTr="002D631B">
        <w:tc>
          <w:tcPr>
            <w:tcW w:w="2122" w:type="dxa"/>
          </w:tcPr>
          <w:p w14:paraId="03E5BCB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1F850D40" w14:textId="77777777" w:rsidR="00B06301" w:rsidRPr="00226C03" w:rsidRDefault="001F76D0" w:rsidP="002D631B">
            <w:pPr>
              <w:pStyle w:val="NoSpacing"/>
              <w:shd w:val="clear" w:color="auto" w:fill="FFFFFF" w:themeFill="background1"/>
              <w:rPr>
                <w:rFonts w:cstheme="minorHAnsi"/>
              </w:rPr>
            </w:pPr>
            <w:hyperlink r:id="rId119" w:history="1">
              <w:r w:rsidR="00B06301" w:rsidRPr="00226C03">
                <w:rPr>
                  <w:rStyle w:val="Hyperlink"/>
                  <w:rFonts w:cstheme="minorHAnsi"/>
                </w:rPr>
                <w:t>info@alderwoodlla.co.og</w:t>
              </w:r>
            </w:hyperlink>
            <w:r w:rsidR="00B06301" w:rsidRPr="00226C03">
              <w:rPr>
                <w:rFonts w:cstheme="minorHAnsi"/>
              </w:rPr>
              <w:t xml:space="preserve"> </w:t>
            </w:r>
          </w:p>
        </w:tc>
      </w:tr>
      <w:tr w:rsidR="00B06301" w:rsidRPr="00226C03" w14:paraId="41A9A24F" w14:textId="77777777" w:rsidTr="002D631B">
        <w:tc>
          <w:tcPr>
            <w:tcW w:w="2122" w:type="dxa"/>
          </w:tcPr>
          <w:p w14:paraId="6F6A5B7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5E42BF16" w14:textId="77777777" w:rsidR="00B06301" w:rsidRPr="00226C03" w:rsidRDefault="001F76D0" w:rsidP="002D631B">
            <w:pPr>
              <w:pStyle w:val="NoSpacing"/>
              <w:shd w:val="clear" w:color="auto" w:fill="FFFFFF" w:themeFill="background1"/>
              <w:rPr>
                <w:rFonts w:cstheme="minorHAnsi"/>
              </w:rPr>
            </w:pPr>
            <w:hyperlink r:id="rId120" w:history="1">
              <w:r w:rsidR="00B06301" w:rsidRPr="00226C03">
                <w:rPr>
                  <w:rStyle w:val="Hyperlink"/>
                  <w:rFonts w:cstheme="minorHAnsi"/>
                </w:rPr>
                <w:t>https://www.alderwoodlla.co.uk/our-locations/</w:t>
              </w:r>
            </w:hyperlink>
            <w:r w:rsidR="00B06301" w:rsidRPr="00226C03">
              <w:rPr>
                <w:rFonts w:cstheme="minorHAnsi"/>
              </w:rPr>
              <w:t xml:space="preserve"> </w:t>
            </w:r>
          </w:p>
        </w:tc>
      </w:tr>
      <w:tr w:rsidR="00B06301" w:rsidRPr="00226C03" w14:paraId="364CD4B4" w14:textId="77777777" w:rsidTr="002D631B">
        <w:tc>
          <w:tcPr>
            <w:tcW w:w="2122" w:type="dxa"/>
          </w:tcPr>
          <w:p w14:paraId="23C4791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4365DFF0"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Northamptonshire, United Kingdom </w:t>
            </w:r>
          </w:p>
        </w:tc>
      </w:tr>
      <w:tr w:rsidR="00B06301" w:rsidRPr="00226C03" w14:paraId="1EC6A990" w14:textId="77777777" w:rsidTr="002D631B">
        <w:tc>
          <w:tcPr>
            <w:tcW w:w="2122" w:type="dxa"/>
          </w:tcPr>
          <w:p w14:paraId="3C88C10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6562EA62" w14:textId="77777777" w:rsidR="00B06301" w:rsidRPr="00226C03" w:rsidRDefault="00B06301" w:rsidP="002D631B">
            <w:pPr>
              <w:pStyle w:val="NoSpacing"/>
              <w:shd w:val="clear" w:color="auto" w:fill="FFFFFF" w:themeFill="background1"/>
              <w:rPr>
                <w:rFonts w:cstheme="minorHAnsi"/>
              </w:rPr>
            </w:pPr>
            <w:r w:rsidRPr="00226C03">
              <w:rPr>
                <w:rFonts w:cstheme="minorHAnsi"/>
              </w:rPr>
              <w:t>We have a number of homes across Northamptonshire providing 24-hour residential care, supported living and day placement with respite, for those with a diagnosis of Autism Spectrum Disorders, complex needs and behaviours which challenges others.</w:t>
            </w:r>
          </w:p>
        </w:tc>
      </w:tr>
      <w:tr w:rsidR="00B06301" w:rsidRPr="00226C03" w14:paraId="74F72E51" w14:textId="77777777" w:rsidTr="002D631B">
        <w:tc>
          <w:tcPr>
            <w:tcW w:w="2122" w:type="dxa"/>
          </w:tcPr>
          <w:p w14:paraId="4663CBB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7D8BBDA4"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Recommended by Prof Chris Hatton. “There are also organisations that specialise in supporting people coming out of ‘specialist’ inpatient units who might thought of as too difficult for many routines supporting living and care home providers, such as Alderwood”. </w:t>
            </w:r>
          </w:p>
        </w:tc>
      </w:tr>
    </w:tbl>
    <w:p w14:paraId="49B8CF70" w14:textId="6480DD6A" w:rsidR="00727856" w:rsidRDefault="00727856" w:rsidP="00B06301">
      <w:pPr>
        <w:shd w:val="clear" w:color="auto" w:fill="FFFFFF" w:themeFill="background1"/>
        <w:rPr>
          <w:rFonts w:cstheme="minorHAnsi"/>
          <w:b/>
          <w:bCs/>
        </w:rPr>
      </w:pPr>
    </w:p>
    <w:p w14:paraId="3EBB1861" w14:textId="77777777" w:rsidR="00727856" w:rsidRDefault="00727856">
      <w:pPr>
        <w:rPr>
          <w:rFonts w:cstheme="minorHAnsi"/>
          <w:b/>
          <w:bCs/>
        </w:rPr>
      </w:pPr>
      <w:r>
        <w:rPr>
          <w:rFonts w:cstheme="minorHAnsi"/>
          <w:b/>
          <w:bCs/>
        </w:rPr>
        <w:br w:type="page"/>
      </w:r>
    </w:p>
    <w:p w14:paraId="1CC8F58D"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1F5CE807" w14:textId="77777777" w:rsidTr="002D631B">
        <w:tc>
          <w:tcPr>
            <w:tcW w:w="9016" w:type="dxa"/>
            <w:gridSpan w:val="2"/>
          </w:tcPr>
          <w:p w14:paraId="51FAD8D3"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29</w:t>
            </w:r>
          </w:p>
        </w:tc>
      </w:tr>
      <w:tr w:rsidR="00B06301" w:rsidRPr="00226C03" w14:paraId="3A0AF726" w14:textId="77777777" w:rsidTr="002D631B">
        <w:tc>
          <w:tcPr>
            <w:tcW w:w="2122" w:type="dxa"/>
          </w:tcPr>
          <w:p w14:paraId="4A3E120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4A47A829"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Community Catalysts UK</w:t>
            </w:r>
          </w:p>
        </w:tc>
      </w:tr>
      <w:tr w:rsidR="00B06301" w:rsidRPr="00226C03" w14:paraId="449A1319" w14:textId="77777777" w:rsidTr="002D631B">
        <w:tc>
          <w:tcPr>
            <w:tcW w:w="2122" w:type="dxa"/>
          </w:tcPr>
          <w:p w14:paraId="51B846D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2583993A" w14:textId="77777777" w:rsidR="00B06301" w:rsidRPr="00226C03" w:rsidRDefault="001F76D0" w:rsidP="002D631B">
            <w:pPr>
              <w:pStyle w:val="NoSpacing"/>
              <w:shd w:val="clear" w:color="auto" w:fill="FFFFFF" w:themeFill="background1"/>
              <w:rPr>
                <w:rFonts w:cstheme="minorHAnsi"/>
              </w:rPr>
            </w:pPr>
            <w:hyperlink r:id="rId121" w:history="1">
              <w:r w:rsidR="00B06301" w:rsidRPr="00226C03">
                <w:rPr>
                  <w:rStyle w:val="Hyperlink"/>
                  <w:rFonts w:cstheme="minorHAnsi"/>
                </w:rPr>
                <w:t>info@communitycatalysts.co.uk</w:t>
              </w:r>
            </w:hyperlink>
            <w:r w:rsidR="00B06301" w:rsidRPr="00226C03">
              <w:rPr>
                <w:rFonts w:cstheme="minorHAnsi"/>
              </w:rPr>
              <w:t xml:space="preserve"> </w:t>
            </w:r>
          </w:p>
        </w:tc>
      </w:tr>
      <w:tr w:rsidR="00B06301" w:rsidRPr="00226C03" w14:paraId="1B2F507B" w14:textId="77777777" w:rsidTr="002D631B">
        <w:tc>
          <w:tcPr>
            <w:tcW w:w="2122" w:type="dxa"/>
          </w:tcPr>
          <w:p w14:paraId="65DB756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2F34E483" w14:textId="77777777" w:rsidR="00B06301" w:rsidRPr="00226C03" w:rsidRDefault="001F76D0" w:rsidP="002D631B">
            <w:pPr>
              <w:pStyle w:val="NoSpacing"/>
              <w:shd w:val="clear" w:color="auto" w:fill="FFFFFF" w:themeFill="background1"/>
              <w:rPr>
                <w:rFonts w:cstheme="minorHAnsi"/>
              </w:rPr>
            </w:pPr>
            <w:hyperlink r:id="rId122" w:history="1">
              <w:r w:rsidR="00B06301" w:rsidRPr="00226C03">
                <w:rPr>
                  <w:rStyle w:val="Hyperlink"/>
                  <w:rFonts w:cstheme="minorHAnsi"/>
                </w:rPr>
                <w:t>https://www.communitycatalysts.co.uk/</w:t>
              </w:r>
            </w:hyperlink>
            <w:r w:rsidR="00B06301" w:rsidRPr="00226C03">
              <w:rPr>
                <w:rFonts w:cstheme="minorHAnsi"/>
              </w:rPr>
              <w:t xml:space="preserve"> </w:t>
            </w:r>
          </w:p>
        </w:tc>
      </w:tr>
      <w:tr w:rsidR="00B06301" w:rsidRPr="00226C03" w14:paraId="21FE1B97" w14:textId="77777777" w:rsidTr="002D631B">
        <w:tc>
          <w:tcPr>
            <w:tcW w:w="2122" w:type="dxa"/>
          </w:tcPr>
          <w:p w14:paraId="012F3ED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0C89EAB7"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United Kingdom </w:t>
            </w:r>
          </w:p>
        </w:tc>
      </w:tr>
      <w:tr w:rsidR="00B06301" w:rsidRPr="00226C03" w14:paraId="0A7C2A5F" w14:textId="77777777" w:rsidTr="002D631B">
        <w:tc>
          <w:tcPr>
            <w:tcW w:w="2122" w:type="dxa"/>
          </w:tcPr>
          <w:p w14:paraId="2C753C2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28922AAE" w14:textId="77777777" w:rsidR="00B06301" w:rsidRPr="00226C03" w:rsidRDefault="00B06301" w:rsidP="002D631B">
            <w:pPr>
              <w:pStyle w:val="NoSpacing"/>
              <w:shd w:val="clear" w:color="auto" w:fill="FFFFFF" w:themeFill="background1"/>
              <w:rPr>
                <w:rFonts w:cstheme="minorHAnsi"/>
              </w:rPr>
            </w:pPr>
            <w:r w:rsidRPr="00226C03">
              <w:rPr>
                <w:rFonts w:cstheme="minorHAnsi"/>
              </w:rPr>
              <w:t>We are a small collective of highly skilled professionals with unrivalled experience in people-led social care and health. We see the world differently, celebrating the strength of people and community. We know how to help local people help other local people. We bring our values, creativity and passion to everything we do.  We know that one size never fits all so everything we do is bespoke. All our work has local impact and national influence.</w:t>
            </w:r>
          </w:p>
        </w:tc>
      </w:tr>
      <w:tr w:rsidR="00B06301" w:rsidRPr="00226C03" w14:paraId="64F1BA37" w14:textId="77777777" w:rsidTr="002D631B">
        <w:tc>
          <w:tcPr>
            <w:tcW w:w="2122" w:type="dxa"/>
          </w:tcPr>
          <w:p w14:paraId="58722F7A"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2F943CEA" w14:textId="77777777" w:rsidR="00B06301" w:rsidRPr="00226C03" w:rsidRDefault="00B06301" w:rsidP="002D631B">
            <w:pPr>
              <w:pStyle w:val="NoSpacing"/>
              <w:shd w:val="clear" w:color="auto" w:fill="FFFFFF" w:themeFill="background1"/>
              <w:rPr>
                <w:rFonts w:cstheme="minorHAnsi"/>
              </w:rPr>
            </w:pPr>
            <w:r w:rsidRPr="00226C03">
              <w:rPr>
                <w:rFonts w:cstheme="minorHAnsi"/>
              </w:rPr>
              <w:t>Recommended by Prof Chris Hatton. “Some of what organisations like this are doing fit nicely with organisations working at a local community level like Community Catalysts - these kinds of projects don’t provide housing but help communities of people to develop the social glue to be fully part of their local communities.”</w:t>
            </w:r>
          </w:p>
        </w:tc>
      </w:tr>
    </w:tbl>
    <w:p w14:paraId="2881CEB0"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1B046EF7" w14:textId="77777777" w:rsidTr="002D631B">
        <w:tc>
          <w:tcPr>
            <w:tcW w:w="9016" w:type="dxa"/>
            <w:gridSpan w:val="2"/>
          </w:tcPr>
          <w:p w14:paraId="16E2EF56"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30</w:t>
            </w:r>
          </w:p>
        </w:tc>
      </w:tr>
      <w:tr w:rsidR="00B06301" w:rsidRPr="00226C03" w14:paraId="7960FA62" w14:textId="77777777" w:rsidTr="002D631B">
        <w:tc>
          <w:tcPr>
            <w:tcW w:w="2122" w:type="dxa"/>
          </w:tcPr>
          <w:p w14:paraId="1421C077"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6DE15AB0"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KeyRing UK</w:t>
            </w:r>
          </w:p>
        </w:tc>
      </w:tr>
      <w:tr w:rsidR="00B06301" w:rsidRPr="00226C03" w14:paraId="75FB19AD" w14:textId="77777777" w:rsidTr="002D631B">
        <w:tc>
          <w:tcPr>
            <w:tcW w:w="2122" w:type="dxa"/>
          </w:tcPr>
          <w:p w14:paraId="187289E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7D20FF9D" w14:textId="77777777" w:rsidR="00B06301" w:rsidRPr="00226C03" w:rsidRDefault="001F76D0" w:rsidP="002D631B">
            <w:pPr>
              <w:pStyle w:val="NoSpacing"/>
              <w:shd w:val="clear" w:color="auto" w:fill="FFFFFF" w:themeFill="background1"/>
              <w:rPr>
                <w:rFonts w:cstheme="minorHAnsi"/>
              </w:rPr>
            </w:pPr>
            <w:hyperlink r:id="rId123" w:history="1">
              <w:r w:rsidR="00B06301" w:rsidRPr="00226C03">
                <w:rPr>
                  <w:rStyle w:val="Hyperlink"/>
                  <w:rFonts w:cstheme="minorHAnsi"/>
                </w:rPr>
                <w:t>enquiries@keyring.org</w:t>
              </w:r>
            </w:hyperlink>
            <w:r w:rsidR="00B06301" w:rsidRPr="00226C03">
              <w:rPr>
                <w:rFonts w:cstheme="minorHAnsi"/>
              </w:rPr>
              <w:t xml:space="preserve"> </w:t>
            </w:r>
          </w:p>
        </w:tc>
      </w:tr>
      <w:tr w:rsidR="00B06301" w:rsidRPr="00226C03" w14:paraId="0D0A2DA3" w14:textId="77777777" w:rsidTr="002D631B">
        <w:tc>
          <w:tcPr>
            <w:tcW w:w="2122" w:type="dxa"/>
          </w:tcPr>
          <w:p w14:paraId="3D14F49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67F715BF" w14:textId="77777777" w:rsidR="00B06301" w:rsidRPr="00226C03" w:rsidRDefault="001F76D0" w:rsidP="002D631B">
            <w:pPr>
              <w:pStyle w:val="NoSpacing"/>
              <w:shd w:val="clear" w:color="auto" w:fill="FFFFFF" w:themeFill="background1"/>
              <w:rPr>
                <w:rFonts w:cstheme="minorHAnsi"/>
              </w:rPr>
            </w:pPr>
            <w:hyperlink r:id="rId124" w:history="1">
              <w:r w:rsidR="00B06301" w:rsidRPr="00226C03">
                <w:rPr>
                  <w:rStyle w:val="Hyperlink"/>
                  <w:rFonts w:cstheme="minorHAnsi"/>
                </w:rPr>
                <w:t>https://www.keyring.org/</w:t>
              </w:r>
            </w:hyperlink>
            <w:r w:rsidR="00B06301" w:rsidRPr="00226C03">
              <w:rPr>
                <w:rFonts w:cstheme="minorHAnsi"/>
              </w:rPr>
              <w:t xml:space="preserve"> </w:t>
            </w:r>
          </w:p>
        </w:tc>
      </w:tr>
      <w:tr w:rsidR="00B06301" w:rsidRPr="00226C03" w14:paraId="27E03340" w14:textId="77777777" w:rsidTr="002D631B">
        <w:tc>
          <w:tcPr>
            <w:tcW w:w="2122" w:type="dxa"/>
          </w:tcPr>
          <w:p w14:paraId="5A85733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4CA31818" w14:textId="77777777" w:rsidR="00B06301" w:rsidRPr="00226C03" w:rsidRDefault="00B06301" w:rsidP="002D631B">
            <w:pPr>
              <w:pStyle w:val="NoSpacing"/>
              <w:shd w:val="clear" w:color="auto" w:fill="FFFFFF" w:themeFill="background1"/>
              <w:rPr>
                <w:rFonts w:cstheme="minorHAnsi"/>
              </w:rPr>
            </w:pPr>
            <w:r w:rsidRPr="00226C03">
              <w:rPr>
                <w:rFonts w:cstheme="minorHAnsi"/>
              </w:rPr>
              <w:t>Based in London, but all over the United Kingdom</w:t>
            </w:r>
          </w:p>
        </w:tc>
      </w:tr>
      <w:tr w:rsidR="00B06301" w:rsidRPr="00226C03" w14:paraId="053F1FEB" w14:textId="77777777" w:rsidTr="002D631B">
        <w:tc>
          <w:tcPr>
            <w:tcW w:w="2122" w:type="dxa"/>
          </w:tcPr>
          <w:p w14:paraId="5F1AF29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27DA8578" w14:textId="77777777" w:rsidR="00B06301" w:rsidRPr="00226C03" w:rsidRDefault="00B06301" w:rsidP="002D631B">
            <w:pPr>
              <w:pStyle w:val="NoSpacing"/>
              <w:shd w:val="clear" w:color="auto" w:fill="FFFFFF" w:themeFill="background1"/>
              <w:rPr>
                <w:rFonts w:cstheme="minorHAnsi"/>
              </w:rPr>
            </w:pPr>
            <w:r w:rsidRPr="00226C03">
              <w:rPr>
                <w:rFonts w:cstheme="minorHAnsi"/>
              </w:rPr>
              <w:t>We smash barriers to independence through connection, flexible support and skill-building. Everyone who joins KeyRing has faced some barriers to living independently. It does not matter where people begin. We help them to build the life they want. A life that they control and take responsibility for.</w:t>
            </w:r>
          </w:p>
        </w:tc>
      </w:tr>
      <w:tr w:rsidR="00B06301" w:rsidRPr="00226C03" w14:paraId="08FD7222" w14:textId="77777777" w:rsidTr="002D631B">
        <w:tc>
          <w:tcPr>
            <w:tcW w:w="2122" w:type="dxa"/>
          </w:tcPr>
          <w:p w14:paraId="61B82D3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71ACB089"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Recommended by Prof Chris Hatton. “At and beyond the independent end of supported living are organisations like KeyRing.” </w:t>
            </w:r>
          </w:p>
        </w:tc>
      </w:tr>
    </w:tbl>
    <w:p w14:paraId="7E10274A"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041C158B" w14:textId="77777777" w:rsidTr="002D631B">
        <w:tc>
          <w:tcPr>
            <w:tcW w:w="9016" w:type="dxa"/>
            <w:gridSpan w:val="2"/>
          </w:tcPr>
          <w:p w14:paraId="4CC030C7" w14:textId="77777777" w:rsidR="00B06301" w:rsidRPr="00727856"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1"/>
                <w:szCs w:val="21"/>
              </w:rPr>
            </w:pPr>
            <w:r w:rsidRPr="00727856">
              <w:rPr>
                <w:rFonts w:asciiTheme="minorHAnsi" w:hAnsiTheme="minorHAnsi" w:cstheme="minorHAnsi"/>
                <w:b/>
                <w:bCs/>
                <w:color w:val="201F1E"/>
                <w:sz w:val="21"/>
                <w:szCs w:val="21"/>
              </w:rPr>
              <w:t>31</w:t>
            </w:r>
          </w:p>
        </w:tc>
      </w:tr>
      <w:tr w:rsidR="00B06301" w:rsidRPr="00226C03" w14:paraId="067EC66D" w14:textId="77777777" w:rsidTr="002D631B">
        <w:tc>
          <w:tcPr>
            <w:tcW w:w="2122" w:type="dxa"/>
          </w:tcPr>
          <w:p w14:paraId="44732167"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Organisation Name</w:t>
            </w:r>
          </w:p>
        </w:tc>
        <w:tc>
          <w:tcPr>
            <w:tcW w:w="6894" w:type="dxa"/>
          </w:tcPr>
          <w:p w14:paraId="0FD55732" w14:textId="77777777" w:rsidR="00B06301" w:rsidRPr="00727856"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1"/>
                <w:szCs w:val="21"/>
              </w:rPr>
            </w:pPr>
            <w:r w:rsidRPr="00727856">
              <w:rPr>
                <w:rFonts w:asciiTheme="minorHAnsi" w:hAnsiTheme="minorHAnsi" w:cstheme="minorHAnsi"/>
                <w:color w:val="201F1E"/>
                <w:sz w:val="21"/>
                <w:szCs w:val="21"/>
              </w:rPr>
              <w:t>The DC Center for Independent Living (DCCIL)</w:t>
            </w:r>
          </w:p>
        </w:tc>
      </w:tr>
      <w:tr w:rsidR="00B06301" w:rsidRPr="00226C03" w14:paraId="4FF559F9" w14:textId="77777777" w:rsidTr="002D631B">
        <w:tc>
          <w:tcPr>
            <w:tcW w:w="2122" w:type="dxa"/>
          </w:tcPr>
          <w:p w14:paraId="488EEBFC"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Contact</w:t>
            </w:r>
          </w:p>
        </w:tc>
        <w:tc>
          <w:tcPr>
            <w:tcW w:w="6894" w:type="dxa"/>
          </w:tcPr>
          <w:p w14:paraId="2DFFF8B7" w14:textId="77777777" w:rsidR="00B06301" w:rsidRPr="00727856" w:rsidRDefault="00B06301" w:rsidP="002D631B">
            <w:pPr>
              <w:pStyle w:val="NoSpacing"/>
              <w:shd w:val="clear" w:color="auto" w:fill="FFFFFF" w:themeFill="background1"/>
              <w:rPr>
                <w:rFonts w:cstheme="minorHAnsi"/>
                <w:sz w:val="21"/>
                <w:szCs w:val="21"/>
              </w:rPr>
            </w:pPr>
            <w:r w:rsidRPr="00727856">
              <w:rPr>
                <w:rFonts w:cstheme="minorHAnsi"/>
                <w:sz w:val="21"/>
                <w:szCs w:val="21"/>
              </w:rPr>
              <w:t>Richard Allen Simms, Executive Director</w:t>
            </w:r>
          </w:p>
        </w:tc>
      </w:tr>
      <w:tr w:rsidR="00B06301" w:rsidRPr="00226C03" w14:paraId="6DF3F770" w14:textId="77777777" w:rsidTr="002D631B">
        <w:tc>
          <w:tcPr>
            <w:tcW w:w="2122" w:type="dxa"/>
          </w:tcPr>
          <w:p w14:paraId="128988F7"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Website</w:t>
            </w:r>
          </w:p>
        </w:tc>
        <w:tc>
          <w:tcPr>
            <w:tcW w:w="6894" w:type="dxa"/>
          </w:tcPr>
          <w:p w14:paraId="41582799" w14:textId="77777777" w:rsidR="00B06301" w:rsidRPr="00727856" w:rsidRDefault="001F76D0" w:rsidP="002D631B">
            <w:pPr>
              <w:pStyle w:val="NoSpacing"/>
              <w:shd w:val="clear" w:color="auto" w:fill="FFFFFF" w:themeFill="background1"/>
              <w:rPr>
                <w:rFonts w:cstheme="minorHAnsi"/>
                <w:sz w:val="21"/>
                <w:szCs w:val="21"/>
              </w:rPr>
            </w:pPr>
            <w:hyperlink r:id="rId125" w:history="1">
              <w:r w:rsidR="00B06301" w:rsidRPr="00727856">
                <w:rPr>
                  <w:rStyle w:val="Hyperlink"/>
                  <w:rFonts w:cstheme="minorHAnsi"/>
                  <w:sz w:val="21"/>
                  <w:szCs w:val="21"/>
                </w:rPr>
                <w:t>https://dccil.org/</w:t>
              </w:r>
            </w:hyperlink>
            <w:r w:rsidR="00B06301" w:rsidRPr="00727856">
              <w:rPr>
                <w:rFonts w:cstheme="minorHAnsi"/>
                <w:sz w:val="21"/>
                <w:szCs w:val="21"/>
              </w:rPr>
              <w:t xml:space="preserve"> </w:t>
            </w:r>
          </w:p>
        </w:tc>
      </w:tr>
      <w:tr w:rsidR="00B06301" w:rsidRPr="00226C03" w14:paraId="4D55352A" w14:textId="77777777" w:rsidTr="002D631B">
        <w:tc>
          <w:tcPr>
            <w:tcW w:w="2122" w:type="dxa"/>
          </w:tcPr>
          <w:p w14:paraId="4368823E"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Location</w:t>
            </w:r>
          </w:p>
        </w:tc>
        <w:tc>
          <w:tcPr>
            <w:tcW w:w="6894" w:type="dxa"/>
          </w:tcPr>
          <w:p w14:paraId="1B59566C" w14:textId="77777777" w:rsidR="00B06301" w:rsidRPr="00727856" w:rsidRDefault="00B06301" w:rsidP="002D631B">
            <w:pPr>
              <w:pStyle w:val="NoSpacing"/>
              <w:shd w:val="clear" w:color="auto" w:fill="FFFFFF" w:themeFill="background1"/>
              <w:rPr>
                <w:rFonts w:cstheme="minorHAnsi"/>
                <w:sz w:val="21"/>
                <w:szCs w:val="21"/>
              </w:rPr>
            </w:pPr>
            <w:r w:rsidRPr="00727856">
              <w:rPr>
                <w:rFonts w:cstheme="minorHAnsi"/>
                <w:sz w:val="21"/>
                <w:szCs w:val="21"/>
              </w:rPr>
              <w:t>Washington D.C., USA</w:t>
            </w:r>
          </w:p>
        </w:tc>
      </w:tr>
      <w:tr w:rsidR="00B06301" w:rsidRPr="00226C03" w14:paraId="5CC89682" w14:textId="77777777" w:rsidTr="002D631B">
        <w:tc>
          <w:tcPr>
            <w:tcW w:w="2122" w:type="dxa"/>
          </w:tcPr>
          <w:p w14:paraId="58E5747B"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Brief details</w:t>
            </w:r>
          </w:p>
        </w:tc>
        <w:tc>
          <w:tcPr>
            <w:tcW w:w="6894" w:type="dxa"/>
          </w:tcPr>
          <w:p w14:paraId="75B285EC" w14:textId="77777777" w:rsidR="00B06301" w:rsidRPr="00727856" w:rsidRDefault="00B06301" w:rsidP="002D631B">
            <w:pPr>
              <w:pStyle w:val="NoSpacing"/>
              <w:shd w:val="clear" w:color="auto" w:fill="FFFFFF" w:themeFill="background1"/>
              <w:rPr>
                <w:rFonts w:cstheme="minorHAnsi"/>
                <w:sz w:val="21"/>
                <w:szCs w:val="21"/>
              </w:rPr>
            </w:pPr>
            <w:r w:rsidRPr="00727856">
              <w:rPr>
                <w:rFonts w:cstheme="minorHAnsi"/>
                <w:sz w:val="21"/>
                <w:szCs w:val="21"/>
              </w:rPr>
              <w:t>DCCIL provides disability-specific information and referral to ensure people with disabilities have access to information needed to achieve or maintain independence in their communities. DCCIL assists individuals with significant disabilities who live in nursing homes and other institutions to transition to community-based residences as well as assist in establishing community-based supports and services, provides assistance to individuals with significant disabilities who are at risk of entering institutions so that the individuals may remain in the community and facilitates the transition of youth who are individuals with significant disabilities.</w:t>
            </w:r>
          </w:p>
        </w:tc>
      </w:tr>
      <w:tr w:rsidR="00B06301" w:rsidRPr="00226C03" w14:paraId="19AC6E14" w14:textId="77777777" w:rsidTr="002D631B">
        <w:tc>
          <w:tcPr>
            <w:tcW w:w="2122" w:type="dxa"/>
          </w:tcPr>
          <w:p w14:paraId="1642E919" w14:textId="77777777" w:rsidR="00B06301" w:rsidRPr="00727856" w:rsidRDefault="00B06301" w:rsidP="002D631B">
            <w:pPr>
              <w:pStyle w:val="NoSpacing"/>
              <w:shd w:val="clear" w:color="auto" w:fill="FFFFFF" w:themeFill="background1"/>
              <w:rPr>
                <w:rFonts w:cstheme="minorHAnsi"/>
                <w:b/>
                <w:bCs/>
                <w:sz w:val="21"/>
                <w:szCs w:val="21"/>
              </w:rPr>
            </w:pPr>
            <w:r w:rsidRPr="00727856">
              <w:rPr>
                <w:rFonts w:cstheme="minorHAnsi"/>
                <w:b/>
                <w:bCs/>
                <w:sz w:val="21"/>
                <w:szCs w:val="21"/>
              </w:rPr>
              <w:t>Any other notes</w:t>
            </w:r>
          </w:p>
        </w:tc>
        <w:tc>
          <w:tcPr>
            <w:tcW w:w="6894" w:type="dxa"/>
          </w:tcPr>
          <w:p w14:paraId="1FF51ED4" w14:textId="77777777" w:rsidR="00B06301" w:rsidRPr="00727856" w:rsidRDefault="00B06301" w:rsidP="002D631B">
            <w:pPr>
              <w:pStyle w:val="NoSpacing"/>
              <w:shd w:val="clear" w:color="auto" w:fill="FFFFFF" w:themeFill="background1"/>
              <w:rPr>
                <w:rFonts w:cstheme="minorHAnsi"/>
                <w:sz w:val="21"/>
                <w:szCs w:val="21"/>
              </w:rPr>
            </w:pPr>
            <w:r w:rsidRPr="00727856">
              <w:rPr>
                <w:rFonts w:cstheme="minorHAnsi"/>
                <w:sz w:val="21"/>
                <w:szCs w:val="21"/>
              </w:rPr>
              <w:t>Recommended by Dr Richard Koenig</w:t>
            </w:r>
          </w:p>
        </w:tc>
      </w:tr>
    </w:tbl>
    <w:p w14:paraId="59602B15" w14:textId="77777777" w:rsidR="00727856" w:rsidRDefault="00727856">
      <w:pPr>
        <w:rPr>
          <w:rFonts w:cstheme="minorHAnsi"/>
          <w:b/>
          <w:bCs/>
        </w:rPr>
      </w:pPr>
      <w:r>
        <w:rPr>
          <w:rFonts w:cstheme="minorHAnsi"/>
          <w:b/>
          <w:bCs/>
        </w:rPr>
        <w:br w:type="page"/>
      </w:r>
    </w:p>
    <w:p w14:paraId="4DE284FB"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7838AE3C" w14:textId="77777777" w:rsidTr="002D631B">
        <w:tc>
          <w:tcPr>
            <w:tcW w:w="9016" w:type="dxa"/>
            <w:gridSpan w:val="2"/>
          </w:tcPr>
          <w:p w14:paraId="4F25CD10"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32</w:t>
            </w:r>
          </w:p>
        </w:tc>
      </w:tr>
      <w:tr w:rsidR="00B06301" w:rsidRPr="00226C03" w14:paraId="3AC3A28C" w14:textId="77777777" w:rsidTr="002D631B">
        <w:tc>
          <w:tcPr>
            <w:tcW w:w="2122" w:type="dxa"/>
          </w:tcPr>
          <w:p w14:paraId="31812251"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420E5445"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Center for Independent Futures</w:t>
            </w:r>
          </w:p>
        </w:tc>
      </w:tr>
      <w:tr w:rsidR="00B06301" w:rsidRPr="00226C03" w14:paraId="34844274" w14:textId="77777777" w:rsidTr="002D631B">
        <w:tc>
          <w:tcPr>
            <w:tcW w:w="2122" w:type="dxa"/>
          </w:tcPr>
          <w:p w14:paraId="7E3FB9A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6DC187D1" w14:textId="77777777" w:rsidR="00B06301" w:rsidRPr="00226C03" w:rsidRDefault="00B06301" w:rsidP="002D631B">
            <w:pPr>
              <w:pStyle w:val="NoSpacing"/>
              <w:shd w:val="clear" w:color="auto" w:fill="FFFFFF" w:themeFill="background1"/>
              <w:rPr>
                <w:rFonts w:cstheme="minorHAnsi"/>
              </w:rPr>
            </w:pPr>
            <w:r w:rsidRPr="00226C03">
              <w:rPr>
                <w:rFonts w:cstheme="minorHAnsi"/>
              </w:rPr>
              <w:t>Ann C. Sickon, Executive Director</w:t>
            </w:r>
          </w:p>
        </w:tc>
      </w:tr>
      <w:tr w:rsidR="00B06301" w:rsidRPr="00226C03" w14:paraId="6BDEB6F3" w14:textId="77777777" w:rsidTr="002D631B">
        <w:tc>
          <w:tcPr>
            <w:tcW w:w="2122" w:type="dxa"/>
          </w:tcPr>
          <w:p w14:paraId="50F63AC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1139A795" w14:textId="77777777" w:rsidR="00B06301" w:rsidRPr="00226C03" w:rsidRDefault="001F76D0" w:rsidP="002D631B">
            <w:pPr>
              <w:pStyle w:val="NoSpacing"/>
              <w:shd w:val="clear" w:color="auto" w:fill="FFFFFF" w:themeFill="background1"/>
              <w:rPr>
                <w:rFonts w:cstheme="minorHAnsi"/>
              </w:rPr>
            </w:pPr>
            <w:hyperlink r:id="rId126" w:history="1">
              <w:r w:rsidR="00B06301" w:rsidRPr="00226C03">
                <w:rPr>
                  <w:rStyle w:val="Hyperlink"/>
                  <w:rFonts w:cstheme="minorHAnsi"/>
                </w:rPr>
                <w:t>https://independentfutures.com/</w:t>
              </w:r>
            </w:hyperlink>
            <w:r w:rsidR="00B06301" w:rsidRPr="00226C03">
              <w:rPr>
                <w:rFonts w:cstheme="minorHAnsi"/>
              </w:rPr>
              <w:t xml:space="preserve"> </w:t>
            </w:r>
          </w:p>
        </w:tc>
      </w:tr>
      <w:tr w:rsidR="00B06301" w:rsidRPr="00226C03" w14:paraId="261AFC64" w14:textId="77777777" w:rsidTr="002D631B">
        <w:tc>
          <w:tcPr>
            <w:tcW w:w="2122" w:type="dxa"/>
          </w:tcPr>
          <w:p w14:paraId="5A1D6E7A"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3624353C" w14:textId="77777777" w:rsidR="00B06301" w:rsidRPr="00226C03" w:rsidRDefault="00B06301" w:rsidP="002D631B">
            <w:pPr>
              <w:pStyle w:val="NoSpacing"/>
              <w:shd w:val="clear" w:color="auto" w:fill="FFFFFF" w:themeFill="background1"/>
              <w:rPr>
                <w:rFonts w:cstheme="minorHAnsi"/>
              </w:rPr>
            </w:pPr>
            <w:r w:rsidRPr="00226C03">
              <w:rPr>
                <w:rFonts w:cstheme="minorHAnsi"/>
              </w:rPr>
              <w:t>Evanston, IL, USA</w:t>
            </w:r>
          </w:p>
        </w:tc>
      </w:tr>
      <w:tr w:rsidR="00B06301" w:rsidRPr="00226C03" w14:paraId="56EAF257" w14:textId="77777777" w:rsidTr="002D631B">
        <w:tc>
          <w:tcPr>
            <w:tcW w:w="2122" w:type="dxa"/>
          </w:tcPr>
          <w:p w14:paraId="745147A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6D364B12" w14:textId="77777777" w:rsidR="00B06301" w:rsidRPr="00226C03" w:rsidRDefault="00B06301" w:rsidP="002D631B">
            <w:pPr>
              <w:pStyle w:val="NoSpacing"/>
              <w:shd w:val="clear" w:color="auto" w:fill="FFFFFF" w:themeFill="background1"/>
              <w:rPr>
                <w:rFonts w:cstheme="minorHAnsi"/>
              </w:rPr>
            </w:pPr>
            <w:r w:rsidRPr="00226C03">
              <w:rPr>
                <w:rFonts w:cstheme="minorHAnsi"/>
              </w:rPr>
              <w:t>Our daily work consists of providing individual support to over a hundred individuals throughout the Chicagoland area. However, Independent Futures also consults nationwide with other agencies focused on person-centred planning. The Full Life Model™ is the lens through which we view an individual’s opportunities and full life. Surrounded by 8 essential aspects of a full life, an individual’s hopes and dreams are at the centre. Our person-centred planning takes into account an individual’s hopes. Then, we support the individual to create learning goals based on the full life circles.</w:t>
            </w:r>
          </w:p>
        </w:tc>
      </w:tr>
      <w:tr w:rsidR="00B06301" w:rsidRPr="00226C03" w14:paraId="45E34FD3" w14:textId="77777777" w:rsidTr="002D631B">
        <w:tc>
          <w:tcPr>
            <w:tcW w:w="2122" w:type="dxa"/>
          </w:tcPr>
          <w:p w14:paraId="0E5FD6B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0DBDD00E" w14:textId="77777777" w:rsidR="00B06301" w:rsidRPr="00226C03" w:rsidRDefault="00B06301" w:rsidP="002D631B">
            <w:pPr>
              <w:pStyle w:val="NoSpacing"/>
              <w:shd w:val="clear" w:color="auto" w:fill="FFFFFF" w:themeFill="background1"/>
              <w:rPr>
                <w:rFonts w:cstheme="minorHAnsi"/>
              </w:rPr>
            </w:pPr>
            <w:r w:rsidRPr="00226C03">
              <w:rPr>
                <w:rFonts w:cstheme="minorHAnsi"/>
              </w:rPr>
              <w:t>Recommended by Dr Richard Koenig</w:t>
            </w:r>
          </w:p>
        </w:tc>
      </w:tr>
    </w:tbl>
    <w:p w14:paraId="3C7A27F8"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2DF147F2" w14:textId="77777777" w:rsidTr="002D631B">
        <w:tc>
          <w:tcPr>
            <w:tcW w:w="9016" w:type="dxa"/>
            <w:gridSpan w:val="2"/>
          </w:tcPr>
          <w:p w14:paraId="355C3886"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33</w:t>
            </w:r>
          </w:p>
        </w:tc>
      </w:tr>
      <w:tr w:rsidR="00B06301" w:rsidRPr="00226C03" w14:paraId="5544780D" w14:textId="77777777" w:rsidTr="002D631B">
        <w:tc>
          <w:tcPr>
            <w:tcW w:w="2122" w:type="dxa"/>
          </w:tcPr>
          <w:p w14:paraId="1C61CB89"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6EC9F838"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Donald Beasley Institute</w:t>
            </w:r>
          </w:p>
        </w:tc>
      </w:tr>
      <w:tr w:rsidR="00B06301" w:rsidRPr="00226C03" w14:paraId="6198A80F" w14:textId="77777777" w:rsidTr="002D631B">
        <w:tc>
          <w:tcPr>
            <w:tcW w:w="2122" w:type="dxa"/>
          </w:tcPr>
          <w:p w14:paraId="3EBE605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2883C13A" w14:textId="77777777" w:rsidR="00B06301" w:rsidRPr="00226C03" w:rsidRDefault="001F76D0" w:rsidP="002D631B">
            <w:pPr>
              <w:pStyle w:val="NoSpacing"/>
              <w:shd w:val="clear" w:color="auto" w:fill="FFFFFF" w:themeFill="background1"/>
              <w:rPr>
                <w:rFonts w:cstheme="minorHAnsi"/>
              </w:rPr>
            </w:pPr>
            <w:hyperlink r:id="rId127" w:history="1">
              <w:r w:rsidR="00B06301" w:rsidRPr="00226C03">
                <w:rPr>
                  <w:rStyle w:val="Hyperlink"/>
                  <w:rFonts w:cstheme="minorHAnsi"/>
                </w:rPr>
                <w:t>director@donaldbeasley.org.nz</w:t>
              </w:r>
            </w:hyperlink>
            <w:r w:rsidR="00B06301" w:rsidRPr="00226C03">
              <w:rPr>
                <w:rFonts w:cstheme="minorHAnsi"/>
              </w:rPr>
              <w:t xml:space="preserve"> </w:t>
            </w:r>
          </w:p>
        </w:tc>
      </w:tr>
      <w:tr w:rsidR="00B06301" w:rsidRPr="00226C03" w14:paraId="58FA2B8E" w14:textId="77777777" w:rsidTr="002D631B">
        <w:tc>
          <w:tcPr>
            <w:tcW w:w="2122" w:type="dxa"/>
          </w:tcPr>
          <w:p w14:paraId="3874270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5B0B3B98" w14:textId="77777777" w:rsidR="00B06301" w:rsidRPr="00226C03" w:rsidRDefault="001F76D0" w:rsidP="002D631B">
            <w:pPr>
              <w:pStyle w:val="NoSpacing"/>
              <w:shd w:val="clear" w:color="auto" w:fill="FFFFFF" w:themeFill="background1"/>
              <w:rPr>
                <w:rFonts w:cstheme="minorHAnsi"/>
              </w:rPr>
            </w:pPr>
            <w:hyperlink r:id="rId128" w:history="1">
              <w:r w:rsidR="00B06301" w:rsidRPr="00226C03">
                <w:rPr>
                  <w:rStyle w:val="Hyperlink"/>
                  <w:rFonts w:cstheme="minorHAnsi"/>
                </w:rPr>
                <w:t>https://www.donaldbeasley.org.nz/</w:t>
              </w:r>
            </w:hyperlink>
            <w:r w:rsidR="00B06301" w:rsidRPr="00226C03">
              <w:rPr>
                <w:rFonts w:cstheme="minorHAnsi"/>
              </w:rPr>
              <w:t xml:space="preserve"> or </w:t>
            </w:r>
            <w:hyperlink r:id="rId129" w:history="1">
              <w:r w:rsidR="00B06301" w:rsidRPr="00226C03">
                <w:rPr>
                  <w:rStyle w:val="Hyperlink"/>
                  <w:rFonts w:cstheme="minorHAnsi"/>
                </w:rPr>
                <w:t>https://www.donaldbeasley.org.nz/projects/</w:t>
              </w:r>
            </w:hyperlink>
            <w:r w:rsidR="00B06301" w:rsidRPr="00226C03">
              <w:rPr>
                <w:rFonts w:cstheme="minorHAnsi"/>
              </w:rPr>
              <w:t xml:space="preserve"> </w:t>
            </w:r>
          </w:p>
        </w:tc>
      </w:tr>
      <w:tr w:rsidR="00B06301" w:rsidRPr="00226C03" w14:paraId="1A5F3E50" w14:textId="77777777" w:rsidTr="002D631B">
        <w:tc>
          <w:tcPr>
            <w:tcW w:w="2122" w:type="dxa"/>
          </w:tcPr>
          <w:p w14:paraId="1065D1A9"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2D290987" w14:textId="77777777" w:rsidR="00B06301" w:rsidRPr="00226C03" w:rsidRDefault="00B06301" w:rsidP="002D631B">
            <w:pPr>
              <w:pStyle w:val="NoSpacing"/>
              <w:shd w:val="clear" w:color="auto" w:fill="FFFFFF" w:themeFill="background1"/>
              <w:rPr>
                <w:rFonts w:cstheme="minorHAnsi"/>
              </w:rPr>
            </w:pPr>
            <w:r w:rsidRPr="00226C03">
              <w:rPr>
                <w:rFonts w:cstheme="minorHAnsi"/>
              </w:rPr>
              <w:t>Dunedin, Aotearoa New Zealand</w:t>
            </w:r>
          </w:p>
        </w:tc>
      </w:tr>
      <w:tr w:rsidR="00B06301" w:rsidRPr="00226C03" w14:paraId="47D54265" w14:textId="77777777" w:rsidTr="002D631B">
        <w:tc>
          <w:tcPr>
            <w:tcW w:w="2122" w:type="dxa"/>
          </w:tcPr>
          <w:p w14:paraId="52E6345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6473C18E" w14:textId="77777777" w:rsidR="00B06301" w:rsidRPr="00226C03" w:rsidRDefault="00B06301" w:rsidP="002D631B">
            <w:pPr>
              <w:pStyle w:val="NoSpacing"/>
              <w:shd w:val="clear" w:color="auto" w:fill="FFFFFF" w:themeFill="background1"/>
              <w:rPr>
                <w:rFonts w:cstheme="minorHAnsi"/>
              </w:rPr>
            </w:pPr>
            <w:r w:rsidRPr="00226C03">
              <w:rPr>
                <w:rFonts w:cstheme="minorHAnsi"/>
              </w:rPr>
              <w:t>Established in Dunedin in 1984 the DBI is recognised nationally and internationally as a leader in the field of disability research, with particular expertise in learning (intellectual) disability. We are committed to ethical, inclusive and transformative research and projects that promote the rights of disabled people.</w:t>
            </w:r>
          </w:p>
        </w:tc>
      </w:tr>
      <w:tr w:rsidR="00B06301" w:rsidRPr="00226C03" w14:paraId="14C0367B" w14:textId="77777777" w:rsidTr="002D631B">
        <w:tc>
          <w:tcPr>
            <w:tcW w:w="2122" w:type="dxa"/>
          </w:tcPr>
          <w:p w14:paraId="5B61066A"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343FF5A9" w14:textId="77777777" w:rsidR="00B06301" w:rsidRPr="00226C03" w:rsidRDefault="00B06301" w:rsidP="002D631B">
            <w:pPr>
              <w:pStyle w:val="NoSpacing"/>
              <w:shd w:val="clear" w:color="auto" w:fill="FFFFFF" w:themeFill="background1"/>
              <w:rPr>
                <w:rFonts w:cstheme="minorHAnsi"/>
              </w:rPr>
            </w:pPr>
            <w:r w:rsidRPr="00226C03">
              <w:rPr>
                <w:rFonts w:cstheme="minorHAnsi"/>
              </w:rPr>
              <w:t>Recommended by Prof Emerita Patricia O’Brien</w:t>
            </w:r>
          </w:p>
        </w:tc>
      </w:tr>
    </w:tbl>
    <w:p w14:paraId="2CF6B73F"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384B7914" w14:textId="77777777" w:rsidTr="002D631B">
        <w:tc>
          <w:tcPr>
            <w:tcW w:w="9016" w:type="dxa"/>
            <w:gridSpan w:val="2"/>
          </w:tcPr>
          <w:p w14:paraId="0FE0A5F6"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34</w:t>
            </w:r>
          </w:p>
        </w:tc>
      </w:tr>
      <w:tr w:rsidR="00B06301" w:rsidRPr="00226C03" w14:paraId="103EDD19" w14:textId="77777777" w:rsidTr="002D631B">
        <w:tc>
          <w:tcPr>
            <w:tcW w:w="2122" w:type="dxa"/>
          </w:tcPr>
          <w:p w14:paraId="4270BC4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79F39242"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 xml:space="preserve">Family Advocacy </w:t>
            </w:r>
          </w:p>
        </w:tc>
      </w:tr>
      <w:tr w:rsidR="00B06301" w:rsidRPr="00226C03" w14:paraId="47B4CE29" w14:textId="77777777" w:rsidTr="002D631B">
        <w:tc>
          <w:tcPr>
            <w:tcW w:w="2122" w:type="dxa"/>
          </w:tcPr>
          <w:p w14:paraId="56B4C9F1"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70B415CA" w14:textId="77777777" w:rsidR="00B06301" w:rsidRPr="00226C03" w:rsidRDefault="00B06301" w:rsidP="002D631B">
            <w:pPr>
              <w:pStyle w:val="NoSpacing"/>
              <w:shd w:val="clear" w:color="auto" w:fill="FFFFFF" w:themeFill="background1"/>
              <w:rPr>
                <w:rFonts w:cstheme="minorHAnsi"/>
              </w:rPr>
            </w:pPr>
            <w:r w:rsidRPr="00226C03">
              <w:rPr>
                <w:rFonts w:cstheme="minorHAnsi"/>
              </w:rPr>
              <w:t>Cecile Sullivan Elder, Executive Officer</w:t>
            </w:r>
          </w:p>
        </w:tc>
      </w:tr>
      <w:tr w:rsidR="00B06301" w:rsidRPr="00226C03" w14:paraId="61953451" w14:textId="77777777" w:rsidTr="002D631B">
        <w:tc>
          <w:tcPr>
            <w:tcW w:w="2122" w:type="dxa"/>
          </w:tcPr>
          <w:p w14:paraId="7E55C46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3B5C5E2A" w14:textId="77777777" w:rsidR="00B06301" w:rsidRPr="00226C03" w:rsidRDefault="001F76D0" w:rsidP="002D631B">
            <w:pPr>
              <w:pStyle w:val="NoSpacing"/>
              <w:shd w:val="clear" w:color="auto" w:fill="FFFFFF" w:themeFill="background1"/>
              <w:rPr>
                <w:rFonts w:cstheme="minorHAnsi"/>
              </w:rPr>
            </w:pPr>
            <w:hyperlink r:id="rId130" w:history="1">
              <w:r w:rsidR="00B06301" w:rsidRPr="00226C03">
                <w:rPr>
                  <w:rStyle w:val="Hyperlink"/>
                  <w:rFonts w:cstheme="minorHAnsi"/>
                </w:rPr>
                <w:t>https://www.family-advocacy.com/</w:t>
              </w:r>
            </w:hyperlink>
            <w:r w:rsidR="00B06301" w:rsidRPr="00226C03">
              <w:rPr>
                <w:rFonts w:cstheme="minorHAnsi"/>
              </w:rPr>
              <w:t xml:space="preserve"> </w:t>
            </w:r>
          </w:p>
        </w:tc>
      </w:tr>
      <w:tr w:rsidR="00B06301" w:rsidRPr="00226C03" w14:paraId="07BEFD74" w14:textId="77777777" w:rsidTr="002D631B">
        <w:tc>
          <w:tcPr>
            <w:tcW w:w="2122" w:type="dxa"/>
          </w:tcPr>
          <w:p w14:paraId="3404F71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3D8739BE" w14:textId="77777777" w:rsidR="00B06301" w:rsidRPr="00226C03" w:rsidRDefault="00B06301" w:rsidP="002D631B">
            <w:pPr>
              <w:pStyle w:val="NoSpacing"/>
              <w:shd w:val="clear" w:color="auto" w:fill="FFFFFF" w:themeFill="background1"/>
              <w:rPr>
                <w:rFonts w:cstheme="minorHAnsi"/>
              </w:rPr>
            </w:pPr>
            <w:r w:rsidRPr="00226C03">
              <w:rPr>
                <w:rFonts w:cstheme="minorHAnsi"/>
              </w:rPr>
              <w:t>Hornsby, New South Wales</w:t>
            </w:r>
          </w:p>
        </w:tc>
      </w:tr>
      <w:tr w:rsidR="00B06301" w:rsidRPr="00226C03" w14:paraId="47C47EBB" w14:textId="77777777" w:rsidTr="002D631B">
        <w:tc>
          <w:tcPr>
            <w:tcW w:w="2122" w:type="dxa"/>
          </w:tcPr>
          <w:p w14:paraId="450DECE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42476397" w14:textId="77777777" w:rsidR="00B06301" w:rsidRPr="00226C03" w:rsidRDefault="00B06301" w:rsidP="002D631B">
            <w:pPr>
              <w:pStyle w:val="NoSpacing"/>
              <w:shd w:val="clear" w:color="auto" w:fill="FFFFFF" w:themeFill="background1"/>
              <w:rPr>
                <w:rFonts w:cstheme="minorHAnsi"/>
              </w:rPr>
            </w:pPr>
            <w:r w:rsidRPr="00226C03">
              <w:rPr>
                <w:rFonts w:cstheme="minorHAnsi"/>
              </w:rPr>
              <w:t>Family Advocacy supports families to advocate with and on behalf of a family member with disability. We recognise that families striving for a socially valued life for their family member does and will create a richer society whereby people with disability are seen as valuable societal contributors.  The need for advocacy by families often springs from a vision of what the family want to eventuate for their child’s future and barriers that exist that may inhibit this vision.</w:t>
            </w:r>
          </w:p>
        </w:tc>
      </w:tr>
      <w:tr w:rsidR="00B06301" w:rsidRPr="00226C03" w14:paraId="016B075D" w14:textId="77777777" w:rsidTr="002D631B">
        <w:tc>
          <w:tcPr>
            <w:tcW w:w="2122" w:type="dxa"/>
          </w:tcPr>
          <w:p w14:paraId="583EB4D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78AC349B" w14:textId="77777777" w:rsidR="00B06301" w:rsidRPr="00226C03" w:rsidRDefault="00B06301" w:rsidP="002D631B">
            <w:pPr>
              <w:pStyle w:val="NoSpacing"/>
              <w:shd w:val="clear" w:color="auto" w:fill="FFFFFF" w:themeFill="background1"/>
              <w:rPr>
                <w:rFonts w:cstheme="minorHAnsi"/>
              </w:rPr>
            </w:pPr>
            <w:r w:rsidRPr="00226C03">
              <w:rPr>
                <w:rFonts w:cstheme="minorHAnsi"/>
              </w:rPr>
              <w:t>Recommended by Prof Emerita Patricia O’Brien</w:t>
            </w:r>
          </w:p>
        </w:tc>
      </w:tr>
    </w:tbl>
    <w:p w14:paraId="02062161" w14:textId="1CFBA72D" w:rsidR="00727856" w:rsidRDefault="00727856" w:rsidP="00B06301">
      <w:pPr>
        <w:shd w:val="clear" w:color="auto" w:fill="FFFFFF" w:themeFill="background1"/>
        <w:rPr>
          <w:rFonts w:cstheme="minorHAnsi"/>
          <w:b/>
          <w:bCs/>
        </w:rPr>
      </w:pPr>
    </w:p>
    <w:p w14:paraId="7D493A0B" w14:textId="77777777" w:rsidR="00727856" w:rsidRDefault="00727856">
      <w:pPr>
        <w:rPr>
          <w:rFonts w:cstheme="minorHAnsi"/>
          <w:b/>
          <w:bCs/>
        </w:rPr>
      </w:pPr>
      <w:r>
        <w:rPr>
          <w:rFonts w:cstheme="minorHAnsi"/>
          <w:b/>
          <w:bCs/>
        </w:rPr>
        <w:br w:type="page"/>
      </w:r>
    </w:p>
    <w:p w14:paraId="1242852C"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38843CC9" w14:textId="77777777" w:rsidTr="002D631B">
        <w:tc>
          <w:tcPr>
            <w:tcW w:w="9016" w:type="dxa"/>
            <w:gridSpan w:val="2"/>
          </w:tcPr>
          <w:p w14:paraId="403B2842"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35</w:t>
            </w:r>
          </w:p>
        </w:tc>
      </w:tr>
      <w:tr w:rsidR="00B06301" w:rsidRPr="00226C03" w14:paraId="49D758C3" w14:textId="77777777" w:rsidTr="002D631B">
        <w:tc>
          <w:tcPr>
            <w:tcW w:w="2122" w:type="dxa"/>
          </w:tcPr>
          <w:p w14:paraId="441CBD37"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1D93CACA"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Belonging Matters</w:t>
            </w:r>
          </w:p>
        </w:tc>
      </w:tr>
      <w:tr w:rsidR="00B06301" w:rsidRPr="00226C03" w14:paraId="5D591C38" w14:textId="77777777" w:rsidTr="002D631B">
        <w:tc>
          <w:tcPr>
            <w:tcW w:w="2122" w:type="dxa"/>
          </w:tcPr>
          <w:p w14:paraId="6574FF3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546FBAAB" w14:textId="77777777" w:rsidR="00B06301" w:rsidRPr="00226C03" w:rsidRDefault="00B06301" w:rsidP="002D631B">
            <w:pPr>
              <w:pStyle w:val="NoSpacing"/>
              <w:shd w:val="clear" w:color="auto" w:fill="FFFFFF" w:themeFill="background1"/>
              <w:rPr>
                <w:rFonts w:cstheme="minorHAnsi"/>
              </w:rPr>
            </w:pPr>
            <w:r w:rsidRPr="00226C03">
              <w:rPr>
                <w:rFonts w:cstheme="minorHAnsi"/>
              </w:rPr>
              <w:t>Deb Rouget, Chief Executive Officer</w:t>
            </w:r>
          </w:p>
        </w:tc>
      </w:tr>
      <w:tr w:rsidR="00B06301" w:rsidRPr="00226C03" w14:paraId="69B4A367" w14:textId="77777777" w:rsidTr="002D631B">
        <w:tc>
          <w:tcPr>
            <w:tcW w:w="2122" w:type="dxa"/>
          </w:tcPr>
          <w:p w14:paraId="3E9C71FA"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12CD514D" w14:textId="77777777" w:rsidR="00B06301" w:rsidRPr="00226C03" w:rsidRDefault="001F76D0" w:rsidP="002D631B">
            <w:pPr>
              <w:pStyle w:val="NoSpacing"/>
              <w:shd w:val="clear" w:color="auto" w:fill="FFFFFF" w:themeFill="background1"/>
              <w:rPr>
                <w:rFonts w:cstheme="minorHAnsi"/>
              </w:rPr>
            </w:pPr>
            <w:hyperlink r:id="rId131" w:history="1">
              <w:r w:rsidR="00B06301" w:rsidRPr="00226C03">
                <w:rPr>
                  <w:rStyle w:val="Hyperlink"/>
                  <w:rFonts w:cstheme="minorHAnsi"/>
                </w:rPr>
                <w:t>https://www.belongingmatters.org/</w:t>
              </w:r>
            </w:hyperlink>
            <w:r w:rsidR="00B06301" w:rsidRPr="00226C03">
              <w:rPr>
                <w:rFonts w:cstheme="minorHAnsi"/>
              </w:rPr>
              <w:t xml:space="preserve"> </w:t>
            </w:r>
          </w:p>
        </w:tc>
      </w:tr>
      <w:tr w:rsidR="00B06301" w:rsidRPr="00226C03" w14:paraId="36A1F4C9" w14:textId="77777777" w:rsidTr="002D631B">
        <w:tc>
          <w:tcPr>
            <w:tcW w:w="2122" w:type="dxa"/>
          </w:tcPr>
          <w:p w14:paraId="51ED9B9B"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23776672" w14:textId="77777777" w:rsidR="00B06301" w:rsidRPr="00226C03" w:rsidRDefault="00B06301" w:rsidP="002D631B">
            <w:pPr>
              <w:pStyle w:val="NoSpacing"/>
              <w:shd w:val="clear" w:color="auto" w:fill="FFFFFF" w:themeFill="background1"/>
              <w:rPr>
                <w:rFonts w:cstheme="minorHAnsi"/>
              </w:rPr>
            </w:pPr>
            <w:r w:rsidRPr="00226C03">
              <w:rPr>
                <w:rFonts w:cstheme="minorHAnsi"/>
              </w:rPr>
              <w:t>Victoria, Australia</w:t>
            </w:r>
          </w:p>
        </w:tc>
      </w:tr>
      <w:tr w:rsidR="00B06301" w:rsidRPr="00226C03" w14:paraId="49158EF5" w14:textId="77777777" w:rsidTr="002D631B">
        <w:tc>
          <w:tcPr>
            <w:tcW w:w="2122" w:type="dxa"/>
          </w:tcPr>
          <w:p w14:paraId="7E38A6E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5E67A443" w14:textId="77777777" w:rsidR="00B06301" w:rsidRPr="00226C03" w:rsidRDefault="00B06301" w:rsidP="002D631B">
            <w:pPr>
              <w:pStyle w:val="NoSpacing"/>
              <w:shd w:val="clear" w:color="auto" w:fill="FFFFFF" w:themeFill="background1"/>
              <w:rPr>
                <w:rFonts w:cstheme="minorHAnsi"/>
              </w:rPr>
            </w:pPr>
            <w:r w:rsidRPr="00226C03">
              <w:rPr>
                <w:rFonts w:cstheme="minorHAnsi"/>
              </w:rPr>
              <w:t>Belonging Matters is a not for profit capacity enhancing services that provides education, resources, mentoring and advice about social inclusion and belonging. It was developed in 2003 by individuals with a disability and families who have a passion for social inclusion! We are people friendly and value driven. On this web site you will find a range of useful resources that aim to inspire and build the knowledge of people with a disability, their families and allies to enable people with a disability to have opportunities and pathways typical of other citizens in the community - lives that are personally fulfilling, unique, socially inclusive and empowering.﻿</w:t>
            </w:r>
          </w:p>
        </w:tc>
      </w:tr>
      <w:tr w:rsidR="00B06301" w:rsidRPr="00226C03" w14:paraId="2A05C224" w14:textId="77777777" w:rsidTr="002D631B">
        <w:tc>
          <w:tcPr>
            <w:tcW w:w="2122" w:type="dxa"/>
          </w:tcPr>
          <w:p w14:paraId="5B1A2711"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15599DC1" w14:textId="77777777" w:rsidR="00B06301" w:rsidRPr="00226C03" w:rsidRDefault="00B06301" w:rsidP="002D631B">
            <w:pPr>
              <w:pStyle w:val="NoSpacing"/>
              <w:shd w:val="clear" w:color="auto" w:fill="FFFFFF" w:themeFill="background1"/>
              <w:rPr>
                <w:rFonts w:cstheme="minorHAnsi"/>
              </w:rPr>
            </w:pPr>
            <w:r w:rsidRPr="00226C03">
              <w:rPr>
                <w:rFonts w:cstheme="minorHAnsi"/>
              </w:rPr>
              <w:t>Recommended by Prof Emerita Patricia O’Brien</w:t>
            </w:r>
          </w:p>
        </w:tc>
      </w:tr>
    </w:tbl>
    <w:p w14:paraId="39F5AE6E"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011B53B2" w14:textId="77777777" w:rsidTr="002D631B">
        <w:tc>
          <w:tcPr>
            <w:tcW w:w="9016" w:type="dxa"/>
            <w:gridSpan w:val="2"/>
          </w:tcPr>
          <w:p w14:paraId="21317327"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36</w:t>
            </w:r>
          </w:p>
        </w:tc>
      </w:tr>
      <w:tr w:rsidR="00B06301" w:rsidRPr="00226C03" w14:paraId="3C722F2A" w14:textId="77777777" w:rsidTr="002D631B">
        <w:tc>
          <w:tcPr>
            <w:tcW w:w="2122" w:type="dxa"/>
          </w:tcPr>
          <w:p w14:paraId="106693C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4A410BE5"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Imagine More</w:t>
            </w:r>
          </w:p>
        </w:tc>
      </w:tr>
      <w:tr w:rsidR="00B06301" w:rsidRPr="00226C03" w14:paraId="249E8EB4" w14:textId="77777777" w:rsidTr="002D631B">
        <w:tc>
          <w:tcPr>
            <w:tcW w:w="2122" w:type="dxa"/>
          </w:tcPr>
          <w:p w14:paraId="03882DB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1A4D5ABC" w14:textId="77777777" w:rsidR="00B06301" w:rsidRPr="00226C03" w:rsidRDefault="001F76D0" w:rsidP="002D631B">
            <w:pPr>
              <w:pStyle w:val="NoSpacing"/>
              <w:shd w:val="clear" w:color="auto" w:fill="FFFFFF" w:themeFill="background1"/>
              <w:rPr>
                <w:rFonts w:cstheme="minorHAnsi"/>
              </w:rPr>
            </w:pPr>
            <w:hyperlink r:id="rId132" w:history="1">
              <w:r w:rsidR="00B06301" w:rsidRPr="00226C03">
                <w:rPr>
                  <w:rStyle w:val="Hyperlink"/>
                  <w:rFonts w:cstheme="minorHAnsi"/>
                </w:rPr>
                <w:t>https://imaginemore.org.au/contact/</w:t>
              </w:r>
            </w:hyperlink>
            <w:r w:rsidR="00B06301" w:rsidRPr="00226C03">
              <w:rPr>
                <w:rFonts w:cstheme="minorHAnsi"/>
              </w:rPr>
              <w:t xml:space="preserve"> </w:t>
            </w:r>
          </w:p>
        </w:tc>
      </w:tr>
      <w:tr w:rsidR="00B06301" w:rsidRPr="00226C03" w14:paraId="5621EC27" w14:textId="77777777" w:rsidTr="002D631B">
        <w:tc>
          <w:tcPr>
            <w:tcW w:w="2122" w:type="dxa"/>
          </w:tcPr>
          <w:p w14:paraId="71D54FE7"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1F6739D2" w14:textId="77777777" w:rsidR="00B06301" w:rsidRPr="00226C03" w:rsidRDefault="001F76D0" w:rsidP="002D631B">
            <w:pPr>
              <w:pStyle w:val="NoSpacing"/>
              <w:shd w:val="clear" w:color="auto" w:fill="FFFFFF" w:themeFill="background1"/>
              <w:rPr>
                <w:rFonts w:cstheme="minorHAnsi"/>
              </w:rPr>
            </w:pPr>
            <w:hyperlink r:id="rId133" w:history="1">
              <w:r w:rsidR="00B06301" w:rsidRPr="00226C03">
                <w:rPr>
                  <w:rStyle w:val="Hyperlink"/>
                  <w:rFonts w:cstheme="minorHAnsi"/>
                </w:rPr>
                <w:t>https://imaginemore.org.au/</w:t>
              </w:r>
            </w:hyperlink>
            <w:r w:rsidR="00B06301" w:rsidRPr="00226C03">
              <w:rPr>
                <w:rFonts w:cstheme="minorHAnsi"/>
              </w:rPr>
              <w:t xml:space="preserve"> </w:t>
            </w:r>
          </w:p>
        </w:tc>
      </w:tr>
      <w:tr w:rsidR="00B06301" w:rsidRPr="00226C03" w14:paraId="634B5E52" w14:textId="77777777" w:rsidTr="002D631B">
        <w:tc>
          <w:tcPr>
            <w:tcW w:w="2122" w:type="dxa"/>
          </w:tcPr>
          <w:p w14:paraId="6E6D7D37"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79699A24" w14:textId="77777777" w:rsidR="00B06301" w:rsidRPr="00226C03" w:rsidRDefault="00B06301" w:rsidP="002D631B">
            <w:pPr>
              <w:pStyle w:val="NoSpacing"/>
              <w:shd w:val="clear" w:color="auto" w:fill="FFFFFF" w:themeFill="background1"/>
              <w:rPr>
                <w:rFonts w:cstheme="minorHAnsi"/>
              </w:rPr>
            </w:pPr>
            <w:r w:rsidRPr="00226C03">
              <w:rPr>
                <w:rFonts w:cstheme="minorHAnsi"/>
              </w:rPr>
              <w:t>Jan Kruger, Director</w:t>
            </w:r>
          </w:p>
        </w:tc>
      </w:tr>
      <w:tr w:rsidR="00B06301" w:rsidRPr="00226C03" w14:paraId="177A0CF6" w14:textId="77777777" w:rsidTr="002D631B">
        <w:tc>
          <w:tcPr>
            <w:tcW w:w="2122" w:type="dxa"/>
          </w:tcPr>
          <w:p w14:paraId="5D6E6AB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7001FDFF" w14:textId="77777777" w:rsidR="00B06301" w:rsidRPr="00226C03" w:rsidRDefault="00B06301" w:rsidP="002D631B">
            <w:pPr>
              <w:pStyle w:val="NoSpacing"/>
              <w:shd w:val="clear" w:color="auto" w:fill="FFFFFF" w:themeFill="background1"/>
              <w:rPr>
                <w:rFonts w:cstheme="minorHAnsi"/>
              </w:rPr>
            </w:pPr>
            <w:r w:rsidRPr="00226C03">
              <w:rPr>
                <w:rFonts w:cstheme="minorHAnsi"/>
              </w:rPr>
              <w:t>We want people with disability to enjoy the good things of life. So the work we do is focused on building the capacity of people with disability, their families and supporters.</w:t>
            </w:r>
          </w:p>
        </w:tc>
      </w:tr>
      <w:tr w:rsidR="00B06301" w:rsidRPr="00226C03" w14:paraId="35CC4998" w14:textId="77777777" w:rsidTr="002D631B">
        <w:tc>
          <w:tcPr>
            <w:tcW w:w="2122" w:type="dxa"/>
          </w:tcPr>
          <w:p w14:paraId="404FED71"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5554EB1B" w14:textId="77777777" w:rsidR="00B06301" w:rsidRPr="00226C03" w:rsidRDefault="00B06301" w:rsidP="002D631B">
            <w:pPr>
              <w:pStyle w:val="NoSpacing"/>
              <w:shd w:val="clear" w:color="auto" w:fill="FFFFFF" w:themeFill="background1"/>
              <w:rPr>
                <w:rFonts w:cstheme="minorHAnsi"/>
              </w:rPr>
            </w:pPr>
            <w:r w:rsidRPr="00226C03">
              <w:rPr>
                <w:rFonts w:cstheme="minorHAnsi"/>
              </w:rPr>
              <w:t>Recommended by Prof Emerita Patricia O’Brien</w:t>
            </w:r>
          </w:p>
        </w:tc>
      </w:tr>
    </w:tbl>
    <w:p w14:paraId="79301D70"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2F4AF04D" w14:textId="77777777" w:rsidTr="002D631B">
        <w:tc>
          <w:tcPr>
            <w:tcW w:w="9016" w:type="dxa"/>
            <w:gridSpan w:val="2"/>
          </w:tcPr>
          <w:p w14:paraId="45E64DFE"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37</w:t>
            </w:r>
          </w:p>
        </w:tc>
      </w:tr>
      <w:tr w:rsidR="00B06301" w:rsidRPr="00226C03" w14:paraId="157076DB" w14:textId="77777777" w:rsidTr="002D631B">
        <w:tc>
          <w:tcPr>
            <w:tcW w:w="2122" w:type="dxa"/>
          </w:tcPr>
          <w:p w14:paraId="68F18A7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15591467"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 xml:space="preserve">Valued Lives </w:t>
            </w:r>
          </w:p>
        </w:tc>
      </w:tr>
      <w:tr w:rsidR="00B06301" w:rsidRPr="00226C03" w14:paraId="5AFFE143" w14:textId="77777777" w:rsidTr="002D631B">
        <w:tc>
          <w:tcPr>
            <w:tcW w:w="2122" w:type="dxa"/>
          </w:tcPr>
          <w:p w14:paraId="168C755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257D8263" w14:textId="77777777" w:rsidR="00B06301" w:rsidRPr="00226C03" w:rsidRDefault="001F76D0" w:rsidP="002D631B">
            <w:pPr>
              <w:pStyle w:val="NoSpacing"/>
              <w:shd w:val="clear" w:color="auto" w:fill="FFFFFF" w:themeFill="background1"/>
              <w:rPr>
                <w:rFonts w:cstheme="minorHAnsi"/>
              </w:rPr>
            </w:pPr>
            <w:hyperlink r:id="rId134" w:history="1">
              <w:r w:rsidR="00B06301" w:rsidRPr="00226C03">
                <w:rPr>
                  <w:rStyle w:val="Hyperlink"/>
                  <w:rFonts w:cstheme="minorHAnsi"/>
                </w:rPr>
                <w:t>info@valuedlives.org</w:t>
              </w:r>
            </w:hyperlink>
            <w:r w:rsidR="00B06301" w:rsidRPr="00226C03">
              <w:rPr>
                <w:rFonts w:cstheme="minorHAnsi"/>
              </w:rPr>
              <w:t xml:space="preserve"> </w:t>
            </w:r>
          </w:p>
        </w:tc>
      </w:tr>
      <w:tr w:rsidR="00B06301" w:rsidRPr="00226C03" w14:paraId="70A40581" w14:textId="77777777" w:rsidTr="002D631B">
        <w:tc>
          <w:tcPr>
            <w:tcW w:w="2122" w:type="dxa"/>
          </w:tcPr>
          <w:p w14:paraId="2571A441"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13B70E15" w14:textId="77777777" w:rsidR="00B06301" w:rsidRPr="00226C03" w:rsidRDefault="001F76D0" w:rsidP="002D631B">
            <w:pPr>
              <w:pStyle w:val="NoSpacing"/>
              <w:shd w:val="clear" w:color="auto" w:fill="FFFFFF" w:themeFill="background1"/>
              <w:rPr>
                <w:rFonts w:cstheme="minorHAnsi"/>
              </w:rPr>
            </w:pPr>
            <w:hyperlink r:id="rId135" w:history="1">
              <w:r w:rsidR="00B06301" w:rsidRPr="00226C03">
                <w:rPr>
                  <w:rStyle w:val="Hyperlink"/>
                  <w:rFonts w:cstheme="minorHAnsi"/>
                </w:rPr>
                <w:t>https://valuedlives.org.au/</w:t>
              </w:r>
            </w:hyperlink>
            <w:r w:rsidR="00B06301" w:rsidRPr="00226C03">
              <w:rPr>
                <w:rFonts w:cstheme="minorHAnsi"/>
              </w:rPr>
              <w:t xml:space="preserve"> </w:t>
            </w:r>
          </w:p>
        </w:tc>
      </w:tr>
      <w:tr w:rsidR="00B06301" w:rsidRPr="00226C03" w14:paraId="4D938BA0" w14:textId="77777777" w:rsidTr="002D631B">
        <w:tc>
          <w:tcPr>
            <w:tcW w:w="2122" w:type="dxa"/>
          </w:tcPr>
          <w:p w14:paraId="5F7429C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0674E576" w14:textId="77777777" w:rsidR="00B06301" w:rsidRPr="00226C03" w:rsidRDefault="00B06301" w:rsidP="002D631B">
            <w:pPr>
              <w:pStyle w:val="NoSpacing"/>
              <w:shd w:val="clear" w:color="auto" w:fill="FFFFFF" w:themeFill="background1"/>
              <w:rPr>
                <w:rFonts w:cstheme="minorHAnsi"/>
              </w:rPr>
            </w:pPr>
            <w:r w:rsidRPr="00226C03">
              <w:rPr>
                <w:rFonts w:cstheme="minorHAnsi"/>
              </w:rPr>
              <w:t>Fremantle, Western Australia</w:t>
            </w:r>
          </w:p>
        </w:tc>
      </w:tr>
      <w:tr w:rsidR="00B06301" w:rsidRPr="00226C03" w14:paraId="62FF976F" w14:textId="77777777" w:rsidTr="002D631B">
        <w:tc>
          <w:tcPr>
            <w:tcW w:w="2122" w:type="dxa"/>
          </w:tcPr>
          <w:p w14:paraId="306055F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7ACE9A3A"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We provide individualised supports within your home and in your community, which is covered in your NDIS plan and includes assistance with your daily, personal activities e.g. support with personal hygiene needs or supervision of personal daily tasks which helps you to live at home and in your community as independently as possible. Daily living supports are flexible and customised to your own needs, goals and outcomes. </w:t>
            </w:r>
          </w:p>
        </w:tc>
      </w:tr>
      <w:tr w:rsidR="00B06301" w:rsidRPr="00226C03" w14:paraId="3C9905D3" w14:textId="77777777" w:rsidTr="002D631B">
        <w:tc>
          <w:tcPr>
            <w:tcW w:w="2122" w:type="dxa"/>
          </w:tcPr>
          <w:p w14:paraId="02615A9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6BDDF1FA" w14:textId="77777777" w:rsidR="00B06301" w:rsidRPr="00226C03" w:rsidRDefault="00B06301" w:rsidP="002D631B">
            <w:pPr>
              <w:pStyle w:val="NoSpacing"/>
              <w:shd w:val="clear" w:color="auto" w:fill="FFFFFF" w:themeFill="background1"/>
              <w:rPr>
                <w:rFonts w:cstheme="minorHAnsi"/>
              </w:rPr>
            </w:pPr>
            <w:r w:rsidRPr="00226C03">
              <w:rPr>
                <w:rFonts w:cstheme="minorHAnsi"/>
              </w:rPr>
              <w:t>Recommended by Prof Emerita Patricia O’Brien</w:t>
            </w:r>
          </w:p>
        </w:tc>
      </w:tr>
    </w:tbl>
    <w:p w14:paraId="55813FC0" w14:textId="634D56DF" w:rsidR="00204587" w:rsidRDefault="00204587" w:rsidP="00B06301">
      <w:pPr>
        <w:shd w:val="clear" w:color="auto" w:fill="FFFFFF" w:themeFill="background1"/>
        <w:rPr>
          <w:rFonts w:cstheme="minorHAnsi"/>
          <w:b/>
          <w:bCs/>
        </w:rPr>
      </w:pPr>
    </w:p>
    <w:p w14:paraId="290A9596" w14:textId="77777777" w:rsidR="00204587" w:rsidRDefault="00204587">
      <w:pPr>
        <w:rPr>
          <w:rFonts w:cstheme="minorHAnsi"/>
          <w:b/>
          <w:bCs/>
        </w:rPr>
      </w:pPr>
      <w:r>
        <w:rPr>
          <w:rFonts w:cstheme="minorHAnsi"/>
          <w:b/>
          <w:bCs/>
        </w:rPr>
        <w:br w:type="page"/>
      </w:r>
    </w:p>
    <w:p w14:paraId="1D806FCA"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36D98105" w14:textId="77777777" w:rsidTr="002D631B">
        <w:tc>
          <w:tcPr>
            <w:tcW w:w="9016" w:type="dxa"/>
            <w:gridSpan w:val="2"/>
          </w:tcPr>
          <w:p w14:paraId="5A778942"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38</w:t>
            </w:r>
          </w:p>
        </w:tc>
      </w:tr>
      <w:tr w:rsidR="00B06301" w:rsidRPr="00226C03" w14:paraId="25BB8CD1" w14:textId="77777777" w:rsidTr="002D631B">
        <w:tc>
          <w:tcPr>
            <w:tcW w:w="2122" w:type="dxa"/>
          </w:tcPr>
          <w:p w14:paraId="513760B3"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5485A298"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Purple Orange</w:t>
            </w:r>
          </w:p>
        </w:tc>
      </w:tr>
      <w:tr w:rsidR="00B06301" w:rsidRPr="00226C03" w14:paraId="39FD9AF3" w14:textId="77777777" w:rsidTr="002D631B">
        <w:tc>
          <w:tcPr>
            <w:tcW w:w="2122" w:type="dxa"/>
          </w:tcPr>
          <w:p w14:paraId="27160179"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124346BE" w14:textId="77777777" w:rsidR="00B06301" w:rsidRPr="00226C03" w:rsidRDefault="001F76D0" w:rsidP="002D631B">
            <w:pPr>
              <w:pStyle w:val="NoSpacing"/>
              <w:shd w:val="clear" w:color="auto" w:fill="FFFFFF" w:themeFill="background1"/>
              <w:rPr>
                <w:rFonts w:cstheme="minorHAnsi"/>
              </w:rPr>
            </w:pPr>
            <w:hyperlink r:id="rId136" w:history="1">
              <w:r w:rsidR="00B06301" w:rsidRPr="00226C03">
                <w:rPr>
                  <w:rStyle w:val="Hyperlink"/>
                  <w:rFonts w:cstheme="minorHAnsi"/>
                </w:rPr>
                <w:t>admin@purpleorange.org.au</w:t>
              </w:r>
            </w:hyperlink>
            <w:r w:rsidR="00B06301" w:rsidRPr="00226C03">
              <w:rPr>
                <w:rFonts w:cstheme="minorHAnsi"/>
              </w:rPr>
              <w:t xml:space="preserve"> </w:t>
            </w:r>
          </w:p>
        </w:tc>
      </w:tr>
      <w:tr w:rsidR="00B06301" w:rsidRPr="00226C03" w14:paraId="041F2152" w14:textId="77777777" w:rsidTr="002D631B">
        <w:tc>
          <w:tcPr>
            <w:tcW w:w="2122" w:type="dxa"/>
          </w:tcPr>
          <w:p w14:paraId="512E316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7429D6B7" w14:textId="77777777" w:rsidR="00B06301" w:rsidRPr="00226C03" w:rsidRDefault="001F76D0" w:rsidP="002D631B">
            <w:pPr>
              <w:pStyle w:val="NoSpacing"/>
              <w:shd w:val="clear" w:color="auto" w:fill="FFFFFF" w:themeFill="background1"/>
              <w:rPr>
                <w:rFonts w:cstheme="minorHAnsi"/>
              </w:rPr>
            </w:pPr>
            <w:hyperlink r:id="rId137" w:history="1">
              <w:r w:rsidR="00B06301" w:rsidRPr="00226C03">
                <w:rPr>
                  <w:rStyle w:val="Hyperlink"/>
                  <w:rFonts w:cstheme="minorHAnsi"/>
                </w:rPr>
                <w:t>https://www.purpleorange.org.au/</w:t>
              </w:r>
            </w:hyperlink>
            <w:r w:rsidR="00B06301" w:rsidRPr="00226C03">
              <w:rPr>
                <w:rFonts w:cstheme="minorHAnsi"/>
              </w:rPr>
              <w:t xml:space="preserve"> </w:t>
            </w:r>
          </w:p>
        </w:tc>
      </w:tr>
      <w:tr w:rsidR="00B06301" w:rsidRPr="00226C03" w14:paraId="66A87374" w14:textId="77777777" w:rsidTr="002D631B">
        <w:tc>
          <w:tcPr>
            <w:tcW w:w="2122" w:type="dxa"/>
          </w:tcPr>
          <w:p w14:paraId="394DFD9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00054EB0" w14:textId="77777777" w:rsidR="00B06301" w:rsidRPr="00226C03" w:rsidRDefault="00B06301" w:rsidP="002D631B">
            <w:pPr>
              <w:pStyle w:val="NoSpacing"/>
              <w:shd w:val="clear" w:color="auto" w:fill="FFFFFF" w:themeFill="background1"/>
              <w:rPr>
                <w:rFonts w:cstheme="minorHAnsi"/>
              </w:rPr>
            </w:pPr>
            <w:r w:rsidRPr="00226C03">
              <w:rPr>
                <w:rFonts w:cstheme="minorHAnsi"/>
              </w:rPr>
              <w:t>Unsley, South Australia</w:t>
            </w:r>
          </w:p>
        </w:tc>
      </w:tr>
      <w:tr w:rsidR="00B06301" w:rsidRPr="00226C03" w14:paraId="0035DDEC" w14:textId="77777777" w:rsidTr="002D631B">
        <w:tc>
          <w:tcPr>
            <w:tcW w:w="2122" w:type="dxa"/>
          </w:tcPr>
          <w:p w14:paraId="676207D9"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36D40E50" w14:textId="77777777" w:rsidR="00B06301" w:rsidRPr="00226C03" w:rsidRDefault="00B06301" w:rsidP="002D631B">
            <w:pPr>
              <w:pStyle w:val="NoSpacing"/>
              <w:shd w:val="clear" w:color="auto" w:fill="FFFFFF" w:themeFill="background1"/>
              <w:rPr>
                <w:rFonts w:cstheme="minorHAnsi"/>
              </w:rPr>
            </w:pPr>
            <w:r w:rsidRPr="00226C03">
              <w:rPr>
                <w:rFonts w:cstheme="minorHAnsi"/>
              </w:rPr>
              <w:t>We are a social profit organisation on a mission to create a world where people who live with disability have a fair go at what life has to offer. We listen to, learn from and work alongside people who live with disability to develop policy and practice that makes a difference.</w:t>
            </w:r>
          </w:p>
        </w:tc>
      </w:tr>
      <w:tr w:rsidR="00B06301" w:rsidRPr="00226C03" w14:paraId="7B15B9F1" w14:textId="77777777" w:rsidTr="002D631B">
        <w:tc>
          <w:tcPr>
            <w:tcW w:w="2122" w:type="dxa"/>
          </w:tcPr>
          <w:p w14:paraId="2D8F457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6C685F1D" w14:textId="77777777" w:rsidR="00B06301" w:rsidRPr="00226C03" w:rsidRDefault="00B06301" w:rsidP="002D631B">
            <w:pPr>
              <w:pStyle w:val="NoSpacing"/>
              <w:shd w:val="clear" w:color="auto" w:fill="FFFFFF" w:themeFill="background1"/>
              <w:rPr>
                <w:rFonts w:cstheme="minorHAnsi"/>
              </w:rPr>
            </w:pPr>
            <w:r w:rsidRPr="00226C03">
              <w:rPr>
                <w:rFonts w:cstheme="minorHAnsi"/>
              </w:rPr>
              <w:t>Recommended by Prof Emerita Patricia O’Brien</w:t>
            </w:r>
          </w:p>
        </w:tc>
      </w:tr>
    </w:tbl>
    <w:p w14:paraId="0B8B4DA9"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7A9EC2B6" w14:textId="77777777" w:rsidTr="002D631B">
        <w:tc>
          <w:tcPr>
            <w:tcW w:w="9016" w:type="dxa"/>
            <w:gridSpan w:val="2"/>
          </w:tcPr>
          <w:p w14:paraId="7A2F10A7"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39</w:t>
            </w:r>
          </w:p>
        </w:tc>
      </w:tr>
      <w:tr w:rsidR="00B06301" w:rsidRPr="00226C03" w14:paraId="46521310" w14:textId="77777777" w:rsidTr="002D631B">
        <w:tc>
          <w:tcPr>
            <w:tcW w:w="2122" w:type="dxa"/>
          </w:tcPr>
          <w:p w14:paraId="37A0BD9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2C976031"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L’Arche Australia</w:t>
            </w:r>
          </w:p>
        </w:tc>
      </w:tr>
      <w:tr w:rsidR="00B06301" w:rsidRPr="00226C03" w14:paraId="4C65A7A8" w14:textId="77777777" w:rsidTr="002D631B">
        <w:tc>
          <w:tcPr>
            <w:tcW w:w="2122" w:type="dxa"/>
          </w:tcPr>
          <w:p w14:paraId="55B22FCB"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2FE05690" w14:textId="77777777" w:rsidR="00B06301" w:rsidRPr="00226C03" w:rsidRDefault="00B06301" w:rsidP="002D631B">
            <w:pPr>
              <w:pStyle w:val="NoSpacing"/>
              <w:shd w:val="clear" w:color="auto" w:fill="FFFFFF" w:themeFill="background1"/>
              <w:rPr>
                <w:rFonts w:cstheme="minorHAnsi"/>
              </w:rPr>
            </w:pPr>
            <w:r w:rsidRPr="00226C03">
              <w:rPr>
                <w:rFonts w:cstheme="minorHAnsi"/>
              </w:rPr>
              <w:t>David Treanor, National Leader</w:t>
            </w:r>
          </w:p>
        </w:tc>
      </w:tr>
      <w:tr w:rsidR="00B06301" w:rsidRPr="00226C03" w14:paraId="34EA4446" w14:textId="77777777" w:rsidTr="002D631B">
        <w:tc>
          <w:tcPr>
            <w:tcW w:w="2122" w:type="dxa"/>
          </w:tcPr>
          <w:p w14:paraId="72DDAD99"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3D59B10E" w14:textId="77777777" w:rsidR="00B06301" w:rsidRPr="00226C03" w:rsidRDefault="001F76D0" w:rsidP="002D631B">
            <w:pPr>
              <w:pStyle w:val="NoSpacing"/>
              <w:shd w:val="clear" w:color="auto" w:fill="FFFFFF" w:themeFill="background1"/>
              <w:rPr>
                <w:rFonts w:cstheme="minorHAnsi"/>
              </w:rPr>
            </w:pPr>
            <w:hyperlink r:id="rId138" w:history="1">
              <w:r w:rsidR="00B06301" w:rsidRPr="00226C03">
                <w:rPr>
                  <w:rStyle w:val="Hyperlink"/>
                  <w:rFonts w:cstheme="minorHAnsi"/>
                </w:rPr>
                <w:t>https://www.larche.org.au/</w:t>
              </w:r>
            </w:hyperlink>
            <w:r w:rsidR="00B06301" w:rsidRPr="00226C03">
              <w:rPr>
                <w:rFonts w:cstheme="minorHAnsi"/>
              </w:rPr>
              <w:t xml:space="preserve"> </w:t>
            </w:r>
          </w:p>
        </w:tc>
      </w:tr>
      <w:tr w:rsidR="00B06301" w:rsidRPr="00226C03" w14:paraId="6C52CEFD" w14:textId="77777777" w:rsidTr="002D631B">
        <w:tc>
          <w:tcPr>
            <w:tcW w:w="2122" w:type="dxa"/>
          </w:tcPr>
          <w:p w14:paraId="1A49F14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21B9B49E"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Nationwide. </w:t>
            </w:r>
          </w:p>
        </w:tc>
      </w:tr>
      <w:tr w:rsidR="00B06301" w:rsidRPr="00226C03" w14:paraId="1F7B3F39" w14:textId="77777777" w:rsidTr="002D631B">
        <w:tc>
          <w:tcPr>
            <w:tcW w:w="2122" w:type="dxa"/>
          </w:tcPr>
          <w:p w14:paraId="3FDBA597"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686C5810" w14:textId="77777777" w:rsidR="00B06301" w:rsidRPr="00226C03" w:rsidRDefault="00B06301" w:rsidP="002D631B">
            <w:pPr>
              <w:pStyle w:val="NoSpacing"/>
              <w:shd w:val="clear" w:color="auto" w:fill="FFFFFF" w:themeFill="background1"/>
              <w:rPr>
                <w:rFonts w:cstheme="minorHAnsi"/>
              </w:rPr>
            </w:pPr>
            <w:r w:rsidRPr="00226C03">
              <w:rPr>
                <w:rFonts w:cstheme="minorHAnsi"/>
              </w:rPr>
              <w:t>L’Arche Communities are vibrant places of welcome, belonging and celebration. As an organisation we are committed to providing people with intellectual disabilities the opportunities and support they need to lead fulfilling and empowered lives. L’Arche as a Service Provider: Competence with Care and Compassion. Community members living with the experience of an intellectual disability are funded through the NDIS and are provided with a range of care support services.</w:t>
            </w:r>
          </w:p>
        </w:tc>
      </w:tr>
      <w:tr w:rsidR="00B06301" w:rsidRPr="00226C03" w14:paraId="36D06E58" w14:textId="77777777" w:rsidTr="002D631B">
        <w:tc>
          <w:tcPr>
            <w:tcW w:w="2122" w:type="dxa"/>
          </w:tcPr>
          <w:p w14:paraId="56352647"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500A50F4" w14:textId="77777777" w:rsidR="00B06301" w:rsidRPr="00226C03" w:rsidRDefault="00B06301" w:rsidP="002D631B">
            <w:pPr>
              <w:pStyle w:val="NoSpacing"/>
              <w:shd w:val="clear" w:color="auto" w:fill="FFFFFF" w:themeFill="background1"/>
              <w:rPr>
                <w:rFonts w:cstheme="minorHAnsi"/>
              </w:rPr>
            </w:pPr>
          </w:p>
        </w:tc>
      </w:tr>
    </w:tbl>
    <w:p w14:paraId="7525E74E"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6905F73A" w14:textId="77777777" w:rsidTr="002D631B">
        <w:tc>
          <w:tcPr>
            <w:tcW w:w="9016" w:type="dxa"/>
            <w:gridSpan w:val="2"/>
          </w:tcPr>
          <w:p w14:paraId="4A278429"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40</w:t>
            </w:r>
          </w:p>
        </w:tc>
      </w:tr>
      <w:tr w:rsidR="00B06301" w:rsidRPr="00226C03" w14:paraId="2FC4A570" w14:textId="77777777" w:rsidTr="002D631B">
        <w:tc>
          <w:tcPr>
            <w:tcW w:w="2122" w:type="dxa"/>
          </w:tcPr>
          <w:p w14:paraId="24EA603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4E79BFEC"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Inclusive Housing Australia</w:t>
            </w:r>
          </w:p>
        </w:tc>
      </w:tr>
      <w:tr w:rsidR="00B06301" w:rsidRPr="00226C03" w14:paraId="072985E0" w14:textId="77777777" w:rsidTr="002D631B">
        <w:tc>
          <w:tcPr>
            <w:tcW w:w="2122" w:type="dxa"/>
          </w:tcPr>
          <w:p w14:paraId="260B9853"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25DF6B71" w14:textId="77777777" w:rsidR="00B06301" w:rsidRPr="00226C03" w:rsidRDefault="001F76D0" w:rsidP="002D631B">
            <w:pPr>
              <w:pStyle w:val="NoSpacing"/>
              <w:shd w:val="clear" w:color="auto" w:fill="FFFFFF" w:themeFill="background1"/>
              <w:rPr>
                <w:rFonts w:cstheme="minorHAnsi"/>
              </w:rPr>
            </w:pPr>
            <w:hyperlink r:id="rId139" w:history="1">
              <w:r w:rsidR="00B06301" w:rsidRPr="00226C03">
                <w:rPr>
                  <w:rStyle w:val="Hyperlink"/>
                  <w:rFonts w:cstheme="minorHAnsi"/>
                </w:rPr>
                <w:t>info@inclusivehousing.com.au</w:t>
              </w:r>
            </w:hyperlink>
            <w:r w:rsidR="00B06301" w:rsidRPr="00226C03">
              <w:rPr>
                <w:rFonts w:cstheme="minorHAnsi"/>
              </w:rPr>
              <w:t xml:space="preserve"> </w:t>
            </w:r>
          </w:p>
        </w:tc>
      </w:tr>
      <w:tr w:rsidR="00B06301" w:rsidRPr="00226C03" w14:paraId="3CBD66FF" w14:textId="77777777" w:rsidTr="002D631B">
        <w:tc>
          <w:tcPr>
            <w:tcW w:w="2122" w:type="dxa"/>
          </w:tcPr>
          <w:p w14:paraId="5F01A23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5CB8E887" w14:textId="77777777" w:rsidR="00B06301" w:rsidRPr="00226C03" w:rsidRDefault="001F76D0" w:rsidP="002D631B">
            <w:pPr>
              <w:pStyle w:val="NoSpacing"/>
              <w:shd w:val="clear" w:color="auto" w:fill="FFFFFF" w:themeFill="background1"/>
              <w:rPr>
                <w:rFonts w:cstheme="minorHAnsi"/>
              </w:rPr>
            </w:pPr>
            <w:hyperlink r:id="rId140" w:history="1">
              <w:r w:rsidR="00B06301" w:rsidRPr="00226C03">
                <w:rPr>
                  <w:rStyle w:val="Hyperlink"/>
                  <w:rFonts w:cstheme="minorHAnsi"/>
                </w:rPr>
                <w:t>https://inclusivehousing.com.au/</w:t>
              </w:r>
            </w:hyperlink>
            <w:r w:rsidR="00B06301" w:rsidRPr="00226C03">
              <w:rPr>
                <w:rFonts w:cstheme="minorHAnsi"/>
              </w:rPr>
              <w:t xml:space="preserve"> </w:t>
            </w:r>
          </w:p>
        </w:tc>
      </w:tr>
      <w:tr w:rsidR="00B06301" w:rsidRPr="00226C03" w14:paraId="59F4E763" w14:textId="77777777" w:rsidTr="002D631B">
        <w:tc>
          <w:tcPr>
            <w:tcW w:w="2122" w:type="dxa"/>
          </w:tcPr>
          <w:p w14:paraId="49252A5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31D52B8F" w14:textId="77777777" w:rsidR="00B06301" w:rsidRPr="00226C03" w:rsidRDefault="00B06301" w:rsidP="002D631B">
            <w:pPr>
              <w:pStyle w:val="NoSpacing"/>
              <w:shd w:val="clear" w:color="auto" w:fill="FFFFFF" w:themeFill="background1"/>
              <w:rPr>
                <w:rFonts w:cstheme="minorHAnsi"/>
              </w:rPr>
            </w:pPr>
            <w:r w:rsidRPr="00226C03">
              <w:rPr>
                <w:rFonts w:cstheme="minorHAnsi"/>
              </w:rPr>
              <w:t>Sydney, New South Wales</w:t>
            </w:r>
          </w:p>
        </w:tc>
      </w:tr>
      <w:tr w:rsidR="00B06301" w:rsidRPr="00226C03" w14:paraId="37240F2B" w14:textId="77777777" w:rsidTr="002D631B">
        <w:tc>
          <w:tcPr>
            <w:tcW w:w="2122" w:type="dxa"/>
          </w:tcPr>
          <w:p w14:paraId="235DA40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5A6A3299" w14:textId="77777777" w:rsidR="00B06301" w:rsidRPr="00226C03" w:rsidRDefault="00B06301" w:rsidP="002D631B">
            <w:pPr>
              <w:pStyle w:val="NoSpacing"/>
              <w:shd w:val="clear" w:color="auto" w:fill="FFFFFF" w:themeFill="background1"/>
              <w:rPr>
                <w:rFonts w:cstheme="minorHAnsi"/>
              </w:rPr>
            </w:pPr>
            <w:r w:rsidRPr="00226C03">
              <w:rPr>
                <w:rFonts w:cstheme="minorHAnsi"/>
              </w:rPr>
              <w:t>Inclusive Housing Australia (IHA) is an innovative provider of specialist disability accommodation, with a vision to transform the lives of people with disability by building, managing and attracting investment in quality disability housing.</w:t>
            </w:r>
          </w:p>
        </w:tc>
      </w:tr>
      <w:tr w:rsidR="00B06301" w:rsidRPr="00226C03" w14:paraId="27D9B35C" w14:textId="77777777" w:rsidTr="002D631B">
        <w:tc>
          <w:tcPr>
            <w:tcW w:w="2122" w:type="dxa"/>
          </w:tcPr>
          <w:p w14:paraId="7D66BA8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69100D43" w14:textId="77777777" w:rsidR="00B06301" w:rsidRPr="00226C03" w:rsidRDefault="00B06301" w:rsidP="002D631B">
            <w:pPr>
              <w:pStyle w:val="NoSpacing"/>
              <w:shd w:val="clear" w:color="auto" w:fill="FFFFFF" w:themeFill="background1"/>
              <w:rPr>
                <w:rFonts w:cstheme="minorHAnsi"/>
              </w:rPr>
            </w:pPr>
          </w:p>
        </w:tc>
      </w:tr>
    </w:tbl>
    <w:p w14:paraId="65C2991A" w14:textId="23D06C8D" w:rsidR="00204587" w:rsidRDefault="00204587" w:rsidP="00B06301">
      <w:pPr>
        <w:shd w:val="clear" w:color="auto" w:fill="FFFFFF" w:themeFill="background1"/>
        <w:rPr>
          <w:rFonts w:cstheme="minorHAnsi"/>
          <w:b/>
          <w:bCs/>
        </w:rPr>
      </w:pPr>
    </w:p>
    <w:p w14:paraId="0DE12AED" w14:textId="77777777" w:rsidR="00204587" w:rsidRDefault="00204587">
      <w:pPr>
        <w:rPr>
          <w:rFonts w:cstheme="minorHAnsi"/>
          <w:b/>
          <w:bCs/>
        </w:rPr>
      </w:pPr>
      <w:r>
        <w:rPr>
          <w:rFonts w:cstheme="minorHAnsi"/>
          <w:b/>
          <w:bCs/>
        </w:rPr>
        <w:br w:type="page"/>
      </w:r>
    </w:p>
    <w:p w14:paraId="6519A4B4"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255FF985" w14:textId="77777777" w:rsidTr="002D631B">
        <w:tc>
          <w:tcPr>
            <w:tcW w:w="9016" w:type="dxa"/>
            <w:gridSpan w:val="2"/>
          </w:tcPr>
          <w:p w14:paraId="75785BA0"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41</w:t>
            </w:r>
          </w:p>
        </w:tc>
      </w:tr>
      <w:tr w:rsidR="00B06301" w:rsidRPr="00226C03" w14:paraId="00ACEF9C" w14:textId="77777777" w:rsidTr="002D631B">
        <w:tc>
          <w:tcPr>
            <w:tcW w:w="2122" w:type="dxa"/>
          </w:tcPr>
          <w:p w14:paraId="6DF42879"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4AC19CE6"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St John of God Accord</w:t>
            </w:r>
          </w:p>
        </w:tc>
      </w:tr>
      <w:tr w:rsidR="00B06301" w:rsidRPr="00226C03" w14:paraId="36EA7CC3" w14:textId="77777777" w:rsidTr="002D631B">
        <w:tc>
          <w:tcPr>
            <w:tcW w:w="2122" w:type="dxa"/>
          </w:tcPr>
          <w:p w14:paraId="0570F52A"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5979F64B" w14:textId="77777777" w:rsidR="00B06301" w:rsidRPr="00226C03" w:rsidRDefault="00B06301" w:rsidP="002D631B">
            <w:pPr>
              <w:pStyle w:val="NoSpacing"/>
              <w:shd w:val="clear" w:color="auto" w:fill="FFFFFF" w:themeFill="background1"/>
              <w:rPr>
                <w:rFonts w:cstheme="minorHAnsi"/>
              </w:rPr>
            </w:pPr>
            <w:r w:rsidRPr="00226C03">
              <w:rPr>
                <w:rFonts w:cstheme="minorHAnsi"/>
              </w:rPr>
              <w:t>N/A</w:t>
            </w:r>
          </w:p>
        </w:tc>
      </w:tr>
      <w:tr w:rsidR="00B06301" w:rsidRPr="00226C03" w14:paraId="69AC0DE4" w14:textId="77777777" w:rsidTr="002D631B">
        <w:tc>
          <w:tcPr>
            <w:tcW w:w="2122" w:type="dxa"/>
          </w:tcPr>
          <w:p w14:paraId="5CC1137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76139E47" w14:textId="77777777" w:rsidR="00B06301" w:rsidRPr="00226C03" w:rsidRDefault="001F76D0" w:rsidP="002D631B">
            <w:pPr>
              <w:pStyle w:val="NoSpacing"/>
              <w:shd w:val="clear" w:color="auto" w:fill="FFFFFF" w:themeFill="background1"/>
              <w:rPr>
                <w:rFonts w:cstheme="minorHAnsi"/>
              </w:rPr>
            </w:pPr>
            <w:hyperlink r:id="rId141" w:history="1">
              <w:r w:rsidR="00B06301" w:rsidRPr="00226C03">
                <w:rPr>
                  <w:rStyle w:val="Hyperlink"/>
                  <w:rFonts w:cstheme="minorHAnsi"/>
                </w:rPr>
                <w:t>https://www.accorddisability.org.au/about-us/innovative-housing/</w:t>
              </w:r>
            </w:hyperlink>
            <w:r w:rsidR="00B06301" w:rsidRPr="00226C03">
              <w:rPr>
                <w:rFonts w:cstheme="minorHAnsi"/>
              </w:rPr>
              <w:t xml:space="preserve"> </w:t>
            </w:r>
          </w:p>
        </w:tc>
      </w:tr>
      <w:tr w:rsidR="00B06301" w:rsidRPr="00226C03" w14:paraId="194C5A05" w14:textId="77777777" w:rsidTr="002D631B">
        <w:tc>
          <w:tcPr>
            <w:tcW w:w="2122" w:type="dxa"/>
          </w:tcPr>
          <w:p w14:paraId="089DC6AA"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27DB0B47" w14:textId="77777777" w:rsidR="00B06301" w:rsidRPr="00226C03" w:rsidRDefault="00B06301" w:rsidP="002D631B">
            <w:pPr>
              <w:pStyle w:val="NoSpacing"/>
              <w:shd w:val="clear" w:color="auto" w:fill="FFFFFF" w:themeFill="background1"/>
              <w:rPr>
                <w:rFonts w:cstheme="minorHAnsi"/>
              </w:rPr>
            </w:pPr>
            <w:r w:rsidRPr="00226C03">
              <w:rPr>
                <w:rFonts w:cstheme="minorHAnsi"/>
              </w:rPr>
              <w:t>East Brighton, Victoria</w:t>
            </w:r>
          </w:p>
        </w:tc>
      </w:tr>
      <w:tr w:rsidR="00B06301" w:rsidRPr="00226C03" w14:paraId="73D77D15" w14:textId="77777777" w:rsidTr="002D631B">
        <w:tc>
          <w:tcPr>
            <w:tcW w:w="2122" w:type="dxa"/>
          </w:tcPr>
          <w:p w14:paraId="2126204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4EB0E895" w14:textId="77777777" w:rsidR="00B06301" w:rsidRPr="00226C03" w:rsidRDefault="00B06301" w:rsidP="002D631B">
            <w:pPr>
              <w:pStyle w:val="NoSpacing"/>
              <w:shd w:val="clear" w:color="auto" w:fill="FFFFFF" w:themeFill="background1"/>
              <w:rPr>
                <w:rFonts w:cstheme="minorHAnsi"/>
              </w:rPr>
            </w:pPr>
            <w:r w:rsidRPr="00226C03">
              <w:rPr>
                <w:rFonts w:cstheme="minorHAnsi"/>
              </w:rPr>
              <w:t>We have built a brand new five-bedroom home in East Brighton, Melbourne for five of our St John of God Accord clients who have an intellectual disability. The house incorporates the latest technology to enhance our residents’ quality of life and to enable them to live as independently as possible. This is a model for future St John of God Accord and other disability homes, particularly for those with an intellectual disability. The house opened in June 2019, and a further 10 houses will be built in the coming years using this model as a blueprint.</w:t>
            </w:r>
          </w:p>
        </w:tc>
      </w:tr>
      <w:tr w:rsidR="00B06301" w:rsidRPr="00226C03" w14:paraId="0248EC95" w14:textId="77777777" w:rsidTr="002D631B">
        <w:tc>
          <w:tcPr>
            <w:tcW w:w="2122" w:type="dxa"/>
          </w:tcPr>
          <w:p w14:paraId="2CE6907B"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24419048" w14:textId="77777777" w:rsidR="00B06301" w:rsidRPr="00226C03" w:rsidRDefault="00B06301" w:rsidP="002D631B">
            <w:pPr>
              <w:pStyle w:val="NoSpacing"/>
              <w:shd w:val="clear" w:color="auto" w:fill="FFFFFF" w:themeFill="background1"/>
              <w:rPr>
                <w:rFonts w:cstheme="minorHAnsi"/>
              </w:rPr>
            </w:pPr>
          </w:p>
        </w:tc>
      </w:tr>
    </w:tbl>
    <w:p w14:paraId="42A8BC1D"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22"/>
        <w:gridCol w:w="6894"/>
      </w:tblGrid>
      <w:tr w:rsidR="00B06301" w:rsidRPr="00226C03" w14:paraId="28E34A83" w14:textId="77777777" w:rsidTr="002D631B">
        <w:tc>
          <w:tcPr>
            <w:tcW w:w="9016" w:type="dxa"/>
            <w:gridSpan w:val="2"/>
            <w:shd w:val="clear" w:color="auto" w:fill="FFFFFF" w:themeFill="background1"/>
          </w:tcPr>
          <w:p w14:paraId="5E456FEA"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42</w:t>
            </w:r>
          </w:p>
        </w:tc>
      </w:tr>
      <w:tr w:rsidR="00B06301" w:rsidRPr="00226C03" w14:paraId="7E2AEB1A" w14:textId="77777777" w:rsidTr="002D631B">
        <w:tc>
          <w:tcPr>
            <w:tcW w:w="2122" w:type="dxa"/>
            <w:shd w:val="clear" w:color="auto" w:fill="FFFFFF" w:themeFill="background1"/>
          </w:tcPr>
          <w:p w14:paraId="32AE49A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shd w:val="clear" w:color="auto" w:fill="FFFFFF" w:themeFill="background1"/>
          </w:tcPr>
          <w:p w14:paraId="634C38C6"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 xml:space="preserve">Casa Capace </w:t>
            </w:r>
          </w:p>
        </w:tc>
      </w:tr>
      <w:tr w:rsidR="00B06301" w:rsidRPr="00226C03" w14:paraId="1AB43C8B" w14:textId="77777777" w:rsidTr="002D631B">
        <w:tc>
          <w:tcPr>
            <w:tcW w:w="2122" w:type="dxa"/>
            <w:shd w:val="clear" w:color="auto" w:fill="FFFFFF" w:themeFill="background1"/>
          </w:tcPr>
          <w:p w14:paraId="4F8A493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shd w:val="clear" w:color="auto" w:fill="FFFFFF" w:themeFill="background1"/>
          </w:tcPr>
          <w:p w14:paraId="0727BE17" w14:textId="77777777" w:rsidR="00B06301" w:rsidRPr="00226C03" w:rsidRDefault="00B06301" w:rsidP="002D631B">
            <w:pPr>
              <w:pStyle w:val="NoSpacing"/>
              <w:shd w:val="clear" w:color="auto" w:fill="FFFFFF" w:themeFill="background1"/>
              <w:rPr>
                <w:rFonts w:cstheme="minorHAnsi"/>
              </w:rPr>
            </w:pPr>
            <w:r w:rsidRPr="00226C03">
              <w:rPr>
                <w:rFonts w:cstheme="minorHAnsi"/>
              </w:rPr>
              <w:t>N/A</w:t>
            </w:r>
          </w:p>
        </w:tc>
      </w:tr>
      <w:tr w:rsidR="00B06301" w:rsidRPr="00226C03" w14:paraId="19F95BFB" w14:textId="77777777" w:rsidTr="002D631B">
        <w:tc>
          <w:tcPr>
            <w:tcW w:w="2122" w:type="dxa"/>
            <w:shd w:val="clear" w:color="auto" w:fill="FFFFFF" w:themeFill="background1"/>
          </w:tcPr>
          <w:p w14:paraId="0F835F37"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shd w:val="clear" w:color="auto" w:fill="FFFFFF" w:themeFill="background1"/>
          </w:tcPr>
          <w:p w14:paraId="3DE875BB" w14:textId="77777777" w:rsidR="00B06301" w:rsidRPr="00226C03" w:rsidRDefault="001F76D0" w:rsidP="002D631B">
            <w:pPr>
              <w:pStyle w:val="NoSpacing"/>
              <w:shd w:val="clear" w:color="auto" w:fill="FFFFFF" w:themeFill="background1"/>
              <w:rPr>
                <w:rFonts w:cstheme="minorHAnsi"/>
              </w:rPr>
            </w:pPr>
            <w:hyperlink r:id="rId142" w:history="1">
              <w:r w:rsidR="00B06301" w:rsidRPr="00226C03">
                <w:rPr>
                  <w:rStyle w:val="Hyperlink"/>
                  <w:rFonts w:cstheme="minorHAnsi"/>
                </w:rPr>
                <w:t>https://www.dpn.com.au/casacapace</w:t>
              </w:r>
            </w:hyperlink>
            <w:r w:rsidR="00B06301" w:rsidRPr="00226C03">
              <w:rPr>
                <w:rFonts w:cstheme="minorHAnsi"/>
              </w:rPr>
              <w:t xml:space="preserve"> </w:t>
            </w:r>
          </w:p>
        </w:tc>
      </w:tr>
      <w:tr w:rsidR="00B06301" w:rsidRPr="00226C03" w14:paraId="63C4C27D" w14:textId="77777777" w:rsidTr="002D631B">
        <w:tc>
          <w:tcPr>
            <w:tcW w:w="2122" w:type="dxa"/>
            <w:shd w:val="clear" w:color="auto" w:fill="FFFFFF" w:themeFill="background1"/>
          </w:tcPr>
          <w:p w14:paraId="0E4A65E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shd w:val="clear" w:color="auto" w:fill="FFFFFF" w:themeFill="background1"/>
          </w:tcPr>
          <w:p w14:paraId="57333D55"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Nationwide. </w:t>
            </w:r>
          </w:p>
        </w:tc>
      </w:tr>
      <w:tr w:rsidR="00B06301" w:rsidRPr="00226C03" w14:paraId="1D7C51B3" w14:textId="77777777" w:rsidTr="002D631B">
        <w:tc>
          <w:tcPr>
            <w:tcW w:w="2122" w:type="dxa"/>
            <w:shd w:val="clear" w:color="auto" w:fill="FFFFFF" w:themeFill="background1"/>
          </w:tcPr>
          <w:p w14:paraId="0E6622B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shd w:val="clear" w:color="auto" w:fill="FFFFFF" w:themeFill="background1"/>
          </w:tcPr>
          <w:p w14:paraId="7F4F3A4B" w14:textId="77777777" w:rsidR="00B06301" w:rsidRPr="00226C03" w:rsidRDefault="00B06301" w:rsidP="002D631B">
            <w:pPr>
              <w:pStyle w:val="NoSpacing"/>
              <w:shd w:val="clear" w:color="auto" w:fill="FFFFFF" w:themeFill="background1"/>
              <w:rPr>
                <w:rFonts w:cstheme="minorHAnsi"/>
              </w:rPr>
            </w:pPr>
            <w:r w:rsidRPr="00226C03">
              <w:rPr>
                <w:rFonts w:cstheme="minorHAnsi"/>
              </w:rPr>
              <w:t>Casa Capace has been developed specifically to cater for Australians requiring Specialist Disability Accommodation (SDA). Our experience and expertise enables a more attractive home, with greater flexibility and value for participants of the National Disability Insurance Scheme (NDIS). It's our mission to challenge the unmet demand for SDA housing to positively influence the lives of thousands of NDIS participants, their families, friends and those who care for them.</w:t>
            </w:r>
          </w:p>
        </w:tc>
      </w:tr>
      <w:tr w:rsidR="00B06301" w:rsidRPr="00226C03" w14:paraId="38AD70D2" w14:textId="77777777" w:rsidTr="002D631B">
        <w:tc>
          <w:tcPr>
            <w:tcW w:w="2122" w:type="dxa"/>
            <w:shd w:val="clear" w:color="auto" w:fill="FFFFFF" w:themeFill="background1"/>
          </w:tcPr>
          <w:p w14:paraId="4556FCA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shd w:val="clear" w:color="auto" w:fill="FFFFFF" w:themeFill="background1"/>
          </w:tcPr>
          <w:p w14:paraId="35271DC2" w14:textId="77777777" w:rsidR="00B06301" w:rsidRPr="00226C03" w:rsidRDefault="00B06301" w:rsidP="002D631B">
            <w:pPr>
              <w:pStyle w:val="NoSpacing"/>
              <w:shd w:val="clear" w:color="auto" w:fill="FFFFFF" w:themeFill="background1"/>
              <w:rPr>
                <w:rFonts w:cstheme="minorHAnsi"/>
              </w:rPr>
            </w:pPr>
          </w:p>
        </w:tc>
      </w:tr>
    </w:tbl>
    <w:p w14:paraId="70CDFDDB"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2D180218" w14:textId="77777777" w:rsidTr="002D631B">
        <w:tc>
          <w:tcPr>
            <w:tcW w:w="9016" w:type="dxa"/>
            <w:gridSpan w:val="2"/>
          </w:tcPr>
          <w:p w14:paraId="2990A509"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43</w:t>
            </w:r>
          </w:p>
        </w:tc>
      </w:tr>
      <w:tr w:rsidR="00B06301" w:rsidRPr="00226C03" w14:paraId="4D999417" w14:textId="77777777" w:rsidTr="002D631B">
        <w:tc>
          <w:tcPr>
            <w:tcW w:w="2122" w:type="dxa"/>
          </w:tcPr>
          <w:p w14:paraId="0D15129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7C75C87E"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Nest</w:t>
            </w:r>
          </w:p>
        </w:tc>
      </w:tr>
      <w:tr w:rsidR="00B06301" w:rsidRPr="00226C03" w14:paraId="58D15CA3" w14:textId="77777777" w:rsidTr="002D631B">
        <w:tc>
          <w:tcPr>
            <w:tcW w:w="2122" w:type="dxa"/>
          </w:tcPr>
          <w:p w14:paraId="17D31C3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18ED0B25" w14:textId="77777777" w:rsidR="00B06301" w:rsidRPr="00226C03" w:rsidRDefault="00B06301" w:rsidP="002D631B">
            <w:pPr>
              <w:pStyle w:val="NoSpacing"/>
              <w:shd w:val="clear" w:color="auto" w:fill="FFFFFF" w:themeFill="background1"/>
              <w:rPr>
                <w:rFonts w:cstheme="minorHAnsi"/>
              </w:rPr>
            </w:pPr>
            <w:r w:rsidRPr="00226C03">
              <w:rPr>
                <w:rFonts w:cstheme="minorHAnsi"/>
              </w:rPr>
              <w:t>N/A</w:t>
            </w:r>
          </w:p>
        </w:tc>
      </w:tr>
      <w:tr w:rsidR="00B06301" w:rsidRPr="00226C03" w14:paraId="5F8C7C66" w14:textId="77777777" w:rsidTr="002D631B">
        <w:tc>
          <w:tcPr>
            <w:tcW w:w="2122" w:type="dxa"/>
          </w:tcPr>
          <w:p w14:paraId="72DBBD0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72EF408E" w14:textId="77777777" w:rsidR="00B06301" w:rsidRPr="00226C03" w:rsidRDefault="001F76D0" w:rsidP="002D631B">
            <w:pPr>
              <w:pStyle w:val="NoSpacing"/>
              <w:shd w:val="clear" w:color="auto" w:fill="FFFFFF" w:themeFill="background1"/>
              <w:rPr>
                <w:rFonts w:cstheme="minorHAnsi"/>
              </w:rPr>
            </w:pPr>
            <w:hyperlink r:id="rId143" w:history="1">
              <w:r w:rsidR="00B06301" w:rsidRPr="00226C03">
                <w:rPr>
                  <w:rStyle w:val="Hyperlink"/>
                  <w:rFonts w:cstheme="minorHAnsi"/>
                </w:rPr>
                <w:t>https://gonest.com.au/</w:t>
              </w:r>
            </w:hyperlink>
            <w:r w:rsidR="00B06301" w:rsidRPr="00226C03">
              <w:rPr>
                <w:rFonts w:cstheme="minorHAnsi"/>
              </w:rPr>
              <w:t xml:space="preserve"> </w:t>
            </w:r>
          </w:p>
        </w:tc>
      </w:tr>
      <w:tr w:rsidR="00B06301" w:rsidRPr="00226C03" w14:paraId="5A767D9D" w14:textId="77777777" w:rsidTr="002D631B">
        <w:tc>
          <w:tcPr>
            <w:tcW w:w="2122" w:type="dxa"/>
          </w:tcPr>
          <w:p w14:paraId="2B8D35CA"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63554CF7" w14:textId="77777777" w:rsidR="00B06301" w:rsidRPr="00226C03" w:rsidRDefault="00B06301" w:rsidP="002D631B">
            <w:pPr>
              <w:pStyle w:val="NoSpacing"/>
              <w:shd w:val="clear" w:color="auto" w:fill="FFFFFF" w:themeFill="background1"/>
              <w:rPr>
                <w:rFonts w:cstheme="minorHAnsi"/>
              </w:rPr>
            </w:pPr>
            <w:r w:rsidRPr="00226C03">
              <w:rPr>
                <w:rFonts w:cstheme="minorHAnsi"/>
              </w:rPr>
              <w:t>Online</w:t>
            </w:r>
          </w:p>
        </w:tc>
      </w:tr>
      <w:tr w:rsidR="00B06301" w:rsidRPr="00226C03" w14:paraId="66E69666" w14:textId="77777777" w:rsidTr="002D631B">
        <w:tc>
          <w:tcPr>
            <w:tcW w:w="2122" w:type="dxa"/>
          </w:tcPr>
          <w:p w14:paraId="0EBDE0BB"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2563209B" w14:textId="77777777" w:rsidR="00B06301" w:rsidRPr="00226C03" w:rsidRDefault="00B06301" w:rsidP="002D631B">
            <w:pPr>
              <w:pStyle w:val="NoSpacing"/>
              <w:shd w:val="clear" w:color="auto" w:fill="FFFFFF" w:themeFill="background1"/>
              <w:rPr>
                <w:rFonts w:cstheme="minorHAnsi"/>
              </w:rPr>
            </w:pPr>
            <w:r w:rsidRPr="00226C03">
              <w:rPr>
                <w:rFonts w:cstheme="minorHAnsi"/>
              </w:rPr>
              <w:t>Nest lists disability-friendly properties and vacancies from providers housing suitable to people with disability, including Specialist Disability Accommodation (SDA) providers, disability providers, community and social housing providers, real estates and private landlords.</w:t>
            </w:r>
          </w:p>
        </w:tc>
      </w:tr>
      <w:tr w:rsidR="00B06301" w:rsidRPr="00226C03" w14:paraId="3B660FD8" w14:textId="77777777" w:rsidTr="002D631B">
        <w:tc>
          <w:tcPr>
            <w:tcW w:w="2122" w:type="dxa"/>
          </w:tcPr>
          <w:p w14:paraId="3724BAD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171FD61F" w14:textId="77777777" w:rsidR="00B06301" w:rsidRPr="00226C03" w:rsidRDefault="00B06301" w:rsidP="002D631B">
            <w:pPr>
              <w:pStyle w:val="NoSpacing"/>
              <w:shd w:val="clear" w:color="auto" w:fill="FFFFFF" w:themeFill="background1"/>
              <w:rPr>
                <w:rFonts w:cstheme="minorHAnsi"/>
              </w:rPr>
            </w:pPr>
          </w:p>
        </w:tc>
      </w:tr>
    </w:tbl>
    <w:p w14:paraId="557AAE3B" w14:textId="1A7D0E11" w:rsidR="00204587" w:rsidRDefault="00204587" w:rsidP="00B06301">
      <w:pPr>
        <w:shd w:val="clear" w:color="auto" w:fill="FFFFFF" w:themeFill="background1"/>
        <w:rPr>
          <w:rFonts w:cstheme="minorHAnsi"/>
          <w:b/>
          <w:bCs/>
        </w:rPr>
      </w:pPr>
    </w:p>
    <w:p w14:paraId="4A9168FC" w14:textId="77777777" w:rsidR="00204587" w:rsidRDefault="00204587">
      <w:pPr>
        <w:rPr>
          <w:rFonts w:cstheme="minorHAnsi"/>
          <w:b/>
          <w:bCs/>
        </w:rPr>
      </w:pPr>
      <w:r>
        <w:rPr>
          <w:rFonts w:cstheme="minorHAnsi"/>
          <w:b/>
          <w:bCs/>
        </w:rPr>
        <w:br w:type="page"/>
      </w:r>
    </w:p>
    <w:p w14:paraId="1DB09627"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2B4982A3" w14:textId="77777777" w:rsidTr="002D631B">
        <w:tc>
          <w:tcPr>
            <w:tcW w:w="9016" w:type="dxa"/>
            <w:gridSpan w:val="2"/>
          </w:tcPr>
          <w:p w14:paraId="5E7AE253"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44</w:t>
            </w:r>
          </w:p>
        </w:tc>
      </w:tr>
      <w:tr w:rsidR="00B06301" w:rsidRPr="00226C03" w14:paraId="1C00C27F" w14:textId="77777777" w:rsidTr="002D631B">
        <w:tc>
          <w:tcPr>
            <w:tcW w:w="2122" w:type="dxa"/>
          </w:tcPr>
          <w:p w14:paraId="3E25840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4047C296"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AccessAccom</w:t>
            </w:r>
          </w:p>
        </w:tc>
      </w:tr>
      <w:tr w:rsidR="00B06301" w:rsidRPr="00226C03" w14:paraId="06592B3A" w14:textId="77777777" w:rsidTr="002D631B">
        <w:tc>
          <w:tcPr>
            <w:tcW w:w="2122" w:type="dxa"/>
          </w:tcPr>
          <w:p w14:paraId="643238FB"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75C0F3E2" w14:textId="77777777" w:rsidR="00B06301" w:rsidRPr="00226C03" w:rsidRDefault="001F76D0" w:rsidP="002D631B">
            <w:pPr>
              <w:pStyle w:val="NoSpacing"/>
              <w:shd w:val="clear" w:color="auto" w:fill="FFFFFF" w:themeFill="background1"/>
              <w:rPr>
                <w:rFonts w:cstheme="minorHAnsi"/>
              </w:rPr>
            </w:pPr>
            <w:hyperlink r:id="rId144" w:history="1">
              <w:r w:rsidR="00B06301" w:rsidRPr="00226C03">
                <w:rPr>
                  <w:rStyle w:val="Hyperlink"/>
                  <w:rFonts w:cstheme="minorHAnsi"/>
                </w:rPr>
                <w:t>info@accessaccom.com.au</w:t>
              </w:r>
            </w:hyperlink>
            <w:r w:rsidR="00B06301" w:rsidRPr="00226C03">
              <w:rPr>
                <w:rFonts w:cstheme="minorHAnsi"/>
              </w:rPr>
              <w:t xml:space="preserve"> </w:t>
            </w:r>
          </w:p>
        </w:tc>
      </w:tr>
      <w:tr w:rsidR="00B06301" w:rsidRPr="00226C03" w14:paraId="637379EC" w14:textId="77777777" w:rsidTr="002D631B">
        <w:tc>
          <w:tcPr>
            <w:tcW w:w="2122" w:type="dxa"/>
          </w:tcPr>
          <w:p w14:paraId="25DC08F1"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054FDA39" w14:textId="77777777" w:rsidR="00B06301" w:rsidRPr="00226C03" w:rsidRDefault="001F76D0" w:rsidP="002D631B">
            <w:pPr>
              <w:pStyle w:val="NoSpacing"/>
              <w:shd w:val="clear" w:color="auto" w:fill="FFFFFF" w:themeFill="background1"/>
              <w:rPr>
                <w:rFonts w:cstheme="minorHAnsi"/>
              </w:rPr>
            </w:pPr>
            <w:hyperlink r:id="rId145" w:history="1">
              <w:r w:rsidR="00B06301" w:rsidRPr="00226C03">
                <w:rPr>
                  <w:rStyle w:val="Hyperlink"/>
                  <w:rFonts w:cstheme="minorHAnsi"/>
                </w:rPr>
                <w:t>https://www.accessaccom.com.au/</w:t>
              </w:r>
            </w:hyperlink>
            <w:r w:rsidR="00B06301" w:rsidRPr="00226C03">
              <w:rPr>
                <w:rFonts w:cstheme="minorHAnsi"/>
              </w:rPr>
              <w:t xml:space="preserve"> </w:t>
            </w:r>
          </w:p>
        </w:tc>
      </w:tr>
      <w:tr w:rsidR="00B06301" w:rsidRPr="00226C03" w14:paraId="4E90DEE1" w14:textId="77777777" w:rsidTr="002D631B">
        <w:tc>
          <w:tcPr>
            <w:tcW w:w="2122" w:type="dxa"/>
          </w:tcPr>
          <w:p w14:paraId="60193BE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431D1A90" w14:textId="77777777" w:rsidR="00B06301" w:rsidRPr="00226C03" w:rsidRDefault="00B06301" w:rsidP="002D631B">
            <w:pPr>
              <w:pStyle w:val="NoSpacing"/>
              <w:shd w:val="clear" w:color="auto" w:fill="FFFFFF" w:themeFill="background1"/>
              <w:rPr>
                <w:rFonts w:cstheme="minorHAnsi"/>
              </w:rPr>
            </w:pPr>
            <w:r w:rsidRPr="00226C03">
              <w:rPr>
                <w:rFonts w:cstheme="minorHAnsi"/>
              </w:rPr>
              <w:t>Sydney, New South Wales</w:t>
            </w:r>
          </w:p>
        </w:tc>
      </w:tr>
      <w:tr w:rsidR="00B06301" w:rsidRPr="00226C03" w14:paraId="6A33C0EA" w14:textId="77777777" w:rsidTr="002D631B">
        <w:tc>
          <w:tcPr>
            <w:tcW w:w="2122" w:type="dxa"/>
          </w:tcPr>
          <w:p w14:paraId="26C32C0A"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287D4E5B" w14:textId="77777777" w:rsidR="00B06301" w:rsidRPr="00226C03" w:rsidRDefault="00B06301" w:rsidP="002D631B">
            <w:pPr>
              <w:pStyle w:val="NoSpacing"/>
              <w:shd w:val="clear" w:color="auto" w:fill="FFFFFF" w:themeFill="background1"/>
              <w:rPr>
                <w:rFonts w:cstheme="minorHAnsi"/>
              </w:rPr>
            </w:pPr>
            <w:r w:rsidRPr="00226C03">
              <w:rPr>
                <w:rFonts w:cstheme="minorHAnsi"/>
              </w:rPr>
              <w:t>Our unique model puts AccessAccom in a position to create real change in the Independent Living Sector and to the lives of Australians, with a business structure that stretches across the whole process of property development and management.</w:t>
            </w:r>
          </w:p>
        </w:tc>
      </w:tr>
      <w:tr w:rsidR="00B06301" w:rsidRPr="00226C03" w14:paraId="69FAD96D" w14:textId="77777777" w:rsidTr="002D631B">
        <w:tc>
          <w:tcPr>
            <w:tcW w:w="2122" w:type="dxa"/>
          </w:tcPr>
          <w:p w14:paraId="5E7CB243"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70CFABB3" w14:textId="77777777" w:rsidR="00B06301" w:rsidRPr="00226C03" w:rsidRDefault="00B06301" w:rsidP="002D631B">
            <w:pPr>
              <w:pStyle w:val="NoSpacing"/>
              <w:shd w:val="clear" w:color="auto" w:fill="FFFFFF" w:themeFill="background1"/>
              <w:rPr>
                <w:rFonts w:cstheme="minorHAnsi"/>
              </w:rPr>
            </w:pPr>
          </w:p>
        </w:tc>
      </w:tr>
    </w:tbl>
    <w:p w14:paraId="57741DE9"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1C475BA4" w14:textId="77777777" w:rsidTr="002D631B">
        <w:tc>
          <w:tcPr>
            <w:tcW w:w="9016" w:type="dxa"/>
            <w:gridSpan w:val="2"/>
          </w:tcPr>
          <w:p w14:paraId="1CAC6264"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45</w:t>
            </w:r>
          </w:p>
        </w:tc>
      </w:tr>
      <w:tr w:rsidR="00B06301" w:rsidRPr="00226C03" w14:paraId="22F72CF6" w14:textId="77777777" w:rsidTr="002D631B">
        <w:tc>
          <w:tcPr>
            <w:tcW w:w="2122" w:type="dxa"/>
          </w:tcPr>
          <w:p w14:paraId="789356BA"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47730798"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Afford</w:t>
            </w:r>
          </w:p>
        </w:tc>
      </w:tr>
      <w:tr w:rsidR="00B06301" w:rsidRPr="00226C03" w14:paraId="4B5D9267" w14:textId="77777777" w:rsidTr="002D631B">
        <w:tc>
          <w:tcPr>
            <w:tcW w:w="2122" w:type="dxa"/>
          </w:tcPr>
          <w:p w14:paraId="7F848B91"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1AEB2E57" w14:textId="77777777" w:rsidR="00B06301" w:rsidRPr="00226C03" w:rsidRDefault="00B06301" w:rsidP="002D631B">
            <w:pPr>
              <w:pStyle w:val="NoSpacing"/>
              <w:shd w:val="clear" w:color="auto" w:fill="FFFFFF" w:themeFill="background1"/>
              <w:rPr>
                <w:rFonts w:cstheme="minorHAnsi"/>
              </w:rPr>
            </w:pPr>
            <w:r w:rsidRPr="00226C03">
              <w:rPr>
                <w:rFonts w:cstheme="minorHAnsi"/>
              </w:rPr>
              <w:t>Steven Herald, Chief Executive Officer</w:t>
            </w:r>
          </w:p>
        </w:tc>
      </w:tr>
      <w:tr w:rsidR="00B06301" w:rsidRPr="00226C03" w14:paraId="09D2D7C5" w14:textId="77777777" w:rsidTr="002D631B">
        <w:tc>
          <w:tcPr>
            <w:tcW w:w="2122" w:type="dxa"/>
          </w:tcPr>
          <w:p w14:paraId="5FC6483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54CE4FA9" w14:textId="77777777" w:rsidR="00B06301" w:rsidRPr="00226C03" w:rsidRDefault="001F76D0" w:rsidP="002D631B">
            <w:pPr>
              <w:pStyle w:val="NoSpacing"/>
              <w:shd w:val="clear" w:color="auto" w:fill="FFFFFF" w:themeFill="background1"/>
              <w:rPr>
                <w:rFonts w:cstheme="minorHAnsi"/>
              </w:rPr>
            </w:pPr>
            <w:hyperlink r:id="rId146" w:history="1">
              <w:r w:rsidR="00B06301" w:rsidRPr="00226C03">
                <w:rPr>
                  <w:rStyle w:val="Hyperlink"/>
                  <w:rFonts w:cstheme="minorHAnsi"/>
                </w:rPr>
                <w:t>https://www.afford.com.au/</w:t>
              </w:r>
            </w:hyperlink>
            <w:r w:rsidR="00B06301" w:rsidRPr="00226C03">
              <w:rPr>
                <w:rFonts w:cstheme="minorHAnsi"/>
              </w:rPr>
              <w:t xml:space="preserve"> </w:t>
            </w:r>
          </w:p>
        </w:tc>
      </w:tr>
      <w:tr w:rsidR="00B06301" w:rsidRPr="00226C03" w14:paraId="733F15DB" w14:textId="77777777" w:rsidTr="002D631B">
        <w:tc>
          <w:tcPr>
            <w:tcW w:w="2122" w:type="dxa"/>
          </w:tcPr>
          <w:p w14:paraId="78AC5E1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07A22A58" w14:textId="77777777" w:rsidR="00B06301" w:rsidRPr="00226C03" w:rsidRDefault="00B06301" w:rsidP="002D631B">
            <w:pPr>
              <w:pStyle w:val="NoSpacing"/>
              <w:shd w:val="clear" w:color="auto" w:fill="FFFFFF" w:themeFill="background1"/>
              <w:rPr>
                <w:rFonts w:cstheme="minorHAnsi"/>
              </w:rPr>
            </w:pPr>
            <w:r w:rsidRPr="00226C03">
              <w:rPr>
                <w:rFonts w:cstheme="minorHAnsi"/>
              </w:rPr>
              <w:t>Minchinbury, New South Wales</w:t>
            </w:r>
          </w:p>
        </w:tc>
      </w:tr>
      <w:tr w:rsidR="00B06301" w:rsidRPr="00226C03" w14:paraId="72A49C64" w14:textId="77777777" w:rsidTr="002D631B">
        <w:tc>
          <w:tcPr>
            <w:tcW w:w="2122" w:type="dxa"/>
          </w:tcPr>
          <w:p w14:paraId="563672F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01E61447" w14:textId="77777777" w:rsidR="00B06301" w:rsidRPr="00226C03" w:rsidRDefault="00B06301" w:rsidP="002D631B">
            <w:pPr>
              <w:pStyle w:val="NoSpacing"/>
              <w:shd w:val="clear" w:color="auto" w:fill="FFFFFF" w:themeFill="background1"/>
              <w:rPr>
                <w:rFonts w:cstheme="minorHAnsi"/>
              </w:rPr>
            </w:pPr>
            <w:r w:rsidRPr="00226C03">
              <w:rPr>
                <w:rFonts w:cstheme="minorHAnsi"/>
              </w:rPr>
              <w:t>The Australian Foundation for Disability (Afford) is trusted by thousands of people to provide disability support that inspires and enriches lives every day. We support our clients, their families and carers – in many unique ways that give them the opportunity to explore their interests, do what they love and live comfortably.</w:t>
            </w:r>
          </w:p>
        </w:tc>
      </w:tr>
      <w:tr w:rsidR="00B06301" w:rsidRPr="00226C03" w14:paraId="177C574A" w14:textId="77777777" w:rsidTr="002D631B">
        <w:tc>
          <w:tcPr>
            <w:tcW w:w="2122" w:type="dxa"/>
          </w:tcPr>
          <w:p w14:paraId="301095C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074FB26B" w14:textId="77777777" w:rsidR="00B06301" w:rsidRPr="00226C03" w:rsidRDefault="00B06301" w:rsidP="002D631B">
            <w:pPr>
              <w:pStyle w:val="NoSpacing"/>
              <w:shd w:val="clear" w:color="auto" w:fill="FFFFFF" w:themeFill="background1"/>
              <w:rPr>
                <w:rFonts w:cstheme="minorHAnsi"/>
              </w:rPr>
            </w:pPr>
          </w:p>
        </w:tc>
      </w:tr>
    </w:tbl>
    <w:p w14:paraId="182D7000"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6C00CA94" w14:textId="77777777" w:rsidTr="002D631B">
        <w:tc>
          <w:tcPr>
            <w:tcW w:w="9016" w:type="dxa"/>
            <w:gridSpan w:val="2"/>
          </w:tcPr>
          <w:p w14:paraId="222E79BB"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46</w:t>
            </w:r>
          </w:p>
        </w:tc>
      </w:tr>
      <w:tr w:rsidR="00B06301" w:rsidRPr="00226C03" w14:paraId="7F1937B4" w14:textId="77777777" w:rsidTr="002D631B">
        <w:tc>
          <w:tcPr>
            <w:tcW w:w="2122" w:type="dxa"/>
          </w:tcPr>
          <w:p w14:paraId="7568933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47E3895B"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 xml:space="preserve">Enliven Housing &amp; Enliven Community </w:t>
            </w:r>
          </w:p>
        </w:tc>
      </w:tr>
      <w:tr w:rsidR="00B06301" w:rsidRPr="00226C03" w14:paraId="65345941" w14:textId="77777777" w:rsidTr="002D631B">
        <w:tc>
          <w:tcPr>
            <w:tcW w:w="2122" w:type="dxa"/>
          </w:tcPr>
          <w:p w14:paraId="057AF7D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5981D77A" w14:textId="77777777" w:rsidR="00B06301" w:rsidRPr="00226C03" w:rsidRDefault="00B06301" w:rsidP="002D631B">
            <w:pPr>
              <w:pStyle w:val="NoSpacing"/>
              <w:shd w:val="clear" w:color="auto" w:fill="FFFFFF" w:themeFill="background1"/>
              <w:rPr>
                <w:rFonts w:cstheme="minorHAnsi"/>
              </w:rPr>
            </w:pPr>
            <w:r w:rsidRPr="00226C03">
              <w:rPr>
                <w:rFonts w:cstheme="minorHAnsi"/>
              </w:rPr>
              <w:t>Faye Minty, Chief Executive Officer</w:t>
            </w:r>
          </w:p>
        </w:tc>
      </w:tr>
      <w:tr w:rsidR="00B06301" w:rsidRPr="00226C03" w14:paraId="498EF170" w14:textId="77777777" w:rsidTr="002D631B">
        <w:tc>
          <w:tcPr>
            <w:tcW w:w="2122" w:type="dxa"/>
          </w:tcPr>
          <w:p w14:paraId="24510F1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54BBF410" w14:textId="77777777" w:rsidR="00B06301" w:rsidRPr="00226C03" w:rsidRDefault="001F76D0" w:rsidP="002D631B">
            <w:pPr>
              <w:pStyle w:val="NoSpacing"/>
              <w:shd w:val="clear" w:color="auto" w:fill="FFFFFF" w:themeFill="background1"/>
              <w:rPr>
                <w:rFonts w:cstheme="minorHAnsi"/>
              </w:rPr>
            </w:pPr>
            <w:hyperlink r:id="rId147" w:history="1">
              <w:r w:rsidR="00B06301" w:rsidRPr="00226C03">
                <w:rPr>
                  <w:rStyle w:val="Hyperlink"/>
                  <w:rFonts w:cstheme="minorHAnsi"/>
                </w:rPr>
                <w:t>https://enlivenhousing.com.au/home/</w:t>
              </w:r>
            </w:hyperlink>
            <w:r w:rsidR="00B06301" w:rsidRPr="00226C03">
              <w:rPr>
                <w:rFonts w:cstheme="minorHAnsi"/>
              </w:rPr>
              <w:t xml:space="preserve"> &amp; </w:t>
            </w:r>
            <w:hyperlink r:id="rId148" w:history="1">
              <w:r w:rsidR="00B06301" w:rsidRPr="00226C03">
                <w:rPr>
                  <w:rStyle w:val="Hyperlink"/>
                  <w:rFonts w:cstheme="minorHAnsi"/>
                </w:rPr>
                <w:t>https://enlivenhousing.com.au/community/</w:t>
              </w:r>
            </w:hyperlink>
            <w:r w:rsidR="00B06301" w:rsidRPr="00226C03">
              <w:rPr>
                <w:rFonts w:cstheme="minorHAnsi"/>
              </w:rPr>
              <w:t xml:space="preserve"> </w:t>
            </w:r>
          </w:p>
        </w:tc>
      </w:tr>
      <w:tr w:rsidR="00B06301" w:rsidRPr="00226C03" w14:paraId="3D50CB2C" w14:textId="77777777" w:rsidTr="002D631B">
        <w:tc>
          <w:tcPr>
            <w:tcW w:w="2122" w:type="dxa"/>
          </w:tcPr>
          <w:p w14:paraId="0BD1378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744CB1E0" w14:textId="77777777" w:rsidR="00B06301" w:rsidRPr="00226C03" w:rsidRDefault="00B06301" w:rsidP="002D631B">
            <w:pPr>
              <w:pStyle w:val="NoSpacing"/>
              <w:shd w:val="clear" w:color="auto" w:fill="FFFFFF" w:themeFill="background1"/>
              <w:rPr>
                <w:rFonts w:cstheme="minorHAnsi"/>
              </w:rPr>
            </w:pPr>
            <w:r w:rsidRPr="00226C03">
              <w:rPr>
                <w:rFonts w:cstheme="minorHAnsi"/>
              </w:rPr>
              <w:t>Sydney, New South Wales</w:t>
            </w:r>
          </w:p>
        </w:tc>
      </w:tr>
      <w:tr w:rsidR="00B06301" w:rsidRPr="00226C03" w14:paraId="446C0FF9" w14:textId="77777777" w:rsidTr="002D631B">
        <w:tc>
          <w:tcPr>
            <w:tcW w:w="2122" w:type="dxa"/>
          </w:tcPr>
          <w:p w14:paraId="5F8F26E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11D57166" w14:textId="77777777" w:rsidR="00B06301" w:rsidRPr="00226C03" w:rsidRDefault="00B06301" w:rsidP="002D631B">
            <w:pPr>
              <w:pStyle w:val="NoSpacing"/>
              <w:shd w:val="clear" w:color="auto" w:fill="FFFFFF" w:themeFill="background1"/>
              <w:rPr>
                <w:rFonts w:cstheme="minorHAnsi"/>
              </w:rPr>
            </w:pPr>
            <w:r w:rsidRPr="00226C03">
              <w:rPr>
                <w:rFonts w:cstheme="minorHAnsi"/>
              </w:rPr>
              <w:t>We’re a Sydney-based team with decades of experience building housing to support people’s dream lifestyles. Drawing on personal experience of family members living with disability, we bring integrity, empathy, support and a deep understanding of your needs when it comes to disability-friendly accommodation in Sydney.</w:t>
            </w:r>
          </w:p>
        </w:tc>
      </w:tr>
      <w:tr w:rsidR="00B06301" w:rsidRPr="00226C03" w14:paraId="6A769CB1" w14:textId="77777777" w:rsidTr="002D631B">
        <w:tc>
          <w:tcPr>
            <w:tcW w:w="2122" w:type="dxa"/>
          </w:tcPr>
          <w:p w14:paraId="00ADACF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21D10341" w14:textId="77777777" w:rsidR="00B06301" w:rsidRPr="00226C03" w:rsidRDefault="00B06301" w:rsidP="002D631B">
            <w:pPr>
              <w:pStyle w:val="NoSpacing"/>
              <w:shd w:val="clear" w:color="auto" w:fill="FFFFFF" w:themeFill="background1"/>
              <w:rPr>
                <w:rFonts w:cstheme="minorHAnsi"/>
              </w:rPr>
            </w:pPr>
          </w:p>
        </w:tc>
      </w:tr>
    </w:tbl>
    <w:p w14:paraId="636633F6"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6DF8F1F6" w14:textId="77777777" w:rsidTr="002D631B">
        <w:tc>
          <w:tcPr>
            <w:tcW w:w="9016" w:type="dxa"/>
            <w:gridSpan w:val="2"/>
          </w:tcPr>
          <w:p w14:paraId="62E45E0D"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47</w:t>
            </w:r>
          </w:p>
        </w:tc>
      </w:tr>
      <w:tr w:rsidR="00B06301" w:rsidRPr="00226C03" w14:paraId="0BDDB68A" w14:textId="77777777" w:rsidTr="002D631B">
        <w:tc>
          <w:tcPr>
            <w:tcW w:w="2122" w:type="dxa"/>
          </w:tcPr>
          <w:p w14:paraId="0267510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509C00F6"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inHousing</w:t>
            </w:r>
          </w:p>
        </w:tc>
      </w:tr>
      <w:tr w:rsidR="00B06301" w:rsidRPr="00226C03" w14:paraId="6614623E" w14:textId="77777777" w:rsidTr="002D631B">
        <w:tc>
          <w:tcPr>
            <w:tcW w:w="2122" w:type="dxa"/>
          </w:tcPr>
          <w:p w14:paraId="53B07617"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33AF45C5" w14:textId="77777777" w:rsidR="00B06301" w:rsidRPr="00226C03" w:rsidRDefault="001F76D0" w:rsidP="002D631B">
            <w:pPr>
              <w:pStyle w:val="NoSpacing"/>
              <w:shd w:val="clear" w:color="auto" w:fill="FFFFFF" w:themeFill="background1"/>
              <w:rPr>
                <w:rFonts w:cstheme="minorHAnsi"/>
              </w:rPr>
            </w:pPr>
            <w:hyperlink r:id="rId149" w:history="1">
              <w:r w:rsidR="00B06301" w:rsidRPr="00226C03">
                <w:rPr>
                  <w:rStyle w:val="Hyperlink"/>
                  <w:rFonts w:cstheme="minorHAnsi"/>
                </w:rPr>
                <w:t>property@inhousing.org.au</w:t>
              </w:r>
            </w:hyperlink>
            <w:r w:rsidR="00B06301" w:rsidRPr="00226C03">
              <w:rPr>
                <w:rFonts w:cstheme="minorHAnsi"/>
              </w:rPr>
              <w:t xml:space="preserve"> </w:t>
            </w:r>
          </w:p>
        </w:tc>
      </w:tr>
      <w:tr w:rsidR="00B06301" w:rsidRPr="00226C03" w14:paraId="62C5774F" w14:textId="77777777" w:rsidTr="002D631B">
        <w:tc>
          <w:tcPr>
            <w:tcW w:w="2122" w:type="dxa"/>
          </w:tcPr>
          <w:p w14:paraId="3709CFE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0E796933" w14:textId="77777777" w:rsidR="00B06301" w:rsidRPr="00226C03" w:rsidRDefault="001F76D0" w:rsidP="002D631B">
            <w:pPr>
              <w:pStyle w:val="NoSpacing"/>
              <w:shd w:val="clear" w:color="auto" w:fill="FFFFFF" w:themeFill="background1"/>
              <w:rPr>
                <w:rFonts w:cstheme="minorHAnsi"/>
              </w:rPr>
            </w:pPr>
            <w:hyperlink r:id="rId150" w:history="1">
              <w:r w:rsidR="00B06301" w:rsidRPr="00226C03">
                <w:rPr>
                  <w:rStyle w:val="Hyperlink"/>
                  <w:rFonts w:cstheme="minorHAnsi"/>
                </w:rPr>
                <w:t>https://inhousing.org.au/</w:t>
              </w:r>
            </w:hyperlink>
            <w:r w:rsidR="00B06301" w:rsidRPr="00226C03">
              <w:rPr>
                <w:rFonts w:cstheme="minorHAnsi"/>
              </w:rPr>
              <w:t xml:space="preserve"> </w:t>
            </w:r>
          </w:p>
        </w:tc>
      </w:tr>
      <w:tr w:rsidR="00B06301" w:rsidRPr="00226C03" w14:paraId="26DCA536" w14:textId="77777777" w:rsidTr="002D631B">
        <w:tc>
          <w:tcPr>
            <w:tcW w:w="2122" w:type="dxa"/>
          </w:tcPr>
          <w:p w14:paraId="4C7EEAD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3C04FFF8" w14:textId="77777777" w:rsidR="00B06301" w:rsidRPr="00226C03" w:rsidRDefault="00B06301" w:rsidP="002D631B">
            <w:pPr>
              <w:pStyle w:val="NoSpacing"/>
              <w:shd w:val="clear" w:color="auto" w:fill="FFFFFF" w:themeFill="background1"/>
              <w:rPr>
                <w:rFonts w:cstheme="minorHAnsi"/>
              </w:rPr>
            </w:pPr>
            <w:r w:rsidRPr="00226C03">
              <w:rPr>
                <w:rFonts w:cstheme="minorHAnsi"/>
              </w:rPr>
              <w:t>Unley, South Australia</w:t>
            </w:r>
          </w:p>
        </w:tc>
      </w:tr>
      <w:tr w:rsidR="00B06301" w:rsidRPr="00226C03" w14:paraId="7A0901C0" w14:textId="77777777" w:rsidTr="002D631B">
        <w:tc>
          <w:tcPr>
            <w:tcW w:w="2122" w:type="dxa"/>
          </w:tcPr>
          <w:p w14:paraId="79BAD37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0F4F8E0B" w14:textId="77777777" w:rsidR="00B06301" w:rsidRPr="00226C03" w:rsidRDefault="00B06301" w:rsidP="002D631B">
            <w:pPr>
              <w:pStyle w:val="NoSpacing"/>
              <w:shd w:val="clear" w:color="auto" w:fill="FFFFFF" w:themeFill="background1"/>
              <w:rPr>
                <w:rFonts w:cstheme="minorHAnsi"/>
              </w:rPr>
            </w:pPr>
            <w:r w:rsidRPr="00226C03">
              <w:rPr>
                <w:rFonts w:cstheme="minorHAnsi"/>
              </w:rPr>
              <w:t>inhousing is an innovative social enterprise, established to provide and assist people living with disability to access appropriate housing. Our approach is grounded in the belief that good housing is paramount to people's lives.</w:t>
            </w:r>
          </w:p>
        </w:tc>
      </w:tr>
      <w:tr w:rsidR="00B06301" w:rsidRPr="00226C03" w14:paraId="64EDA22E" w14:textId="77777777" w:rsidTr="002D631B">
        <w:tc>
          <w:tcPr>
            <w:tcW w:w="2122" w:type="dxa"/>
          </w:tcPr>
          <w:p w14:paraId="46952713"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6308D559" w14:textId="77777777" w:rsidR="00B06301" w:rsidRPr="00226C03" w:rsidRDefault="00B06301" w:rsidP="002D631B">
            <w:pPr>
              <w:pStyle w:val="NoSpacing"/>
              <w:shd w:val="clear" w:color="auto" w:fill="FFFFFF" w:themeFill="background1"/>
              <w:rPr>
                <w:rFonts w:cstheme="minorHAnsi"/>
              </w:rPr>
            </w:pPr>
          </w:p>
        </w:tc>
      </w:tr>
    </w:tbl>
    <w:p w14:paraId="7BBCCFC8"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0C2A8F7E" w14:textId="77777777" w:rsidTr="002D631B">
        <w:tc>
          <w:tcPr>
            <w:tcW w:w="9016" w:type="dxa"/>
            <w:gridSpan w:val="2"/>
          </w:tcPr>
          <w:p w14:paraId="6CCCE999"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48</w:t>
            </w:r>
          </w:p>
        </w:tc>
      </w:tr>
      <w:tr w:rsidR="00B06301" w:rsidRPr="00226C03" w14:paraId="1A82C27F" w14:textId="77777777" w:rsidTr="002D631B">
        <w:tc>
          <w:tcPr>
            <w:tcW w:w="2122" w:type="dxa"/>
          </w:tcPr>
          <w:p w14:paraId="57CF807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4E7FDE5F"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 xml:space="preserve">Hume Community Housing </w:t>
            </w:r>
          </w:p>
        </w:tc>
      </w:tr>
      <w:tr w:rsidR="00B06301" w:rsidRPr="00226C03" w14:paraId="0280E9FD" w14:textId="77777777" w:rsidTr="002D631B">
        <w:tc>
          <w:tcPr>
            <w:tcW w:w="2122" w:type="dxa"/>
          </w:tcPr>
          <w:p w14:paraId="256C4FC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473CCC92" w14:textId="77777777" w:rsidR="00B06301" w:rsidRPr="00226C03" w:rsidRDefault="00B06301" w:rsidP="002D631B">
            <w:pPr>
              <w:pStyle w:val="NoSpacing"/>
              <w:shd w:val="clear" w:color="auto" w:fill="FFFFFF" w:themeFill="background1"/>
              <w:rPr>
                <w:rFonts w:cstheme="minorHAnsi"/>
              </w:rPr>
            </w:pPr>
            <w:r w:rsidRPr="00226C03">
              <w:rPr>
                <w:rFonts w:cstheme="minorHAnsi"/>
              </w:rPr>
              <w:t>Nicola Lemon, Chi9ef Executive Officer</w:t>
            </w:r>
          </w:p>
        </w:tc>
      </w:tr>
      <w:tr w:rsidR="00B06301" w:rsidRPr="00226C03" w14:paraId="7B0830B3" w14:textId="77777777" w:rsidTr="002D631B">
        <w:tc>
          <w:tcPr>
            <w:tcW w:w="2122" w:type="dxa"/>
          </w:tcPr>
          <w:p w14:paraId="269D466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7AA3DAA7" w14:textId="77777777" w:rsidR="00B06301" w:rsidRPr="00226C03" w:rsidRDefault="001F76D0" w:rsidP="002D631B">
            <w:pPr>
              <w:pStyle w:val="NoSpacing"/>
              <w:shd w:val="clear" w:color="auto" w:fill="FFFFFF" w:themeFill="background1"/>
              <w:rPr>
                <w:rFonts w:cstheme="minorHAnsi"/>
              </w:rPr>
            </w:pPr>
            <w:hyperlink r:id="rId151" w:history="1">
              <w:r w:rsidR="00B06301" w:rsidRPr="00226C03">
                <w:rPr>
                  <w:rStyle w:val="Hyperlink"/>
                  <w:rFonts w:cstheme="minorHAnsi"/>
                </w:rPr>
                <w:t>https://www.humehousing.com.au/</w:t>
              </w:r>
            </w:hyperlink>
            <w:r w:rsidR="00B06301" w:rsidRPr="00226C03">
              <w:rPr>
                <w:rFonts w:cstheme="minorHAnsi"/>
              </w:rPr>
              <w:t xml:space="preserve"> </w:t>
            </w:r>
          </w:p>
        </w:tc>
      </w:tr>
      <w:tr w:rsidR="00B06301" w:rsidRPr="00226C03" w14:paraId="72A31D81" w14:textId="77777777" w:rsidTr="002D631B">
        <w:tc>
          <w:tcPr>
            <w:tcW w:w="2122" w:type="dxa"/>
          </w:tcPr>
          <w:p w14:paraId="044142E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56B180B2" w14:textId="77777777" w:rsidR="00B06301" w:rsidRPr="00226C03" w:rsidRDefault="00B06301" w:rsidP="002D631B">
            <w:pPr>
              <w:pStyle w:val="NoSpacing"/>
              <w:shd w:val="clear" w:color="auto" w:fill="FFFFFF" w:themeFill="background1"/>
              <w:rPr>
                <w:rFonts w:cstheme="minorHAnsi"/>
              </w:rPr>
            </w:pPr>
            <w:r w:rsidRPr="00226C03">
              <w:rPr>
                <w:rFonts w:cstheme="minorHAnsi"/>
              </w:rPr>
              <w:t>Fairfield, New South Wales</w:t>
            </w:r>
          </w:p>
        </w:tc>
      </w:tr>
      <w:tr w:rsidR="00B06301" w:rsidRPr="00226C03" w14:paraId="58D6150E" w14:textId="77777777" w:rsidTr="002D631B">
        <w:tc>
          <w:tcPr>
            <w:tcW w:w="2122" w:type="dxa"/>
          </w:tcPr>
          <w:p w14:paraId="76AFCCD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5151E1AB" w14:textId="77777777" w:rsidR="00B06301" w:rsidRPr="00226C03" w:rsidRDefault="00B06301" w:rsidP="002D631B">
            <w:pPr>
              <w:pStyle w:val="NoSpacing"/>
              <w:shd w:val="clear" w:color="auto" w:fill="FFFFFF" w:themeFill="background1"/>
              <w:rPr>
                <w:rFonts w:cstheme="minorHAnsi"/>
              </w:rPr>
            </w:pPr>
            <w:r w:rsidRPr="00226C03">
              <w:rPr>
                <w:rFonts w:cstheme="minorHAnsi"/>
              </w:rPr>
              <w:t>Hume Community Housing provides homes and services to more than 9,000 customers across New South Wales. We build new properties, manage tenancies for owners, and provide services and support to our diverse customers through a range of partnerships. Our specialist tenancy and asset management teams take a ‘housing-first’ approach, providing safe, secure and sustainable housing in the first instance. We then provide our customers with advice and assistance to determine their housing options and to maximise their opportunities to prosper. Our person-centered and strength-based support services enable goal setting and choices for our customers,</w:t>
            </w:r>
          </w:p>
          <w:p w14:paraId="4D4B3250" w14:textId="77777777" w:rsidR="00B06301" w:rsidRPr="00226C03" w:rsidRDefault="00B06301" w:rsidP="002D631B">
            <w:pPr>
              <w:pStyle w:val="NoSpacing"/>
              <w:shd w:val="clear" w:color="auto" w:fill="FFFFFF" w:themeFill="background1"/>
              <w:rPr>
                <w:rFonts w:cstheme="minorHAnsi"/>
              </w:rPr>
            </w:pPr>
            <w:r w:rsidRPr="00226C03">
              <w:rPr>
                <w:rFonts w:cstheme="minorHAnsi"/>
              </w:rPr>
              <w:t>both socially and economically.</w:t>
            </w:r>
          </w:p>
        </w:tc>
      </w:tr>
      <w:tr w:rsidR="00B06301" w:rsidRPr="00226C03" w14:paraId="4CA4FEA8" w14:textId="77777777" w:rsidTr="002D631B">
        <w:tc>
          <w:tcPr>
            <w:tcW w:w="2122" w:type="dxa"/>
          </w:tcPr>
          <w:p w14:paraId="27F2ACC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23DC11D6" w14:textId="77777777" w:rsidR="00B06301" w:rsidRPr="00226C03" w:rsidRDefault="00B06301" w:rsidP="002D631B">
            <w:pPr>
              <w:pStyle w:val="NoSpacing"/>
              <w:shd w:val="clear" w:color="auto" w:fill="FFFFFF" w:themeFill="background1"/>
              <w:rPr>
                <w:rFonts w:cstheme="minorHAnsi"/>
              </w:rPr>
            </w:pPr>
          </w:p>
        </w:tc>
      </w:tr>
    </w:tbl>
    <w:p w14:paraId="70CA4A8B"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1A45B86E" w14:textId="77777777" w:rsidTr="002D631B">
        <w:tc>
          <w:tcPr>
            <w:tcW w:w="9016" w:type="dxa"/>
            <w:gridSpan w:val="2"/>
          </w:tcPr>
          <w:p w14:paraId="1B9ABCB2"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49</w:t>
            </w:r>
          </w:p>
        </w:tc>
      </w:tr>
      <w:tr w:rsidR="00B06301" w:rsidRPr="00226C03" w14:paraId="769519A1" w14:textId="77777777" w:rsidTr="002D631B">
        <w:tc>
          <w:tcPr>
            <w:tcW w:w="2122" w:type="dxa"/>
          </w:tcPr>
          <w:p w14:paraId="7FC11D89"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2E971F36"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McCall Gardens</w:t>
            </w:r>
          </w:p>
        </w:tc>
      </w:tr>
      <w:tr w:rsidR="00B06301" w:rsidRPr="00226C03" w14:paraId="53C9814B" w14:textId="77777777" w:rsidTr="002D631B">
        <w:tc>
          <w:tcPr>
            <w:tcW w:w="2122" w:type="dxa"/>
          </w:tcPr>
          <w:p w14:paraId="51052C79"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4E8808E1" w14:textId="77777777" w:rsidR="00B06301" w:rsidRPr="00226C03" w:rsidRDefault="001F76D0" w:rsidP="002D631B">
            <w:pPr>
              <w:pStyle w:val="NoSpacing"/>
              <w:shd w:val="clear" w:color="auto" w:fill="FFFFFF" w:themeFill="background1"/>
              <w:rPr>
                <w:rFonts w:cstheme="minorHAnsi"/>
              </w:rPr>
            </w:pPr>
            <w:hyperlink r:id="rId152" w:history="1">
              <w:r w:rsidR="00B06301" w:rsidRPr="00226C03">
                <w:rPr>
                  <w:rStyle w:val="Hyperlink"/>
                  <w:rFonts w:cstheme="minorHAnsi"/>
                </w:rPr>
                <w:t>admin@mccallgardens.org.au</w:t>
              </w:r>
            </w:hyperlink>
            <w:r w:rsidR="00B06301" w:rsidRPr="00226C03">
              <w:rPr>
                <w:rFonts w:cstheme="minorHAnsi"/>
              </w:rPr>
              <w:t xml:space="preserve"> </w:t>
            </w:r>
          </w:p>
        </w:tc>
      </w:tr>
      <w:tr w:rsidR="00B06301" w:rsidRPr="00226C03" w14:paraId="58C88060" w14:textId="77777777" w:rsidTr="002D631B">
        <w:tc>
          <w:tcPr>
            <w:tcW w:w="2122" w:type="dxa"/>
          </w:tcPr>
          <w:p w14:paraId="7472071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5587E0D0" w14:textId="77777777" w:rsidR="00B06301" w:rsidRPr="00226C03" w:rsidRDefault="001F76D0" w:rsidP="002D631B">
            <w:pPr>
              <w:pStyle w:val="NoSpacing"/>
              <w:shd w:val="clear" w:color="auto" w:fill="FFFFFF" w:themeFill="background1"/>
              <w:rPr>
                <w:rFonts w:cstheme="minorHAnsi"/>
              </w:rPr>
            </w:pPr>
            <w:hyperlink r:id="rId153" w:history="1">
              <w:r w:rsidR="00B06301" w:rsidRPr="00226C03">
                <w:rPr>
                  <w:rStyle w:val="Hyperlink"/>
                  <w:rFonts w:cstheme="minorHAnsi"/>
                </w:rPr>
                <w:t>https://www.mccallgardens.org.au/</w:t>
              </w:r>
            </w:hyperlink>
            <w:r w:rsidR="00B06301" w:rsidRPr="00226C03">
              <w:rPr>
                <w:rFonts w:cstheme="minorHAnsi"/>
              </w:rPr>
              <w:t xml:space="preserve"> </w:t>
            </w:r>
          </w:p>
        </w:tc>
      </w:tr>
      <w:tr w:rsidR="00B06301" w:rsidRPr="00226C03" w14:paraId="2C85779C" w14:textId="77777777" w:rsidTr="002D631B">
        <w:tc>
          <w:tcPr>
            <w:tcW w:w="2122" w:type="dxa"/>
          </w:tcPr>
          <w:p w14:paraId="1EF1C389"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3BE71E62" w14:textId="77777777" w:rsidR="00B06301" w:rsidRPr="00226C03" w:rsidRDefault="00B06301" w:rsidP="002D631B">
            <w:pPr>
              <w:pStyle w:val="NoSpacing"/>
              <w:shd w:val="clear" w:color="auto" w:fill="FFFFFF" w:themeFill="background1"/>
              <w:rPr>
                <w:rFonts w:cstheme="minorHAnsi"/>
              </w:rPr>
            </w:pPr>
            <w:r w:rsidRPr="00226C03">
              <w:rPr>
                <w:rFonts w:cstheme="minorHAnsi"/>
              </w:rPr>
              <w:t>Box Hill, New South Wales</w:t>
            </w:r>
          </w:p>
        </w:tc>
      </w:tr>
      <w:tr w:rsidR="00B06301" w:rsidRPr="00226C03" w14:paraId="0179D6EA" w14:textId="77777777" w:rsidTr="002D631B">
        <w:tc>
          <w:tcPr>
            <w:tcW w:w="2122" w:type="dxa"/>
          </w:tcPr>
          <w:p w14:paraId="174A65A1"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1C298FAE" w14:textId="77777777" w:rsidR="00B06301" w:rsidRPr="00226C03" w:rsidRDefault="00B06301" w:rsidP="002D631B">
            <w:pPr>
              <w:pStyle w:val="NoSpacing"/>
              <w:shd w:val="clear" w:color="auto" w:fill="FFFFFF" w:themeFill="background1"/>
              <w:rPr>
                <w:rFonts w:cstheme="minorHAnsi"/>
              </w:rPr>
            </w:pPr>
            <w:r w:rsidRPr="00226C03">
              <w:rPr>
                <w:rFonts w:cstheme="minorHAnsi"/>
              </w:rPr>
              <w:t>Unlike the previous style of block funding that was guaranteed by the state government for a minimum of 3 years, the funding under the NDIS must go through an annual review process for each person with a plan. This makes long term planning more challenging and the requirement for record keeping for each support more onerous for providers, not to mention for participants and their families.</w:t>
            </w:r>
          </w:p>
        </w:tc>
      </w:tr>
      <w:tr w:rsidR="00B06301" w:rsidRPr="00226C03" w14:paraId="48F19695" w14:textId="77777777" w:rsidTr="002D631B">
        <w:tc>
          <w:tcPr>
            <w:tcW w:w="2122" w:type="dxa"/>
          </w:tcPr>
          <w:p w14:paraId="3A36742C"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5613996C" w14:textId="77777777" w:rsidR="00B06301" w:rsidRPr="00226C03" w:rsidRDefault="00B06301" w:rsidP="002D631B">
            <w:pPr>
              <w:pStyle w:val="NoSpacing"/>
              <w:shd w:val="clear" w:color="auto" w:fill="FFFFFF" w:themeFill="background1"/>
              <w:rPr>
                <w:rFonts w:cstheme="minorHAnsi"/>
              </w:rPr>
            </w:pPr>
          </w:p>
        </w:tc>
      </w:tr>
    </w:tbl>
    <w:p w14:paraId="772A9D81"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6A3DD5C4" w14:textId="77777777" w:rsidTr="002D631B">
        <w:tc>
          <w:tcPr>
            <w:tcW w:w="9016" w:type="dxa"/>
            <w:gridSpan w:val="2"/>
          </w:tcPr>
          <w:p w14:paraId="38E953BA"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50</w:t>
            </w:r>
          </w:p>
        </w:tc>
      </w:tr>
      <w:tr w:rsidR="00B06301" w:rsidRPr="00226C03" w14:paraId="4EEB28DC" w14:textId="77777777" w:rsidTr="002D631B">
        <w:tc>
          <w:tcPr>
            <w:tcW w:w="2122" w:type="dxa"/>
          </w:tcPr>
          <w:p w14:paraId="613EC02E"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3F5F87D7"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 xml:space="preserve">Bridges Care </w:t>
            </w:r>
          </w:p>
        </w:tc>
      </w:tr>
      <w:tr w:rsidR="00B06301" w:rsidRPr="00226C03" w14:paraId="4F3DAC91" w14:textId="77777777" w:rsidTr="002D631B">
        <w:tc>
          <w:tcPr>
            <w:tcW w:w="2122" w:type="dxa"/>
          </w:tcPr>
          <w:p w14:paraId="2E8B4D0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3116B580" w14:textId="77777777" w:rsidR="00B06301" w:rsidRPr="00226C03" w:rsidRDefault="001F76D0" w:rsidP="002D631B">
            <w:pPr>
              <w:pStyle w:val="NoSpacing"/>
              <w:shd w:val="clear" w:color="auto" w:fill="FFFFFF" w:themeFill="background1"/>
              <w:rPr>
                <w:rFonts w:cstheme="minorHAnsi"/>
              </w:rPr>
            </w:pPr>
            <w:hyperlink r:id="rId154" w:history="1">
              <w:r w:rsidR="00B06301" w:rsidRPr="00226C03">
                <w:rPr>
                  <w:rStyle w:val="Hyperlink"/>
                  <w:rFonts w:cstheme="minorHAnsi"/>
                </w:rPr>
                <w:t>contact@bridgescare.com.au</w:t>
              </w:r>
            </w:hyperlink>
            <w:r w:rsidR="00B06301" w:rsidRPr="00226C03">
              <w:rPr>
                <w:rFonts w:cstheme="minorHAnsi"/>
              </w:rPr>
              <w:t xml:space="preserve"> </w:t>
            </w:r>
          </w:p>
        </w:tc>
      </w:tr>
      <w:tr w:rsidR="00B06301" w:rsidRPr="00226C03" w14:paraId="3BEAD470" w14:textId="77777777" w:rsidTr="002D631B">
        <w:tc>
          <w:tcPr>
            <w:tcW w:w="2122" w:type="dxa"/>
          </w:tcPr>
          <w:p w14:paraId="0C1211F1"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2C47072B" w14:textId="77777777" w:rsidR="00B06301" w:rsidRPr="00226C03" w:rsidRDefault="001F76D0" w:rsidP="002D631B">
            <w:pPr>
              <w:pStyle w:val="NoSpacing"/>
              <w:shd w:val="clear" w:color="auto" w:fill="FFFFFF" w:themeFill="background1"/>
              <w:rPr>
                <w:rFonts w:cstheme="minorHAnsi"/>
              </w:rPr>
            </w:pPr>
            <w:hyperlink r:id="rId155" w:history="1">
              <w:r w:rsidR="00B06301" w:rsidRPr="00226C03">
                <w:rPr>
                  <w:rStyle w:val="Hyperlink"/>
                  <w:rFonts w:cstheme="minorHAnsi"/>
                </w:rPr>
                <w:t>http://www.bridgescare.com.au/</w:t>
              </w:r>
            </w:hyperlink>
            <w:r w:rsidR="00B06301" w:rsidRPr="00226C03">
              <w:rPr>
                <w:rFonts w:cstheme="minorHAnsi"/>
              </w:rPr>
              <w:t xml:space="preserve"> </w:t>
            </w:r>
          </w:p>
        </w:tc>
      </w:tr>
      <w:tr w:rsidR="00B06301" w:rsidRPr="00226C03" w14:paraId="6B85266E" w14:textId="77777777" w:rsidTr="002D631B">
        <w:tc>
          <w:tcPr>
            <w:tcW w:w="2122" w:type="dxa"/>
          </w:tcPr>
          <w:p w14:paraId="3AE4A20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7028E279" w14:textId="77777777" w:rsidR="00B06301" w:rsidRPr="00226C03" w:rsidRDefault="00B06301" w:rsidP="002D631B">
            <w:pPr>
              <w:pStyle w:val="NoSpacing"/>
              <w:shd w:val="clear" w:color="auto" w:fill="FFFFFF" w:themeFill="background1"/>
              <w:rPr>
                <w:rFonts w:cstheme="minorHAnsi"/>
              </w:rPr>
            </w:pPr>
            <w:r w:rsidRPr="00226C03">
              <w:rPr>
                <w:rFonts w:cstheme="minorHAnsi"/>
              </w:rPr>
              <w:t>Campbelltown, New South Wales</w:t>
            </w:r>
          </w:p>
        </w:tc>
      </w:tr>
      <w:tr w:rsidR="00B06301" w:rsidRPr="00226C03" w14:paraId="3A68DF70" w14:textId="77777777" w:rsidTr="002D631B">
        <w:tc>
          <w:tcPr>
            <w:tcW w:w="2122" w:type="dxa"/>
          </w:tcPr>
          <w:p w14:paraId="6E20282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62B0F9B7" w14:textId="77777777" w:rsidR="00B06301" w:rsidRPr="00226C03" w:rsidRDefault="001F76D0" w:rsidP="002D631B">
            <w:pPr>
              <w:pStyle w:val="NoSpacing"/>
              <w:shd w:val="clear" w:color="auto" w:fill="FFFFFF" w:themeFill="background1"/>
              <w:rPr>
                <w:rFonts w:cstheme="minorHAnsi"/>
              </w:rPr>
            </w:pPr>
            <w:hyperlink r:id="rId156" w:history="1">
              <w:r w:rsidR="00B06301" w:rsidRPr="00226C03">
                <w:rPr>
                  <w:rStyle w:val="Hyperlink"/>
                  <w:rFonts w:cstheme="minorHAnsi"/>
                </w:rPr>
                <w:t>http://www.bridgescare.com.au/about-us/</w:t>
              </w:r>
            </w:hyperlink>
            <w:r w:rsidR="00B06301" w:rsidRPr="00226C03">
              <w:rPr>
                <w:rFonts w:cstheme="minorHAnsi"/>
              </w:rPr>
              <w:t xml:space="preserve"> </w:t>
            </w:r>
          </w:p>
        </w:tc>
      </w:tr>
      <w:tr w:rsidR="00B06301" w:rsidRPr="00226C03" w14:paraId="3ED5F5EF" w14:textId="77777777" w:rsidTr="002D631B">
        <w:tc>
          <w:tcPr>
            <w:tcW w:w="2122" w:type="dxa"/>
          </w:tcPr>
          <w:p w14:paraId="64508C2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011C898F" w14:textId="77777777" w:rsidR="00B06301" w:rsidRPr="00226C03" w:rsidRDefault="00B06301" w:rsidP="002D631B">
            <w:pPr>
              <w:pStyle w:val="NoSpacing"/>
              <w:shd w:val="clear" w:color="auto" w:fill="FFFFFF" w:themeFill="background1"/>
              <w:rPr>
                <w:rFonts w:cstheme="minorHAnsi"/>
              </w:rPr>
            </w:pPr>
          </w:p>
        </w:tc>
      </w:tr>
    </w:tbl>
    <w:p w14:paraId="3148BA80" w14:textId="0EA6D108" w:rsidR="00204587" w:rsidRDefault="00204587" w:rsidP="00B06301">
      <w:pPr>
        <w:shd w:val="clear" w:color="auto" w:fill="FFFFFF" w:themeFill="background1"/>
        <w:rPr>
          <w:rFonts w:cstheme="minorHAnsi"/>
          <w:b/>
          <w:bCs/>
        </w:rPr>
      </w:pPr>
    </w:p>
    <w:p w14:paraId="30ADE7B0" w14:textId="77777777" w:rsidR="00204587" w:rsidRDefault="00204587">
      <w:pPr>
        <w:rPr>
          <w:rFonts w:cstheme="minorHAnsi"/>
          <w:b/>
          <w:bCs/>
        </w:rPr>
      </w:pPr>
      <w:r>
        <w:rPr>
          <w:rFonts w:cstheme="minorHAnsi"/>
          <w:b/>
          <w:bCs/>
        </w:rPr>
        <w:br w:type="page"/>
      </w:r>
    </w:p>
    <w:p w14:paraId="102FA3AD"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60A389EA" w14:textId="77777777" w:rsidTr="002D631B">
        <w:tc>
          <w:tcPr>
            <w:tcW w:w="9016" w:type="dxa"/>
            <w:gridSpan w:val="2"/>
          </w:tcPr>
          <w:p w14:paraId="4E279C49"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51</w:t>
            </w:r>
          </w:p>
        </w:tc>
      </w:tr>
      <w:tr w:rsidR="00B06301" w:rsidRPr="00226C03" w14:paraId="28783078" w14:textId="77777777" w:rsidTr="002D631B">
        <w:tc>
          <w:tcPr>
            <w:tcW w:w="2122" w:type="dxa"/>
          </w:tcPr>
          <w:p w14:paraId="7CEEB75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6CFC5C92"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Resourcing Inclusive Communities (an initiative of Family Advocacy) - My Own Home</w:t>
            </w:r>
          </w:p>
        </w:tc>
      </w:tr>
      <w:tr w:rsidR="00B06301" w:rsidRPr="00226C03" w14:paraId="2AC749D7" w14:textId="77777777" w:rsidTr="002D631B">
        <w:tc>
          <w:tcPr>
            <w:tcW w:w="2122" w:type="dxa"/>
          </w:tcPr>
          <w:p w14:paraId="25E846EF"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5AF60269" w14:textId="77777777" w:rsidR="00B06301" w:rsidRPr="00226C03" w:rsidRDefault="00B06301" w:rsidP="002D631B">
            <w:pPr>
              <w:pStyle w:val="NoSpacing"/>
              <w:shd w:val="clear" w:color="auto" w:fill="FFFFFF" w:themeFill="background1"/>
              <w:rPr>
                <w:rFonts w:cstheme="minorHAnsi"/>
              </w:rPr>
            </w:pPr>
            <w:r w:rsidRPr="00226C03">
              <w:rPr>
                <w:rFonts w:cstheme="minorHAnsi"/>
              </w:rPr>
              <w:t>Cecile Sullivan Elder, Executive Officer</w:t>
            </w:r>
          </w:p>
        </w:tc>
      </w:tr>
      <w:tr w:rsidR="00B06301" w:rsidRPr="00226C03" w14:paraId="10D0FAE6" w14:textId="77777777" w:rsidTr="002D631B">
        <w:tc>
          <w:tcPr>
            <w:tcW w:w="2122" w:type="dxa"/>
          </w:tcPr>
          <w:p w14:paraId="3A6892D3"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58D57AB3" w14:textId="77777777" w:rsidR="00B06301" w:rsidRPr="00226C03" w:rsidRDefault="001F76D0" w:rsidP="002D631B">
            <w:pPr>
              <w:pStyle w:val="NoSpacing"/>
              <w:shd w:val="clear" w:color="auto" w:fill="FFFFFF" w:themeFill="background1"/>
              <w:rPr>
                <w:rFonts w:cstheme="minorHAnsi"/>
              </w:rPr>
            </w:pPr>
            <w:hyperlink r:id="rId157" w:history="1">
              <w:r w:rsidR="00B06301" w:rsidRPr="00226C03">
                <w:rPr>
                  <w:rStyle w:val="Hyperlink"/>
                  <w:rFonts w:cstheme="minorHAnsi"/>
                </w:rPr>
                <w:t>https://www.ric.org.au/my-own-home/</w:t>
              </w:r>
            </w:hyperlink>
            <w:r w:rsidR="00B06301" w:rsidRPr="00226C03">
              <w:rPr>
                <w:rFonts w:cstheme="minorHAnsi"/>
              </w:rPr>
              <w:t xml:space="preserve"> </w:t>
            </w:r>
          </w:p>
        </w:tc>
      </w:tr>
      <w:tr w:rsidR="00B06301" w:rsidRPr="00226C03" w14:paraId="3B8D0B31" w14:textId="77777777" w:rsidTr="002D631B">
        <w:tc>
          <w:tcPr>
            <w:tcW w:w="2122" w:type="dxa"/>
          </w:tcPr>
          <w:p w14:paraId="3C36032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7F24A2F8" w14:textId="77777777" w:rsidR="00B06301" w:rsidRPr="00226C03" w:rsidRDefault="00B06301" w:rsidP="002D631B">
            <w:pPr>
              <w:pStyle w:val="NoSpacing"/>
              <w:shd w:val="clear" w:color="auto" w:fill="FFFFFF" w:themeFill="background1"/>
              <w:rPr>
                <w:rFonts w:cstheme="minorHAnsi"/>
              </w:rPr>
            </w:pPr>
            <w:r w:rsidRPr="00226C03">
              <w:rPr>
                <w:rFonts w:cstheme="minorHAnsi"/>
              </w:rPr>
              <w:t>New South Wales</w:t>
            </w:r>
          </w:p>
        </w:tc>
      </w:tr>
      <w:tr w:rsidR="00B06301" w:rsidRPr="00226C03" w14:paraId="63A0EDA1" w14:textId="77777777" w:rsidTr="002D631B">
        <w:tc>
          <w:tcPr>
            <w:tcW w:w="2122" w:type="dxa"/>
          </w:tcPr>
          <w:p w14:paraId="2CF31D7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05BDF65C"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A sense of home and our own personal sanctuary is important to everyone. People with disability are often denied the choice to live where they want and with who they want. How we live reflects who we are and support can be tailored to enable individuals to live independently and as they choose.    </w:t>
            </w:r>
          </w:p>
        </w:tc>
      </w:tr>
      <w:tr w:rsidR="00B06301" w:rsidRPr="00226C03" w14:paraId="5F6D84C8" w14:textId="77777777" w:rsidTr="002D631B">
        <w:tc>
          <w:tcPr>
            <w:tcW w:w="2122" w:type="dxa"/>
          </w:tcPr>
          <w:p w14:paraId="2FC91AE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5119A220" w14:textId="77777777" w:rsidR="00B06301" w:rsidRPr="00226C03" w:rsidRDefault="00B06301" w:rsidP="002D631B">
            <w:pPr>
              <w:pStyle w:val="NoSpacing"/>
              <w:shd w:val="clear" w:color="auto" w:fill="FFFFFF" w:themeFill="background1"/>
              <w:rPr>
                <w:rFonts w:cstheme="minorHAnsi"/>
              </w:rPr>
            </w:pPr>
            <w:r w:rsidRPr="00226C03">
              <w:rPr>
                <w:rFonts w:cstheme="minorHAnsi"/>
              </w:rPr>
              <w:t>Recommended by Prof Patricia O’Brien</w:t>
            </w:r>
          </w:p>
        </w:tc>
      </w:tr>
    </w:tbl>
    <w:p w14:paraId="078BE0B9"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4C24EF52" w14:textId="77777777" w:rsidTr="002D631B">
        <w:tc>
          <w:tcPr>
            <w:tcW w:w="9016" w:type="dxa"/>
            <w:gridSpan w:val="2"/>
          </w:tcPr>
          <w:p w14:paraId="1C38DA8C"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52</w:t>
            </w:r>
          </w:p>
        </w:tc>
      </w:tr>
      <w:tr w:rsidR="00B06301" w:rsidRPr="00226C03" w14:paraId="24A975D6" w14:textId="77777777" w:rsidTr="002D631B">
        <w:tc>
          <w:tcPr>
            <w:tcW w:w="2122" w:type="dxa"/>
          </w:tcPr>
          <w:p w14:paraId="3FFDFB0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0D94E889"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Kemira at IRT Kanahooka</w:t>
            </w:r>
          </w:p>
        </w:tc>
      </w:tr>
      <w:tr w:rsidR="00B06301" w:rsidRPr="00226C03" w14:paraId="4E96EF89" w14:textId="77777777" w:rsidTr="002D631B">
        <w:tc>
          <w:tcPr>
            <w:tcW w:w="2122" w:type="dxa"/>
          </w:tcPr>
          <w:p w14:paraId="141A50B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509711E9" w14:textId="77777777" w:rsidR="00B06301" w:rsidRPr="00226C03" w:rsidRDefault="00B06301" w:rsidP="002D631B">
            <w:pPr>
              <w:pStyle w:val="NoSpacing"/>
              <w:shd w:val="clear" w:color="auto" w:fill="FFFFFF" w:themeFill="background1"/>
              <w:rPr>
                <w:rFonts w:cstheme="minorHAnsi"/>
              </w:rPr>
            </w:pPr>
            <w:r w:rsidRPr="00226C03">
              <w:rPr>
                <w:rFonts w:cstheme="minorHAnsi"/>
              </w:rPr>
              <w:t>N/A</w:t>
            </w:r>
          </w:p>
        </w:tc>
      </w:tr>
      <w:tr w:rsidR="00B06301" w:rsidRPr="00226C03" w14:paraId="4F3CADC0" w14:textId="77777777" w:rsidTr="002D631B">
        <w:tc>
          <w:tcPr>
            <w:tcW w:w="2122" w:type="dxa"/>
          </w:tcPr>
          <w:p w14:paraId="0F70371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5EFDF213" w14:textId="77777777" w:rsidR="00B06301" w:rsidRPr="00226C03" w:rsidRDefault="001F76D0" w:rsidP="002D631B">
            <w:pPr>
              <w:pStyle w:val="NoSpacing"/>
              <w:shd w:val="clear" w:color="auto" w:fill="FFFFFF" w:themeFill="background1"/>
              <w:rPr>
                <w:rFonts w:cstheme="minorHAnsi"/>
              </w:rPr>
            </w:pPr>
            <w:hyperlink r:id="rId158" w:history="1">
              <w:r w:rsidR="00B06301" w:rsidRPr="00226C03">
                <w:rPr>
                  <w:rStyle w:val="Hyperlink"/>
                  <w:rFonts w:cstheme="minorHAnsi"/>
                </w:rPr>
                <w:t>https://www.irt.org.au/location/kemira-at-irt-kanahooka/</w:t>
              </w:r>
            </w:hyperlink>
            <w:r w:rsidR="00B06301" w:rsidRPr="00226C03">
              <w:rPr>
                <w:rFonts w:cstheme="minorHAnsi"/>
              </w:rPr>
              <w:t xml:space="preserve"> </w:t>
            </w:r>
          </w:p>
        </w:tc>
      </w:tr>
      <w:tr w:rsidR="00B06301" w:rsidRPr="00226C03" w14:paraId="4215D957" w14:textId="77777777" w:rsidTr="002D631B">
        <w:tc>
          <w:tcPr>
            <w:tcW w:w="2122" w:type="dxa"/>
          </w:tcPr>
          <w:p w14:paraId="65E2795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3C55C93C" w14:textId="77777777" w:rsidR="00B06301" w:rsidRPr="00226C03" w:rsidRDefault="00B06301" w:rsidP="002D631B">
            <w:pPr>
              <w:pStyle w:val="NoSpacing"/>
              <w:shd w:val="clear" w:color="auto" w:fill="FFFFFF" w:themeFill="background1"/>
              <w:rPr>
                <w:rFonts w:cstheme="minorHAnsi"/>
              </w:rPr>
            </w:pPr>
            <w:r w:rsidRPr="00226C03">
              <w:rPr>
                <w:rFonts w:cstheme="minorHAnsi"/>
              </w:rPr>
              <w:t>Illawarra, New South Wales</w:t>
            </w:r>
          </w:p>
        </w:tc>
      </w:tr>
      <w:tr w:rsidR="00B06301" w:rsidRPr="00226C03" w14:paraId="223519DD" w14:textId="77777777" w:rsidTr="002D631B">
        <w:tc>
          <w:tcPr>
            <w:tcW w:w="2122" w:type="dxa"/>
          </w:tcPr>
          <w:p w14:paraId="5B3FB093"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3565ECAB" w14:textId="77777777" w:rsidR="00B06301" w:rsidRPr="00226C03" w:rsidRDefault="00B06301" w:rsidP="002D631B">
            <w:pPr>
              <w:pStyle w:val="NoSpacing"/>
              <w:shd w:val="clear" w:color="auto" w:fill="FFFFFF" w:themeFill="background1"/>
              <w:rPr>
                <w:rFonts w:cstheme="minorHAnsi"/>
              </w:rPr>
            </w:pPr>
            <w:r w:rsidRPr="00226C03">
              <w:rPr>
                <w:rFonts w:cstheme="minorHAnsi"/>
              </w:rPr>
              <w:t>N/A</w:t>
            </w:r>
          </w:p>
        </w:tc>
      </w:tr>
      <w:tr w:rsidR="00B06301" w:rsidRPr="00226C03" w14:paraId="4057FD5E" w14:textId="77777777" w:rsidTr="002D631B">
        <w:tc>
          <w:tcPr>
            <w:tcW w:w="2122" w:type="dxa"/>
          </w:tcPr>
          <w:p w14:paraId="6A2E0089"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01D76C07" w14:textId="77777777" w:rsidR="00B06301" w:rsidRPr="00226C03" w:rsidRDefault="00B06301" w:rsidP="002D631B">
            <w:pPr>
              <w:pStyle w:val="NoSpacing"/>
              <w:shd w:val="clear" w:color="auto" w:fill="FFFFFF" w:themeFill="background1"/>
              <w:rPr>
                <w:rFonts w:cstheme="minorHAnsi"/>
              </w:rPr>
            </w:pPr>
            <w:r w:rsidRPr="00226C03">
              <w:rPr>
                <w:rFonts w:cstheme="minorHAnsi"/>
              </w:rPr>
              <w:t>Recommended by Prof Patricia O’Brien</w:t>
            </w:r>
          </w:p>
        </w:tc>
      </w:tr>
    </w:tbl>
    <w:p w14:paraId="0A9FDB2B"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07B82BA6" w14:textId="77777777" w:rsidTr="002D631B">
        <w:tc>
          <w:tcPr>
            <w:tcW w:w="9016" w:type="dxa"/>
            <w:gridSpan w:val="2"/>
          </w:tcPr>
          <w:p w14:paraId="31A7A6D6"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53</w:t>
            </w:r>
          </w:p>
        </w:tc>
      </w:tr>
      <w:tr w:rsidR="00B06301" w:rsidRPr="00226C03" w14:paraId="761F7DCB" w14:textId="77777777" w:rsidTr="002D631B">
        <w:tc>
          <w:tcPr>
            <w:tcW w:w="2122" w:type="dxa"/>
          </w:tcPr>
          <w:p w14:paraId="3F6F32DB"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27FED433"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Melbourne Disability Innovation Institute, NDIS Housing Pathways Project</w:t>
            </w:r>
          </w:p>
        </w:tc>
      </w:tr>
      <w:tr w:rsidR="00B06301" w:rsidRPr="00226C03" w14:paraId="54F1FAF0" w14:textId="77777777" w:rsidTr="002D631B">
        <w:tc>
          <w:tcPr>
            <w:tcW w:w="2122" w:type="dxa"/>
          </w:tcPr>
          <w:p w14:paraId="3129C9B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2B2C136D" w14:textId="77777777" w:rsidR="00B06301" w:rsidRPr="00226C03" w:rsidRDefault="00B06301" w:rsidP="002D631B">
            <w:pPr>
              <w:pStyle w:val="NoSpacing"/>
              <w:shd w:val="clear" w:color="auto" w:fill="FFFFFF" w:themeFill="background1"/>
              <w:rPr>
                <w:rFonts w:cstheme="minorHAnsi"/>
              </w:rPr>
            </w:pPr>
            <w:r w:rsidRPr="00226C03">
              <w:rPr>
                <w:rFonts w:cstheme="minorHAnsi"/>
              </w:rPr>
              <w:t>Unknown</w:t>
            </w:r>
          </w:p>
        </w:tc>
      </w:tr>
      <w:tr w:rsidR="00B06301" w:rsidRPr="00226C03" w14:paraId="24583160" w14:textId="77777777" w:rsidTr="002D631B">
        <w:tc>
          <w:tcPr>
            <w:tcW w:w="2122" w:type="dxa"/>
          </w:tcPr>
          <w:p w14:paraId="6234A7D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19170CF1" w14:textId="77777777" w:rsidR="00B06301" w:rsidRPr="00226C03" w:rsidRDefault="001F76D0" w:rsidP="002D631B">
            <w:pPr>
              <w:pStyle w:val="NoSpacing"/>
              <w:shd w:val="clear" w:color="auto" w:fill="FFFFFF" w:themeFill="background1"/>
              <w:rPr>
                <w:rFonts w:cstheme="minorHAnsi"/>
              </w:rPr>
            </w:pPr>
            <w:hyperlink r:id="rId159" w:history="1">
              <w:r w:rsidR="00B06301" w:rsidRPr="00226C03">
                <w:rPr>
                  <w:rStyle w:val="Hyperlink"/>
                  <w:rFonts w:cstheme="minorHAnsi"/>
                </w:rPr>
                <w:t>https://disability.unimelb.edu.au/housing</w:t>
              </w:r>
            </w:hyperlink>
            <w:r w:rsidR="00B06301" w:rsidRPr="00226C03">
              <w:rPr>
                <w:rFonts w:cstheme="minorHAnsi"/>
              </w:rPr>
              <w:t xml:space="preserve"> </w:t>
            </w:r>
          </w:p>
        </w:tc>
      </w:tr>
      <w:tr w:rsidR="00B06301" w:rsidRPr="00226C03" w14:paraId="1F22C080" w14:textId="77777777" w:rsidTr="002D631B">
        <w:tc>
          <w:tcPr>
            <w:tcW w:w="2122" w:type="dxa"/>
          </w:tcPr>
          <w:p w14:paraId="666AEFB6"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2F7B1008" w14:textId="77777777" w:rsidR="00B06301" w:rsidRPr="00226C03" w:rsidRDefault="00B06301" w:rsidP="002D631B">
            <w:pPr>
              <w:pStyle w:val="NoSpacing"/>
              <w:shd w:val="clear" w:color="auto" w:fill="FFFFFF" w:themeFill="background1"/>
              <w:rPr>
                <w:rFonts w:cstheme="minorHAnsi"/>
              </w:rPr>
            </w:pPr>
            <w:r w:rsidRPr="00226C03">
              <w:rPr>
                <w:rFonts w:cstheme="minorHAnsi"/>
              </w:rPr>
              <w:t>Victoria, Australia</w:t>
            </w:r>
          </w:p>
        </w:tc>
      </w:tr>
      <w:tr w:rsidR="00B06301" w:rsidRPr="00226C03" w14:paraId="385BA6E3" w14:textId="77777777" w:rsidTr="002D631B">
        <w:tc>
          <w:tcPr>
            <w:tcW w:w="2122" w:type="dxa"/>
          </w:tcPr>
          <w:p w14:paraId="133FADD1"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0CFBF110" w14:textId="77777777" w:rsidR="00B06301" w:rsidRPr="00226C03" w:rsidRDefault="00B06301" w:rsidP="002D631B">
            <w:pPr>
              <w:pStyle w:val="NoSpacing"/>
              <w:shd w:val="clear" w:color="auto" w:fill="FFFFFF" w:themeFill="background1"/>
              <w:rPr>
                <w:rFonts w:cstheme="minorHAnsi"/>
              </w:rPr>
            </w:pPr>
            <w:r w:rsidRPr="00226C03">
              <w:rPr>
                <w:rFonts w:cstheme="minorHAnsi"/>
              </w:rPr>
              <w:t>Unknown</w:t>
            </w:r>
          </w:p>
        </w:tc>
      </w:tr>
      <w:tr w:rsidR="00B06301" w:rsidRPr="00226C03" w14:paraId="2B41CCAB" w14:textId="77777777" w:rsidTr="002D631B">
        <w:tc>
          <w:tcPr>
            <w:tcW w:w="2122" w:type="dxa"/>
          </w:tcPr>
          <w:p w14:paraId="2F1E3585"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34F80E1A" w14:textId="77777777" w:rsidR="00B06301" w:rsidRPr="00226C03" w:rsidRDefault="00B06301" w:rsidP="002D631B">
            <w:pPr>
              <w:pStyle w:val="NoSpacing"/>
              <w:shd w:val="clear" w:color="auto" w:fill="FFFFFF" w:themeFill="background1"/>
              <w:rPr>
                <w:rFonts w:cstheme="minorHAnsi"/>
              </w:rPr>
            </w:pPr>
            <w:r w:rsidRPr="00226C03">
              <w:rPr>
                <w:rFonts w:cstheme="minorHAnsi"/>
              </w:rPr>
              <w:t>Unknown</w:t>
            </w:r>
          </w:p>
        </w:tc>
      </w:tr>
    </w:tbl>
    <w:p w14:paraId="16559211"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8043"/>
      </w:tblGrid>
      <w:tr w:rsidR="00B06301" w:rsidRPr="00226C03" w14:paraId="58FA66B5" w14:textId="77777777" w:rsidTr="002D631B">
        <w:tc>
          <w:tcPr>
            <w:tcW w:w="8995" w:type="dxa"/>
            <w:gridSpan w:val="2"/>
          </w:tcPr>
          <w:p w14:paraId="6BD156C3"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54</w:t>
            </w:r>
          </w:p>
        </w:tc>
      </w:tr>
      <w:tr w:rsidR="00B06301" w:rsidRPr="00226C03" w14:paraId="016D4482" w14:textId="77777777" w:rsidTr="002D631B">
        <w:tc>
          <w:tcPr>
            <w:tcW w:w="2122" w:type="dxa"/>
          </w:tcPr>
          <w:p w14:paraId="19430EF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73" w:type="dxa"/>
          </w:tcPr>
          <w:p w14:paraId="3CA0D738"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 xml:space="preserve">The Harvard Joint Center for Housing Studies, Disability Housing: What's happening? What's challenging? What's needed? </w:t>
            </w:r>
          </w:p>
        </w:tc>
      </w:tr>
      <w:tr w:rsidR="00B06301" w:rsidRPr="00226C03" w14:paraId="72734504" w14:textId="77777777" w:rsidTr="002D631B">
        <w:tc>
          <w:tcPr>
            <w:tcW w:w="2122" w:type="dxa"/>
          </w:tcPr>
          <w:p w14:paraId="57E9D57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73" w:type="dxa"/>
          </w:tcPr>
          <w:p w14:paraId="40AE1BF4" w14:textId="77777777" w:rsidR="00B06301" w:rsidRPr="00226C03" w:rsidRDefault="00B06301" w:rsidP="002D631B">
            <w:pPr>
              <w:pStyle w:val="NoSpacing"/>
              <w:shd w:val="clear" w:color="auto" w:fill="FFFFFF" w:themeFill="background1"/>
              <w:rPr>
                <w:rFonts w:cstheme="minorHAnsi"/>
              </w:rPr>
            </w:pPr>
            <w:r w:rsidRPr="00226C03">
              <w:rPr>
                <w:rFonts w:cstheme="minorHAnsi"/>
              </w:rPr>
              <w:t>Unknown</w:t>
            </w:r>
          </w:p>
        </w:tc>
      </w:tr>
      <w:tr w:rsidR="00B06301" w:rsidRPr="00226C03" w14:paraId="379EB23B" w14:textId="77777777" w:rsidTr="002D631B">
        <w:tc>
          <w:tcPr>
            <w:tcW w:w="2122" w:type="dxa"/>
          </w:tcPr>
          <w:p w14:paraId="4B2BA170"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73" w:type="dxa"/>
          </w:tcPr>
          <w:p w14:paraId="63DD309C" w14:textId="77777777" w:rsidR="00B06301" w:rsidRPr="00226C03" w:rsidRDefault="001F76D0" w:rsidP="002D631B">
            <w:pPr>
              <w:pStyle w:val="NoSpacing"/>
              <w:shd w:val="clear" w:color="auto" w:fill="FFFFFF" w:themeFill="background1"/>
              <w:rPr>
                <w:rFonts w:cstheme="minorHAnsi"/>
              </w:rPr>
            </w:pPr>
            <w:hyperlink r:id="rId160" w:history="1">
              <w:r w:rsidR="00B06301" w:rsidRPr="00226C03">
                <w:rPr>
                  <w:rStyle w:val="Hyperlink"/>
                  <w:rFonts w:cstheme="minorHAnsi"/>
                </w:rPr>
                <w:t>https://www.jchs.harvard.edu/sites/default/files/connery_disabilityhousing_april2016_v2.pdf</w:t>
              </w:r>
            </w:hyperlink>
            <w:r w:rsidR="00B06301" w:rsidRPr="00226C03">
              <w:rPr>
                <w:rFonts w:cstheme="minorHAnsi"/>
              </w:rPr>
              <w:t xml:space="preserve"> </w:t>
            </w:r>
          </w:p>
        </w:tc>
      </w:tr>
      <w:tr w:rsidR="00B06301" w:rsidRPr="00226C03" w14:paraId="632A2D0B" w14:textId="77777777" w:rsidTr="002D631B">
        <w:tc>
          <w:tcPr>
            <w:tcW w:w="2122" w:type="dxa"/>
          </w:tcPr>
          <w:p w14:paraId="5E2847F1"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73" w:type="dxa"/>
          </w:tcPr>
          <w:p w14:paraId="4A5CBF78" w14:textId="77777777" w:rsidR="00B06301" w:rsidRPr="00226C03" w:rsidRDefault="00B06301" w:rsidP="002D631B">
            <w:pPr>
              <w:pStyle w:val="NoSpacing"/>
              <w:shd w:val="clear" w:color="auto" w:fill="FFFFFF" w:themeFill="background1"/>
              <w:rPr>
                <w:rFonts w:cstheme="minorHAnsi"/>
              </w:rPr>
            </w:pPr>
            <w:r w:rsidRPr="00226C03">
              <w:rPr>
                <w:rFonts w:cstheme="minorHAnsi"/>
              </w:rPr>
              <w:t>USA</w:t>
            </w:r>
          </w:p>
        </w:tc>
      </w:tr>
      <w:tr w:rsidR="00B06301" w:rsidRPr="00226C03" w14:paraId="04446EF4" w14:textId="77777777" w:rsidTr="002D631B">
        <w:tc>
          <w:tcPr>
            <w:tcW w:w="2122" w:type="dxa"/>
          </w:tcPr>
          <w:p w14:paraId="640EDFA7"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73" w:type="dxa"/>
          </w:tcPr>
          <w:p w14:paraId="29A6EFA6"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Unknown </w:t>
            </w:r>
          </w:p>
        </w:tc>
      </w:tr>
      <w:tr w:rsidR="00B06301" w:rsidRPr="00226C03" w14:paraId="5A25A39B" w14:textId="77777777" w:rsidTr="002D631B">
        <w:tc>
          <w:tcPr>
            <w:tcW w:w="2122" w:type="dxa"/>
          </w:tcPr>
          <w:p w14:paraId="50612A3B"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73" w:type="dxa"/>
          </w:tcPr>
          <w:p w14:paraId="3A9DFDFD" w14:textId="77777777" w:rsidR="00B06301" w:rsidRPr="00226C03" w:rsidRDefault="00B06301" w:rsidP="002D631B">
            <w:pPr>
              <w:pStyle w:val="NoSpacing"/>
              <w:shd w:val="clear" w:color="auto" w:fill="FFFFFF" w:themeFill="background1"/>
              <w:rPr>
                <w:rFonts w:cstheme="minorHAnsi"/>
              </w:rPr>
            </w:pPr>
            <w:r w:rsidRPr="00226C03">
              <w:rPr>
                <w:rFonts w:cstheme="minorHAnsi"/>
              </w:rPr>
              <w:t>Unknown</w:t>
            </w:r>
          </w:p>
        </w:tc>
      </w:tr>
    </w:tbl>
    <w:p w14:paraId="71026332" w14:textId="6645D376" w:rsidR="00204587" w:rsidRDefault="00204587" w:rsidP="00B06301">
      <w:pPr>
        <w:shd w:val="clear" w:color="auto" w:fill="FFFFFF" w:themeFill="background1"/>
        <w:rPr>
          <w:rFonts w:cstheme="minorHAnsi"/>
          <w:b/>
          <w:bCs/>
        </w:rPr>
      </w:pPr>
    </w:p>
    <w:p w14:paraId="1FCE4CB5" w14:textId="77777777" w:rsidR="00204587" w:rsidRDefault="00204587">
      <w:pPr>
        <w:rPr>
          <w:rFonts w:cstheme="minorHAnsi"/>
          <w:b/>
          <w:bCs/>
        </w:rPr>
      </w:pPr>
      <w:r>
        <w:rPr>
          <w:rFonts w:cstheme="minorHAnsi"/>
          <w:b/>
          <w:bCs/>
        </w:rPr>
        <w:br w:type="page"/>
      </w:r>
    </w:p>
    <w:p w14:paraId="4006F730" w14:textId="77777777" w:rsidR="00B06301" w:rsidRPr="00226C03" w:rsidRDefault="00B06301" w:rsidP="00B06301">
      <w:pPr>
        <w:shd w:val="clear" w:color="auto" w:fill="FFFFFF" w:themeFill="background1"/>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B06301" w:rsidRPr="00226C03" w14:paraId="57C162B0" w14:textId="77777777" w:rsidTr="002D631B">
        <w:tc>
          <w:tcPr>
            <w:tcW w:w="9016" w:type="dxa"/>
            <w:gridSpan w:val="2"/>
          </w:tcPr>
          <w:p w14:paraId="03A478F8"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b/>
                <w:bCs/>
                <w:color w:val="201F1E"/>
                <w:sz w:val="22"/>
                <w:szCs w:val="22"/>
              </w:rPr>
            </w:pPr>
            <w:r w:rsidRPr="00226C03">
              <w:rPr>
                <w:rFonts w:asciiTheme="minorHAnsi" w:hAnsiTheme="minorHAnsi" w:cstheme="minorHAnsi"/>
                <w:b/>
                <w:bCs/>
                <w:color w:val="201F1E"/>
                <w:sz w:val="22"/>
                <w:szCs w:val="22"/>
              </w:rPr>
              <w:t>55</w:t>
            </w:r>
          </w:p>
        </w:tc>
      </w:tr>
      <w:tr w:rsidR="00B06301" w:rsidRPr="00226C03" w14:paraId="3105A45B" w14:textId="77777777" w:rsidTr="002D631B">
        <w:tc>
          <w:tcPr>
            <w:tcW w:w="2122" w:type="dxa"/>
          </w:tcPr>
          <w:p w14:paraId="30F3D44D"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Organisation Name</w:t>
            </w:r>
          </w:p>
        </w:tc>
        <w:tc>
          <w:tcPr>
            <w:tcW w:w="6894" w:type="dxa"/>
          </w:tcPr>
          <w:p w14:paraId="15246A10" w14:textId="77777777" w:rsidR="00B06301" w:rsidRPr="00226C03" w:rsidRDefault="00B06301" w:rsidP="002D631B">
            <w:pPr>
              <w:pStyle w:val="xmsonormal"/>
              <w:shd w:val="clear" w:color="auto" w:fill="FFFFFF" w:themeFill="background1"/>
              <w:spacing w:before="0" w:beforeAutospacing="0" w:after="0" w:afterAutospacing="0"/>
              <w:textAlignment w:val="baseline"/>
              <w:rPr>
                <w:rFonts w:asciiTheme="minorHAnsi" w:hAnsiTheme="minorHAnsi" w:cstheme="minorHAnsi"/>
                <w:color w:val="201F1E"/>
                <w:sz w:val="22"/>
                <w:szCs w:val="22"/>
              </w:rPr>
            </w:pPr>
            <w:r w:rsidRPr="00226C03">
              <w:rPr>
                <w:rFonts w:asciiTheme="minorHAnsi" w:hAnsiTheme="minorHAnsi" w:cstheme="minorHAnsi"/>
                <w:color w:val="201F1E"/>
                <w:sz w:val="22"/>
                <w:szCs w:val="22"/>
              </w:rPr>
              <w:t xml:space="preserve">Care &amp; Repair, Innovation in home adaptions - a fresh chance </w:t>
            </w:r>
          </w:p>
        </w:tc>
      </w:tr>
      <w:tr w:rsidR="00B06301" w:rsidRPr="00226C03" w14:paraId="31AAFC95" w14:textId="77777777" w:rsidTr="002D631B">
        <w:tc>
          <w:tcPr>
            <w:tcW w:w="2122" w:type="dxa"/>
          </w:tcPr>
          <w:p w14:paraId="407F07E8"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Contact</w:t>
            </w:r>
          </w:p>
        </w:tc>
        <w:tc>
          <w:tcPr>
            <w:tcW w:w="6894" w:type="dxa"/>
          </w:tcPr>
          <w:p w14:paraId="645F28BE" w14:textId="77777777" w:rsidR="00B06301" w:rsidRPr="00226C03" w:rsidRDefault="00B06301" w:rsidP="002D631B">
            <w:pPr>
              <w:pStyle w:val="NoSpacing"/>
              <w:shd w:val="clear" w:color="auto" w:fill="FFFFFF" w:themeFill="background1"/>
              <w:rPr>
                <w:rFonts w:cstheme="minorHAnsi"/>
              </w:rPr>
            </w:pPr>
            <w:r w:rsidRPr="00226C03">
              <w:rPr>
                <w:rFonts w:cstheme="minorHAnsi"/>
              </w:rPr>
              <w:t>Unknown</w:t>
            </w:r>
          </w:p>
        </w:tc>
      </w:tr>
      <w:tr w:rsidR="00B06301" w:rsidRPr="00226C03" w14:paraId="55CC2529" w14:textId="77777777" w:rsidTr="002D631B">
        <w:tc>
          <w:tcPr>
            <w:tcW w:w="2122" w:type="dxa"/>
          </w:tcPr>
          <w:p w14:paraId="07A8A7C4"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Website</w:t>
            </w:r>
          </w:p>
        </w:tc>
        <w:tc>
          <w:tcPr>
            <w:tcW w:w="6894" w:type="dxa"/>
          </w:tcPr>
          <w:p w14:paraId="6C38B030" w14:textId="77777777" w:rsidR="00B06301" w:rsidRPr="00226C03" w:rsidRDefault="001F76D0" w:rsidP="002D631B">
            <w:pPr>
              <w:pStyle w:val="NoSpacing"/>
              <w:shd w:val="clear" w:color="auto" w:fill="FFFFFF" w:themeFill="background1"/>
              <w:rPr>
                <w:rFonts w:cstheme="minorHAnsi"/>
              </w:rPr>
            </w:pPr>
            <w:hyperlink r:id="rId161" w:history="1">
              <w:r w:rsidR="00B06301" w:rsidRPr="00226C03">
                <w:rPr>
                  <w:rStyle w:val="Hyperlink"/>
                  <w:rFonts w:cstheme="minorHAnsi"/>
                </w:rPr>
                <w:t>http://careandrepair-england.org.uk/wp-content/uploads/2014/12/Integration-Briefing-3-final.pdf</w:t>
              </w:r>
            </w:hyperlink>
            <w:r w:rsidR="00B06301" w:rsidRPr="00226C03">
              <w:rPr>
                <w:rFonts w:cstheme="minorHAnsi"/>
              </w:rPr>
              <w:t xml:space="preserve"> </w:t>
            </w:r>
          </w:p>
        </w:tc>
      </w:tr>
      <w:tr w:rsidR="00B06301" w:rsidRPr="00226C03" w14:paraId="5F2D911D" w14:textId="77777777" w:rsidTr="002D631B">
        <w:tc>
          <w:tcPr>
            <w:tcW w:w="2122" w:type="dxa"/>
          </w:tcPr>
          <w:p w14:paraId="13BA7C53"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Location</w:t>
            </w:r>
          </w:p>
        </w:tc>
        <w:tc>
          <w:tcPr>
            <w:tcW w:w="6894" w:type="dxa"/>
          </w:tcPr>
          <w:p w14:paraId="74403B3D" w14:textId="77777777" w:rsidR="00B06301" w:rsidRPr="00226C03" w:rsidRDefault="00B06301" w:rsidP="002D631B">
            <w:pPr>
              <w:pStyle w:val="NoSpacing"/>
              <w:shd w:val="clear" w:color="auto" w:fill="FFFFFF" w:themeFill="background1"/>
              <w:rPr>
                <w:rFonts w:cstheme="minorHAnsi"/>
              </w:rPr>
            </w:pPr>
            <w:r w:rsidRPr="00226C03">
              <w:rPr>
                <w:rFonts w:cstheme="minorHAnsi"/>
              </w:rPr>
              <w:t>United Kingdom</w:t>
            </w:r>
          </w:p>
        </w:tc>
      </w:tr>
      <w:tr w:rsidR="00B06301" w:rsidRPr="00226C03" w14:paraId="2A2DC83A" w14:textId="77777777" w:rsidTr="002D631B">
        <w:tc>
          <w:tcPr>
            <w:tcW w:w="2122" w:type="dxa"/>
          </w:tcPr>
          <w:p w14:paraId="7224EC69"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Brief details</w:t>
            </w:r>
          </w:p>
        </w:tc>
        <w:tc>
          <w:tcPr>
            <w:tcW w:w="6894" w:type="dxa"/>
          </w:tcPr>
          <w:p w14:paraId="0D8E610C" w14:textId="77777777" w:rsidR="00B06301" w:rsidRPr="00226C03" w:rsidRDefault="00B06301" w:rsidP="002D631B">
            <w:pPr>
              <w:pStyle w:val="NoSpacing"/>
              <w:shd w:val="clear" w:color="auto" w:fill="FFFFFF" w:themeFill="background1"/>
              <w:rPr>
                <w:rFonts w:cstheme="minorHAnsi"/>
              </w:rPr>
            </w:pPr>
            <w:r w:rsidRPr="00226C03">
              <w:rPr>
                <w:rFonts w:cstheme="minorHAnsi"/>
              </w:rPr>
              <w:t xml:space="preserve">Unknown </w:t>
            </w:r>
          </w:p>
        </w:tc>
      </w:tr>
      <w:tr w:rsidR="00B06301" w:rsidRPr="00B672B4" w14:paraId="064ABA9B" w14:textId="77777777" w:rsidTr="002D631B">
        <w:tc>
          <w:tcPr>
            <w:tcW w:w="2122" w:type="dxa"/>
          </w:tcPr>
          <w:p w14:paraId="39671BC2" w14:textId="77777777" w:rsidR="00B06301" w:rsidRPr="00226C03" w:rsidRDefault="00B06301" w:rsidP="002D631B">
            <w:pPr>
              <w:pStyle w:val="NoSpacing"/>
              <w:shd w:val="clear" w:color="auto" w:fill="FFFFFF" w:themeFill="background1"/>
              <w:rPr>
                <w:rFonts w:cstheme="minorHAnsi"/>
                <w:b/>
                <w:bCs/>
              </w:rPr>
            </w:pPr>
            <w:r w:rsidRPr="00226C03">
              <w:rPr>
                <w:rFonts w:cstheme="minorHAnsi"/>
                <w:b/>
                <w:bCs/>
              </w:rPr>
              <w:t>Any other notes</w:t>
            </w:r>
          </w:p>
        </w:tc>
        <w:tc>
          <w:tcPr>
            <w:tcW w:w="6894" w:type="dxa"/>
          </w:tcPr>
          <w:p w14:paraId="43A0AE47" w14:textId="77777777" w:rsidR="00B06301" w:rsidRPr="00B672B4" w:rsidRDefault="00B06301" w:rsidP="002D631B">
            <w:pPr>
              <w:pStyle w:val="NoSpacing"/>
              <w:shd w:val="clear" w:color="auto" w:fill="FFFFFF" w:themeFill="background1"/>
              <w:rPr>
                <w:rFonts w:cstheme="minorHAnsi"/>
              </w:rPr>
            </w:pPr>
            <w:r w:rsidRPr="00226C03">
              <w:rPr>
                <w:rFonts w:cstheme="minorHAnsi"/>
              </w:rPr>
              <w:t>Unknown</w:t>
            </w:r>
          </w:p>
        </w:tc>
      </w:tr>
    </w:tbl>
    <w:p w14:paraId="37C91286" w14:textId="477DB147" w:rsidR="00306A6E" w:rsidRDefault="00306A6E" w:rsidP="00B52266">
      <w:pPr>
        <w:spacing w:line="360" w:lineRule="auto"/>
      </w:pPr>
    </w:p>
    <w:p w14:paraId="3C06DCC4" w14:textId="116D136B" w:rsidR="00306A6E" w:rsidRDefault="00306A6E" w:rsidP="00CF618B">
      <w:pPr>
        <w:pStyle w:val="Heading1"/>
      </w:pPr>
      <w:r>
        <w:br w:type="page"/>
      </w:r>
      <w:bookmarkStart w:id="85" w:name="_Toc73535991"/>
      <w:r w:rsidR="00CF618B" w:rsidRPr="00CF618B">
        <w:lastRenderedPageBreak/>
        <w:t xml:space="preserve">Appendix </w:t>
      </w:r>
      <w:r w:rsidR="000F6626">
        <w:t>G</w:t>
      </w:r>
      <w:r w:rsidR="00CF618B" w:rsidRPr="00CF618B">
        <w:t>: Meta-Analysis Report</w:t>
      </w:r>
      <w:bookmarkEnd w:id="85"/>
    </w:p>
    <w:p w14:paraId="7595F944" w14:textId="77777777" w:rsidR="00CF618B" w:rsidRPr="00BA3946" w:rsidRDefault="00CF618B" w:rsidP="00CF618B">
      <w:pPr>
        <w:rPr>
          <w:rFonts w:ascii="Calibri" w:hAnsi="Calibri" w:cs="Calibri"/>
          <w:b/>
          <w:bCs/>
        </w:rPr>
      </w:pPr>
      <w:r w:rsidRPr="00BA3946">
        <w:rPr>
          <w:rFonts w:ascii="Calibri" w:hAnsi="Calibri" w:cs="Calibri"/>
          <w:b/>
          <w:bCs/>
        </w:rPr>
        <w:t>Selection criteria</w:t>
      </w:r>
    </w:p>
    <w:p w14:paraId="1588A469" w14:textId="77777777" w:rsidR="00CF618B" w:rsidRDefault="00CF618B" w:rsidP="00CF618B">
      <w:pPr>
        <w:rPr>
          <w:rFonts w:ascii="Calibri" w:hAnsi="Calibri" w:cs="Calibri"/>
        </w:rPr>
      </w:pPr>
      <w:r>
        <w:rPr>
          <w:rFonts w:ascii="Calibri" w:hAnsi="Calibri" w:cs="Calibri"/>
        </w:rPr>
        <w:t xml:space="preserve">Studies were considered for the meta-analysis if they reported data on secondary outcomes included in the systematic review. Outcomes considered included </w:t>
      </w:r>
      <w:r w:rsidRPr="00BA3946">
        <w:rPr>
          <w:rFonts w:ascii="Calibri" w:hAnsi="Calibri" w:cs="Calibri"/>
        </w:rPr>
        <w:t>Quality of Life (QoL)</w:t>
      </w:r>
      <w:r>
        <w:rPr>
          <w:rFonts w:ascii="Calibri" w:hAnsi="Calibri" w:cs="Calibri"/>
        </w:rPr>
        <w:t xml:space="preserve">, </w:t>
      </w:r>
      <w:r w:rsidRPr="00BA3946">
        <w:rPr>
          <w:rFonts w:ascii="Calibri" w:hAnsi="Calibri" w:cs="Calibri"/>
        </w:rPr>
        <w:t>choice, community integration and maladaptive behaviours</w:t>
      </w:r>
      <w:r>
        <w:rPr>
          <w:rFonts w:ascii="Calibri" w:hAnsi="Calibri" w:cs="Calibri"/>
        </w:rPr>
        <w:t xml:space="preserve">. </w:t>
      </w:r>
      <w:r w:rsidRPr="00BA3946">
        <w:rPr>
          <w:rFonts w:ascii="Calibri" w:hAnsi="Calibri" w:cs="Calibri"/>
        </w:rPr>
        <w:t>Studies were excluded from the meta-analysis if they did not report sufficient information to permit the calculation of effect size (</w:t>
      </w:r>
      <w:r>
        <w:rPr>
          <w:rFonts w:ascii="Calibri" w:hAnsi="Calibri" w:cs="Calibri"/>
        </w:rPr>
        <w:t xml:space="preserve">e.g. </w:t>
      </w:r>
      <w:r w:rsidRPr="00BA3946">
        <w:rPr>
          <w:rFonts w:ascii="Calibri" w:hAnsi="Calibri" w:cs="Calibri"/>
        </w:rPr>
        <w:t>failed to report standard deviation, sample size or had unequal sample sizes</w:t>
      </w:r>
      <w:r>
        <w:rPr>
          <w:rFonts w:ascii="Calibri" w:hAnsi="Calibri" w:cs="Calibri"/>
        </w:rPr>
        <w:t xml:space="preserve"> between baseline and follow-up</w:t>
      </w:r>
      <w:r w:rsidRPr="00BA3946">
        <w:rPr>
          <w:rFonts w:ascii="Calibri" w:hAnsi="Calibri" w:cs="Calibri"/>
        </w:rPr>
        <w:t xml:space="preserve">). Due to the </w:t>
      </w:r>
      <w:r>
        <w:rPr>
          <w:rFonts w:ascii="Calibri" w:hAnsi="Calibri" w:cs="Calibri"/>
        </w:rPr>
        <w:t xml:space="preserve">very heterogeneous nature and </w:t>
      </w:r>
      <w:r w:rsidRPr="00BA3946">
        <w:rPr>
          <w:rFonts w:ascii="Calibri" w:hAnsi="Calibri" w:cs="Calibri"/>
        </w:rPr>
        <w:t xml:space="preserve">lack of consistency between studies only four studies (Cooper &amp; Picton 2000, Lee et al. 2015, Sines 2012, Umansky et al 2003) were included in the meta-analysis </w:t>
      </w:r>
      <w:r>
        <w:rPr>
          <w:rFonts w:ascii="Calibri" w:hAnsi="Calibri" w:cs="Calibri"/>
        </w:rPr>
        <w:t xml:space="preserve">evaluating QoL and </w:t>
      </w:r>
      <w:r w:rsidRPr="00BA3946">
        <w:rPr>
          <w:rFonts w:ascii="Calibri" w:hAnsi="Calibri" w:cs="Calibri"/>
        </w:rPr>
        <w:t xml:space="preserve">a maximum of three studies </w:t>
      </w:r>
      <w:r>
        <w:rPr>
          <w:rFonts w:ascii="Calibri" w:hAnsi="Calibri" w:cs="Calibri"/>
        </w:rPr>
        <w:t xml:space="preserve">were included in the meta-analyses for each of the </w:t>
      </w:r>
      <w:r w:rsidRPr="00BA3946">
        <w:rPr>
          <w:rFonts w:ascii="Calibri" w:hAnsi="Calibri" w:cs="Calibri"/>
        </w:rPr>
        <w:t xml:space="preserve">additional </w:t>
      </w:r>
      <w:r>
        <w:rPr>
          <w:rFonts w:ascii="Calibri" w:hAnsi="Calibri" w:cs="Calibri"/>
        </w:rPr>
        <w:t>outcomes reported above (</w:t>
      </w:r>
      <w:r w:rsidRPr="00BA3946">
        <w:rPr>
          <w:rFonts w:ascii="Calibri" w:hAnsi="Calibri" w:cs="Calibri"/>
        </w:rPr>
        <w:t>choice, community integration and maladaptive behaviours</w:t>
      </w:r>
      <w:r>
        <w:rPr>
          <w:rFonts w:ascii="Calibri" w:hAnsi="Calibri" w:cs="Calibri"/>
        </w:rPr>
        <w:t>)</w:t>
      </w:r>
      <w:r w:rsidRPr="00BA3946">
        <w:rPr>
          <w:rFonts w:ascii="Calibri" w:hAnsi="Calibri" w:cs="Calibri"/>
        </w:rPr>
        <w:t>.</w:t>
      </w:r>
      <w:r>
        <w:rPr>
          <w:rFonts w:ascii="Calibri" w:hAnsi="Calibri" w:cs="Calibri"/>
        </w:rPr>
        <w:t xml:space="preserve">Meta-analyses were completed for two types of transition </w:t>
      </w:r>
    </w:p>
    <w:p w14:paraId="3618099E" w14:textId="77777777" w:rsidR="00CF618B" w:rsidRDefault="00CF618B" w:rsidP="00CF618B">
      <w:pPr>
        <w:pStyle w:val="ListParagraph"/>
        <w:widowControl w:val="0"/>
        <w:numPr>
          <w:ilvl w:val="0"/>
          <w:numId w:val="23"/>
        </w:numPr>
        <w:wordWrap w:val="0"/>
        <w:autoSpaceDE w:val="0"/>
        <w:autoSpaceDN w:val="0"/>
        <w:spacing w:after="160" w:line="259" w:lineRule="auto"/>
        <w:jc w:val="both"/>
        <w:rPr>
          <w:rFonts w:ascii="Calibri" w:hAnsi="Calibri" w:cs="Calibri"/>
        </w:rPr>
      </w:pPr>
      <w:r w:rsidRPr="00BA3946">
        <w:rPr>
          <w:rFonts w:ascii="Calibri" w:hAnsi="Calibri" w:cs="Calibri"/>
        </w:rPr>
        <w:t>institution to community-based supported accommodation</w:t>
      </w:r>
      <w:r>
        <w:rPr>
          <w:rFonts w:ascii="Calibri" w:hAnsi="Calibri" w:cs="Calibri"/>
        </w:rPr>
        <w:t xml:space="preserve"> (refer Tables 1- 2 and Figures 1-2) and </w:t>
      </w:r>
    </w:p>
    <w:p w14:paraId="5335B216" w14:textId="77777777" w:rsidR="00CF618B" w:rsidRPr="00DA4DF4" w:rsidRDefault="00CF618B" w:rsidP="00CF618B">
      <w:pPr>
        <w:pStyle w:val="ListParagraph"/>
        <w:widowControl w:val="0"/>
        <w:numPr>
          <w:ilvl w:val="0"/>
          <w:numId w:val="23"/>
        </w:numPr>
        <w:wordWrap w:val="0"/>
        <w:autoSpaceDE w:val="0"/>
        <w:autoSpaceDN w:val="0"/>
        <w:spacing w:after="160" w:line="259" w:lineRule="auto"/>
        <w:jc w:val="both"/>
        <w:rPr>
          <w:rFonts w:ascii="Calibri" w:hAnsi="Calibri" w:cs="Calibri"/>
        </w:rPr>
      </w:pPr>
      <w:r w:rsidRPr="00DA4DF4">
        <w:rPr>
          <w:rFonts w:ascii="Calibri" w:hAnsi="Calibri" w:cs="Calibri"/>
        </w:rPr>
        <w:t xml:space="preserve">institution to de-congregared setting </w:t>
      </w:r>
      <w:r>
        <w:rPr>
          <w:rFonts w:ascii="Calibri" w:hAnsi="Calibri" w:cs="Calibri"/>
        </w:rPr>
        <w:t>(refer Tables 3-6 and Figures 3-6)</w:t>
      </w:r>
    </w:p>
    <w:p w14:paraId="4DFDDEF7" w14:textId="77777777" w:rsidR="00CF618B" w:rsidRPr="00BA3946" w:rsidRDefault="00CF618B" w:rsidP="00CF618B">
      <w:pPr>
        <w:rPr>
          <w:rFonts w:ascii="Calibri" w:hAnsi="Calibri" w:cs="Calibri"/>
          <w:b/>
          <w:bCs/>
        </w:rPr>
      </w:pPr>
      <w:r w:rsidRPr="00BA3946">
        <w:rPr>
          <w:rFonts w:ascii="Calibri" w:hAnsi="Calibri" w:cs="Calibri"/>
          <w:b/>
          <w:bCs/>
        </w:rPr>
        <w:t>Statistical analysis</w:t>
      </w:r>
    </w:p>
    <w:p w14:paraId="1F5F95EE" w14:textId="77777777" w:rsidR="00CF618B" w:rsidRPr="00BA3946" w:rsidRDefault="00CF618B" w:rsidP="00CF618B">
      <w:pPr>
        <w:rPr>
          <w:rFonts w:ascii="Calibri" w:hAnsi="Calibri" w:cs="Calibri"/>
        </w:rPr>
      </w:pPr>
      <w:r w:rsidRPr="00BA3946">
        <w:rPr>
          <w:rFonts w:ascii="Calibri" w:hAnsi="Calibri" w:cs="Calibri"/>
        </w:rPr>
        <w:t>The meta-analysis was conducted using Comprehensive Meta-Analysis Software Version 3.0. Heterogeneity of studies was quantified by the index of heterogeneity (I</w:t>
      </w:r>
      <w:r w:rsidRPr="00BA3946">
        <w:rPr>
          <w:rFonts w:ascii="Calibri" w:hAnsi="Calibri" w:cs="Calibri"/>
          <w:vertAlign w:val="superscript"/>
        </w:rPr>
        <w:t>2</w:t>
      </w:r>
      <w:r w:rsidRPr="00BA3946">
        <w:rPr>
          <w:rFonts w:ascii="Calibri" w:hAnsi="Calibri" w:cs="Calibri"/>
        </w:rPr>
        <w:t>). A value of I</w:t>
      </w:r>
      <w:r w:rsidRPr="00BA3946">
        <w:rPr>
          <w:rFonts w:ascii="Calibri" w:hAnsi="Calibri" w:cs="Calibri"/>
          <w:vertAlign w:val="superscript"/>
        </w:rPr>
        <w:t xml:space="preserve">2 </w:t>
      </w:r>
      <w:r w:rsidRPr="00BA3946">
        <w:rPr>
          <w:rFonts w:ascii="Calibri" w:hAnsi="Calibri" w:cs="Calibri"/>
        </w:rPr>
        <w:t xml:space="preserve">of 25, 50 and 75% indicates low, medium and high heterogeneity, respectively. The random effects model was applied for pooling the data when heterogeneity was higher than 25% for the overall dataset, else a fixed effects model was used. Standardized mean differences (SMDs) – Hedge’s g was used as the measure of effect size. Potential publication bias was evaluated using funnel plots and Egger’s regression test. A global estimation of r = 0.7 was used as correlation coefficients could not be extracted from the included studies. This correlation coefficient value has previously been recommended as a conservative estimate of the correlation between baseline and post-move scores (Rosenthal R, 1984). </w:t>
      </w:r>
    </w:p>
    <w:p w14:paraId="31078A07" w14:textId="77777777" w:rsidR="00CF618B" w:rsidRPr="000E5640" w:rsidRDefault="00CF618B" w:rsidP="00961495">
      <w:pPr>
        <w:pStyle w:val="ListParagraph"/>
        <w:widowControl w:val="0"/>
        <w:numPr>
          <w:ilvl w:val="0"/>
          <w:numId w:val="22"/>
        </w:numPr>
        <w:wordWrap w:val="0"/>
        <w:autoSpaceDE w:val="0"/>
        <w:autoSpaceDN w:val="0"/>
        <w:spacing w:after="160" w:line="259" w:lineRule="auto"/>
        <w:ind w:left="284"/>
        <w:jc w:val="both"/>
        <w:rPr>
          <w:rFonts w:ascii="Calibri" w:hAnsi="Calibri" w:cs="Calibri"/>
          <w:b/>
          <w:bCs/>
        </w:rPr>
      </w:pPr>
      <w:r>
        <w:rPr>
          <w:rFonts w:ascii="Calibri" w:hAnsi="Calibri" w:cs="Calibri"/>
          <w:b/>
          <w:bCs/>
        </w:rPr>
        <w:t xml:space="preserve">Meta-analysis of </w:t>
      </w:r>
      <w:r w:rsidRPr="000E5640">
        <w:rPr>
          <w:rFonts w:ascii="Calibri" w:hAnsi="Calibri" w:cs="Calibri"/>
          <w:b/>
          <w:bCs/>
        </w:rPr>
        <w:t xml:space="preserve">QoL of adults who </w:t>
      </w:r>
      <w:r>
        <w:rPr>
          <w:rFonts w:ascii="Calibri" w:hAnsi="Calibri" w:cs="Calibri"/>
          <w:b/>
          <w:bCs/>
        </w:rPr>
        <w:t>transitioned</w:t>
      </w:r>
      <w:r w:rsidRPr="000E5640">
        <w:rPr>
          <w:rFonts w:ascii="Calibri" w:hAnsi="Calibri" w:cs="Calibri"/>
          <w:b/>
          <w:bCs/>
        </w:rPr>
        <w:t xml:space="preserve"> from an institution to community-based accommodation</w:t>
      </w:r>
    </w:p>
    <w:p w14:paraId="0946FBB9" w14:textId="77777777" w:rsidR="00CF618B" w:rsidRDefault="00CF618B" w:rsidP="00CF618B">
      <w:pPr>
        <w:rPr>
          <w:rFonts w:ascii="Calibri" w:hAnsi="Calibri" w:cs="Calibri"/>
        </w:rPr>
      </w:pPr>
      <w:r>
        <w:rPr>
          <w:rFonts w:ascii="Calibri" w:hAnsi="Calibri" w:cs="Calibri"/>
        </w:rPr>
        <w:t>F</w:t>
      </w:r>
      <w:r w:rsidRPr="00BA3946">
        <w:rPr>
          <w:rFonts w:ascii="Calibri" w:hAnsi="Calibri" w:cs="Calibri"/>
        </w:rPr>
        <w:t>our studies evaluated QoL of adults who move from institution to community-based accommodation</w:t>
      </w:r>
      <w:r>
        <w:rPr>
          <w:rFonts w:ascii="Calibri" w:hAnsi="Calibri" w:cs="Calibri"/>
        </w:rPr>
        <w:t xml:space="preserve"> and results are reported for 6-month (Table 1 and Figure 1) and 12-month follow-up (Table 2 and Figure 2)</w:t>
      </w:r>
      <w:r w:rsidRPr="00BA3946">
        <w:rPr>
          <w:rFonts w:ascii="Calibri" w:hAnsi="Calibri" w:cs="Calibri"/>
        </w:rPr>
        <w:t xml:space="preserve">. </w:t>
      </w:r>
      <w:r>
        <w:rPr>
          <w:rFonts w:ascii="Calibri" w:hAnsi="Calibri" w:cs="Calibri"/>
        </w:rPr>
        <w:t xml:space="preserve"> H</w:t>
      </w:r>
      <w:r w:rsidRPr="00BA3946">
        <w:rPr>
          <w:rFonts w:ascii="Calibri" w:hAnsi="Calibri" w:cs="Calibri"/>
        </w:rPr>
        <w:t>eterogeneity was high for the overall meta-analysis of QoL (I</w:t>
      </w:r>
      <w:r w:rsidRPr="00BA3946">
        <w:rPr>
          <w:rFonts w:ascii="Calibri" w:hAnsi="Calibri" w:cs="Calibri"/>
          <w:vertAlign w:val="superscript"/>
        </w:rPr>
        <w:t xml:space="preserve">2 </w:t>
      </w:r>
      <w:r w:rsidRPr="00BA3946">
        <w:rPr>
          <w:rFonts w:ascii="Calibri" w:hAnsi="Calibri" w:cs="Calibri"/>
        </w:rPr>
        <w:t>= 96.41%)</w:t>
      </w:r>
      <w:r>
        <w:rPr>
          <w:rFonts w:ascii="Calibri" w:hAnsi="Calibri" w:cs="Calibri"/>
        </w:rPr>
        <w:t xml:space="preserve"> and therefore </w:t>
      </w:r>
      <w:r w:rsidRPr="00BA3946">
        <w:rPr>
          <w:rFonts w:ascii="Calibri" w:hAnsi="Calibri" w:cs="Calibri"/>
        </w:rPr>
        <w:t>the random effects model was applied. The meta-analysis result showed a significant improvement (p = 0.033) and large effect size (g = 0.924</w:t>
      </w:r>
      <w:r>
        <w:rPr>
          <w:rFonts w:ascii="Calibri" w:hAnsi="Calibri" w:cs="Calibri"/>
        </w:rPr>
        <w:t>,</w:t>
      </w:r>
      <w:r w:rsidRPr="00BA3946">
        <w:rPr>
          <w:rFonts w:ascii="Calibri" w:hAnsi="Calibri" w:cs="Calibri"/>
        </w:rPr>
        <w:t xml:space="preserve"> 95% CI 0.074 to 1.773) on overall QoL in adults who transitioned from an institution to community-based accommodation at 6 months follow-up. At 1-year follow-up</w:t>
      </w:r>
      <w:r>
        <w:rPr>
          <w:rFonts w:ascii="Calibri" w:hAnsi="Calibri" w:cs="Calibri"/>
        </w:rPr>
        <w:t xml:space="preserve">, </w:t>
      </w:r>
      <w:r w:rsidRPr="00BA3946">
        <w:rPr>
          <w:rFonts w:ascii="Calibri" w:hAnsi="Calibri" w:cs="Calibri"/>
        </w:rPr>
        <w:t>overall QoL did not differ significantly (p = 0.283, I</w:t>
      </w:r>
      <w:r w:rsidRPr="00BA3946">
        <w:rPr>
          <w:rFonts w:ascii="Calibri" w:hAnsi="Calibri" w:cs="Calibri"/>
          <w:vertAlign w:val="superscript"/>
        </w:rPr>
        <w:t>2</w:t>
      </w:r>
      <w:r w:rsidRPr="00BA3946">
        <w:rPr>
          <w:rFonts w:ascii="Calibri" w:hAnsi="Calibri" w:cs="Calibri"/>
        </w:rPr>
        <w:t xml:space="preserve"> = 98.921, g = 1.659 95% CI -1.369 to 4.687).</w:t>
      </w:r>
    </w:p>
    <w:p w14:paraId="03339F22" w14:textId="77777777" w:rsidR="00CF618B" w:rsidRDefault="00CF618B" w:rsidP="00CF618B">
      <w:pPr>
        <w:rPr>
          <w:rFonts w:ascii="Calibri" w:hAnsi="Calibri" w:cs="Calibri"/>
          <w:b/>
          <w:bCs/>
        </w:rPr>
      </w:pPr>
      <w:r>
        <w:rPr>
          <w:rFonts w:ascii="Calibri" w:hAnsi="Calibri" w:cs="Calibri"/>
          <w:b/>
          <w:bCs/>
        </w:rPr>
        <w:br w:type="page"/>
      </w:r>
    </w:p>
    <w:p w14:paraId="6E6C944B" w14:textId="77777777" w:rsidR="00CF618B" w:rsidRPr="00BA3946" w:rsidRDefault="00CF618B" w:rsidP="00CF618B">
      <w:pPr>
        <w:rPr>
          <w:rFonts w:ascii="Calibri" w:hAnsi="Calibri" w:cs="Calibri"/>
          <w:b/>
          <w:bCs/>
        </w:rPr>
      </w:pPr>
      <w:bookmarkStart w:id="86" w:name="_Hlk65240891"/>
      <w:r w:rsidRPr="00BA3946">
        <w:rPr>
          <w:rFonts w:ascii="Calibri" w:hAnsi="Calibri" w:cs="Calibri"/>
          <w:b/>
          <w:bCs/>
        </w:rPr>
        <w:lastRenderedPageBreak/>
        <w:t xml:space="preserve">Table 1. </w:t>
      </w:r>
      <w:r>
        <w:rPr>
          <w:rFonts w:ascii="Calibri" w:hAnsi="Calibri" w:cs="Calibri"/>
          <w:b/>
          <w:bCs/>
        </w:rPr>
        <w:t xml:space="preserve">Meta-analysis of QoL </w:t>
      </w:r>
      <w:r w:rsidRPr="00BA3946">
        <w:rPr>
          <w:rFonts w:ascii="Calibri" w:hAnsi="Calibri" w:cs="Calibri"/>
          <w:b/>
          <w:bCs/>
        </w:rPr>
        <w:t>of adults who transition</w:t>
      </w:r>
      <w:r>
        <w:rPr>
          <w:rFonts w:ascii="Calibri" w:hAnsi="Calibri" w:cs="Calibri"/>
          <w:b/>
          <w:bCs/>
        </w:rPr>
        <w:t>ed</w:t>
      </w:r>
      <w:r w:rsidRPr="00BA3946">
        <w:rPr>
          <w:rFonts w:ascii="Calibri" w:hAnsi="Calibri" w:cs="Calibri"/>
          <w:b/>
          <w:bCs/>
        </w:rPr>
        <w:t xml:space="preserve"> from institution to community-based accommodation (6-month follow-up)</w:t>
      </w:r>
    </w:p>
    <w:tbl>
      <w:tblPr>
        <w:tblStyle w:val="TableGrid"/>
        <w:tblW w:w="9209" w:type="dxa"/>
        <w:jc w:val="center"/>
        <w:tblLook w:val="04A0" w:firstRow="1" w:lastRow="0" w:firstColumn="1" w:lastColumn="0" w:noHBand="0" w:noVBand="1"/>
      </w:tblPr>
      <w:tblGrid>
        <w:gridCol w:w="1505"/>
        <w:gridCol w:w="3734"/>
        <w:gridCol w:w="993"/>
        <w:gridCol w:w="1418"/>
        <w:gridCol w:w="1559"/>
      </w:tblGrid>
      <w:tr w:rsidR="00CF618B" w:rsidRPr="00BA3946" w14:paraId="5C33BE9D" w14:textId="77777777" w:rsidTr="006C2AA7">
        <w:trPr>
          <w:jc w:val="center"/>
        </w:trPr>
        <w:tc>
          <w:tcPr>
            <w:tcW w:w="0" w:type="auto"/>
          </w:tcPr>
          <w:p w14:paraId="5682033F" w14:textId="77777777" w:rsidR="00CF618B" w:rsidRPr="00BA3946" w:rsidRDefault="00CF618B" w:rsidP="006C2AA7">
            <w:pPr>
              <w:rPr>
                <w:rFonts w:ascii="Calibri" w:hAnsi="Calibri" w:cs="Calibri"/>
                <w:b/>
                <w:bCs/>
              </w:rPr>
            </w:pPr>
            <w:r w:rsidRPr="00BA3946">
              <w:rPr>
                <w:rFonts w:ascii="Calibri" w:hAnsi="Calibri" w:cs="Calibri"/>
                <w:b/>
                <w:bCs/>
              </w:rPr>
              <w:t>Study</w:t>
            </w:r>
          </w:p>
        </w:tc>
        <w:tc>
          <w:tcPr>
            <w:tcW w:w="3734" w:type="dxa"/>
          </w:tcPr>
          <w:p w14:paraId="54C37E59" w14:textId="77777777" w:rsidR="00CF618B" w:rsidRPr="00BA3946" w:rsidRDefault="00CF618B" w:rsidP="006C2AA7">
            <w:pPr>
              <w:rPr>
                <w:rFonts w:ascii="Calibri" w:hAnsi="Calibri" w:cs="Calibri"/>
                <w:b/>
                <w:bCs/>
              </w:rPr>
            </w:pPr>
            <w:r w:rsidRPr="00BA3946">
              <w:rPr>
                <w:rFonts w:ascii="Calibri" w:hAnsi="Calibri" w:cs="Calibri"/>
                <w:b/>
                <w:bCs/>
              </w:rPr>
              <w:t>Outcome</w:t>
            </w:r>
          </w:p>
        </w:tc>
        <w:tc>
          <w:tcPr>
            <w:tcW w:w="993" w:type="dxa"/>
          </w:tcPr>
          <w:p w14:paraId="6AD2FCD6" w14:textId="77777777" w:rsidR="00CF618B" w:rsidRPr="00BA3946" w:rsidRDefault="00CF618B" w:rsidP="006C2AA7">
            <w:pPr>
              <w:rPr>
                <w:rFonts w:ascii="Calibri" w:hAnsi="Calibri" w:cs="Calibri"/>
                <w:b/>
                <w:bCs/>
              </w:rPr>
            </w:pPr>
            <w:r w:rsidRPr="00BA3946">
              <w:rPr>
                <w:rFonts w:ascii="Calibri" w:hAnsi="Calibri" w:cs="Calibri"/>
                <w:b/>
                <w:bCs/>
              </w:rPr>
              <w:t>Sample size</w:t>
            </w:r>
          </w:p>
        </w:tc>
        <w:tc>
          <w:tcPr>
            <w:tcW w:w="1418" w:type="dxa"/>
          </w:tcPr>
          <w:p w14:paraId="3B3A9C26" w14:textId="77777777" w:rsidR="00CF618B" w:rsidRPr="00BA3946" w:rsidRDefault="00CF618B" w:rsidP="006C2AA7">
            <w:pPr>
              <w:rPr>
                <w:rFonts w:ascii="Calibri" w:hAnsi="Calibri" w:cs="Calibri"/>
                <w:b/>
                <w:bCs/>
              </w:rPr>
            </w:pPr>
            <w:r w:rsidRPr="00BA3946">
              <w:rPr>
                <w:rFonts w:ascii="Calibri" w:hAnsi="Calibri" w:cs="Calibri"/>
                <w:b/>
                <w:bCs/>
              </w:rPr>
              <w:t xml:space="preserve">Baseline </w:t>
            </w:r>
          </w:p>
          <w:p w14:paraId="528521C4" w14:textId="77777777" w:rsidR="00CF618B" w:rsidRPr="00BA3946" w:rsidRDefault="00CF618B" w:rsidP="006C2AA7">
            <w:pPr>
              <w:rPr>
                <w:rFonts w:ascii="Calibri" w:hAnsi="Calibri" w:cs="Calibri"/>
                <w:b/>
                <w:bCs/>
              </w:rPr>
            </w:pPr>
            <w:r w:rsidRPr="00BA3946">
              <w:rPr>
                <w:rFonts w:ascii="Calibri" w:hAnsi="Calibri" w:cs="Calibri"/>
                <w:b/>
                <w:bCs/>
              </w:rPr>
              <w:t>Mean (SD)</w:t>
            </w:r>
          </w:p>
        </w:tc>
        <w:tc>
          <w:tcPr>
            <w:tcW w:w="1559" w:type="dxa"/>
          </w:tcPr>
          <w:p w14:paraId="586D2C60" w14:textId="77777777" w:rsidR="00CF618B" w:rsidRPr="00BA3946" w:rsidRDefault="00CF618B" w:rsidP="006C2AA7">
            <w:pPr>
              <w:rPr>
                <w:rFonts w:ascii="Calibri" w:hAnsi="Calibri" w:cs="Calibri"/>
                <w:b/>
                <w:bCs/>
              </w:rPr>
            </w:pPr>
            <w:r w:rsidRPr="00BA3946">
              <w:rPr>
                <w:rFonts w:ascii="Calibri" w:hAnsi="Calibri" w:cs="Calibri"/>
                <w:b/>
                <w:bCs/>
              </w:rPr>
              <w:t>6-month follow-up</w:t>
            </w:r>
          </w:p>
          <w:p w14:paraId="6F4C4659" w14:textId="77777777" w:rsidR="00CF618B" w:rsidRPr="00BA3946" w:rsidRDefault="00CF618B" w:rsidP="006C2AA7">
            <w:pPr>
              <w:rPr>
                <w:rFonts w:ascii="Calibri" w:hAnsi="Calibri" w:cs="Calibri"/>
                <w:b/>
                <w:bCs/>
              </w:rPr>
            </w:pPr>
            <w:r w:rsidRPr="00BA3946">
              <w:rPr>
                <w:rFonts w:ascii="Calibri" w:hAnsi="Calibri" w:cs="Calibri"/>
                <w:b/>
                <w:bCs/>
              </w:rPr>
              <w:t>Mean (SD)</w:t>
            </w:r>
          </w:p>
        </w:tc>
      </w:tr>
      <w:tr w:rsidR="00CF618B" w:rsidRPr="00BA3946" w14:paraId="08563D6D" w14:textId="77777777" w:rsidTr="006C2AA7">
        <w:trPr>
          <w:jc w:val="center"/>
        </w:trPr>
        <w:tc>
          <w:tcPr>
            <w:tcW w:w="0" w:type="auto"/>
          </w:tcPr>
          <w:p w14:paraId="482477A8" w14:textId="77777777" w:rsidR="00CF618B" w:rsidRPr="00BA3946" w:rsidRDefault="00CF618B" w:rsidP="006C2AA7">
            <w:pPr>
              <w:rPr>
                <w:rFonts w:ascii="Calibri" w:hAnsi="Calibri" w:cs="Calibri"/>
              </w:rPr>
            </w:pPr>
            <w:r w:rsidRPr="00BA3946">
              <w:rPr>
                <w:rFonts w:ascii="Calibri" w:hAnsi="Calibri" w:cs="Calibri"/>
              </w:rPr>
              <w:t>Cooper &amp; Picton 2000</w:t>
            </w:r>
          </w:p>
        </w:tc>
        <w:tc>
          <w:tcPr>
            <w:tcW w:w="3734" w:type="dxa"/>
          </w:tcPr>
          <w:p w14:paraId="3A0F5414" w14:textId="77777777" w:rsidR="00CF618B" w:rsidRPr="00BA3946" w:rsidRDefault="00CF618B" w:rsidP="006C2AA7">
            <w:pPr>
              <w:rPr>
                <w:rFonts w:ascii="Calibri" w:hAnsi="Calibri" w:cs="Calibri"/>
              </w:rPr>
            </w:pPr>
            <w:r w:rsidRPr="00BA3946">
              <w:rPr>
                <w:rFonts w:ascii="Calibri" w:hAnsi="Calibri" w:cs="Calibri"/>
              </w:rPr>
              <w:t>QoLQ (1990)</w:t>
            </w:r>
          </w:p>
        </w:tc>
        <w:tc>
          <w:tcPr>
            <w:tcW w:w="993" w:type="dxa"/>
          </w:tcPr>
          <w:p w14:paraId="79195A41" w14:textId="77777777" w:rsidR="00CF618B" w:rsidRPr="00BA3946" w:rsidRDefault="00CF618B" w:rsidP="006C2AA7">
            <w:pPr>
              <w:rPr>
                <w:rFonts w:ascii="Calibri" w:hAnsi="Calibri" w:cs="Calibri"/>
              </w:rPr>
            </w:pPr>
            <w:r w:rsidRPr="00BA3946">
              <w:rPr>
                <w:rFonts w:ascii="Calibri" w:hAnsi="Calibri" w:cs="Calibri"/>
              </w:rPr>
              <w:t>26</w:t>
            </w:r>
          </w:p>
        </w:tc>
        <w:tc>
          <w:tcPr>
            <w:tcW w:w="1418" w:type="dxa"/>
          </w:tcPr>
          <w:p w14:paraId="5CA86B65" w14:textId="77777777" w:rsidR="00CF618B" w:rsidRPr="00BA3946" w:rsidRDefault="00CF618B" w:rsidP="006C2AA7">
            <w:pPr>
              <w:rPr>
                <w:rFonts w:ascii="Calibri" w:hAnsi="Calibri" w:cs="Calibri"/>
              </w:rPr>
            </w:pPr>
            <w:r w:rsidRPr="00BA3946">
              <w:rPr>
                <w:rFonts w:ascii="Calibri" w:hAnsi="Calibri" w:cs="Calibri"/>
              </w:rPr>
              <w:t>1.7 (0.4)</w:t>
            </w:r>
          </w:p>
        </w:tc>
        <w:tc>
          <w:tcPr>
            <w:tcW w:w="1559" w:type="dxa"/>
          </w:tcPr>
          <w:p w14:paraId="442CDE3A" w14:textId="77777777" w:rsidR="00CF618B" w:rsidRPr="00BA3946" w:rsidRDefault="00CF618B" w:rsidP="006C2AA7">
            <w:pPr>
              <w:rPr>
                <w:rFonts w:ascii="Calibri" w:hAnsi="Calibri" w:cs="Calibri"/>
              </w:rPr>
            </w:pPr>
            <w:r w:rsidRPr="00BA3946">
              <w:rPr>
                <w:rFonts w:ascii="Calibri" w:hAnsi="Calibri" w:cs="Calibri"/>
              </w:rPr>
              <w:t>1.9 (0.3)</w:t>
            </w:r>
          </w:p>
        </w:tc>
      </w:tr>
      <w:tr w:rsidR="00CF618B" w:rsidRPr="00BA3946" w14:paraId="51D7E2AF" w14:textId="77777777" w:rsidTr="006C2AA7">
        <w:trPr>
          <w:jc w:val="center"/>
        </w:trPr>
        <w:tc>
          <w:tcPr>
            <w:tcW w:w="0" w:type="auto"/>
          </w:tcPr>
          <w:p w14:paraId="6F7F36B7" w14:textId="77777777" w:rsidR="00CF618B" w:rsidRPr="00BA3946" w:rsidRDefault="00CF618B" w:rsidP="006C2AA7">
            <w:pPr>
              <w:rPr>
                <w:rFonts w:ascii="Calibri" w:hAnsi="Calibri" w:cs="Calibri"/>
              </w:rPr>
            </w:pPr>
            <w:r w:rsidRPr="00BA3946">
              <w:rPr>
                <w:rFonts w:ascii="Calibri" w:hAnsi="Calibri" w:cs="Calibri"/>
              </w:rPr>
              <w:t>Lee et al. 2015</w:t>
            </w:r>
          </w:p>
        </w:tc>
        <w:tc>
          <w:tcPr>
            <w:tcW w:w="3734" w:type="dxa"/>
          </w:tcPr>
          <w:p w14:paraId="7E630C8D" w14:textId="77777777" w:rsidR="00CF618B" w:rsidRPr="00BA3946" w:rsidRDefault="00CF618B" w:rsidP="006C2AA7">
            <w:pPr>
              <w:rPr>
                <w:rFonts w:ascii="Calibri" w:hAnsi="Calibri" w:cs="Calibri"/>
              </w:rPr>
            </w:pPr>
            <w:r w:rsidRPr="00BA3946">
              <w:rPr>
                <w:rFonts w:ascii="Calibri" w:hAnsi="Calibri" w:cs="Calibri"/>
              </w:rPr>
              <w:t>Transformed_WHOQoL_Environment</w:t>
            </w:r>
          </w:p>
        </w:tc>
        <w:tc>
          <w:tcPr>
            <w:tcW w:w="993" w:type="dxa"/>
          </w:tcPr>
          <w:p w14:paraId="38E58A04" w14:textId="77777777" w:rsidR="00CF618B" w:rsidRPr="00BA3946" w:rsidRDefault="00CF618B" w:rsidP="006C2AA7">
            <w:pPr>
              <w:rPr>
                <w:rFonts w:ascii="Calibri" w:hAnsi="Calibri" w:cs="Calibri"/>
              </w:rPr>
            </w:pPr>
            <w:r w:rsidRPr="00BA3946">
              <w:rPr>
                <w:rFonts w:ascii="Calibri" w:hAnsi="Calibri" w:cs="Calibri"/>
              </w:rPr>
              <w:t>70</w:t>
            </w:r>
          </w:p>
        </w:tc>
        <w:tc>
          <w:tcPr>
            <w:tcW w:w="1418" w:type="dxa"/>
          </w:tcPr>
          <w:p w14:paraId="58EC7A9E" w14:textId="77777777" w:rsidR="00CF618B" w:rsidRPr="00BA3946" w:rsidRDefault="00CF618B" w:rsidP="006C2AA7">
            <w:pPr>
              <w:rPr>
                <w:rFonts w:ascii="Calibri" w:hAnsi="Calibri" w:cs="Calibri"/>
              </w:rPr>
            </w:pPr>
            <w:r w:rsidRPr="00BA3946">
              <w:rPr>
                <w:rFonts w:ascii="Calibri" w:hAnsi="Calibri" w:cs="Calibri"/>
              </w:rPr>
              <w:t>59.39 (17.91)</w:t>
            </w:r>
          </w:p>
        </w:tc>
        <w:tc>
          <w:tcPr>
            <w:tcW w:w="1559" w:type="dxa"/>
          </w:tcPr>
          <w:p w14:paraId="0328DDF6" w14:textId="77777777" w:rsidR="00CF618B" w:rsidRPr="00BA3946" w:rsidRDefault="00CF618B" w:rsidP="006C2AA7">
            <w:pPr>
              <w:rPr>
                <w:rFonts w:ascii="Calibri" w:hAnsi="Calibri" w:cs="Calibri"/>
              </w:rPr>
            </w:pPr>
            <w:r w:rsidRPr="00BA3946">
              <w:rPr>
                <w:rFonts w:ascii="Calibri" w:hAnsi="Calibri" w:cs="Calibri"/>
              </w:rPr>
              <w:t>60.25 (16.01)</w:t>
            </w:r>
          </w:p>
        </w:tc>
      </w:tr>
      <w:tr w:rsidR="00CF618B" w:rsidRPr="00BA3946" w14:paraId="0691A6ED" w14:textId="77777777" w:rsidTr="006C2AA7">
        <w:trPr>
          <w:jc w:val="center"/>
        </w:trPr>
        <w:tc>
          <w:tcPr>
            <w:tcW w:w="0" w:type="auto"/>
          </w:tcPr>
          <w:p w14:paraId="622035E1" w14:textId="77777777" w:rsidR="00CF618B" w:rsidRPr="00BA3946" w:rsidRDefault="00CF618B" w:rsidP="006C2AA7">
            <w:pPr>
              <w:rPr>
                <w:rFonts w:ascii="Calibri" w:hAnsi="Calibri" w:cs="Calibri"/>
              </w:rPr>
            </w:pPr>
            <w:r w:rsidRPr="00BA3946">
              <w:rPr>
                <w:rFonts w:ascii="Calibri" w:hAnsi="Calibri" w:cs="Calibri"/>
              </w:rPr>
              <w:t>Lee et al. 2015</w:t>
            </w:r>
          </w:p>
        </w:tc>
        <w:tc>
          <w:tcPr>
            <w:tcW w:w="3734" w:type="dxa"/>
          </w:tcPr>
          <w:p w14:paraId="08BFF593" w14:textId="77777777" w:rsidR="00CF618B" w:rsidRPr="00BA3946" w:rsidRDefault="00CF618B" w:rsidP="006C2AA7">
            <w:pPr>
              <w:rPr>
                <w:rFonts w:ascii="Calibri" w:hAnsi="Calibri" w:cs="Calibri"/>
              </w:rPr>
            </w:pPr>
            <w:r w:rsidRPr="00BA3946">
              <w:rPr>
                <w:rFonts w:ascii="Calibri" w:hAnsi="Calibri" w:cs="Calibri"/>
              </w:rPr>
              <w:t>Transformed_WHOQoL_Physical Wellbeing</w:t>
            </w:r>
          </w:p>
        </w:tc>
        <w:tc>
          <w:tcPr>
            <w:tcW w:w="993" w:type="dxa"/>
          </w:tcPr>
          <w:p w14:paraId="473CAD0B" w14:textId="77777777" w:rsidR="00CF618B" w:rsidRPr="00BA3946" w:rsidRDefault="00CF618B" w:rsidP="006C2AA7">
            <w:pPr>
              <w:rPr>
                <w:rFonts w:ascii="Calibri" w:hAnsi="Calibri" w:cs="Calibri"/>
              </w:rPr>
            </w:pPr>
            <w:r w:rsidRPr="00BA3946">
              <w:rPr>
                <w:rFonts w:ascii="Calibri" w:hAnsi="Calibri" w:cs="Calibri"/>
              </w:rPr>
              <w:t>70</w:t>
            </w:r>
          </w:p>
        </w:tc>
        <w:tc>
          <w:tcPr>
            <w:tcW w:w="1418" w:type="dxa"/>
          </w:tcPr>
          <w:p w14:paraId="7DC75203" w14:textId="77777777" w:rsidR="00CF618B" w:rsidRPr="00BA3946" w:rsidRDefault="00CF618B" w:rsidP="006C2AA7">
            <w:pPr>
              <w:rPr>
                <w:rFonts w:ascii="Calibri" w:hAnsi="Calibri" w:cs="Calibri"/>
              </w:rPr>
            </w:pPr>
            <w:r w:rsidRPr="00BA3946">
              <w:rPr>
                <w:rFonts w:ascii="Calibri" w:hAnsi="Calibri" w:cs="Calibri"/>
              </w:rPr>
              <w:t>61.56 (16.54)</w:t>
            </w:r>
          </w:p>
        </w:tc>
        <w:tc>
          <w:tcPr>
            <w:tcW w:w="1559" w:type="dxa"/>
          </w:tcPr>
          <w:p w14:paraId="62A2472E" w14:textId="77777777" w:rsidR="00CF618B" w:rsidRPr="00BA3946" w:rsidRDefault="00CF618B" w:rsidP="006C2AA7">
            <w:pPr>
              <w:rPr>
                <w:rFonts w:ascii="Calibri" w:hAnsi="Calibri" w:cs="Calibri"/>
              </w:rPr>
            </w:pPr>
            <w:r w:rsidRPr="00BA3946">
              <w:rPr>
                <w:rFonts w:ascii="Calibri" w:hAnsi="Calibri" w:cs="Calibri"/>
              </w:rPr>
              <w:t>60.66 (16.66)</w:t>
            </w:r>
          </w:p>
        </w:tc>
      </w:tr>
      <w:tr w:rsidR="00CF618B" w:rsidRPr="00BA3946" w14:paraId="59D34390" w14:textId="77777777" w:rsidTr="006C2AA7">
        <w:trPr>
          <w:jc w:val="center"/>
        </w:trPr>
        <w:tc>
          <w:tcPr>
            <w:tcW w:w="0" w:type="auto"/>
          </w:tcPr>
          <w:p w14:paraId="1CBD8534" w14:textId="77777777" w:rsidR="00CF618B" w:rsidRPr="00BA3946" w:rsidRDefault="00CF618B" w:rsidP="006C2AA7">
            <w:pPr>
              <w:rPr>
                <w:rFonts w:ascii="Calibri" w:hAnsi="Calibri" w:cs="Calibri"/>
              </w:rPr>
            </w:pPr>
            <w:r w:rsidRPr="00BA3946">
              <w:rPr>
                <w:rFonts w:ascii="Calibri" w:hAnsi="Calibri" w:cs="Calibri"/>
              </w:rPr>
              <w:t>Lee et al. 2015</w:t>
            </w:r>
          </w:p>
        </w:tc>
        <w:tc>
          <w:tcPr>
            <w:tcW w:w="3734" w:type="dxa"/>
          </w:tcPr>
          <w:p w14:paraId="2DABCAB9" w14:textId="77777777" w:rsidR="00CF618B" w:rsidRPr="00BA3946" w:rsidRDefault="00CF618B" w:rsidP="006C2AA7">
            <w:pPr>
              <w:rPr>
                <w:rFonts w:ascii="Calibri" w:hAnsi="Calibri" w:cs="Calibri"/>
              </w:rPr>
            </w:pPr>
            <w:r w:rsidRPr="00BA3946">
              <w:rPr>
                <w:rFonts w:ascii="Calibri" w:hAnsi="Calibri" w:cs="Calibri"/>
              </w:rPr>
              <w:t>Transformed_WHOQoL_Psychological Wellbeing</w:t>
            </w:r>
          </w:p>
        </w:tc>
        <w:tc>
          <w:tcPr>
            <w:tcW w:w="993" w:type="dxa"/>
          </w:tcPr>
          <w:p w14:paraId="328CE2D7" w14:textId="77777777" w:rsidR="00CF618B" w:rsidRPr="00BA3946" w:rsidRDefault="00CF618B" w:rsidP="006C2AA7">
            <w:pPr>
              <w:rPr>
                <w:rFonts w:ascii="Calibri" w:hAnsi="Calibri" w:cs="Calibri"/>
              </w:rPr>
            </w:pPr>
            <w:r w:rsidRPr="00BA3946">
              <w:rPr>
                <w:rFonts w:ascii="Calibri" w:hAnsi="Calibri" w:cs="Calibri"/>
              </w:rPr>
              <w:t>70</w:t>
            </w:r>
          </w:p>
        </w:tc>
        <w:tc>
          <w:tcPr>
            <w:tcW w:w="1418" w:type="dxa"/>
          </w:tcPr>
          <w:p w14:paraId="61E71E75" w14:textId="77777777" w:rsidR="00CF618B" w:rsidRPr="00BA3946" w:rsidRDefault="00CF618B" w:rsidP="006C2AA7">
            <w:pPr>
              <w:rPr>
                <w:rFonts w:ascii="Calibri" w:hAnsi="Calibri" w:cs="Calibri"/>
              </w:rPr>
            </w:pPr>
            <w:r w:rsidRPr="00BA3946">
              <w:rPr>
                <w:rFonts w:ascii="Calibri" w:hAnsi="Calibri" w:cs="Calibri"/>
              </w:rPr>
              <w:t>54.33 (22.89)</w:t>
            </w:r>
          </w:p>
        </w:tc>
        <w:tc>
          <w:tcPr>
            <w:tcW w:w="1559" w:type="dxa"/>
          </w:tcPr>
          <w:p w14:paraId="7A884BDC" w14:textId="77777777" w:rsidR="00CF618B" w:rsidRPr="00BA3946" w:rsidRDefault="00CF618B" w:rsidP="006C2AA7">
            <w:pPr>
              <w:rPr>
                <w:rFonts w:ascii="Calibri" w:hAnsi="Calibri" w:cs="Calibri"/>
              </w:rPr>
            </w:pPr>
            <w:r w:rsidRPr="00BA3946">
              <w:rPr>
                <w:rFonts w:ascii="Calibri" w:hAnsi="Calibri" w:cs="Calibri"/>
              </w:rPr>
              <w:t>56.02 (19.68)</w:t>
            </w:r>
          </w:p>
        </w:tc>
      </w:tr>
      <w:tr w:rsidR="00CF618B" w:rsidRPr="00BA3946" w14:paraId="49B846EB" w14:textId="77777777" w:rsidTr="006C2AA7">
        <w:trPr>
          <w:jc w:val="center"/>
        </w:trPr>
        <w:tc>
          <w:tcPr>
            <w:tcW w:w="0" w:type="auto"/>
          </w:tcPr>
          <w:p w14:paraId="18D3C2E8" w14:textId="77777777" w:rsidR="00CF618B" w:rsidRPr="00BA3946" w:rsidRDefault="00CF618B" w:rsidP="006C2AA7">
            <w:pPr>
              <w:rPr>
                <w:rFonts w:ascii="Calibri" w:hAnsi="Calibri" w:cs="Calibri"/>
              </w:rPr>
            </w:pPr>
            <w:r w:rsidRPr="00BA3946">
              <w:rPr>
                <w:rFonts w:ascii="Calibri" w:hAnsi="Calibri" w:cs="Calibri"/>
              </w:rPr>
              <w:t>Lee et al. 2015</w:t>
            </w:r>
          </w:p>
        </w:tc>
        <w:tc>
          <w:tcPr>
            <w:tcW w:w="3734" w:type="dxa"/>
          </w:tcPr>
          <w:p w14:paraId="0EE8FEB9" w14:textId="77777777" w:rsidR="00CF618B" w:rsidRPr="00BA3946" w:rsidRDefault="00CF618B" w:rsidP="006C2AA7">
            <w:pPr>
              <w:rPr>
                <w:rFonts w:ascii="Calibri" w:hAnsi="Calibri" w:cs="Calibri"/>
              </w:rPr>
            </w:pPr>
            <w:r w:rsidRPr="00BA3946">
              <w:rPr>
                <w:rFonts w:ascii="Calibri" w:hAnsi="Calibri" w:cs="Calibri"/>
              </w:rPr>
              <w:t>Transformed_WHOQoL_Social Relations</w:t>
            </w:r>
          </w:p>
        </w:tc>
        <w:tc>
          <w:tcPr>
            <w:tcW w:w="993" w:type="dxa"/>
          </w:tcPr>
          <w:p w14:paraId="1B80BAC7" w14:textId="77777777" w:rsidR="00CF618B" w:rsidRPr="00BA3946" w:rsidRDefault="00CF618B" w:rsidP="006C2AA7">
            <w:pPr>
              <w:rPr>
                <w:rFonts w:ascii="Calibri" w:hAnsi="Calibri" w:cs="Calibri"/>
              </w:rPr>
            </w:pPr>
            <w:r w:rsidRPr="00BA3946">
              <w:rPr>
                <w:rFonts w:ascii="Calibri" w:hAnsi="Calibri" w:cs="Calibri"/>
              </w:rPr>
              <w:t>70</w:t>
            </w:r>
          </w:p>
        </w:tc>
        <w:tc>
          <w:tcPr>
            <w:tcW w:w="1418" w:type="dxa"/>
          </w:tcPr>
          <w:p w14:paraId="348A2748" w14:textId="77777777" w:rsidR="00CF618B" w:rsidRPr="00BA3946" w:rsidRDefault="00CF618B" w:rsidP="006C2AA7">
            <w:pPr>
              <w:rPr>
                <w:rFonts w:ascii="Calibri" w:hAnsi="Calibri" w:cs="Calibri"/>
              </w:rPr>
            </w:pPr>
            <w:r w:rsidRPr="00BA3946">
              <w:rPr>
                <w:rFonts w:ascii="Calibri" w:hAnsi="Calibri" w:cs="Calibri"/>
              </w:rPr>
              <w:t>56.07 (16.36)</w:t>
            </w:r>
          </w:p>
        </w:tc>
        <w:tc>
          <w:tcPr>
            <w:tcW w:w="1559" w:type="dxa"/>
          </w:tcPr>
          <w:p w14:paraId="3311B778" w14:textId="77777777" w:rsidR="00CF618B" w:rsidRPr="00BA3946" w:rsidRDefault="00CF618B" w:rsidP="006C2AA7">
            <w:pPr>
              <w:rPr>
                <w:rFonts w:ascii="Calibri" w:hAnsi="Calibri" w:cs="Calibri"/>
              </w:rPr>
            </w:pPr>
            <w:r w:rsidRPr="00BA3946">
              <w:rPr>
                <w:rFonts w:ascii="Calibri" w:hAnsi="Calibri" w:cs="Calibri"/>
              </w:rPr>
              <w:t>58.41 (16.91)</w:t>
            </w:r>
          </w:p>
        </w:tc>
      </w:tr>
      <w:tr w:rsidR="00CF618B" w:rsidRPr="00BA3946" w14:paraId="4E8CBF78" w14:textId="77777777" w:rsidTr="006C2AA7">
        <w:trPr>
          <w:jc w:val="center"/>
        </w:trPr>
        <w:tc>
          <w:tcPr>
            <w:tcW w:w="0" w:type="auto"/>
          </w:tcPr>
          <w:p w14:paraId="3D85746C" w14:textId="77777777" w:rsidR="00CF618B" w:rsidRPr="00BA3946" w:rsidRDefault="00CF618B" w:rsidP="006C2AA7">
            <w:pPr>
              <w:rPr>
                <w:rFonts w:ascii="Calibri" w:hAnsi="Calibri" w:cs="Calibri"/>
              </w:rPr>
            </w:pPr>
            <w:r w:rsidRPr="00BA3946">
              <w:rPr>
                <w:rFonts w:ascii="Calibri" w:hAnsi="Calibri" w:cs="Calibri"/>
              </w:rPr>
              <w:t>Sines 2012</w:t>
            </w:r>
          </w:p>
        </w:tc>
        <w:tc>
          <w:tcPr>
            <w:tcW w:w="3734" w:type="dxa"/>
          </w:tcPr>
          <w:p w14:paraId="43D01EE9" w14:textId="77777777" w:rsidR="00CF618B" w:rsidRPr="00BA3946" w:rsidRDefault="00CF618B" w:rsidP="006C2AA7">
            <w:pPr>
              <w:rPr>
                <w:rFonts w:ascii="Calibri" w:hAnsi="Calibri" w:cs="Calibri"/>
              </w:rPr>
            </w:pPr>
            <w:r w:rsidRPr="00BA3946">
              <w:rPr>
                <w:rFonts w:ascii="Calibri" w:hAnsi="Calibri" w:cs="Calibri"/>
              </w:rPr>
              <w:t>Mixed QoL Questions</w:t>
            </w:r>
          </w:p>
        </w:tc>
        <w:tc>
          <w:tcPr>
            <w:tcW w:w="993" w:type="dxa"/>
          </w:tcPr>
          <w:p w14:paraId="223EBC05" w14:textId="77777777" w:rsidR="00CF618B" w:rsidRPr="00BA3946" w:rsidRDefault="00CF618B" w:rsidP="006C2AA7">
            <w:pPr>
              <w:rPr>
                <w:rFonts w:ascii="Calibri" w:hAnsi="Calibri" w:cs="Calibri"/>
              </w:rPr>
            </w:pPr>
            <w:r w:rsidRPr="00BA3946">
              <w:rPr>
                <w:rFonts w:ascii="Calibri" w:hAnsi="Calibri" w:cs="Calibri"/>
              </w:rPr>
              <w:t>39</w:t>
            </w:r>
          </w:p>
        </w:tc>
        <w:tc>
          <w:tcPr>
            <w:tcW w:w="1418" w:type="dxa"/>
          </w:tcPr>
          <w:p w14:paraId="5BBFCA75" w14:textId="77777777" w:rsidR="00CF618B" w:rsidRPr="00BA3946" w:rsidRDefault="00CF618B" w:rsidP="006C2AA7">
            <w:pPr>
              <w:rPr>
                <w:rFonts w:ascii="Calibri" w:hAnsi="Calibri" w:cs="Calibri"/>
              </w:rPr>
            </w:pPr>
            <w:r w:rsidRPr="00BA3946">
              <w:rPr>
                <w:rFonts w:ascii="Calibri" w:hAnsi="Calibri" w:cs="Calibri"/>
              </w:rPr>
              <w:t>106.28 (25.02)</w:t>
            </w:r>
          </w:p>
        </w:tc>
        <w:tc>
          <w:tcPr>
            <w:tcW w:w="1559" w:type="dxa"/>
          </w:tcPr>
          <w:p w14:paraId="67C6BEA5" w14:textId="77777777" w:rsidR="00CF618B" w:rsidRPr="00BA3946" w:rsidRDefault="00CF618B" w:rsidP="006C2AA7">
            <w:pPr>
              <w:rPr>
                <w:rFonts w:ascii="Calibri" w:hAnsi="Calibri" w:cs="Calibri"/>
              </w:rPr>
            </w:pPr>
            <w:r w:rsidRPr="00BA3946">
              <w:rPr>
                <w:rFonts w:ascii="Calibri" w:hAnsi="Calibri" w:cs="Calibri"/>
              </w:rPr>
              <w:t>192.26 (40.96)</w:t>
            </w:r>
          </w:p>
        </w:tc>
      </w:tr>
      <w:tr w:rsidR="00CF618B" w:rsidRPr="00BA3946" w14:paraId="2F2E1A78" w14:textId="77777777" w:rsidTr="006C2AA7">
        <w:trPr>
          <w:jc w:val="center"/>
        </w:trPr>
        <w:tc>
          <w:tcPr>
            <w:tcW w:w="0" w:type="auto"/>
          </w:tcPr>
          <w:p w14:paraId="089A3E48" w14:textId="77777777" w:rsidR="00CF618B" w:rsidRPr="00BA3946" w:rsidRDefault="00CF618B" w:rsidP="006C2AA7">
            <w:pPr>
              <w:rPr>
                <w:rFonts w:ascii="Calibri" w:hAnsi="Calibri" w:cs="Calibri"/>
              </w:rPr>
            </w:pPr>
            <w:r w:rsidRPr="00BA3946">
              <w:rPr>
                <w:rFonts w:ascii="Calibri" w:hAnsi="Calibri" w:cs="Calibri"/>
              </w:rPr>
              <w:t>Umansky et al 2003</w:t>
            </w:r>
          </w:p>
        </w:tc>
        <w:tc>
          <w:tcPr>
            <w:tcW w:w="3734" w:type="dxa"/>
          </w:tcPr>
          <w:p w14:paraId="205401E9" w14:textId="77777777" w:rsidR="00CF618B" w:rsidRPr="00BA3946" w:rsidRDefault="00CF618B" w:rsidP="006C2AA7">
            <w:pPr>
              <w:rPr>
                <w:rFonts w:ascii="Calibri" w:hAnsi="Calibri" w:cs="Calibri"/>
              </w:rPr>
            </w:pPr>
            <w:r w:rsidRPr="00BA3946">
              <w:rPr>
                <w:rFonts w:ascii="Calibri" w:hAnsi="Calibri" w:cs="Calibri"/>
              </w:rPr>
              <w:t>WHOQoL_Physical Wellbeing</w:t>
            </w:r>
          </w:p>
        </w:tc>
        <w:tc>
          <w:tcPr>
            <w:tcW w:w="993" w:type="dxa"/>
          </w:tcPr>
          <w:p w14:paraId="51DA127F" w14:textId="77777777" w:rsidR="00CF618B" w:rsidRPr="00BA3946" w:rsidRDefault="00CF618B" w:rsidP="006C2AA7">
            <w:pPr>
              <w:rPr>
                <w:rFonts w:ascii="Calibri" w:hAnsi="Calibri" w:cs="Calibri"/>
              </w:rPr>
            </w:pPr>
            <w:r w:rsidRPr="00BA3946">
              <w:rPr>
                <w:rFonts w:ascii="Calibri" w:hAnsi="Calibri" w:cs="Calibri"/>
              </w:rPr>
              <w:t>16</w:t>
            </w:r>
          </w:p>
        </w:tc>
        <w:tc>
          <w:tcPr>
            <w:tcW w:w="1418" w:type="dxa"/>
          </w:tcPr>
          <w:p w14:paraId="36047D96" w14:textId="77777777" w:rsidR="00CF618B" w:rsidRPr="00BA3946" w:rsidRDefault="00CF618B" w:rsidP="006C2AA7">
            <w:pPr>
              <w:rPr>
                <w:rFonts w:ascii="Calibri" w:hAnsi="Calibri" w:cs="Calibri"/>
              </w:rPr>
            </w:pPr>
            <w:r w:rsidRPr="00BA3946">
              <w:rPr>
                <w:rFonts w:ascii="Calibri" w:hAnsi="Calibri" w:cs="Calibri"/>
              </w:rPr>
              <w:t>14.97 (2.45)</w:t>
            </w:r>
          </w:p>
        </w:tc>
        <w:tc>
          <w:tcPr>
            <w:tcW w:w="1559" w:type="dxa"/>
          </w:tcPr>
          <w:p w14:paraId="6552A919" w14:textId="77777777" w:rsidR="00CF618B" w:rsidRPr="00BA3946" w:rsidRDefault="00CF618B" w:rsidP="006C2AA7">
            <w:pPr>
              <w:rPr>
                <w:rFonts w:ascii="Calibri" w:hAnsi="Calibri" w:cs="Calibri"/>
              </w:rPr>
            </w:pPr>
            <w:r w:rsidRPr="00BA3946">
              <w:rPr>
                <w:rFonts w:ascii="Calibri" w:hAnsi="Calibri" w:cs="Calibri"/>
              </w:rPr>
              <w:t>16.89 (2.52)</w:t>
            </w:r>
          </w:p>
        </w:tc>
      </w:tr>
      <w:tr w:rsidR="00CF618B" w:rsidRPr="00BA3946" w14:paraId="5293E74F" w14:textId="77777777" w:rsidTr="006C2AA7">
        <w:trPr>
          <w:jc w:val="center"/>
        </w:trPr>
        <w:tc>
          <w:tcPr>
            <w:tcW w:w="0" w:type="auto"/>
          </w:tcPr>
          <w:p w14:paraId="16BA4723" w14:textId="77777777" w:rsidR="00CF618B" w:rsidRPr="00BA3946" w:rsidRDefault="00CF618B" w:rsidP="006C2AA7">
            <w:pPr>
              <w:rPr>
                <w:rFonts w:ascii="Calibri" w:hAnsi="Calibri" w:cs="Calibri"/>
              </w:rPr>
            </w:pPr>
            <w:r w:rsidRPr="00BA3946">
              <w:rPr>
                <w:rFonts w:ascii="Calibri" w:hAnsi="Calibri" w:cs="Calibri"/>
              </w:rPr>
              <w:t>Umansky et al 2003</w:t>
            </w:r>
          </w:p>
        </w:tc>
        <w:tc>
          <w:tcPr>
            <w:tcW w:w="3734" w:type="dxa"/>
          </w:tcPr>
          <w:p w14:paraId="0347BF84" w14:textId="77777777" w:rsidR="00CF618B" w:rsidRPr="00BA3946" w:rsidRDefault="00CF618B" w:rsidP="006C2AA7">
            <w:pPr>
              <w:rPr>
                <w:rFonts w:ascii="Calibri" w:hAnsi="Calibri" w:cs="Calibri"/>
              </w:rPr>
            </w:pPr>
            <w:r w:rsidRPr="00BA3946">
              <w:rPr>
                <w:rFonts w:ascii="Calibri" w:hAnsi="Calibri" w:cs="Calibri"/>
              </w:rPr>
              <w:t>WHOQoL_Psychological Wellbeing</w:t>
            </w:r>
          </w:p>
        </w:tc>
        <w:tc>
          <w:tcPr>
            <w:tcW w:w="993" w:type="dxa"/>
          </w:tcPr>
          <w:p w14:paraId="728AEE76" w14:textId="77777777" w:rsidR="00CF618B" w:rsidRPr="00BA3946" w:rsidRDefault="00CF618B" w:rsidP="006C2AA7">
            <w:pPr>
              <w:rPr>
                <w:rFonts w:ascii="Calibri" w:hAnsi="Calibri" w:cs="Calibri"/>
              </w:rPr>
            </w:pPr>
            <w:r w:rsidRPr="00BA3946">
              <w:rPr>
                <w:rFonts w:ascii="Calibri" w:hAnsi="Calibri" w:cs="Calibri"/>
              </w:rPr>
              <w:t>16</w:t>
            </w:r>
          </w:p>
        </w:tc>
        <w:tc>
          <w:tcPr>
            <w:tcW w:w="1418" w:type="dxa"/>
          </w:tcPr>
          <w:p w14:paraId="56EB17F5" w14:textId="77777777" w:rsidR="00CF618B" w:rsidRPr="00BA3946" w:rsidRDefault="00CF618B" w:rsidP="006C2AA7">
            <w:pPr>
              <w:rPr>
                <w:rFonts w:ascii="Calibri" w:hAnsi="Calibri" w:cs="Calibri"/>
              </w:rPr>
            </w:pPr>
            <w:r w:rsidRPr="00BA3946">
              <w:rPr>
                <w:rFonts w:ascii="Calibri" w:hAnsi="Calibri" w:cs="Calibri"/>
              </w:rPr>
              <w:t>12.49 (2.93)</w:t>
            </w:r>
          </w:p>
        </w:tc>
        <w:tc>
          <w:tcPr>
            <w:tcW w:w="1559" w:type="dxa"/>
          </w:tcPr>
          <w:p w14:paraId="140302ED" w14:textId="77777777" w:rsidR="00CF618B" w:rsidRPr="00BA3946" w:rsidRDefault="00CF618B" w:rsidP="006C2AA7">
            <w:pPr>
              <w:rPr>
                <w:rFonts w:ascii="Calibri" w:hAnsi="Calibri" w:cs="Calibri"/>
              </w:rPr>
            </w:pPr>
            <w:r w:rsidRPr="00BA3946">
              <w:rPr>
                <w:rFonts w:ascii="Calibri" w:hAnsi="Calibri" w:cs="Calibri"/>
              </w:rPr>
              <w:t>14.38 (3.63)</w:t>
            </w:r>
          </w:p>
        </w:tc>
      </w:tr>
      <w:tr w:rsidR="00CF618B" w:rsidRPr="00BA3946" w14:paraId="2617A455" w14:textId="77777777" w:rsidTr="006C2AA7">
        <w:trPr>
          <w:jc w:val="center"/>
        </w:trPr>
        <w:tc>
          <w:tcPr>
            <w:tcW w:w="0" w:type="auto"/>
          </w:tcPr>
          <w:p w14:paraId="0F1D97CC" w14:textId="77777777" w:rsidR="00CF618B" w:rsidRPr="00BA3946" w:rsidRDefault="00CF618B" w:rsidP="006C2AA7">
            <w:pPr>
              <w:rPr>
                <w:rFonts w:ascii="Calibri" w:hAnsi="Calibri" w:cs="Calibri"/>
              </w:rPr>
            </w:pPr>
            <w:r w:rsidRPr="00BA3946">
              <w:rPr>
                <w:rFonts w:ascii="Calibri" w:hAnsi="Calibri" w:cs="Calibri"/>
              </w:rPr>
              <w:t>Umansky et al 2003</w:t>
            </w:r>
          </w:p>
        </w:tc>
        <w:tc>
          <w:tcPr>
            <w:tcW w:w="3734" w:type="dxa"/>
          </w:tcPr>
          <w:p w14:paraId="7D551544" w14:textId="77777777" w:rsidR="00CF618B" w:rsidRPr="00BA3946" w:rsidRDefault="00CF618B" w:rsidP="006C2AA7">
            <w:pPr>
              <w:rPr>
                <w:rFonts w:ascii="Calibri" w:hAnsi="Calibri" w:cs="Calibri"/>
              </w:rPr>
            </w:pPr>
            <w:r w:rsidRPr="00BA3946">
              <w:rPr>
                <w:rFonts w:ascii="Calibri" w:hAnsi="Calibri" w:cs="Calibri"/>
              </w:rPr>
              <w:t>WHOQoL_Social Relations</w:t>
            </w:r>
          </w:p>
        </w:tc>
        <w:tc>
          <w:tcPr>
            <w:tcW w:w="993" w:type="dxa"/>
          </w:tcPr>
          <w:p w14:paraId="441DDFB1" w14:textId="77777777" w:rsidR="00CF618B" w:rsidRPr="00BA3946" w:rsidRDefault="00CF618B" w:rsidP="006C2AA7">
            <w:pPr>
              <w:rPr>
                <w:rFonts w:ascii="Calibri" w:hAnsi="Calibri" w:cs="Calibri"/>
              </w:rPr>
            </w:pPr>
            <w:r w:rsidRPr="00BA3946">
              <w:rPr>
                <w:rFonts w:ascii="Calibri" w:hAnsi="Calibri" w:cs="Calibri"/>
              </w:rPr>
              <w:t>16</w:t>
            </w:r>
          </w:p>
        </w:tc>
        <w:tc>
          <w:tcPr>
            <w:tcW w:w="1418" w:type="dxa"/>
          </w:tcPr>
          <w:p w14:paraId="491B6B3B" w14:textId="77777777" w:rsidR="00CF618B" w:rsidRPr="00BA3946" w:rsidRDefault="00CF618B" w:rsidP="006C2AA7">
            <w:pPr>
              <w:rPr>
                <w:rFonts w:ascii="Calibri" w:hAnsi="Calibri" w:cs="Calibri"/>
              </w:rPr>
            </w:pPr>
            <w:r w:rsidRPr="00BA3946">
              <w:rPr>
                <w:rFonts w:ascii="Calibri" w:hAnsi="Calibri" w:cs="Calibri"/>
              </w:rPr>
              <w:t>11.21 (4.27)</w:t>
            </w:r>
          </w:p>
        </w:tc>
        <w:tc>
          <w:tcPr>
            <w:tcW w:w="1559" w:type="dxa"/>
          </w:tcPr>
          <w:p w14:paraId="3BED9FC9" w14:textId="77777777" w:rsidR="00CF618B" w:rsidRPr="00BA3946" w:rsidRDefault="00CF618B" w:rsidP="006C2AA7">
            <w:pPr>
              <w:rPr>
                <w:rFonts w:ascii="Calibri" w:hAnsi="Calibri" w:cs="Calibri"/>
              </w:rPr>
            </w:pPr>
            <w:r w:rsidRPr="00BA3946">
              <w:rPr>
                <w:rFonts w:ascii="Calibri" w:hAnsi="Calibri" w:cs="Calibri"/>
              </w:rPr>
              <w:t>14.46 (3.08)</w:t>
            </w:r>
          </w:p>
        </w:tc>
      </w:tr>
      <w:tr w:rsidR="00CF618B" w:rsidRPr="00BA3946" w14:paraId="10322A54" w14:textId="77777777" w:rsidTr="006C2AA7">
        <w:trPr>
          <w:jc w:val="center"/>
        </w:trPr>
        <w:tc>
          <w:tcPr>
            <w:tcW w:w="0" w:type="auto"/>
          </w:tcPr>
          <w:p w14:paraId="74082133" w14:textId="77777777" w:rsidR="00CF618B" w:rsidRPr="00BA3946" w:rsidRDefault="00CF618B" w:rsidP="006C2AA7">
            <w:pPr>
              <w:rPr>
                <w:rFonts w:ascii="Calibri" w:hAnsi="Calibri" w:cs="Calibri"/>
              </w:rPr>
            </w:pPr>
            <w:r w:rsidRPr="00BA3946">
              <w:rPr>
                <w:rFonts w:ascii="Calibri" w:hAnsi="Calibri" w:cs="Calibri"/>
              </w:rPr>
              <w:t>Umansky et al 2003</w:t>
            </w:r>
          </w:p>
        </w:tc>
        <w:tc>
          <w:tcPr>
            <w:tcW w:w="3734" w:type="dxa"/>
          </w:tcPr>
          <w:p w14:paraId="76EE96F0" w14:textId="77777777" w:rsidR="00CF618B" w:rsidRPr="00BA3946" w:rsidRDefault="00CF618B" w:rsidP="006C2AA7">
            <w:pPr>
              <w:rPr>
                <w:rFonts w:ascii="Calibri" w:hAnsi="Calibri" w:cs="Calibri"/>
              </w:rPr>
            </w:pPr>
            <w:r w:rsidRPr="00BA3946">
              <w:rPr>
                <w:rFonts w:ascii="Calibri" w:hAnsi="Calibri" w:cs="Calibri"/>
              </w:rPr>
              <w:t>WHOQoL_Environment</w:t>
            </w:r>
          </w:p>
        </w:tc>
        <w:tc>
          <w:tcPr>
            <w:tcW w:w="993" w:type="dxa"/>
          </w:tcPr>
          <w:p w14:paraId="3A21674E" w14:textId="77777777" w:rsidR="00CF618B" w:rsidRPr="00BA3946" w:rsidRDefault="00CF618B" w:rsidP="006C2AA7">
            <w:pPr>
              <w:rPr>
                <w:rFonts w:ascii="Calibri" w:hAnsi="Calibri" w:cs="Calibri"/>
              </w:rPr>
            </w:pPr>
            <w:r w:rsidRPr="00BA3946">
              <w:rPr>
                <w:rFonts w:ascii="Calibri" w:hAnsi="Calibri" w:cs="Calibri"/>
              </w:rPr>
              <w:t>16</w:t>
            </w:r>
          </w:p>
        </w:tc>
        <w:tc>
          <w:tcPr>
            <w:tcW w:w="1418" w:type="dxa"/>
          </w:tcPr>
          <w:p w14:paraId="2E84E764" w14:textId="77777777" w:rsidR="00CF618B" w:rsidRPr="00BA3946" w:rsidRDefault="00CF618B" w:rsidP="006C2AA7">
            <w:pPr>
              <w:rPr>
                <w:rFonts w:ascii="Calibri" w:hAnsi="Calibri" w:cs="Calibri"/>
              </w:rPr>
            </w:pPr>
            <w:r w:rsidRPr="00BA3946">
              <w:rPr>
                <w:rFonts w:ascii="Calibri" w:hAnsi="Calibri" w:cs="Calibri"/>
              </w:rPr>
              <w:t>13.64 (2.43)</w:t>
            </w:r>
          </w:p>
        </w:tc>
        <w:tc>
          <w:tcPr>
            <w:tcW w:w="1559" w:type="dxa"/>
          </w:tcPr>
          <w:p w14:paraId="3BADA8D1" w14:textId="77777777" w:rsidR="00CF618B" w:rsidRPr="00BA3946" w:rsidRDefault="00CF618B" w:rsidP="006C2AA7">
            <w:pPr>
              <w:rPr>
                <w:rFonts w:ascii="Calibri" w:hAnsi="Calibri" w:cs="Calibri"/>
              </w:rPr>
            </w:pPr>
            <w:r w:rsidRPr="00BA3946">
              <w:rPr>
                <w:rFonts w:ascii="Calibri" w:hAnsi="Calibri" w:cs="Calibri"/>
              </w:rPr>
              <w:t>18.19 (1.90)</w:t>
            </w:r>
          </w:p>
        </w:tc>
      </w:tr>
    </w:tbl>
    <w:p w14:paraId="6F8E882B" w14:textId="77777777" w:rsidR="00CF618B" w:rsidRPr="0083295B" w:rsidRDefault="00CF618B" w:rsidP="00CF618B">
      <w:pPr>
        <w:contextualSpacing/>
        <w:rPr>
          <w:rFonts w:ascii="Calibri" w:hAnsi="Calibri" w:cs="Calibri"/>
          <w:i/>
          <w:iCs/>
          <w:szCs w:val="20"/>
        </w:rPr>
      </w:pPr>
      <w:r w:rsidRPr="0083295B">
        <w:rPr>
          <w:rFonts w:ascii="Calibri" w:hAnsi="Calibri" w:cs="Calibri"/>
          <w:i/>
          <w:iCs/>
          <w:szCs w:val="20"/>
        </w:rPr>
        <w:t>Heterogeneity: Tau</w:t>
      </w:r>
      <w:r w:rsidRPr="0083295B">
        <w:rPr>
          <w:rFonts w:ascii="Calibri" w:hAnsi="Calibri" w:cs="Calibri"/>
          <w:i/>
          <w:iCs/>
          <w:szCs w:val="20"/>
          <w:vertAlign w:val="superscript"/>
        </w:rPr>
        <w:t>2</w:t>
      </w:r>
      <w:r w:rsidRPr="0083295B">
        <w:rPr>
          <w:rFonts w:ascii="Calibri" w:hAnsi="Calibri" w:cs="Calibri"/>
          <w:i/>
          <w:iCs/>
          <w:szCs w:val="20"/>
        </w:rPr>
        <w:t xml:space="preserve"> = 0.716, df = 3, I</w:t>
      </w:r>
      <w:r w:rsidRPr="0083295B">
        <w:rPr>
          <w:rFonts w:ascii="Calibri" w:hAnsi="Calibri" w:cs="Calibri"/>
          <w:i/>
          <w:iCs/>
          <w:szCs w:val="20"/>
          <w:vertAlign w:val="superscript"/>
        </w:rPr>
        <w:t xml:space="preserve">2 </w:t>
      </w:r>
      <w:r w:rsidRPr="0083295B">
        <w:rPr>
          <w:rFonts w:ascii="Calibri" w:hAnsi="Calibri" w:cs="Calibri"/>
          <w:i/>
          <w:iCs/>
          <w:szCs w:val="20"/>
        </w:rPr>
        <w:t>= 96.385</w:t>
      </w:r>
    </w:p>
    <w:p w14:paraId="4A0AC78A" w14:textId="77777777" w:rsidR="00CF618B" w:rsidRPr="0083295B" w:rsidRDefault="00CF618B" w:rsidP="00CF618B">
      <w:pPr>
        <w:contextualSpacing/>
        <w:rPr>
          <w:rFonts w:ascii="Calibri" w:hAnsi="Calibri" w:cs="Calibri"/>
          <w:i/>
          <w:iCs/>
          <w:szCs w:val="20"/>
        </w:rPr>
      </w:pPr>
    </w:p>
    <w:p w14:paraId="1A95E4F5" w14:textId="77777777" w:rsidR="00CF618B" w:rsidRPr="0083295B" w:rsidRDefault="00CF618B" w:rsidP="00CF618B">
      <w:pPr>
        <w:adjustRightInd w:val="0"/>
        <w:contextualSpacing/>
        <w:rPr>
          <w:rFonts w:ascii="Calibri" w:hAnsi="Calibri" w:cs="Calibri"/>
          <w:i/>
          <w:iCs/>
          <w:szCs w:val="20"/>
        </w:rPr>
      </w:pPr>
      <w:r w:rsidRPr="0083295B">
        <w:rPr>
          <w:rFonts w:ascii="Calibri" w:hAnsi="Calibri" w:cs="Calibri"/>
          <w:i/>
          <w:iCs/>
          <w:szCs w:val="20"/>
        </w:rPr>
        <w:t>QoL questionnnaires included The Comprehensive Quality of Life Scale – Intellectual/Cognitive Disability, (Cummins, 1997), Quality of Life Questionnaire (Schalock &amp; Keith, 1993), The Mood, Interest and Pleasure Questionnaire (Ross and Oliver, 2003) and the objective QoL measure developed by Grierson in the unpublished MSc dissertation (Grierson, 2006).</w:t>
      </w:r>
    </w:p>
    <w:p w14:paraId="037D4D18" w14:textId="77777777" w:rsidR="00CF618B" w:rsidRDefault="00CF618B" w:rsidP="00CF618B">
      <w:pPr>
        <w:rPr>
          <w:rFonts w:ascii="Calibri" w:hAnsi="Calibri" w:cs="Calibri"/>
        </w:rPr>
      </w:pPr>
    </w:p>
    <w:p w14:paraId="79034D22" w14:textId="77777777" w:rsidR="00CF618B" w:rsidRPr="00BA3946" w:rsidRDefault="00CF618B" w:rsidP="00CF618B">
      <w:pPr>
        <w:rPr>
          <w:rFonts w:ascii="Calibri" w:hAnsi="Calibri" w:cs="Calibri"/>
          <w:b/>
          <w:bCs/>
        </w:rPr>
      </w:pPr>
      <w:r w:rsidRPr="008128AC">
        <w:rPr>
          <w:rFonts w:ascii="Calibri" w:hAnsi="Calibri" w:cs="Calibri"/>
          <w:b/>
          <w:bCs/>
        </w:rPr>
        <w:t xml:space="preserve">Figure 1. </w:t>
      </w:r>
      <w:r>
        <w:rPr>
          <w:rFonts w:ascii="Calibri" w:hAnsi="Calibri" w:cs="Calibri"/>
          <w:b/>
          <w:bCs/>
        </w:rPr>
        <w:t xml:space="preserve">Meta-analysis of QoL </w:t>
      </w:r>
      <w:r w:rsidRPr="00BA3946">
        <w:rPr>
          <w:rFonts w:ascii="Calibri" w:hAnsi="Calibri" w:cs="Calibri"/>
          <w:b/>
          <w:bCs/>
        </w:rPr>
        <w:t>of adults who transition</w:t>
      </w:r>
      <w:r>
        <w:rPr>
          <w:rFonts w:ascii="Calibri" w:hAnsi="Calibri" w:cs="Calibri"/>
          <w:b/>
          <w:bCs/>
        </w:rPr>
        <w:t>ed</w:t>
      </w:r>
      <w:r w:rsidRPr="00BA3946">
        <w:rPr>
          <w:rFonts w:ascii="Calibri" w:hAnsi="Calibri" w:cs="Calibri"/>
          <w:b/>
          <w:bCs/>
        </w:rPr>
        <w:t xml:space="preserve"> from institution to community-based accommodation (6-month follow-up)</w:t>
      </w:r>
    </w:p>
    <w:p w14:paraId="0EB31321" w14:textId="77777777" w:rsidR="00CF618B" w:rsidRPr="00F25C6A" w:rsidRDefault="00CF618B" w:rsidP="00CF618B">
      <w:pPr>
        <w:rPr>
          <w:rFonts w:ascii="Times" w:hAnsi="Times" w:cs="Times"/>
          <w:sz w:val="24"/>
          <w:szCs w:val="24"/>
        </w:rPr>
      </w:pPr>
      <w:r>
        <w:rPr>
          <w:rFonts w:ascii="Times" w:hAnsi="Times" w:cs="Times"/>
          <w:noProof/>
          <w:sz w:val="24"/>
          <w:szCs w:val="24"/>
          <w:lang w:val="en-AU" w:eastAsia="en-AU"/>
        </w:rPr>
        <w:drawing>
          <wp:inline distT="0" distB="0" distL="0" distR="0" wp14:anchorId="61637000" wp14:editId="3ECCA6B0">
            <wp:extent cx="6058486" cy="17272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6150902" cy="1753547"/>
                    </a:xfrm>
                    <a:prstGeom prst="rect">
                      <a:avLst/>
                    </a:prstGeom>
                    <a:noFill/>
                    <a:ln>
                      <a:noFill/>
                    </a:ln>
                  </pic:spPr>
                </pic:pic>
              </a:graphicData>
            </a:graphic>
          </wp:inline>
        </w:drawing>
      </w:r>
    </w:p>
    <w:p w14:paraId="64249753" w14:textId="77777777" w:rsidR="00961495" w:rsidRDefault="00961495">
      <w:pPr>
        <w:rPr>
          <w:rFonts w:ascii="Calibri" w:hAnsi="Calibri" w:cs="Calibri"/>
          <w:b/>
          <w:bCs/>
        </w:rPr>
      </w:pPr>
      <w:r>
        <w:rPr>
          <w:rFonts w:ascii="Calibri" w:hAnsi="Calibri" w:cs="Calibri"/>
          <w:b/>
          <w:bCs/>
        </w:rPr>
        <w:br w:type="page"/>
      </w:r>
    </w:p>
    <w:p w14:paraId="06F1A38C" w14:textId="655760AC" w:rsidR="00CF618B" w:rsidRPr="008128AC" w:rsidRDefault="00CF618B" w:rsidP="00CF618B">
      <w:pPr>
        <w:rPr>
          <w:rFonts w:ascii="Calibri" w:hAnsi="Calibri" w:cs="Calibri"/>
          <w:b/>
          <w:bCs/>
        </w:rPr>
      </w:pPr>
      <w:r w:rsidRPr="008128AC">
        <w:rPr>
          <w:rFonts w:ascii="Calibri" w:hAnsi="Calibri" w:cs="Calibri"/>
          <w:b/>
          <w:bCs/>
        </w:rPr>
        <w:lastRenderedPageBreak/>
        <w:t xml:space="preserve">Table 2. </w:t>
      </w:r>
      <w:r>
        <w:rPr>
          <w:rFonts w:ascii="Calibri" w:hAnsi="Calibri" w:cs="Calibri"/>
          <w:b/>
          <w:bCs/>
        </w:rPr>
        <w:t xml:space="preserve">Meta-analysis of QoL </w:t>
      </w:r>
      <w:r w:rsidRPr="00BA3946">
        <w:rPr>
          <w:rFonts w:ascii="Calibri" w:hAnsi="Calibri" w:cs="Calibri"/>
          <w:b/>
          <w:bCs/>
        </w:rPr>
        <w:t>of adults who transition</w:t>
      </w:r>
      <w:r>
        <w:rPr>
          <w:rFonts w:ascii="Calibri" w:hAnsi="Calibri" w:cs="Calibri"/>
          <w:b/>
          <w:bCs/>
        </w:rPr>
        <w:t>ed</w:t>
      </w:r>
      <w:r w:rsidRPr="00BA3946">
        <w:rPr>
          <w:rFonts w:ascii="Calibri" w:hAnsi="Calibri" w:cs="Calibri"/>
          <w:b/>
          <w:bCs/>
        </w:rPr>
        <w:t xml:space="preserve"> from institution to community-based </w:t>
      </w:r>
      <w:bookmarkStart w:id="87" w:name="_Hlk65240920"/>
      <w:r w:rsidRPr="00BA3946">
        <w:rPr>
          <w:rFonts w:ascii="Calibri" w:hAnsi="Calibri" w:cs="Calibri"/>
          <w:b/>
          <w:bCs/>
        </w:rPr>
        <w:t>accommodation (</w:t>
      </w:r>
      <w:r>
        <w:rPr>
          <w:rFonts w:ascii="Calibri" w:hAnsi="Calibri" w:cs="Calibri"/>
          <w:b/>
          <w:bCs/>
        </w:rPr>
        <w:t>12</w:t>
      </w:r>
      <w:r w:rsidRPr="00BA3946">
        <w:rPr>
          <w:rFonts w:ascii="Calibri" w:hAnsi="Calibri" w:cs="Calibri"/>
          <w:b/>
          <w:bCs/>
        </w:rPr>
        <w:t>-month follow-up)</w:t>
      </w:r>
    </w:p>
    <w:tbl>
      <w:tblPr>
        <w:tblStyle w:val="TableGrid"/>
        <w:tblW w:w="9634" w:type="dxa"/>
        <w:jc w:val="center"/>
        <w:tblLook w:val="04A0" w:firstRow="1" w:lastRow="0" w:firstColumn="1" w:lastColumn="0" w:noHBand="0" w:noVBand="1"/>
      </w:tblPr>
      <w:tblGrid>
        <w:gridCol w:w="1164"/>
        <w:gridCol w:w="4135"/>
        <w:gridCol w:w="1104"/>
        <w:gridCol w:w="1273"/>
        <w:gridCol w:w="1958"/>
      </w:tblGrid>
      <w:tr w:rsidR="00CF618B" w:rsidRPr="008128AC" w14:paraId="5917892C" w14:textId="77777777" w:rsidTr="006C2AA7">
        <w:trPr>
          <w:jc w:val="center"/>
        </w:trPr>
        <w:tc>
          <w:tcPr>
            <w:tcW w:w="0" w:type="auto"/>
          </w:tcPr>
          <w:bookmarkEnd w:id="86"/>
          <w:p w14:paraId="7F1BDB11" w14:textId="77777777" w:rsidR="00CF618B" w:rsidRPr="008128AC" w:rsidRDefault="00CF618B" w:rsidP="006C2AA7">
            <w:pPr>
              <w:rPr>
                <w:rFonts w:ascii="Calibri" w:hAnsi="Calibri" w:cs="Calibri"/>
                <w:b/>
                <w:bCs/>
              </w:rPr>
            </w:pPr>
            <w:r w:rsidRPr="008128AC">
              <w:rPr>
                <w:rFonts w:ascii="Calibri" w:hAnsi="Calibri" w:cs="Calibri"/>
                <w:b/>
                <w:bCs/>
              </w:rPr>
              <w:t>Study</w:t>
            </w:r>
          </w:p>
        </w:tc>
        <w:tc>
          <w:tcPr>
            <w:tcW w:w="0" w:type="auto"/>
          </w:tcPr>
          <w:p w14:paraId="6AB017A1" w14:textId="77777777" w:rsidR="00CF618B" w:rsidRPr="008128AC" w:rsidRDefault="00CF618B" w:rsidP="006C2AA7">
            <w:pPr>
              <w:rPr>
                <w:rFonts w:ascii="Calibri" w:hAnsi="Calibri" w:cs="Calibri"/>
                <w:b/>
                <w:bCs/>
              </w:rPr>
            </w:pPr>
            <w:r w:rsidRPr="008128AC">
              <w:rPr>
                <w:rFonts w:ascii="Calibri" w:hAnsi="Calibri" w:cs="Calibri"/>
                <w:b/>
                <w:bCs/>
              </w:rPr>
              <w:t>Outcome</w:t>
            </w:r>
          </w:p>
        </w:tc>
        <w:tc>
          <w:tcPr>
            <w:tcW w:w="0" w:type="auto"/>
          </w:tcPr>
          <w:p w14:paraId="00877075" w14:textId="77777777" w:rsidR="00CF618B" w:rsidRPr="008128AC" w:rsidRDefault="00CF618B" w:rsidP="006C2AA7">
            <w:pPr>
              <w:rPr>
                <w:rFonts w:ascii="Calibri" w:hAnsi="Calibri" w:cs="Calibri"/>
                <w:b/>
                <w:bCs/>
              </w:rPr>
            </w:pPr>
            <w:r w:rsidRPr="008128AC">
              <w:rPr>
                <w:rFonts w:ascii="Calibri" w:hAnsi="Calibri" w:cs="Calibri"/>
                <w:b/>
                <w:bCs/>
              </w:rPr>
              <w:t>Sample size</w:t>
            </w:r>
          </w:p>
        </w:tc>
        <w:tc>
          <w:tcPr>
            <w:tcW w:w="0" w:type="auto"/>
          </w:tcPr>
          <w:p w14:paraId="66F1DA5F" w14:textId="77777777" w:rsidR="00CF618B" w:rsidRPr="008128AC" w:rsidRDefault="00CF618B" w:rsidP="006C2AA7">
            <w:pPr>
              <w:rPr>
                <w:rFonts w:ascii="Calibri" w:hAnsi="Calibri" w:cs="Calibri"/>
                <w:b/>
                <w:bCs/>
              </w:rPr>
            </w:pPr>
            <w:r w:rsidRPr="008128AC">
              <w:rPr>
                <w:rFonts w:ascii="Calibri" w:hAnsi="Calibri" w:cs="Calibri"/>
                <w:b/>
                <w:bCs/>
              </w:rPr>
              <w:t>Baseline</w:t>
            </w:r>
          </w:p>
          <w:p w14:paraId="67534C3F" w14:textId="77777777" w:rsidR="00CF618B" w:rsidRPr="008128AC" w:rsidRDefault="00CF618B" w:rsidP="006C2AA7">
            <w:pPr>
              <w:rPr>
                <w:rFonts w:ascii="Calibri" w:hAnsi="Calibri" w:cs="Calibri"/>
                <w:b/>
                <w:bCs/>
              </w:rPr>
            </w:pPr>
            <w:r w:rsidRPr="008128AC">
              <w:rPr>
                <w:rFonts w:ascii="Calibri" w:hAnsi="Calibri" w:cs="Calibri"/>
                <w:b/>
                <w:bCs/>
              </w:rPr>
              <w:t>Mean (SD)</w:t>
            </w:r>
          </w:p>
        </w:tc>
        <w:tc>
          <w:tcPr>
            <w:tcW w:w="1958" w:type="dxa"/>
          </w:tcPr>
          <w:p w14:paraId="01A0FB1C" w14:textId="77777777" w:rsidR="00CF618B" w:rsidRPr="008128AC" w:rsidRDefault="00CF618B" w:rsidP="006C2AA7">
            <w:pPr>
              <w:rPr>
                <w:rFonts w:ascii="Calibri" w:hAnsi="Calibri" w:cs="Calibri"/>
                <w:b/>
                <w:bCs/>
              </w:rPr>
            </w:pPr>
            <w:r w:rsidRPr="008128AC">
              <w:rPr>
                <w:rFonts w:ascii="Calibri" w:hAnsi="Calibri" w:cs="Calibri"/>
                <w:b/>
                <w:bCs/>
              </w:rPr>
              <w:t>1-year follow-up</w:t>
            </w:r>
          </w:p>
          <w:p w14:paraId="17CE1C11" w14:textId="77777777" w:rsidR="00CF618B" w:rsidRPr="008128AC" w:rsidRDefault="00CF618B" w:rsidP="006C2AA7">
            <w:pPr>
              <w:rPr>
                <w:rFonts w:ascii="Calibri" w:hAnsi="Calibri" w:cs="Calibri"/>
                <w:b/>
                <w:bCs/>
              </w:rPr>
            </w:pPr>
            <w:r w:rsidRPr="008128AC">
              <w:rPr>
                <w:rFonts w:ascii="Calibri" w:hAnsi="Calibri" w:cs="Calibri"/>
                <w:b/>
                <w:bCs/>
              </w:rPr>
              <w:t>Mean (SD)</w:t>
            </w:r>
          </w:p>
        </w:tc>
      </w:tr>
      <w:tr w:rsidR="00CF618B" w:rsidRPr="008128AC" w14:paraId="42E04B58" w14:textId="77777777" w:rsidTr="006C2AA7">
        <w:trPr>
          <w:jc w:val="center"/>
        </w:trPr>
        <w:tc>
          <w:tcPr>
            <w:tcW w:w="0" w:type="auto"/>
          </w:tcPr>
          <w:p w14:paraId="76F64FE2" w14:textId="77777777" w:rsidR="00CF618B" w:rsidRPr="008128AC" w:rsidRDefault="00CF618B" w:rsidP="006C2AA7">
            <w:pPr>
              <w:rPr>
                <w:rFonts w:ascii="Calibri" w:hAnsi="Calibri" w:cs="Calibri"/>
              </w:rPr>
            </w:pPr>
            <w:r w:rsidRPr="008128AC">
              <w:rPr>
                <w:rFonts w:ascii="Calibri" w:hAnsi="Calibri" w:cs="Calibri"/>
              </w:rPr>
              <w:t>Sines 2012</w:t>
            </w:r>
          </w:p>
        </w:tc>
        <w:tc>
          <w:tcPr>
            <w:tcW w:w="0" w:type="auto"/>
          </w:tcPr>
          <w:p w14:paraId="62639307" w14:textId="77777777" w:rsidR="00CF618B" w:rsidRPr="008128AC" w:rsidRDefault="00CF618B" w:rsidP="006C2AA7">
            <w:pPr>
              <w:rPr>
                <w:rFonts w:ascii="Calibri" w:hAnsi="Calibri" w:cs="Calibri"/>
              </w:rPr>
            </w:pPr>
            <w:r w:rsidRPr="008128AC">
              <w:rPr>
                <w:rFonts w:ascii="Calibri" w:hAnsi="Calibri" w:cs="Calibri"/>
              </w:rPr>
              <w:t>Mixed QoL Questions</w:t>
            </w:r>
          </w:p>
        </w:tc>
        <w:tc>
          <w:tcPr>
            <w:tcW w:w="0" w:type="auto"/>
          </w:tcPr>
          <w:p w14:paraId="210C4C2F" w14:textId="77777777" w:rsidR="00CF618B" w:rsidRPr="008128AC" w:rsidRDefault="00CF618B" w:rsidP="006C2AA7">
            <w:pPr>
              <w:rPr>
                <w:rFonts w:ascii="Calibri" w:hAnsi="Calibri" w:cs="Calibri"/>
              </w:rPr>
            </w:pPr>
            <w:r w:rsidRPr="008128AC">
              <w:rPr>
                <w:rFonts w:ascii="Calibri" w:hAnsi="Calibri" w:cs="Calibri"/>
              </w:rPr>
              <w:t>39</w:t>
            </w:r>
          </w:p>
        </w:tc>
        <w:tc>
          <w:tcPr>
            <w:tcW w:w="0" w:type="auto"/>
          </w:tcPr>
          <w:p w14:paraId="6FD37C57" w14:textId="77777777" w:rsidR="00CF618B" w:rsidRPr="008128AC" w:rsidRDefault="00CF618B" w:rsidP="006C2AA7">
            <w:pPr>
              <w:rPr>
                <w:rFonts w:ascii="Calibri" w:hAnsi="Calibri" w:cs="Calibri"/>
              </w:rPr>
            </w:pPr>
            <w:r w:rsidRPr="008128AC">
              <w:rPr>
                <w:rFonts w:ascii="Calibri" w:hAnsi="Calibri" w:cs="Calibri"/>
              </w:rPr>
              <w:t>106.28 (25.02)</w:t>
            </w:r>
          </w:p>
        </w:tc>
        <w:tc>
          <w:tcPr>
            <w:tcW w:w="1958" w:type="dxa"/>
          </w:tcPr>
          <w:p w14:paraId="1F560A92" w14:textId="77777777" w:rsidR="00CF618B" w:rsidRPr="008128AC" w:rsidRDefault="00CF618B" w:rsidP="006C2AA7">
            <w:pPr>
              <w:rPr>
                <w:rFonts w:ascii="Calibri" w:hAnsi="Calibri" w:cs="Calibri"/>
              </w:rPr>
            </w:pPr>
            <w:r w:rsidRPr="008128AC">
              <w:rPr>
                <w:rFonts w:ascii="Calibri" w:hAnsi="Calibri" w:cs="Calibri"/>
              </w:rPr>
              <w:t>192.95 (27.46)</w:t>
            </w:r>
          </w:p>
        </w:tc>
      </w:tr>
      <w:tr w:rsidR="00CF618B" w:rsidRPr="008128AC" w14:paraId="0B205D15" w14:textId="77777777" w:rsidTr="006C2AA7">
        <w:trPr>
          <w:jc w:val="center"/>
        </w:trPr>
        <w:tc>
          <w:tcPr>
            <w:tcW w:w="0" w:type="auto"/>
          </w:tcPr>
          <w:p w14:paraId="31B753AC" w14:textId="77777777" w:rsidR="00CF618B" w:rsidRPr="008128AC" w:rsidRDefault="00CF618B" w:rsidP="006C2AA7">
            <w:pPr>
              <w:rPr>
                <w:rFonts w:ascii="Calibri" w:hAnsi="Calibri" w:cs="Calibri"/>
              </w:rPr>
            </w:pPr>
            <w:r w:rsidRPr="008128AC">
              <w:rPr>
                <w:rFonts w:ascii="Calibri" w:hAnsi="Calibri" w:cs="Calibri"/>
              </w:rPr>
              <w:t>Lee et al. 2015</w:t>
            </w:r>
          </w:p>
        </w:tc>
        <w:tc>
          <w:tcPr>
            <w:tcW w:w="0" w:type="auto"/>
          </w:tcPr>
          <w:p w14:paraId="6111CC1E" w14:textId="77777777" w:rsidR="00CF618B" w:rsidRPr="008128AC" w:rsidRDefault="00CF618B" w:rsidP="006C2AA7">
            <w:pPr>
              <w:rPr>
                <w:rFonts w:ascii="Calibri" w:hAnsi="Calibri" w:cs="Calibri"/>
              </w:rPr>
            </w:pPr>
            <w:r w:rsidRPr="008128AC">
              <w:rPr>
                <w:rFonts w:ascii="Calibri" w:hAnsi="Calibri" w:cs="Calibri"/>
              </w:rPr>
              <w:t>Transformed_WHOQoL_Environment</w:t>
            </w:r>
          </w:p>
        </w:tc>
        <w:tc>
          <w:tcPr>
            <w:tcW w:w="0" w:type="auto"/>
          </w:tcPr>
          <w:p w14:paraId="02D0848D" w14:textId="77777777" w:rsidR="00CF618B" w:rsidRPr="008128AC" w:rsidRDefault="00CF618B" w:rsidP="006C2AA7">
            <w:pPr>
              <w:rPr>
                <w:rFonts w:ascii="Calibri" w:hAnsi="Calibri" w:cs="Calibri"/>
              </w:rPr>
            </w:pPr>
            <w:r w:rsidRPr="008128AC">
              <w:rPr>
                <w:rFonts w:ascii="Calibri" w:hAnsi="Calibri" w:cs="Calibri"/>
              </w:rPr>
              <w:t>70</w:t>
            </w:r>
          </w:p>
        </w:tc>
        <w:tc>
          <w:tcPr>
            <w:tcW w:w="0" w:type="auto"/>
          </w:tcPr>
          <w:p w14:paraId="1479CD0C" w14:textId="77777777" w:rsidR="00CF618B" w:rsidRPr="008128AC" w:rsidRDefault="00CF618B" w:rsidP="006C2AA7">
            <w:pPr>
              <w:rPr>
                <w:rFonts w:ascii="Calibri" w:hAnsi="Calibri" w:cs="Calibri"/>
              </w:rPr>
            </w:pPr>
            <w:r w:rsidRPr="008128AC">
              <w:rPr>
                <w:rFonts w:ascii="Calibri" w:hAnsi="Calibri" w:cs="Calibri"/>
              </w:rPr>
              <w:t>59.39 (17.91)</w:t>
            </w:r>
          </w:p>
        </w:tc>
        <w:tc>
          <w:tcPr>
            <w:tcW w:w="1958" w:type="dxa"/>
          </w:tcPr>
          <w:p w14:paraId="1FBC0534" w14:textId="77777777" w:rsidR="00CF618B" w:rsidRPr="008128AC" w:rsidRDefault="00CF618B" w:rsidP="006C2AA7">
            <w:pPr>
              <w:rPr>
                <w:rFonts w:ascii="Calibri" w:hAnsi="Calibri" w:cs="Calibri"/>
              </w:rPr>
            </w:pPr>
            <w:r w:rsidRPr="008128AC">
              <w:rPr>
                <w:rFonts w:ascii="Calibri" w:hAnsi="Calibri" w:cs="Calibri"/>
              </w:rPr>
              <w:t>63.59 (16.72)</w:t>
            </w:r>
          </w:p>
        </w:tc>
      </w:tr>
      <w:tr w:rsidR="00CF618B" w:rsidRPr="008128AC" w14:paraId="2228446F" w14:textId="77777777" w:rsidTr="006C2AA7">
        <w:trPr>
          <w:jc w:val="center"/>
        </w:trPr>
        <w:tc>
          <w:tcPr>
            <w:tcW w:w="0" w:type="auto"/>
          </w:tcPr>
          <w:p w14:paraId="739FA327" w14:textId="77777777" w:rsidR="00CF618B" w:rsidRPr="008128AC" w:rsidRDefault="00CF618B" w:rsidP="006C2AA7">
            <w:pPr>
              <w:rPr>
                <w:rFonts w:ascii="Calibri" w:hAnsi="Calibri" w:cs="Calibri"/>
              </w:rPr>
            </w:pPr>
            <w:r w:rsidRPr="008128AC">
              <w:rPr>
                <w:rFonts w:ascii="Calibri" w:hAnsi="Calibri" w:cs="Calibri"/>
              </w:rPr>
              <w:t>Lee et al. 2015</w:t>
            </w:r>
          </w:p>
        </w:tc>
        <w:tc>
          <w:tcPr>
            <w:tcW w:w="0" w:type="auto"/>
          </w:tcPr>
          <w:p w14:paraId="4E42F5AB" w14:textId="77777777" w:rsidR="00CF618B" w:rsidRPr="008128AC" w:rsidRDefault="00CF618B" w:rsidP="006C2AA7">
            <w:pPr>
              <w:rPr>
                <w:rFonts w:ascii="Calibri" w:hAnsi="Calibri" w:cs="Calibri"/>
              </w:rPr>
            </w:pPr>
            <w:r w:rsidRPr="008128AC">
              <w:rPr>
                <w:rFonts w:ascii="Calibri" w:hAnsi="Calibri" w:cs="Calibri"/>
              </w:rPr>
              <w:t>Transformed_WHOQoL_Physical Wellbeing</w:t>
            </w:r>
          </w:p>
        </w:tc>
        <w:tc>
          <w:tcPr>
            <w:tcW w:w="0" w:type="auto"/>
          </w:tcPr>
          <w:p w14:paraId="79D78D8A" w14:textId="77777777" w:rsidR="00CF618B" w:rsidRPr="008128AC" w:rsidRDefault="00CF618B" w:rsidP="006C2AA7">
            <w:pPr>
              <w:rPr>
                <w:rFonts w:ascii="Calibri" w:hAnsi="Calibri" w:cs="Calibri"/>
              </w:rPr>
            </w:pPr>
            <w:r w:rsidRPr="008128AC">
              <w:rPr>
                <w:rFonts w:ascii="Calibri" w:hAnsi="Calibri" w:cs="Calibri"/>
              </w:rPr>
              <w:t>70</w:t>
            </w:r>
          </w:p>
        </w:tc>
        <w:tc>
          <w:tcPr>
            <w:tcW w:w="0" w:type="auto"/>
          </w:tcPr>
          <w:p w14:paraId="5D5DE0F7" w14:textId="77777777" w:rsidR="00CF618B" w:rsidRPr="008128AC" w:rsidRDefault="00CF618B" w:rsidP="006C2AA7">
            <w:pPr>
              <w:rPr>
                <w:rFonts w:ascii="Calibri" w:hAnsi="Calibri" w:cs="Calibri"/>
              </w:rPr>
            </w:pPr>
            <w:r w:rsidRPr="008128AC">
              <w:rPr>
                <w:rFonts w:ascii="Calibri" w:hAnsi="Calibri" w:cs="Calibri"/>
              </w:rPr>
              <w:t>61.56 (16.54)</w:t>
            </w:r>
          </w:p>
        </w:tc>
        <w:tc>
          <w:tcPr>
            <w:tcW w:w="1958" w:type="dxa"/>
          </w:tcPr>
          <w:p w14:paraId="758C4B0E" w14:textId="77777777" w:rsidR="00CF618B" w:rsidRPr="008128AC" w:rsidRDefault="00CF618B" w:rsidP="006C2AA7">
            <w:pPr>
              <w:rPr>
                <w:rFonts w:ascii="Calibri" w:hAnsi="Calibri" w:cs="Calibri"/>
              </w:rPr>
            </w:pPr>
            <w:r w:rsidRPr="008128AC">
              <w:rPr>
                <w:rFonts w:ascii="Calibri" w:hAnsi="Calibri" w:cs="Calibri"/>
              </w:rPr>
              <w:t>58.59 (18.52)</w:t>
            </w:r>
          </w:p>
        </w:tc>
      </w:tr>
      <w:tr w:rsidR="00CF618B" w:rsidRPr="008128AC" w14:paraId="4EDC04C2" w14:textId="77777777" w:rsidTr="006C2AA7">
        <w:trPr>
          <w:jc w:val="center"/>
        </w:trPr>
        <w:tc>
          <w:tcPr>
            <w:tcW w:w="0" w:type="auto"/>
          </w:tcPr>
          <w:p w14:paraId="7DD622F9" w14:textId="77777777" w:rsidR="00CF618B" w:rsidRPr="008128AC" w:rsidRDefault="00CF618B" w:rsidP="006C2AA7">
            <w:pPr>
              <w:rPr>
                <w:rFonts w:ascii="Calibri" w:hAnsi="Calibri" w:cs="Calibri"/>
              </w:rPr>
            </w:pPr>
            <w:r w:rsidRPr="008128AC">
              <w:rPr>
                <w:rFonts w:ascii="Calibri" w:hAnsi="Calibri" w:cs="Calibri"/>
              </w:rPr>
              <w:t>Lee et al. 2015</w:t>
            </w:r>
          </w:p>
        </w:tc>
        <w:tc>
          <w:tcPr>
            <w:tcW w:w="0" w:type="auto"/>
          </w:tcPr>
          <w:p w14:paraId="1B08A3B2" w14:textId="77777777" w:rsidR="00CF618B" w:rsidRPr="008128AC" w:rsidRDefault="00CF618B" w:rsidP="006C2AA7">
            <w:pPr>
              <w:rPr>
                <w:rFonts w:ascii="Calibri" w:hAnsi="Calibri" w:cs="Calibri"/>
              </w:rPr>
            </w:pPr>
            <w:r w:rsidRPr="008128AC">
              <w:rPr>
                <w:rFonts w:ascii="Calibri" w:hAnsi="Calibri" w:cs="Calibri"/>
              </w:rPr>
              <w:t>Transformed_WHOQoL_Psychological Wellbeing</w:t>
            </w:r>
          </w:p>
        </w:tc>
        <w:tc>
          <w:tcPr>
            <w:tcW w:w="0" w:type="auto"/>
          </w:tcPr>
          <w:p w14:paraId="357C933F" w14:textId="77777777" w:rsidR="00CF618B" w:rsidRPr="008128AC" w:rsidRDefault="00CF618B" w:rsidP="006C2AA7">
            <w:pPr>
              <w:rPr>
                <w:rFonts w:ascii="Calibri" w:hAnsi="Calibri" w:cs="Calibri"/>
              </w:rPr>
            </w:pPr>
            <w:r w:rsidRPr="008128AC">
              <w:rPr>
                <w:rFonts w:ascii="Calibri" w:hAnsi="Calibri" w:cs="Calibri"/>
              </w:rPr>
              <w:t>70</w:t>
            </w:r>
          </w:p>
        </w:tc>
        <w:tc>
          <w:tcPr>
            <w:tcW w:w="0" w:type="auto"/>
          </w:tcPr>
          <w:p w14:paraId="0729987B" w14:textId="77777777" w:rsidR="00CF618B" w:rsidRPr="008128AC" w:rsidRDefault="00CF618B" w:rsidP="006C2AA7">
            <w:pPr>
              <w:rPr>
                <w:rFonts w:ascii="Calibri" w:hAnsi="Calibri" w:cs="Calibri"/>
              </w:rPr>
            </w:pPr>
            <w:r w:rsidRPr="008128AC">
              <w:rPr>
                <w:rFonts w:ascii="Calibri" w:hAnsi="Calibri" w:cs="Calibri"/>
              </w:rPr>
              <w:t>54.33 (22.89)</w:t>
            </w:r>
          </w:p>
        </w:tc>
        <w:tc>
          <w:tcPr>
            <w:tcW w:w="1958" w:type="dxa"/>
          </w:tcPr>
          <w:p w14:paraId="61CB49D3" w14:textId="77777777" w:rsidR="00CF618B" w:rsidRPr="008128AC" w:rsidRDefault="00CF618B" w:rsidP="006C2AA7">
            <w:pPr>
              <w:rPr>
                <w:rFonts w:ascii="Calibri" w:hAnsi="Calibri" w:cs="Calibri"/>
              </w:rPr>
            </w:pPr>
            <w:r w:rsidRPr="008128AC">
              <w:rPr>
                <w:rFonts w:ascii="Calibri" w:hAnsi="Calibri" w:cs="Calibri"/>
              </w:rPr>
              <w:t>57.75 (20.75)</w:t>
            </w:r>
          </w:p>
        </w:tc>
      </w:tr>
      <w:tr w:rsidR="00CF618B" w:rsidRPr="008128AC" w14:paraId="5A97F888" w14:textId="77777777" w:rsidTr="006C2AA7">
        <w:trPr>
          <w:jc w:val="center"/>
        </w:trPr>
        <w:tc>
          <w:tcPr>
            <w:tcW w:w="0" w:type="auto"/>
          </w:tcPr>
          <w:p w14:paraId="69AF6FE6" w14:textId="77777777" w:rsidR="00CF618B" w:rsidRPr="008128AC" w:rsidRDefault="00CF618B" w:rsidP="006C2AA7">
            <w:pPr>
              <w:rPr>
                <w:rFonts w:ascii="Calibri" w:hAnsi="Calibri" w:cs="Calibri"/>
              </w:rPr>
            </w:pPr>
            <w:r w:rsidRPr="008128AC">
              <w:rPr>
                <w:rFonts w:ascii="Calibri" w:hAnsi="Calibri" w:cs="Calibri"/>
              </w:rPr>
              <w:t>Lee et al. 2015</w:t>
            </w:r>
          </w:p>
        </w:tc>
        <w:tc>
          <w:tcPr>
            <w:tcW w:w="0" w:type="auto"/>
          </w:tcPr>
          <w:p w14:paraId="0A64BA34" w14:textId="77777777" w:rsidR="00CF618B" w:rsidRPr="008128AC" w:rsidRDefault="00CF618B" w:rsidP="006C2AA7">
            <w:pPr>
              <w:rPr>
                <w:rFonts w:ascii="Calibri" w:hAnsi="Calibri" w:cs="Calibri"/>
              </w:rPr>
            </w:pPr>
            <w:r w:rsidRPr="008128AC">
              <w:rPr>
                <w:rFonts w:ascii="Calibri" w:hAnsi="Calibri" w:cs="Calibri"/>
              </w:rPr>
              <w:t>Transformed_WHOQoL_Social</w:t>
            </w:r>
            <w:r>
              <w:rPr>
                <w:rFonts w:ascii="Calibri" w:hAnsi="Calibri" w:cs="Calibri"/>
              </w:rPr>
              <w:t xml:space="preserve"> </w:t>
            </w:r>
            <w:r w:rsidRPr="008128AC">
              <w:rPr>
                <w:rFonts w:ascii="Calibri" w:hAnsi="Calibri" w:cs="Calibri"/>
              </w:rPr>
              <w:t>Relations</w:t>
            </w:r>
          </w:p>
        </w:tc>
        <w:tc>
          <w:tcPr>
            <w:tcW w:w="0" w:type="auto"/>
          </w:tcPr>
          <w:p w14:paraId="554802BA" w14:textId="77777777" w:rsidR="00CF618B" w:rsidRPr="008128AC" w:rsidRDefault="00CF618B" w:rsidP="006C2AA7">
            <w:pPr>
              <w:rPr>
                <w:rFonts w:ascii="Calibri" w:hAnsi="Calibri" w:cs="Calibri"/>
              </w:rPr>
            </w:pPr>
            <w:r w:rsidRPr="008128AC">
              <w:rPr>
                <w:rFonts w:ascii="Calibri" w:hAnsi="Calibri" w:cs="Calibri"/>
              </w:rPr>
              <w:t>70</w:t>
            </w:r>
          </w:p>
        </w:tc>
        <w:tc>
          <w:tcPr>
            <w:tcW w:w="0" w:type="auto"/>
          </w:tcPr>
          <w:p w14:paraId="469D8F5C" w14:textId="77777777" w:rsidR="00CF618B" w:rsidRPr="008128AC" w:rsidRDefault="00CF618B" w:rsidP="006C2AA7">
            <w:pPr>
              <w:rPr>
                <w:rFonts w:ascii="Calibri" w:hAnsi="Calibri" w:cs="Calibri"/>
              </w:rPr>
            </w:pPr>
            <w:r w:rsidRPr="008128AC">
              <w:rPr>
                <w:rFonts w:ascii="Calibri" w:hAnsi="Calibri" w:cs="Calibri"/>
              </w:rPr>
              <w:t>56.07 (16.36)</w:t>
            </w:r>
          </w:p>
        </w:tc>
        <w:tc>
          <w:tcPr>
            <w:tcW w:w="1958" w:type="dxa"/>
          </w:tcPr>
          <w:p w14:paraId="25918494" w14:textId="77777777" w:rsidR="00CF618B" w:rsidRPr="008128AC" w:rsidRDefault="00CF618B" w:rsidP="006C2AA7">
            <w:pPr>
              <w:rPr>
                <w:rFonts w:ascii="Calibri" w:hAnsi="Calibri" w:cs="Calibri"/>
              </w:rPr>
            </w:pPr>
            <w:r w:rsidRPr="008128AC">
              <w:rPr>
                <w:rFonts w:ascii="Calibri" w:hAnsi="Calibri" w:cs="Calibri"/>
              </w:rPr>
              <w:t>60.8 (16.47)</w:t>
            </w:r>
          </w:p>
        </w:tc>
      </w:tr>
    </w:tbl>
    <w:p w14:paraId="13266049" w14:textId="77777777" w:rsidR="00CF618B" w:rsidRPr="0062361B" w:rsidRDefault="00CF618B" w:rsidP="00CF618B">
      <w:pPr>
        <w:contextualSpacing/>
        <w:rPr>
          <w:rFonts w:ascii="Calibri" w:hAnsi="Calibri" w:cs="Calibri"/>
          <w:i/>
          <w:iCs/>
          <w:szCs w:val="20"/>
        </w:rPr>
      </w:pPr>
      <w:r w:rsidRPr="0062361B">
        <w:rPr>
          <w:rFonts w:ascii="Calibri" w:hAnsi="Calibri" w:cs="Calibri"/>
          <w:i/>
          <w:iCs/>
          <w:szCs w:val="20"/>
        </w:rPr>
        <w:t>Heterogeneity: Tau</w:t>
      </w:r>
      <w:r w:rsidRPr="0062361B">
        <w:rPr>
          <w:rFonts w:ascii="Calibri" w:hAnsi="Calibri" w:cs="Calibri"/>
          <w:i/>
          <w:iCs/>
          <w:szCs w:val="20"/>
          <w:vertAlign w:val="superscript"/>
        </w:rPr>
        <w:t>2</w:t>
      </w:r>
      <w:r w:rsidRPr="0062361B">
        <w:rPr>
          <w:rFonts w:ascii="Calibri" w:hAnsi="Calibri" w:cs="Calibri"/>
          <w:i/>
          <w:iCs/>
          <w:szCs w:val="20"/>
        </w:rPr>
        <w:t xml:space="preserve"> = 4.722, df = 1, I</w:t>
      </w:r>
      <w:r w:rsidRPr="0062361B">
        <w:rPr>
          <w:rFonts w:ascii="Calibri" w:hAnsi="Calibri" w:cs="Calibri"/>
          <w:i/>
          <w:iCs/>
          <w:szCs w:val="20"/>
          <w:vertAlign w:val="superscript"/>
        </w:rPr>
        <w:t>2</w:t>
      </w:r>
      <w:r w:rsidRPr="0062361B">
        <w:rPr>
          <w:rFonts w:ascii="Calibri" w:hAnsi="Calibri" w:cs="Calibri"/>
          <w:i/>
          <w:iCs/>
          <w:szCs w:val="20"/>
        </w:rPr>
        <w:t>= 98.921</w:t>
      </w:r>
    </w:p>
    <w:p w14:paraId="4248930E" w14:textId="77777777" w:rsidR="00CF618B" w:rsidRDefault="00CF618B" w:rsidP="00CF618B">
      <w:pPr>
        <w:adjustRightInd w:val="0"/>
        <w:contextualSpacing/>
        <w:rPr>
          <w:rFonts w:ascii="Calibri" w:hAnsi="Calibri" w:cs="Calibri"/>
          <w:i/>
          <w:iCs/>
          <w:szCs w:val="20"/>
        </w:rPr>
      </w:pPr>
    </w:p>
    <w:p w14:paraId="753E6550" w14:textId="77777777" w:rsidR="00CF618B" w:rsidRPr="0062361B" w:rsidRDefault="00CF618B" w:rsidP="00CF618B">
      <w:pPr>
        <w:adjustRightInd w:val="0"/>
        <w:contextualSpacing/>
        <w:rPr>
          <w:rFonts w:ascii="Calibri" w:hAnsi="Calibri" w:cs="Calibri"/>
          <w:i/>
          <w:iCs/>
          <w:szCs w:val="20"/>
        </w:rPr>
      </w:pPr>
      <w:r w:rsidRPr="0062361B">
        <w:rPr>
          <w:rFonts w:ascii="Calibri" w:hAnsi="Calibri" w:cs="Calibri"/>
          <w:i/>
          <w:iCs/>
          <w:szCs w:val="20"/>
        </w:rPr>
        <w:t>QoL questionnaires included The Comprehensive Quality of Life Scale – Intellectual/Cognitive Disability (Cummins, 1997), Quality of Life Questionnaire (Schalock &amp; Keith, 1993), The Mood, Interest and Pleasure Questionnaire (Ross &amp; Oliver, 2003), the objective measure developed by Grierson (unpublished MSc dissertation, Grierson, 2006).</w:t>
      </w:r>
    </w:p>
    <w:p w14:paraId="75C1971C" w14:textId="77777777" w:rsidR="00CF618B" w:rsidRDefault="00CF618B" w:rsidP="00CF618B">
      <w:pPr>
        <w:contextualSpacing/>
        <w:rPr>
          <w:rFonts w:ascii="Times" w:hAnsi="Times" w:cs="Times"/>
          <w:sz w:val="24"/>
          <w:szCs w:val="24"/>
        </w:rPr>
      </w:pPr>
    </w:p>
    <w:p w14:paraId="1ECF007D" w14:textId="77777777" w:rsidR="00CF618B" w:rsidRPr="008128AC" w:rsidRDefault="00CF618B" w:rsidP="00CF618B">
      <w:pPr>
        <w:rPr>
          <w:rFonts w:ascii="Calibri" w:hAnsi="Calibri" w:cs="Calibri"/>
          <w:b/>
          <w:bCs/>
        </w:rPr>
      </w:pPr>
      <w:r w:rsidRPr="0062361B">
        <w:rPr>
          <w:rFonts w:ascii="Calibri" w:hAnsi="Calibri" w:cs="Calibri"/>
          <w:b/>
          <w:bCs/>
        </w:rPr>
        <w:t xml:space="preserve">Figure 2. </w:t>
      </w:r>
      <w:r>
        <w:rPr>
          <w:rFonts w:ascii="Calibri" w:hAnsi="Calibri" w:cs="Calibri"/>
          <w:b/>
          <w:bCs/>
        </w:rPr>
        <w:t xml:space="preserve">Meta-analysis of QoL </w:t>
      </w:r>
      <w:r w:rsidRPr="00BA3946">
        <w:rPr>
          <w:rFonts w:ascii="Calibri" w:hAnsi="Calibri" w:cs="Calibri"/>
          <w:b/>
          <w:bCs/>
        </w:rPr>
        <w:t>of adults who transition</w:t>
      </w:r>
      <w:r>
        <w:rPr>
          <w:rFonts w:ascii="Calibri" w:hAnsi="Calibri" w:cs="Calibri"/>
          <w:b/>
          <w:bCs/>
        </w:rPr>
        <w:t>ed</w:t>
      </w:r>
      <w:r w:rsidRPr="00BA3946">
        <w:rPr>
          <w:rFonts w:ascii="Calibri" w:hAnsi="Calibri" w:cs="Calibri"/>
          <w:b/>
          <w:bCs/>
        </w:rPr>
        <w:t xml:space="preserve"> from institution to community-based accommodation (</w:t>
      </w:r>
      <w:r>
        <w:rPr>
          <w:rFonts w:ascii="Calibri" w:hAnsi="Calibri" w:cs="Calibri"/>
          <w:b/>
          <w:bCs/>
        </w:rPr>
        <w:t>12</w:t>
      </w:r>
      <w:r w:rsidRPr="00BA3946">
        <w:rPr>
          <w:rFonts w:ascii="Calibri" w:hAnsi="Calibri" w:cs="Calibri"/>
          <w:b/>
          <w:bCs/>
        </w:rPr>
        <w:t>-month follow-up)</w:t>
      </w:r>
    </w:p>
    <w:p w14:paraId="065283DF" w14:textId="77777777" w:rsidR="00CF618B" w:rsidRDefault="00CF618B" w:rsidP="00CF618B">
      <w:pPr>
        <w:contextualSpacing/>
        <w:rPr>
          <w:rFonts w:ascii="Times" w:hAnsi="Times" w:cs="Times"/>
          <w:sz w:val="24"/>
          <w:szCs w:val="24"/>
        </w:rPr>
      </w:pPr>
      <w:r>
        <w:rPr>
          <w:rFonts w:ascii="Times" w:hAnsi="Times" w:cs="Times"/>
          <w:noProof/>
          <w:sz w:val="24"/>
          <w:szCs w:val="24"/>
          <w:lang w:val="en-AU" w:eastAsia="en-AU"/>
        </w:rPr>
        <w:drawing>
          <wp:inline distT="0" distB="0" distL="0" distR="0" wp14:anchorId="4C237CFD" wp14:editId="087EC197">
            <wp:extent cx="6187001" cy="1885950"/>
            <wp:effectExtent l="0" t="0" r="444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204284" cy="1891218"/>
                    </a:xfrm>
                    <a:prstGeom prst="rect">
                      <a:avLst/>
                    </a:prstGeom>
                    <a:noFill/>
                    <a:ln>
                      <a:noFill/>
                    </a:ln>
                  </pic:spPr>
                </pic:pic>
              </a:graphicData>
            </a:graphic>
          </wp:inline>
        </w:drawing>
      </w:r>
    </w:p>
    <w:p w14:paraId="2699A7ED" w14:textId="77777777" w:rsidR="00CF618B" w:rsidRDefault="00CF618B" w:rsidP="00CF618B">
      <w:pPr>
        <w:contextualSpacing/>
        <w:rPr>
          <w:rFonts w:ascii="Times" w:hAnsi="Times" w:cs="Times"/>
          <w:sz w:val="24"/>
          <w:szCs w:val="24"/>
        </w:rPr>
      </w:pPr>
    </w:p>
    <w:p w14:paraId="6FCC057D" w14:textId="77777777" w:rsidR="00CF618B" w:rsidRPr="000E5640" w:rsidRDefault="00CF618B" w:rsidP="00CF618B">
      <w:pPr>
        <w:pStyle w:val="ListParagraph"/>
        <w:widowControl w:val="0"/>
        <w:numPr>
          <w:ilvl w:val="0"/>
          <w:numId w:val="22"/>
        </w:numPr>
        <w:wordWrap w:val="0"/>
        <w:autoSpaceDE w:val="0"/>
        <w:autoSpaceDN w:val="0"/>
        <w:spacing w:after="160" w:line="259" w:lineRule="auto"/>
        <w:jc w:val="both"/>
        <w:rPr>
          <w:rFonts w:ascii="Calibri" w:hAnsi="Calibri" w:cs="Calibri"/>
          <w:b/>
          <w:bCs/>
        </w:rPr>
      </w:pPr>
      <w:r w:rsidRPr="000E5640">
        <w:rPr>
          <w:rFonts w:ascii="Calibri" w:hAnsi="Calibri" w:cs="Calibri"/>
          <w:b/>
          <w:bCs/>
        </w:rPr>
        <w:t xml:space="preserve">Meta-analysis of overall quality of life (QoL), choice, community integration and maladaptive behaviour in adults </w:t>
      </w:r>
      <w:bookmarkStart w:id="88" w:name="_Hlk63296159"/>
      <w:r w:rsidRPr="000E5640">
        <w:rPr>
          <w:rFonts w:ascii="Calibri" w:hAnsi="Calibri" w:cs="Calibri"/>
          <w:b/>
          <w:bCs/>
        </w:rPr>
        <w:t xml:space="preserve">transitioning </w:t>
      </w:r>
      <w:r>
        <w:rPr>
          <w:rFonts w:ascii="Calibri" w:hAnsi="Calibri" w:cs="Calibri"/>
          <w:b/>
          <w:bCs/>
        </w:rPr>
        <w:t xml:space="preserve">from institution </w:t>
      </w:r>
      <w:r w:rsidRPr="000E5640">
        <w:rPr>
          <w:rFonts w:ascii="Calibri" w:hAnsi="Calibri" w:cs="Calibri"/>
          <w:b/>
          <w:bCs/>
        </w:rPr>
        <w:t>to de-congregated settings</w:t>
      </w:r>
    </w:p>
    <w:bookmarkEnd w:id="88"/>
    <w:p w14:paraId="00FB76D0" w14:textId="77777777" w:rsidR="00CF618B" w:rsidRPr="008128AC" w:rsidRDefault="00CF618B" w:rsidP="00CF618B">
      <w:pPr>
        <w:rPr>
          <w:rFonts w:ascii="Calibri" w:hAnsi="Calibri" w:cs="Calibri"/>
        </w:rPr>
      </w:pPr>
      <w:r w:rsidRPr="008128AC">
        <w:rPr>
          <w:rFonts w:ascii="Calibri" w:hAnsi="Calibri" w:cs="Calibri"/>
        </w:rPr>
        <w:t>Random effect models were applied in meta-analyses of QoL, choice and community integration as included studies reported high heterogeneity (I</w:t>
      </w:r>
      <w:r w:rsidRPr="008128AC">
        <w:rPr>
          <w:rFonts w:ascii="Calibri" w:hAnsi="Calibri" w:cs="Calibri"/>
          <w:vertAlign w:val="superscript"/>
        </w:rPr>
        <w:t>2</w:t>
      </w:r>
      <w:r w:rsidRPr="008128AC">
        <w:rPr>
          <w:rFonts w:ascii="Calibri" w:hAnsi="Calibri" w:cs="Calibri"/>
        </w:rPr>
        <w:t xml:space="preserve"> = 81.91%, 73.02%, 70.17%, respectively)</w:t>
      </w:r>
      <w:r>
        <w:rPr>
          <w:rFonts w:ascii="Calibri" w:hAnsi="Calibri" w:cs="Calibri"/>
        </w:rPr>
        <w:t xml:space="preserve">. The </w:t>
      </w:r>
      <w:r w:rsidRPr="008128AC">
        <w:rPr>
          <w:rFonts w:ascii="Calibri" w:hAnsi="Calibri" w:cs="Calibri"/>
        </w:rPr>
        <w:t>fixed effect</w:t>
      </w:r>
      <w:r>
        <w:rPr>
          <w:rFonts w:ascii="Calibri" w:hAnsi="Calibri" w:cs="Calibri"/>
        </w:rPr>
        <w:t>s</w:t>
      </w:r>
      <w:r w:rsidRPr="008128AC">
        <w:rPr>
          <w:rFonts w:ascii="Calibri" w:hAnsi="Calibri" w:cs="Calibri"/>
        </w:rPr>
        <w:t xml:space="preserve"> model was used in the meta-analysis of maladaptive behaviour (I</w:t>
      </w:r>
      <w:r w:rsidRPr="008128AC">
        <w:rPr>
          <w:rFonts w:ascii="Calibri" w:hAnsi="Calibri" w:cs="Calibri"/>
          <w:vertAlign w:val="superscript"/>
        </w:rPr>
        <w:t>2</w:t>
      </w:r>
      <w:r w:rsidRPr="008128AC">
        <w:rPr>
          <w:rFonts w:ascii="Calibri" w:hAnsi="Calibri" w:cs="Calibri"/>
        </w:rPr>
        <w:t xml:space="preserve"> = 19.75%). The meta-analyses showed that adults who </w:t>
      </w:r>
      <w:r>
        <w:rPr>
          <w:rFonts w:ascii="Calibri" w:hAnsi="Calibri" w:cs="Calibri"/>
        </w:rPr>
        <w:t>transitioned</w:t>
      </w:r>
      <w:r w:rsidRPr="008128AC">
        <w:rPr>
          <w:rFonts w:ascii="Calibri" w:hAnsi="Calibri" w:cs="Calibri"/>
        </w:rPr>
        <w:t xml:space="preserve"> in </w:t>
      </w:r>
      <w:r>
        <w:rPr>
          <w:rFonts w:ascii="Calibri" w:hAnsi="Calibri" w:cs="Calibri"/>
        </w:rPr>
        <w:t xml:space="preserve">de-congregated settings, </w:t>
      </w:r>
      <w:r w:rsidRPr="008128AC">
        <w:rPr>
          <w:rFonts w:ascii="Calibri" w:hAnsi="Calibri" w:cs="Calibri"/>
        </w:rPr>
        <w:t xml:space="preserve">had significantly higher QoL (g = -0.800 95% CI -1.005 to -0.596), </w:t>
      </w:r>
      <w:r>
        <w:rPr>
          <w:rFonts w:ascii="Calibri" w:hAnsi="Calibri" w:cs="Calibri"/>
        </w:rPr>
        <w:t xml:space="preserve">less </w:t>
      </w:r>
      <w:r w:rsidRPr="008128AC">
        <w:rPr>
          <w:rFonts w:ascii="Calibri" w:hAnsi="Calibri" w:cs="Calibri"/>
        </w:rPr>
        <w:t xml:space="preserve">maladaptive behaviour problems (g = 0.623 95% CI 0.414 to 0.833), </w:t>
      </w:r>
      <w:r>
        <w:rPr>
          <w:rFonts w:ascii="Calibri" w:hAnsi="Calibri" w:cs="Calibri"/>
        </w:rPr>
        <w:t xml:space="preserve">greater </w:t>
      </w:r>
      <w:r w:rsidRPr="008128AC">
        <w:rPr>
          <w:rFonts w:ascii="Calibri" w:hAnsi="Calibri" w:cs="Calibri"/>
        </w:rPr>
        <w:t xml:space="preserve">choice (g = -1.815 95% CI -2.118 to -1.512) and </w:t>
      </w:r>
      <w:r>
        <w:rPr>
          <w:rFonts w:ascii="Calibri" w:hAnsi="Calibri" w:cs="Calibri"/>
        </w:rPr>
        <w:t xml:space="preserve">better </w:t>
      </w:r>
      <w:r w:rsidRPr="008128AC">
        <w:rPr>
          <w:rFonts w:ascii="Calibri" w:hAnsi="Calibri" w:cs="Calibri"/>
        </w:rPr>
        <w:t xml:space="preserve">community integration (g = -0.683 95% CI -0.916 to -0.450) </w:t>
      </w:r>
      <w:r>
        <w:rPr>
          <w:rFonts w:ascii="Calibri" w:hAnsi="Calibri" w:cs="Calibri"/>
        </w:rPr>
        <w:t>compared to</w:t>
      </w:r>
      <w:r w:rsidRPr="008128AC">
        <w:rPr>
          <w:rFonts w:ascii="Calibri" w:hAnsi="Calibri" w:cs="Calibri"/>
        </w:rPr>
        <w:t xml:space="preserve"> those who lived in </w:t>
      </w:r>
      <w:r>
        <w:rPr>
          <w:rFonts w:ascii="Calibri" w:hAnsi="Calibri" w:cs="Calibri"/>
        </w:rPr>
        <w:t xml:space="preserve">an </w:t>
      </w:r>
      <w:r w:rsidRPr="008128AC">
        <w:rPr>
          <w:rFonts w:ascii="Calibri" w:hAnsi="Calibri" w:cs="Calibri"/>
        </w:rPr>
        <w:t>institution (p &lt; 0.001), regardless of their</w:t>
      </w:r>
      <w:r>
        <w:rPr>
          <w:rFonts w:ascii="Calibri" w:hAnsi="Calibri" w:cs="Calibri"/>
        </w:rPr>
        <w:t xml:space="preserve"> specific </w:t>
      </w:r>
      <w:r w:rsidRPr="008128AC">
        <w:rPr>
          <w:rFonts w:ascii="Calibri" w:hAnsi="Calibri" w:cs="Calibri"/>
        </w:rPr>
        <w:t>type of accommodation (group home or residential home).</w:t>
      </w:r>
    </w:p>
    <w:p w14:paraId="24156F31" w14:textId="77777777" w:rsidR="00961495" w:rsidRDefault="00961495">
      <w:pPr>
        <w:rPr>
          <w:rFonts w:ascii="Calibri" w:hAnsi="Calibri" w:cs="Calibri"/>
          <w:b/>
          <w:bCs/>
        </w:rPr>
      </w:pPr>
      <w:r>
        <w:rPr>
          <w:rFonts w:ascii="Calibri" w:hAnsi="Calibri" w:cs="Calibri"/>
          <w:b/>
          <w:bCs/>
        </w:rPr>
        <w:br w:type="page"/>
      </w:r>
    </w:p>
    <w:p w14:paraId="4A09BA57" w14:textId="0A7776CE" w:rsidR="00CF618B" w:rsidRPr="000E5640" w:rsidRDefault="00CF618B" w:rsidP="00CF618B">
      <w:pPr>
        <w:rPr>
          <w:rFonts w:ascii="Calibri" w:hAnsi="Calibri" w:cs="Calibri"/>
          <w:b/>
          <w:bCs/>
        </w:rPr>
      </w:pPr>
      <w:r w:rsidRPr="000E5640">
        <w:rPr>
          <w:rFonts w:ascii="Calibri" w:hAnsi="Calibri" w:cs="Calibri"/>
          <w:b/>
          <w:bCs/>
        </w:rPr>
        <w:lastRenderedPageBreak/>
        <w:t xml:space="preserve">Table 3. </w:t>
      </w:r>
      <w:r>
        <w:rPr>
          <w:rFonts w:ascii="Calibri" w:hAnsi="Calibri" w:cs="Calibri"/>
          <w:b/>
          <w:bCs/>
        </w:rPr>
        <w:t>Meta-analysis of ‘QoL’</w:t>
      </w:r>
      <w:r w:rsidRPr="000E5640">
        <w:rPr>
          <w:rFonts w:ascii="Calibri" w:hAnsi="Calibri" w:cs="Calibri"/>
          <w:b/>
          <w:bCs/>
        </w:rPr>
        <w:t xml:space="preserve"> </w:t>
      </w:r>
      <w:r>
        <w:rPr>
          <w:rFonts w:ascii="Calibri" w:hAnsi="Calibri" w:cs="Calibri"/>
          <w:b/>
          <w:bCs/>
        </w:rPr>
        <w:t xml:space="preserve">following transition from </w:t>
      </w:r>
      <w:r w:rsidRPr="000E5640">
        <w:rPr>
          <w:rFonts w:ascii="Calibri" w:hAnsi="Calibri" w:cs="Calibri"/>
          <w:b/>
          <w:bCs/>
        </w:rPr>
        <w:t xml:space="preserve">Institution </w:t>
      </w:r>
      <w:r>
        <w:rPr>
          <w:rFonts w:ascii="Calibri" w:hAnsi="Calibri" w:cs="Calibri"/>
          <w:b/>
          <w:bCs/>
        </w:rPr>
        <w:t>to</w:t>
      </w:r>
      <w:r w:rsidRPr="000E5640">
        <w:rPr>
          <w:rFonts w:ascii="Calibri" w:hAnsi="Calibri" w:cs="Calibri"/>
          <w:b/>
          <w:bCs/>
        </w:rPr>
        <w:t xml:space="preserve"> </w:t>
      </w:r>
      <w:r>
        <w:rPr>
          <w:rFonts w:ascii="Calibri" w:hAnsi="Calibri" w:cs="Calibri"/>
          <w:b/>
          <w:bCs/>
        </w:rPr>
        <w:t>de-congregated setting</w:t>
      </w:r>
    </w:p>
    <w:tbl>
      <w:tblPr>
        <w:tblStyle w:val="TableGrid"/>
        <w:tblW w:w="0" w:type="auto"/>
        <w:jc w:val="center"/>
        <w:tblLook w:val="04A0" w:firstRow="1" w:lastRow="0" w:firstColumn="1" w:lastColumn="0" w:noHBand="0" w:noVBand="1"/>
      </w:tblPr>
      <w:tblGrid>
        <w:gridCol w:w="1476"/>
        <w:gridCol w:w="2720"/>
        <w:gridCol w:w="1218"/>
        <w:gridCol w:w="440"/>
        <w:gridCol w:w="1018"/>
        <w:gridCol w:w="440"/>
        <w:gridCol w:w="1462"/>
        <w:gridCol w:w="576"/>
      </w:tblGrid>
      <w:tr w:rsidR="00CF618B" w:rsidRPr="008128AC" w14:paraId="05AAAAFE" w14:textId="77777777" w:rsidTr="006C2AA7">
        <w:trPr>
          <w:jc w:val="center"/>
        </w:trPr>
        <w:tc>
          <w:tcPr>
            <w:tcW w:w="0" w:type="auto"/>
          </w:tcPr>
          <w:p w14:paraId="723E7EF5" w14:textId="77777777" w:rsidR="00CF618B" w:rsidRPr="008128AC" w:rsidRDefault="00CF618B" w:rsidP="006C2AA7">
            <w:pPr>
              <w:rPr>
                <w:rFonts w:ascii="Calibri" w:hAnsi="Calibri" w:cs="Calibri"/>
                <w:b/>
                <w:bCs/>
              </w:rPr>
            </w:pPr>
            <w:r w:rsidRPr="008128AC">
              <w:rPr>
                <w:rFonts w:ascii="Calibri" w:hAnsi="Calibri" w:cs="Calibri"/>
                <w:b/>
                <w:bCs/>
              </w:rPr>
              <w:t>Study</w:t>
            </w:r>
          </w:p>
        </w:tc>
        <w:tc>
          <w:tcPr>
            <w:tcW w:w="0" w:type="auto"/>
          </w:tcPr>
          <w:p w14:paraId="62998320" w14:textId="77777777" w:rsidR="00CF618B" w:rsidRPr="008128AC" w:rsidRDefault="00CF618B" w:rsidP="006C2AA7">
            <w:pPr>
              <w:rPr>
                <w:rFonts w:ascii="Calibri" w:hAnsi="Calibri" w:cs="Calibri"/>
                <w:b/>
                <w:bCs/>
              </w:rPr>
            </w:pPr>
            <w:r w:rsidRPr="008128AC">
              <w:rPr>
                <w:rFonts w:ascii="Calibri" w:hAnsi="Calibri" w:cs="Calibri"/>
                <w:b/>
                <w:bCs/>
              </w:rPr>
              <w:t>Outcome</w:t>
            </w:r>
          </w:p>
        </w:tc>
        <w:tc>
          <w:tcPr>
            <w:tcW w:w="0" w:type="auto"/>
          </w:tcPr>
          <w:p w14:paraId="364841DC" w14:textId="77777777" w:rsidR="00CF618B" w:rsidRPr="008128AC" w:rsidRDefault="00CF618B" w:rsidP="006C2AA7">
            <w:pPr>
              <w:rPr>
                <w:rFonts w:ascii="Calibri" w:hAnsi="Calibri" w:cs="Calibri"/>
                <w:b/>
                <w:bCs/>
              </w:rPr>
            </w:pPr>
            <w:r w:rsidRPr="008128AC">
              <w:rPr>
                <w:rFonts w:ascii="Calibri" w:hAnsi="Calibri" w:cs="Calibri"/>
                <w:b/>
                <w:bCs/>
              </w:rPr>
              <w:t>Institution</w:t>
            </w:r>
          </w:p>
        </w:tc>
        <w:tc>
          <w:tcPr>
            <w:tcW w:w="0" w:type="auto"/>
          </w:tcPr>
          <w:p w14:paraId="0D136998" w14:textId="77777777" w:rsidR="00CF618B" w:rsidRPr="008128AC" w:rsidRDefault="00CF618B" w:rsidP="006C2AA7">
            <w:pPr>
              <w:rPr>
                <w:rFonts w:ascii="Calibri" w:hAnsi="Calibri" w:cs="Calibri"/>
                <w:b/>
                <w:bCs/>
              </w:rPr>
            </w:pPr>
            <w:r w:rsidRPr="008128AC">
              <w:rPr>
                <w:rFonts w:ascii="Calibri" w:hAnsi="Calibri" w:cs="Calibri"/>
                <w:b/>
                <w:bCs/>
              </w:rPr>
              <w:t>N</w:t>
            </w:r>
          </w:p>
        </w:tc>
        <w:tc>
          <w:tcPr>
            <w:tcW w:w="0" w:type="auto"/>
          </w:tcPr>
          <w:p w14:paraId="3CC6A970" w14:textId="77777777" w:rsidR="00CF618B" w:rsidRPr="008128AC" w:rsidRDefault="00CF618B" w:rsidP="006C2AA7">
            <w:pPr>
              <w:rPr>
                <w:rFonts w:ascii="Calibri" w:hAnsi="Calibri" w:cs="Calibri"/>
                <w:b/>
                <w:bCs/>
              </w:rPr>
            </w:pPr>
            <w:r w:rsidRPr="008128AC">
              <w:rPr>
                <w:rFonts w:ascii="Calibri" w:hAnsi="Calibri" w:cs="Calibri"/>
                <w:b/>
                <w:bCs/>
              </w:rPr>
              <w:t>Group Home</w:t>
            </w:r>
          </w:p>
        </w:tc>
        <w:tc>
          <w:tcPr>
            <w:tcW w:w="0" w:type="auto"/>
          </w:tcPr>
          <w:p w14:paraId="2C5EF086" w14:textId="77777777" w:rsidR="00CF618B" w:rsidRPr="008128AC" w:rsidRDefault="00CF618B" w:rsidP="006C2AA7">
            <w:pPr>
              <w:rPr>
                <w:rFonts w:ascii="Calibri" w:hAnsi="Calibri" w:cs="Calibri"/>
                <w:b/>
                <w:bCs/>
              </w:rPr>
            </w:pPr>
            <w:r w:rsidRPr="008128AC">
              <w:rPr>
                <w:rFonts w:ascii="Calibri" w:hAnsi="Calibri" w:cs="Calibri"/>
                <w:b/>
                <w:bCs/>
              </w:rPr>
              <w:t>N</w:t>
            </w:r>
          </w:p>
        </w:tc>
        <w:tc>
          <w:tcPr>
            <w:tcW w:w="0" w:type="auto"/>
          </w:tcPr>
          <w:p w14:paraId="513E1F6B" w14:textId="77777777" w:rsidR="00CF618B" w:rsidRPr="008128AC" w:rsidRDefault="00CF618B" w:rsidP="006C2AA7">
            <w:pPr>
              <w:rPr>
                <w:rFonts w:ascii="Calibri" w:hAnsi="Calibri" w:cs="Calibri"/>
                <w:b/>
                <w:bCs/>
              </w:rPr>
            </w:pPr>
            <w:r w:rsidRPr="008128AC">
              <w:rPr>
                <w:rFonts w:ascii="Calibri" w:hAnsi="Calibri" w:cs="Calibri"/>
                <w:b/>
                <w:bCs/>
              </w:rPr>
              <w:t>Residential Home</w:t>
            </w:r>
          </w:p>
        </w:tc>
        <w:tc>
          <w:tcPr>
            <w:tcW w:w="576" w:type="dxa"/>
          </w:tcPr>
          <w:p w14:paraId="5748246F" w14:textId="77777777" w:rsidR="00CF618B" w:rsidRPr="008128AC" w:rsidRDefault="00CF618B" w:rsidP="006C2AA7">
            <w:pPr>
              <w:rPr>
                <w:rFonts w:ascii="Calibri" w:hAnsi="Calibri" w:cs="Calibri"/>
                <w:b/>
                <w:bCs/>
              </w:rPr>
            </w:pPr>
            <w:r w:rsidRPr="008128AC">
              <w:rPr>
                <w:rFonts w:ascii="Calibri" w:hAnsi="Calibri" w:cs="Calibri"/>
                <w:b/>
                <w:bCs/>
              </w:rPr>
              <w:t>N</w:t>
            </w:r>
          </w:p>
        </w:tc>
      </w:tr>
      <w:tr w:rsidR="00CF618B" w:rsidRPr="008128AC" w14:paraId="03C25B8A" w14:textId="77777777" w:rsidTr="006C2AA7">
        <w:trPr>
          <w:jc w:val="center"/>
        </w:trPr>
        <w:tc>
          <w:tcPr>
            <w:tcW w:w="0" w:type="auto"/>
          </w:tcPr>
          <w:p w14:paraId="7F6E7EA1" w14:textId="77777777" w:rsidR="00CF618B" w:rsidRPr="008128AC" w:rsidRDefault="00CF618B" w:rsidP="006C2AA7">
            <w:pPr>
              <w:rPr>
                <w:rFonts w:ascii="Calibri" w:hAnsi="Calibri" w:cs="Calibri"/>
              </w:rPr>
            </w:pPr>
            <w:r w:rsidRPr="008128AC">
              <w:rPr>
                <w:rFonts w:ascii="Calibri" w:hAnsi="Calibri" w:cs="Calibri"/>
              </w:rPr>
              <w:t>Chou et al 2008</w:t>
            </w:r>
          </w:p>
        </w:tc>
        <w:tc>
          <w:tcPr>
            <w:tcW w:w="0" w:type="auto"/>
          </w:tcPr>
          <w:p w14:paraId="4CFCD4B5" w14:textId="77777777" w:rsidR="00CF618B" w:rsidRPr="008128AC" w:rsidRDefault="00CF618B" w:rsidP="006C2AA7">
            <w:pPr>
              <w:rPr>
                <w:rFonts w:ascii="Calibri" w:hAnsi="Calibri" w:cs="Calibri"/>
              </w:rPr>
            </w:pPr>
            <w:r w:rsidRPr="008128AC">
              <w:rPr>
                <w:rFonts w:ascii="Calibri" w:hAnsi="Calibri" w:cs="Calibri"/>
              </w:rPr>
              <w:t>QoLQ (1993)</w:t>
            </w:r>
          </w:p>
        </w:tc>
        <w:tc>
          <w:tcPr>
            <w:tcW w:w="0" w:type="auto"/>
          </w:tcPr>
          <w:p w14:paraId="1A790517" w14:textId="77777777" w:rsidR="00CF618B" w:rsidRPr="008128AC" w:rsidRDefault="00CF618B" w:rsidP="006C2AA7">
            <w:pPr>
              <w:rPr>
                <w:rFonts w:ascii="Calibri" w:hAnsi="Calibri" w:cs="Calibri"/>
              </w:rPr>
            </w:pPr>
            <w:r w:rsidRPr="008128AC">
              <w:rPr>
                <w:rFonts w:ascii="Calibri" w:hAnsi="Calibri" w:cs="Calibri"/>
              </w:rPr>
              <w:t>72.8 (8.8)</w:t>
            </w:r>
          </w:p>
        </w:tc>
        <w:tc>
          <w:tcPr>
            <w:tcW w:w="0" w:type="auto"/>
          </w:tcPr>
          <w:p w14:paraId="2FC4F4F6" w14:textId="77777777" w:rsidR="00CF618B" w:rsidRPr="008128AC" w:rsidRDefault="00CF618B" w:rsidP="006C2AA7">
            <w:pPr>
              <w:rPr>
                <w:rFonts w:ascii="Calibri" w:hAnsi="Calibri" w:cs="Calibri"/>
              </w:rPr>
            </w:pPr>
            <w:r w:rsidRPr="008128AC">
              <w:rPr>
                <w:rFonts w:ascii="Calibri" w:hAnsi="Calibri" w:cs="Calibri"/>
              </w:rPr>
              <w:t>76</w:t>
            </w:r>
          </w:p>
        </w:tc>
        <w:tc>
          <w:tcPr>
            <w:tcW w:w="0" w:type="auto"/>
          </w:tcPr>
          <w:p w14:paraId="31F63E49" w14:textId="77777777" w:rsidR="00CF618B" w:rsidRPr="008128AC" w:rsidRDefault="00CF618B" w:rsidP="006C2AA7">
            <w:pPr>
              <w:rPr>
                <w:rFonts w:ascii="Calibri" w:hAnsi="Calibri" w:cs="Calibri"/>
              </w:rPr>
            </w:pPr>
            <w:r w:rsidRPr="008128AC">
              <w:rPr>
                <w:rFonts w:ascii="Calibri" w:hAnsi="Calibri" w:cs="Calibri"/>
              </w:rPr>
              <w:t>78.1 (10.4)</w:t>
            </w:r>
          </w:p>
        </w:tc>
        <w:tc>
          <w:tcPr>
            <w:tcW w:w="0" w:type="auto"/>
          </w:tcPr>
          <w:p w14:paraId="4EC043D8" w14:textId="77777777" w:rsidR="00CF618B" w:rsidRPr="008128AC" w:rsidRDefault="00CF618B" w:rsidP="006C2AA7">
            <w:pPr>
              <w:rPr>
                <w:rFonts w:ascii="Calibri" w:hAnsi="Calibri" w:cs="Calibri"/>
              </w:rPr>
            </w:pPr>
            <w:r w:rsidRPr="008128AC">
              <w:rPr>
                <w:rFonts w:ascii="Calibri" w:hAnsi="Calibri" w:cs="Calibri"/>
              </w:rPr>
              <w:t>69</w:t>
            </w:r>
          </w:p>
        </w:tc>
        <w:tc>
          <w:tcPr>
            <w:tcW w:w="0" w:type="auto"/>
          </w:tcPr>
          <w:p w14:paraId="40F7A0B1" w14:textId="77777777" w:rsidR="00CF618B" w:rsidRPr="008128AC" w:rsidRDefault="00CF618B" w:rsidP="006C2AA7">
            <w:pPr>
              <w:rPr>
                <w:rFonts w:ascii="Calibri" w:hAnsi="Calibri" w:cs="Calibri"/>
              </w:rPr>
            </w:pPr>
            <w:r w:rsidRPr="008128AC">
              <w:rPr>
                <w:rFonts w:ascii="Calibri" w:hAnsi="Calibri" w:cs="Calibri"/>
              </w:rPr>
              <w:t>84.2 (8.8)</w:t>
            </w:r>
          </w:p>
        </w:tc>
        <w:tc>
          <w:tcPr>
            <w:tcW w:w="576" w:type="dxa"/>
          </w:tcPr>
          <w:p w14:paraId="76DC7D5D" w14:textId="77777777" w:rsidR="00CF618B" w:rsidRPr="008128AC" w:rsidRDefault="00CF618B" w:rsidP="006C2AA7">
            <w:pPr>
              <w:rPr>
                <w:rFonts w:ascii="Calibri" w:hAnsi="Calibri" w:cs="Calibri"/>
              </w:rPr>
            </w:pPr>
            <w:r w:rsidRPr="008128AC">
              <w:rPr>
                <w:rFonts w:ascii="Calibri" w:hAnsi="Calibri" w:cs="Calibri"/>
              </w:rPr>
              <w:t>103</w:t>
            </w:r>
          </w:p>
        </w:tc>
      </w:tr>
      <w:tr w:rsidR="00CF618B" w:rsidRPr="008128AC" w14:paraId="2A070E2D" w14:textId="77777777" w:rsidTr="006C2AA7">
        <w:trPr>
          <w:jc w:val="center"/>
        </w:trPr>
        <w:tc>
          <w:tcPr>
            <w:tcW w:w="0" w:type="auto"/>
          </w:tcPr>
          <w:p w14:paraId="523E6F42" w14:textId="77777777" w:rsidR="00CF618B" w:rsidRPr="008128AC" w:rsidRDefault="00CF618B" w:rsidP="006C2AA7">
            <w:pPr>
              <w:rPr>
                <w:rFonts w:ascii="Calibri" w:hAnsi="Calibri" w:cs="Calibri"/>
              </w:rPr>
            </w:pPr>
            <w:r w:rsidRPr="008128AC">
              <w:rPr>
                <w:rFonts w:ascii="Calibri" w:hAnsi="Calibri" w:cs="Calibri"/>
              </w:rPr>
              <w:t>Cooper &amp; Picton 2000</w:t>
            </w:r>
          </w:p>
        </w:tc>
        <w:tc>
          <w:tcPr>
            <w:tcW w:w="0" w:type="auto"/>
          </w:tcPr>
          <w:p w14:paraId="403F24AC" w14:textId="77777777" w:rsidR="00CF618B" w:rsidRPr="008128AC" w:rsidRDefault="00CF618B" w:rsidP="006C2AA7">
            <w:pPr>
              <w:rPr>
                <w:rFonts w:ascii="Calibri" w:hAnsi="Calibri" w:cs="Calibri"/>
              </w:rPr>
            </w:pPr>
            <w:r w:rsidRPr="008128AC">
              <w:rPr>
                <w:rFonts w:ascii="Calibri" w:hAnsi="Calibri" w:cs="Calibri"/>
              </w:rPr>
              <w:t>QoLQ (1990)</w:t>
            </w:r>
          </w:p>
        </w:tc>
        <w:tc>
          <w:tcPr>
            <w:tcW w:w="0" w:type="auto"/>
          </w:tcPr>
          <w:p w14:paraId="516EB153" w14:textId="77777777" w:rsidR="00CF618B" w:rsidRPr="008128AC" w:rsidRDefault="00CF618B" w:rsidP="006C2AA7">
            <w:pPr>
              <w:rPr>
                <w:rFonts w:ascii="Calibri" w:hAnsi="Calibri" w:cs="Calibri"/>
              </w:rPr>
            </w:pPr>
            <w:r w:rsidRPr="008128AC">
              <w:rPr>
                <w:rFonts w:ascii="Calibri" w:hAnsi="Calibri" w:cs="Calibri"/>
              </w:rPr>
              <w:t>1.5 (0.2)</w:t>
            </w:r>
          </w:p>
        </w:tc>
        <w:tc>
          <w:tcPr>
            <w:tcW w:w="0" w:type="auto"/>
          </w:tcPr>
          <w:p w14:paraId="1E95AB00" w14:textId="77777777" w:rsidR="00CF618B" w:rsidRPr="008128AC" w:rsidRDefault="00CF618B" w:rsidP="006C2AA7">
            <w:pPr>
              <w:rPr>
                <w:rFonts w:ascii="Calibri" w:hAnsi="Calibri" w:cs="Calibri"/>
              </w:rPr>
            </w:pPr>
            <w:r w:rsidRPr="008128AC">
              <w:rPr>
                <w:rFonts w:ascii="Calibri" w:hAnsi="Calibri" w:cs="Calibri"/>
              </w:rPr>
              <w:t>19</w:t>
            </w:r>
          </w:p>
        </w:tc>
        <w:tc>
          <w:tcPr>
            <w:tcW w:w="0" w:type="auto"/>
          </w:tcPr>
          <w:p w14:paraId="6ECDDD6A" w14:textId="77777777" w:rsidR="00CF618B" w:rsidRPr="008128AC" w:rsidRDefault="00CF618B" w:rsidP="006C2AA7">
            <w:pPr>
              <w:rPr>
                <w:rFonts w:ascii="Calibri" w:hAnsi="Calibri" w:cs="Calibri"/>
              </w:rPr>
            </w:pPr>
            <w:r w:rsidRPr="008128AC">
              <w:rPr>
                <w:rFonts w:ascii="Calibri" w:hAnsi="Calibri" w:cs="Calibri"/>
              </w:rPr>
              <w:t>1.7 (0.4)</w:t>
            </w:r>
          </w:p>
        </w:tc>
        <w:tc>
          <w:tcPr>
            <w:tcW w:w="0" w:type="auto"/>
          </w:tcPr>
          <w:p w14:paraId="6AB4111C" w14:textId="77777777" w:rsidR="00CF618B" w:rsidRPr="008128AC" w:rsidRDefault="00CF618B" w:rsidP="006C2AA7">
            <w:pPr>
              <w:rPr>
                <w:rFonts w:ascii="Calibri" w:hAnsi="Calibri" w:cs="Calibri"/>
              </w:rPr>
            </w:pPr>
            <w:r w:rsidRPr="008128AC">
              <w:rPr>
                <w:rFonts w:ascii="Calibri" w:hAnsi="Calibri" w:cs="Calibri"/>
              </w:rPr>
              <w:t>26</w:t>
            </w:r>
          </w:p>
        </w:tc>
        <w:tc>
          <w:tcPr>
            <w:tcW w:w="0" w:type="auto"/>
          </w:tcPr>
          <w:p w14:paraId="190144B4" w14:textId="77777777" w:rsidR="00CF618B" w:rsidRPr="008128AC" w:rsidRDefault="00CF618B" w:rsidP="006C2AA7">
            <w:pPr>
              <w:rPr>
                <w:rFonts w:ascii="Calibri" w:hAnsi="Calibri" w:cs="Calibri"/>
              </w:rPr>
            </w:pPr>
          </w:p>
        </w:tc>
        <w:tc>
          <w:tcPr>
            <w:tcW w:w="576" w:type="dxa"/>
          </w:tcPr>
          <w:p w14:paraId="60B56596" w14:textId="77777777" w:rsidR="00CF618B" w:rsidRPr="008128AC" w:rsidRDefault="00CF618B" w:rsidP="006C2AA7">
            <w:pPr>
              <w:rPr>
                <w:rFonts w:ascii="Calibri" w:hAnsi="Calibri" w:cs="Calibri"/>
              </w:rPr>
            </w:pPr>
          </w:p>
        </w:tc>
      </w:tr>
      <w:tr w:rsidR="00CF618B" w:rsidRPr="008128AC" w14:paraId="3F2F143B" w14:textId="77777777" w:rsidTr="006C2AA7">
        <w:trPr>
          <w:jc w:val="center"/>
        </w:trPr>
        <w:tc>
          <w:tcPr>
            <w:tcW w:w="0" w:type="auto"/>
          </w:tcPr>
          <w:p w14:paraId="6BB7904A" w14:textId="77777777" w:rsidR="00CF618B" w:rsidRPr="008128AC" w:rsidRDefault="00CF618B" w:rsidP="006C2AA7">
            <w:pPr>
              <w:rPr>
                <w:rFonts w:ascii="Calibri" w:hAnsi="Calibri" w:cs="Calibri"/>
              </w:rPr>
            </w:pPr>
            <w:r w:rsidRPr="008128AC">
              <w:rPr>
                <w:rFonts w:ascii="Calibri" w:hAnsi="Calibri" w:cs="Calibri"/>
              </w:rPr>
              <w:t>Umansky et al 2003</w:t>
            </w:r>
          </w:p>
        </w:tc>
        <w:tc>
          <w:tcPr>
            <w:tcW w:w="0" w:type="auto"/>
          </w:tcPr>
          <w:p w14:paraId="7C274CB5" w14:textId="77777777" w:rsidR="00CF618B" w:rsidRPr="008128AC" w:rsidRDefault="00CF618B" w:rsidP="006C2AA7">
            <w:pPr>
              <w:rPr>
                <w:rFonts w:ascii="Calibri" w:hAnsi="Calibri" w:cs="Calibri"/>
              </w:rPr>
            </w:pPr>
            <w:r w:rsidRPr="008128AC">
              <w:rPr>
                <w:rFonts w:ascii="Calibri" w:hAnsi="Calibri" w:cs="Calibri"/>
              </w:rPr>
              <w:t>WHOQoL_Physical Wellbeing</w:t>
            </w:r>
          </w:p>
        </w:tc>
        <w:tc>
          <w:tcPr>
            <w:tcW w:w="0" w:type="auto"/>
          </w:tcPr>
          <w:p w14:paraId="0AB6B644" w14:textId="77777777" w:rsidR="00CF618B" w:rsidRPr="008128AC" w:rsidRDefault="00CF618B" w:rsidP="006C2AA7">
            <w:pPr>
              <w:rPr>
                <w:rFonts w:ascii="Calibri" w:hAnsi="Calibri" w:cs="Calibri"/>
              </w:rPr>
            </w:pPr>
            <w:r w:rsidRPr="008128AC">
              <w:rPr>
                <w:rFonts w:ascii="Calibri" w:hAnsi="Calibri" w:cs="Calibri"/>
              </w:rPr>
              <w:t>14.14 (2.1)</w:t>
            </w:r>
          </w:p>
        </w:tc>
        <w:tc>
          <w:tcPr>
            <w:tcW w:w="0" w:type="auto"/>
          </w:tcPr>
          <w:p w14:paraId="1E7B0195" w14:textId="77777777" w:rsidR="00CF618B" w:rsidRPr="008128AC" w:rsidRDefault="00CF618B" w:rsidP="006C2AA7">
            <w:pPr>
              <w:rPr>
                <w:rFonts w:ascii="Calibri" w:hAnsi="Calibri" w:cs="Calibri"/>
              </w:rPr>
            </w:pPr>
            <w:r w:rsidRPr="008128AC">
              <w:rPr>
                <w:rFonts w:ascii="Calibri" w:hAnsi="Calibri" w:cs="Calibri"/>
              </w:rPr>
              <w:t>20</w:t>
            </w:r>
          </w:p>
        </w:tc>
        <w:tc>
          <w:tcPr>
            <w:tcW w:w="0" w:type="auto"/>
          </w:tcPr>
          <w:p w14:paraId="6FF8716A" w14:textId="77777777" w:rsidR="00CF618B" w:rsidRPr="008128AC" w:rsidRDefault="00CF618B" w:rsidP="006C2AA7">
            <w:pPr>
              <w:rPr>
                <w:rFonts w:ascii="Calibri" w:hAnsi="Calibri" w:cs="Calibri"/>
              </w:rPr>
            </w:pPr>
            <w:r w:rsidRPr="008128AC">
              <w:rPr>
                <w:rFonts w:ascii="Calibri" w:hAnsi="Calibri" w:cs="Calibri"/>
              </w:rPr>
              <w:t>14.97 (2.45)</w:t>
            </w:r>
          </w:p>
        </w:tc>
        <w:tc>
          <w:tcPr>
            <w:tcW w:w="0" w:type="auto"/>
          </w:tcPr>
          <w:p w14:paraId="2923E9DE" w14:textId="77777777" w:rsidR="00CF618B" w:rsidRPr="008128AC" w:rsidRDefault="00CF618B" w:rsidP="006C2AA7">
            <w:pPr>
              <w:rPr>
                <w:rFonts w:ascii="Calibri" w:hAnsi="Calibri" w:cs="Calibri"/>
              </w:rPr>
            </w:pPr>
            <w:r w:rsidRPr="008128AC">
              <w:rPr>
                <w:rFonts w:ascii="Calibri" w:hAnsi="Calibri" w:cs="Calibri"/>
              </w:rPr>
              <w:t>16</w:t>
            </w:r>
          </w:p>
        </w:tc>
        <w:tc>
          <w:tcPr>
            <w:tcW w:w="0" w:type="auto"/>
          </w:tcPr>
          <w:p w14:paraId="61CFB4F3" w14:textId="77777777" w:rsidR="00CF618B" w:rsidRPr="008128AC" w:rsidRDefault="00CF618B" w:rsidP="006C2AA7">
            <w:pPr>
              <w:rPr>
                <w:rFonts w:ascii="Calibri" w:hAnsi="Calibri" w:cs="Calibri"/>
              </w:rPr>
            </w:pPr>
          </w:p>
        </w:tc>
        <w:tc>
          <w:tcPr>
            <w:tcW w:w="576" w:type="dxa"/>
          </w:tcPr>
          <w:p w14:paraId="785DBD2B" w14:textId="77777777" w:rsidR="00CF618B" w:rsidRPr="008128AC" w:rsidRDefault="00CF618B" w:rsidP="006C2AA7">
            <w:pPr>
              <w:rPr>
                <w:rFonts w:ascii="Calibri" w:hAnsi="Calibri" w:cs="Calibri"/>
              </w:rPr>
            </w:pPr>
          </w:p>
        </w:tc>
      </w:tr>
      <w:tr w:rsidR="00CF618B" w:rsidRPr="008128AC" w14:paraId="4D9194A5" w14:textId="77777777" w:rsidTr="006C2AA7">
        <w:trPr>
          <w:jc w:val="center"/>
        </w:trPr>
        <w:tc>
          <w:tcPr>
            <w:tcW w:w="0" w:type="auto"/>
          </w:tcPr>
          <w:p w14:paraId="0C27EDC9" w14:textId="77777777" w:rsidR="00CF618B" w:rsidRPr="008128AC" w:rsidRDefault="00CF618B" w:rsidP="006C2AA7">
            <w:pPr>
              <w:rPr>
                <w:rFonts w:ascii="Calibri" w:hAnsi="Calibri" w:cs="Calibri"/>
              </w:rPr>
            </w:pPr>
            <w:r w:rsidRPr="008128AC">
              <w:rPr>
                <w:rFonts w:ascii="Calibri" w:hAnsi="Calibri" w:cs="Calibri"/>
              </w:rPr>
              <w:t>Umansky et al 2003</w:t>
            </w:r>
          </w:p>
        </w:tc>
        <w:tc>
          <w:tcPr>
            <w:tcW w:w="0" w:type="auto"/>
          </w:tcPr>
          <w:p w14:paraId="72D9DD08" w14:textId="77777777" w:rsidR="00CF618B" w:rsidRPr="008128AC" w:rsidRDefault="00CF618B" w:rsidP="006C2AA7">
            <w:pPr>
              <w:rPr>
                <w:rFonts w:ascii="Calibri" w:hAnsi="Calibri" w:cs="Calibri"/>
              </w:rPr>
            </w:pPr>
            <w:r w:rsidRPr="008128AC">
              <w:rPr>
                <w:rFonts w:ascii="Calibri" w:hAnsi="Calibri" w:cs="Calibri"/>
              </w:rPr>
              <w:t>WHOQoL_Psychological Wellbeing</w:t>
            </w:r>
          </w:p>
        </w:tc>
        <w:tc>
          <w:tcPr>
            <w:tcW w:w="0" w:type="auto"/>
          </w:tcPr>
          <w:p w14:paraId="2B0171C5" w14:textId="77777777" w:rsidR="00CF618B" w:rsidRPr="008128AC" w:rsidRDefault="00CF618B" w:rsidP="006C2AA7">
            <w:pPr>
              <w:rPr>
                <w:rFonts w:ascii="Calibri" w:hAnsi="Calibri" w:cs="Calibri"/>
              </w:rPr>
            </w:pPr>
            <w:r w:rsidRPr="008128AC">
              <w:rPr>
                <w:rFonts w:ascii="Calibri" w:hAnsi="Calibri" w:cs="Calibri"/>
              </w:rPr>
              <w:t>12 (3.08)</w:t>
            </w:r>
          </w:p>
        </w:tc>
        <w:tc>
          <w:tcPr>
            <w:tcW w:w="0" w:type="auto"/>
          </w:tcPr>
          <w:p w14:paraId="717661C3" w14:textId="77777777" w:rsidR="00CF618B" w:rsidRPr="008128AC" w:rsidRDefault="00CF618B" w:rsidP="006C2AA7">
            <w:pPr>
              <w:rPr>
                <w:rFonts w:ascii="Calibri" w:hAnsi="Calibri" w:cs="Calibri"/>
              </w:rPr>
            </w:pPr>
            <w:r w:rsidRPr="008128AC">
              <w:rPr>
                <w:rFonts w:ascii="Calibri" w:hAnsi="Calibri" w:cs="Calibri"/>
              </w:rPr>
              <w:t>20</w:t>
            </w:r>
          </w:p>
        </w:tc>
        <w:tc>
          <w:tcPr>
            <w:tcW w:w="0" w:type="auto"/>
          </w:tcPr>
          <w:p w14:paraId="659175D1" w14:textId="77777777" w:rsidR="00CF618B" w:rsidRPr="008128AC" w:rsidRDefault="00CF618B" w:rsidP="006C2AA7">
            <w:pPr>
              <w:rPr>
                <w:rFonts w:ascii="Calibri" w:hAnsi="Calibri" w:cs="Calibri"/>
              </w:rPr>
            </w:pPr>
            <w:r w:rsidRPr="008128AC">
              <w:rPr>
                <w:rFonts w:ascii="Calibri" w:hAnsi="Calibri" w:cs="Calibri"/>
              </w:rPr>
              <w:t>12.49 (2.93)</w:t>
            </w:r>
          </w:p>
        </w:tc>
        <w:tc>
          <w:tcPr>
            <w:tcW w:w="0" w:type="auto"/>
          </w:tcPr>
          <w:p w14:paraId="1861B60F" w14:textId="77777777" w:rsidR="00CF618B" w:rsidRPr="008128AC" w:rsidRDefault="00CF618B" w:rsidP="006C2AA7">
            <w:pPr>
              <w:rPr>
                <w:rFonts w:ascii="Calibri" w:hAnsi="Calibri" w:cs="Calibri"/>
              </w:rPr>
            </w:pPr>
            <w:r w:rsidRPr="008128AC">
              <w:rPr>
                <w:rFonts w:ascii="Calibri" w:hAnsi="Calibri" w:cs="Calibri"/>
              </w:rPr>
              <w:t>16</w:t>
            </w:r>
          </w:p>
        </w:tc>
        <w:tc>
          <w:tcPr>
            <w:tcW w:w="0" w:type="auto"/>
          </w:tcPr>
          <w:p w14:paraId="77921CD6" w14:textId="77777777" w:rsidR="00CF618B" w:rsidRPr="008128AC" w:rsidRDefault="00CF618B" w:rsidP="006C2AA7">
            <w:pPr>
              <w:rPr>
                <w:rFonts w:ascii="Calibri" w:hAnsi="Calibri" w:cs="Calibri"/>
              </w:rPr>
            </w:pPr>
          </w:p>
        </w:tc>
        <w:tc>
          <w:tcPr>
            <w:tcW w:w="576" w:type="dxa"/>
          </w:tcPr>
          <w:p w14:paraId="3B693135" w14:textId="77777777" w:rsidR="00CF618B" w:rsidRPr="008128AC" w:rsidRDefault="00CF618B" w:rsidP="006C2AA7">
            <w:pPr>
              <w:rPr>
                <w:rFonts w:ascii="Calibri" w:hAnsi="Calibri" w:cs="Calibri"/>
              </w:rPr>
            </w:pPr>
          </w:p>
        </w:tc>
      </w:tr>
      <w:tr w:rsidR="00CF618B" w:rsidRPr="008128AC" w14:paraId="08ADF20C" w14:textId="77777777" w:rsidTr="006C2AA7">
        <w:trPr>
          <w:jc w:val="center"/>
        </w:trPr>
        <w:tc>
          <w:tcPr>
            <w:tcW w:w="0" w:type="auto"/>
          </w:tcPr>
          <w:p w14:paraId="65006856" w14:textId="77777777" w:rsidR="00CF618B" w:rsidRPr="008128AC" w:rsidRDefault="00CF618B" w:rsidP="006C2AA7">
            <w:pPr>
              <w:rPr>
                <w:rFonts w:ascii="Calibri" w:hAnsi="Calibri" w:cs="Calibri"/>
              </w:rPr>
            </w:pPr>
            <w:r w:rsidRPr="008128AC">
              <w:rPr>
                <w:rFonts w:ascii="Calibri" w:hAnsi="Calibri" w:cs="Calibri"/>
              </w:rPr>
              <w:t>Umansky et al 2003</w:t>
            </w:r>
          </w:p>
        </w:tc>
        <w:tc>
          <w:tcPr>
            <w:tcW w:w="0" w:type="auto"/>
          </w:tcPr>
          <w:p w14:paraId="5BAFA8BF" w14:textId="77777777" w:rsidR="00CF618B" w:rsidRPr="008128AC" w:rsidRDefault="00CF618B" w:rsidP="006C2AA7">
            <w:pPr>
              <w:rPr>
                <w:rFonts w:ascii="Calibri" w:hAnsi="Calibri" w:cs="Calibri"/>
              </w:rPr>
            </w:pPr>
            <w:r w:rsidRPr="008128AC">
              <w:rPr>
                <w:rFonts w:ascii="Calibri" w:hAnsi="Calibri" w:cs="Calibri"/>
              </w:rPr>
              <w:t>WHOQoL_Social</w:t>
            </w:r>
            <w:r>
              <w:rPr>
                <w:rFonts w:ascii="Calibri" w:hAnsi="Calibri" w:cs="Calibri"/>
              </w:rPr>
              <w:t xml:space="preserve"> </w:t>
            </w:r>
            <w:r w:rsidRPr="008128AC">
              <w:rPr>
                <w:rFonts w:ascii="Calibri" w:hAnsi="Calibri" w:cs="Calibri"/>
              </w:rPr>
              <w:t>Relations</w:t>
            </w:r>
          </w:p>
        </w:tc>
        <w:tc>
          <w:tcPr>
            <w:tcW w:w="0" w:type="auto"/>
          </w:tcPr>
          <w:p w14:paraId="7CE98ABD" w14:textId="77777777" w:rsidR="00CF618B" w:rsidRPr="008128AC" w:rsidRDefault="00CF618B" w:rsidP="006C2AA7">
            <w:pPr>
              <w:rPr>
                <w:rFonts w:ascii="Calibri" w:hAnsi="Calibri" w:cs="Calibri"/>
              </w:rPr>
            </w:pPr>
            <w:r w:rsidRPr="008128AC">
              <w:rPr>
                <w:rFonts w:ascii="Calibri" w:hAnsi="Calibri" w:cs="Calibri"/>
              </w:rPr>
              <w:t>13.2 (2.11)</w:t>
            </w:r>
          </w:p>
        </w:tc>
        <w:tc>
          <w:tcPr>
            <w:tcW w:w="0" w:type="auto"/>
          </w:tcPr>
          <w:p w14:paraId="267C6F52" w14:textId="77777777" w:rsidR="00CF618B" w:rsidRPr="008128AC" w:rsidRDefault="00CF618B" w:rsidP="006C2AA7">
            <w:pPr>
              <w:rPr>
                <w:rFonts w:ascii="Calibri" w:hAnsi="Calibri" w:cs="Calibri"/>
              </w:rPr>
            </w:pPr>
            <w:r w:rsidRPr="008128AC">
              <w:rPr>
                <w:rFonts w:ascii="Calibri" w:hAnsi="Calibri" w:cs="Calibri"/>
              </w:rPr>
              <w:t>20</w:t>
            </w:r>
          </w:p>
        </w:tc>
        <w:tc>
          <w:tcPr>
            <w:tcW w:w="0" w:type="auto"/>
          </w:tcPr>
          <w:p w14:paraId="0EC75D9B" w14:textId="77777777" w:rsidR="00CF618B" w:rsidRPr="008128AC" w:rsidRDefault="00CF618B" w:rsidP="006C2AA7">
            <w:pPr>
              <w:rPr>
                <w:rFonts w:ascii="Calibri" w:hAnsi="Calibri" w:cs="Calibri"/>
              </w:rPr>
            </w:pPr>
            <w:r w:rsidRPr="008128AC">
              <w:rPr>
                <w:rFonts w:ascii="Calibri" w:hAnsi="Calibri" w:cs="Calibri"/>
              </w:rPr>
              <w:t>11.21 (4.27)</w:t>
            </w:r>
          </w:p>
        </w:tc>
        <w:tc>
          <w:tcPr>
            <w:tcW w:w="0" w:type="auto"/>
          </w:tcPr>
          <w:p w14:paraId="115EBB5C" w14:textId="77777777" w:rsidR="00CF618B" w:rsidRPr="008128AC" w:rsidRDefault="00CF618B" w:rsidP="006C2AA7">
            <w:pPr>
              <w:rPr>
                <w:rFonts w:ascii="Calibri" w:hAnsi="Calibri" w:cs="Calibri"/>
              </w:rPr>
            </w:pPr>
            <w:r w:rsidRPr="008128AC">
              <w:rPr>
                <w:rFonts w:ascii="Calibri" w:hAnsi="Calibri" w:cs="Calibri"/>
              </w:rPr>
              <w:t>16</w:t>
            </w:r>
          </w:p>
        </w:tc>
        <w:tc>
          <w:tcPr>
            <w:tcW w:w="0" w:type="auto"/>
          </w:tcPr>
          <w:p w14:paraId="7A4666CD" w14:textId="77777777" w:rsidR="00CF618B" w:rsidRPr="008128AC" w:rsidRDefault="00CF618B" w:rsidP="006C2AA7">
            <w:pPr>
              <w:rPr>
                <w:rFonts w:ascii="Calibri" w:hAnsi="Calibri" w:cs="Calibri"/>
              </w:rPr>
            </w:pPr>
          </w:p>
        </w:tc>
        <w:tc>
          <w:tcPr>
            <w:tcW w:w="576" w:type="dxa"/>
          </w:tcPr>
          <w:p w14:paraId="79E2B104" w14:textId="77777777" w:rsidR="00CF618B" w:rsidRPr="008128AC" w:rsidRDefault="00CF618B" w:rsidP="006C2AA7">
            <w:pPr>
              <w:rPr>
                <w:rFonts w:ascii="Calibri" w:hAnsi="Calibri" w:cs="Calibri"/>
              </w:rPr>
            </w:pPr>
          </w:p>
        </w:tc>
      </w:tr>
      <w:tr w:rsidR="00CF618B" w:rsidRPr="008128AC" w14:paraId="5E1202C5" w14:textId="77777777" w:rsidTr="006C2AA7">
        <w:trPr>
          <w:jc w:val="center"/>
        </w:trPr>
        <w:tc>
          <w:tcPr>
            <w:tcW w:w="0" w:type="auto"/>
          </w:tcPr>
          <w:p w14:paraId="142B7920" w14:textId="77777777" w:rsidR="00CF618B" w:rsidRPr="008128AC" w:rsidRDefault="00CF618B" w:rsidP="006C2AA7">
            <w:pPr>
              <w:rPr>
                <w:rFonts w:ascii="Calibri" w:hAnsi="Calibri" w:cs="Calibri"/>
              </w:rPr>
            </w:pPr>
            <w:r w:rsidRPr="008128AC">
              <w:rPr>
                <w:rFonts w:ascii="Calibri" w:hAnsi="Calibri" w:cs="Calibri"/>
              </w:rPr>
              <w:t>Umansky et al 2003</w:t>
            </w:r>
          </w:p>
        </w:tc>
        <w:tc>
          <w:tcPr>
            <w:tcW w:w="0" w:type="auto"/>
          </w:tcPr>
          <w:p w14:paraId="62D26E08" w14:textId="77777777" w:rsidR="00CF618B" w:rsidRPr="008128AC" w:rsidRDefault="00CF618B" w:rsidP="006C2AA7">
            <w:pPr>
              <w:rPr>
                <w:rFonts w:ascii="Calibri" w:hAnsi="Calibri" w:cs="Calibri"/>
              </w:rPr>
            </w:pPr>
            <w:r w:rsidRPr="008128AC">
              <w:rPr>
                <w:rFonts w:ascii="Calibri" w:hAnsi="Calibri" w:cs="Calibri"/>
              </w:rPr>
              <w:t>WHOQoL_Environment</w:t>
            </w:r>
          </w:p>
        </w:tc>
        <w:tc>
          <w:tcPr>
            <w:tcW w:w="0" w:type="auto"/>
          </w:tcPr>
          <w:p w14:paraId="3DD40598" w14:textId="77777777" w:rsidR="00CF618B" w:rsidRPr="008128AC" w:rsidRDefault="00CF618B" w:rsidP="006C2AA7">
            <w:pPr>
              <w:rPr>
                <w:rFonts w:ascii="Calibri" w:hAnsi="Calibri" w:cs="Calibri"/>
              </w:rPr>
            </w:pPr>
            <w:r w:rsidRPr="008128AC">
              <w:rPr>
                <w:rFonts w:ascii="Calibri" w:hAnsi="Calibri" w:cs="Calibri"/>
              </w:rPr>
              <w:t>12.94 (2.38)</w:t>
            </w:r>
          </w:p>
        </w:tc>
        <w:tc>
          <w:tcPr>
            <w:tcW w:w="0" w:type="auto"/>
          </w:tcPr>
          <w:p w14:paraId="09E76626" w14:textId="77777777" w:rsidR="00CF618B" w:rsidRPr="008128AC" w:rsidRDefault="00CF618B" w:rsidP="006C2AA7">
            <w:pPr>
              <w:rPr>
                <w:rFonts w:ascii="Calibri" w:hAnsi="Calibri" w:cs="Calibri"/>
              </w:rPr>
            </w:pPr>
            <w:r w:rsidRPr="008128AC">
              <w:rPr>
                <w:rFonts w:ascii="Calibri" w:hAnsi="Calibri" w:cs="Calibri"/>
              </w:rPr>
              <w:t>20</w:t>
            </w:r>
          </w:p>
        </w:tc>
        <w:tc>
          <w:tcPr>
            <w:tcW w:w="0" w:type="auto"/>
          </w:tcPr>
          <w:p w14:paraId="0D466FB0" w14:textId="77777777" w:rsidR="00CF618B" w:rsidRPr="008128AC" w:rsidRDefault="00CF618B" w:rsidP="006C2AA7">
            <w:pPr>
              <w:rPr>
                <w:rFonts w:ascii="Calibri" w:hAnsi="Calibri" w:cs="Calibri"/>
              </w:rPr>
            </w:pPr>
            <w:r w:rsidRPr="008128AC">
              <w:rPr>
                <w:rFonts w:ascii="Calibri" w:hAnsi="Calibri" w:cs="Calibri"/>
              </w:rPr>
              <w:t>13.64 (2.43)</w:t>
            </w:r>
          </w:p>
        </w:tc>
        <w:tc>
          <w:tcPr>
            <w:tcW w:w="0" w:type="auto"/>
          </w:tcPr>
          <w:p w14:paraId="62376909" w14:textId="77777777" w:rsidR="00CF618B" w:rsidRPr="008128AC" w:rsidRDefault="00CF618B" w:rsidP="006C2AA7">
            <w:pPr>
              <w:rPr>
                <w:rFonts w:ascii="Calibri" w:hAnsi="Calibri" w:cs="Calibri"/>
              </w:rPr>
            </w:pPr>
            <w:r w:rsidRPr="008128AC">
              <w:rPr>
                <w:rFonts w:ascii="Calibri" w:hAnsi="Calibri" w:cs="Calibri"/>
              </w:rPr>
              <w:t>16</w:t>
            </w:r>
          </w:p>
        </w:tc>
        <w:tc>
          <w:tcPr>
            <w:tcW w:w="0" w:type="auto"/>
          </w:tcPr>
          <w:p w14:paraId="02C55DA8" w14:textId="77777777" w:rsidR="00CF618B" w:rsidRPr="008128AC" w:rsidRDefault="00CF618B" w:rsidP="006C2AA7">
            <w:pPr>
              <w:rPr>
                <w:rFonts w:ascii="Calibri" w:hAnsi="Calibri" w:cs="Calibri"/>
              </w:rPr>
            </w:pPr>
          </w:p>
        </w:tc>
        <w:tc>
          <w:tcPr>
            <w:tcW w:w="576" w:type="dxa"/>
          </w:tcPr>
          <w:p w14:paraId="68A6B245" w14:textId="77777777" w:rsidR="00CF618B" w:rsidRPr="008128AC" w:rsidRDefault="00CF618B" w:rsidP="006C2AA7">
            <w:pPr>
              <w:rPr>
                <w:rFonts w:ascii="Calibri" w:hAnsi="Calibri" w:cs="Calibri"/>
              </w:rPr>
            </w:pPr>
          </w:p>
        </w:tc>
      </w:tr>
    </w:tbl>
    <w:p w14:paraId="74011A27" w14:textId="77777777" w:rsidR="00CF618B" w:rsidRPr="000E5640" w:rsidRDefault="00CF618B" w:rsidP="00CF618B">
      <w:pPr>
        <w:contextualSpacing/>
        <w:rPr>
          <w:rFonts w:ascii="Calibri" w:hAnsi="Calibri" w:cs="Calibri"/>
          <w:i/>
          <w:iCs/>
        </w:rPr>
      </w:pPr>
      <w:r w:rsidRPr="000E5640">
        <w:rPr>
          <w:rFonts w:ascii="Calibri" w:hAnsi="Calibri" w:cs="Calibri"/>
          <w:i/>
          <w:iCs/>
        </w:rPr>
        <w:t>Heterogeneity: Tau</w:t>
      </w:r>
      <w:r w:rsidRPr="000E5640">
        <w:rPr>
          <w:rFonts w:ascii="Calibri" w:hAnsi="Calibri" w:cs="Calibri"/>
          <w:i/>
          <w:iCs/>
          <w:vertAlign w:val="superscript"/>
        </w:rPr>
        <w:t>2</w:t>
      </w:r>
      <w:r w:rsidRPr="000E5640">
        <w:rPr>
          <w:rFonts w:ascii="Calibri" w:hAnsi="Calibri" w:cs="Calibri"/>
          <w:i/>
          <w:iCs/>
        </w:rPr>
        <w:t xml:space="preserve"> = 0.221, df = 3, I squared = 81.908</w:t>
      </w:r>
    </w:p>
    <w:p w14:paraId="69553B28" w14:textId="77777777" w:rsidR="00CF618B" w:rsidRDefault="00CF618B" w:rsidP="00CF618B">
      <w:pPr>
        <w:rPr>
          <w:rFonts w:ascii="Calibri" w:hAnsi="Calibri" w:cs="Calibri"/>
        </w:rPr>
      </w:pPr>
    </w:p>
    <w:p w14:paraId="05CB6A71" w14:textId="77777777" w:rsidR="00CF618B" w:rsidRDefault="00CF618B" w:rsidP="00CF618B">
      <w:pPr>
        <w:rPr>
          <w:rFonts w:ascii="Calibri" w:hAnsi="Calibri" w:cs="Calibri"/>
          <w:b/>
          <w:bCs/>
        </w:rPr>
      </w:pPr>
      <w:r w:rsidRPr="000E5640">
        <w:rPr>
          <w:rFonts w:ascii="Calibri" w:hAnsi="Calibri" w:cs="Calibri"/>
          <w:b/>
          <w:bCs/>
        </w:rPr>
        <w:t xml:space="preserve">Figure 3. </w:t>
      </w:r>
      <w:r>
        <w:rPr>
          <w:rFonts w:ascii="Calibri" w:hAnsi="Calibri" w:cs="Calibri"/>
          <w:b/>
          <w:bCs/>
        </w:rPr>
        <w:t>Meta-analysis of ‘QoL’</w:t>
      </w:r>
      <w:r w:rsidRPr="000E5640">
        <w:rPr>
          <w:rFonts w:ascii="Calibri" w:hAnsi="Calibri" w:cs="Calibri"/>
          <w:b/>
          <w:bCs/>
        </w:rPr>
        <w:t xml:space="preserve"> </w:t>
      </w:r>
      <w:r>
        <w:rPr>
          <w:rFonts w:ascii="Calibri" w:hAnsi="Calibri" w:cs="Calibri"/>
          <w:b/>
          <w:bCs/>
        </w:rPr>
        <w:t xml:space="preserve">following transition from </w:t>
      </w:r>
      <w:r w:rsidRPr="000E5640">
        <w:rPr>
          <w:rFonts w:ascii="Calibri" w:hAnsi="Calibri" w:cs="Calibri"/>
          <w:b/>
          <w:bCs/>
        </w:rPr>
        <w:t xml:space="preserve">Institution </w:t>
      </w:r>
      <w:r>
        <w:rPr>
          <w:rFonts w:ascii="Calibri" w:hAnsi="Calibri" w:cs="Calibri"/>
          <w:b/>
          <w:bCs/>
        </w:rPr>
        <w:t>to</w:t>
      </w:r>
      <w:r w:rsidRPr="000E5640">
        <w:rPr>
          <w:rFonts w:ascii="Calibri" w:hAnsi="Calibri" w:cs="Calibri"/>
          <w:b/>
          <w:bCs/>
        </w:rPr>
        <w:t xml:space="preserve"> </w:t>
      </w:r>
      <w:r>
        <w:rPr>
          <w:rFonts w:ascii="Calibri" w:hAnsi="Calibri" w:cs="Calibri"/>
          <w:b/>
          <w:bCs/>
        </w:rPr>
        <w:t>de-congregated setting</w:t>
      </w:r>
    </w:p>
    <w:p w14:paraId="67BF1CA8" w14:textId="77777777" w:rsidR="00CF618B" w:rsidRDefault="00CF618B" w:rsidP="00CF618B">
      <w:pPr>
        <w:rPr>
          <w:rFonts w:ascii="Times" w:hAnsi="Times" w:cs="Times"/>
          <w:sz w:val="24"/>
          <w:szCs w:val="24"/>
        </w:rPr>
      </w:pPr>
      <w:r>
        <w:rPr>
          <w:rFonts w:ascii="Times" w:hAnsi="Times" w:cs="Times"/>
          <w:noProof/>
          <w:sz w:val="24"/>
          <w:szCs w:val="24"/>
          <w:lang w:val="en-AU" w:eastAsia="en-AU"/>
        </w:rPr>
        <w:drawing>
          <wp:inline distT="0" distB="0" distL="0" distR="0" wp14:anchorId="01D582DE" wp14:editId="770A3D49">
            <wp:extent cx="5971266" cy="17970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92379" cy="1803404"/>
                    </a:xfrm>
                    <a:prstGeom prst="rect">
                      <a:avLst/>
                    </a:prstGeom>
                    <a:noFill/>
                    <a:ln>
                      <a:noFill/>
                    </a:ln>
                  </pic:spPr>
                </pic:pic>
              </a:graphicData>
            </a:graphic>
          </wp:inline>
        </w:drawing>
      </w:r>
    </w:p>
    <w:p w14:paraId="29BB4E4C" w14:textId="77777777" w:rsidR="00CF618B" w:rsidRDefault="00CF618B" w:rsidP="00CF618B">
      <w:pPr>
        <w:contextualSpacing/>
        <w:rPr>
          <w:rFonts w:ascii="Times" w:hAnsi="Times" w:cs="Times"/>
          <w:noProof/>
          <w:sz w:val="24"/>
          <w:szCs w:val="24"/>
        </w:rPr>
      </w:pPr>
    </w:p>
    <w:p w14:paraId="11B7775A" w14:textId="77777777" w:rsidR="00CF618B" w:rsidRPr="008128AC" w:rsidRDefault="00CF618B" w:rsidP="00CF618B">
      <w:pPr>
        <w:rPr>
          <w:rFonts w:ascii="Calibri" w:hAnsi="Calibri" w:cs="Calibri"/>
        </w:rPr>
      </w:pPr>
      <w:r w:rsidRPr="000E05CB">
        <w:rPr>
          <w:rFonts w:ascii="Calibri" w:hAnsi="Calibri" w:cs="Calibri"/>
          <w:b/>
          <w:bCs/>
        </w:rPr>
        <w:t>Table 4. Meta</w:t>
      </w:r>
      <w:r>
        <w:rPr>
          <w:rFonts w:ascii="Calibri" w:hAnsi="Calibri" w:cs="Calibri"/>
          <w:b/>
          <w:bCs/>
        </w:rPr>
        <w:t>-analysis of ‘maladaptive behaviours’ comparison</w:t>
      </w:r>
      <w:r w:rsidRPr="000E5640">
        <w:rPr>
          <w:rFonts w:ascii="Calibri" w:hAnsi="Calibri" w:cs="Calibri"/>
          <w:b/>
          <w:bCs/>
        </w:rPr>
        <w:t xml:space="preserve"> </w:t>
      </w:r>
      <w:r>
        <w:rPr>
          <w:rFonts w:ascii="Calibri" w:hAnsi="Calibri" w:cs="Calibri"/>
          <w:b/>
          <w:bCs/>
        </w:rPr>
        <w:t xml:space="preserve">following transition from </w:t>
      </w:r>
      <w:r w:rsidRPr="000E5640">
        <w:rPr>
          <w:rFonts w:ascii="Calibri" w:hAnsi="Calibri" w:cs="Calibri"/>
          <w:b/>
          <w:bCs/>
        </w:rPr>
        <w:t xml:space="preserve">Institution </w:t>
      </w:r>
      <w:r>
        <w:rPr>
          <w:rFonts w:ascii="Calibri" w:hAnsi="Calibri" w:cs="Calibri"/>
          <w:b/>
          <w:bCs/>
        </w:rPr>
        <w:t>to</w:t>
      </w:r>
      <w:r w:rsidRPr="000E5640">
        <w:rPr>
          <w:rFonts w:ascii="Calibri" w:hAnsi="Calibri" w:cs="Calibri"/>
          <w:b/>
          <w:bCs/>
        </w:rPr>
        <w:t xml:space="preserve"> </w:t>
      </w:r>
      <w:r>
        <w:rPr>
          <w:rFonts w:ascii="Calibri" w:hAnsi="Calibri" w:cs="Calibri"/>
          <w:b/>
          <w:bCs/>
        </w:rPr>
        <w:t>de-congregated setting</w:t>
      </w:r>
    </w:p>
    <w:tbl>
      <w:tblPr>
        <w:tblStyle w:val="TableGrid"/>
        <w:tblW w:w="0" w:type="auto"/>
        <w:jc w:val="center"/>
        <w:tblLook w:val="04A0" w:firstRow="1" w:lastRow="0" w:firstColumn="1" w:lastColumn="0" w:noHBand="0" w:noVBand="1"/>
      </w:tblPr>
      <w:tblGrid>
        <w:gridCol w:w="1428"/>
        <w:gridCol w:w="2711"/>
        <w:gridCol w:w="1223"/>
        <w:gridCol w:w="440"/>
        <w:gridCol w:w="1044"/>
        <w:gridCol w:w="440"/>
        <w:gridCol w:w="1488"/>
        <w:gridCol w:w="576"/>
      </w:tblGrid>
      <w:tr w:rsidR="00CF618B" w:rsidRPr="008128AC" w14:paraId="0B35A238" w14:textId="77777777" w:rsidTr="006C2AA7">
        <w:trPr>
          <w:jc w:val="center"/>
        </w:trPr>
        <w:tc>
          <w:tcPr>
            <w:tcW w:w="0" w:type="auto"/>
          </w:tcPr>
          <w:p w14:paraId="466A84F2" w14:textId="77777777" w:rsidR="00CF618B" w:rsidRPr="008128AC" w:rsidRDefault="00CF618B" w:rsidP="006C2AA7">
            <w:pPr>
              <w:rPr>
                <w:rFonts w:ascii="Calibri" w:hAnsi="Calibri" w:cs="Calibri"/>
                <w:b/>
                <w:bCs/>
              </w:rPr>
            </w:pPr>
            <w:r w:rsidRPr="008128AC">
              <w:rPr>
                <w:rFonts w:ascii="Calibri" w:hAnsi="Calibri" w:cs="Calibri"/>
                <w:b/>
                <w:bCs/>
              </w:rPr>
              <w:t>Study</w:t>
            </w:r>
          </w:p>
        </w:tc>
        <w:tc>
          <w:tcPr>
            <w:tcW w:w="0" w:type="auto"/>
          </w:tcPr>
          <w:p w14:paraId="7F7B1C2A" w14:textId="77777777" w:rsidR="00CF618B" w:rsidRPr="008128AC" w:rsidRDefault="00CF618B" w:rsidP="006C2AA7">
            <w:pPr>
              <w:rPr>
                <w:rFonts w:ascii="Calibri" w:hAnsi="Calibri" w:cs="Calibri"/>
                <w:b/>
                <w:bCs/>
              </w:rPr>
            </w:pPr>
            <w:r w:rsidRPr="008128AC">
              <w:rPr>
                <w:rFonts w:ascii="Calibri" w:hAnsi="Calibri" w:cs="Calibri"/>
                <w:b/>
                <w:bCs/>
              </w:rPr>
              <w:t>Outcome</w:t>
            </w:r>
          </w:p>
        </w:tc>
        <w:tc>
          <w:tcPr>
            <w:tcW w:w="0" w:type="auto"/>
          </w:tcPr>
          <w:p w14:paraId="30F478CF" w14:textId="77777777" w:rsidR="00CF618B" w:rsidRPr="008128AC" w:rsidRDefault="00CF618B" w:rsidP="006C2AA7">
            <w:pPr>
              <w:rPr>
                <w:rFonts w:ascii="Calibri" w:hAnsi="Calibri" w:cs="Calibri"/>
                <w:b/>
                <w:bCs/>
              </w:rPr>
            </w:pPr>
            <w:r w:rsidRPr="008128AC">
              <w:rPr>
                <w:rFonts w:ascii="Calibri" w:hAnsi="Calibri" w:cs="Calibri"/>
                <w:b/>
                <w:bCs/>
              </w:rPr>
              <w:t>Institution</w:t>
            </w:r>
          </w:p>
        </w:tc>
        <w:tc>
          <w:tcPr>
            <w:tcW w:w="0" w:type="auto"/>
          </w:tcPr>
          <w:p w14:paraId="2DCB794A" w14:textId="77777777" w:rsidR="00CF618B" w:rsidRPr="008128AC" w:rsidRDefault="00CF618B" w:rsidP="006C2AA7">
            <w:pPr>
              <w:rPr>
                <w:rFonts w:ascii="Calibri" w:hAnsi="Calibri" w:cs="Calibri"/>
                <w:b/>
                <w:bCs/>
              </w:rPr>
            </w:pPr>
            <w:r w:rsidRPr="008128AC">
              <w:rPr>
                <w:rFonts w:ascii="Calibri" w:hAnsi="Calibri" w:cs="Calibri"/>
                <w:b/>
                <w:bCs/>
              </w:rPr>
              <w:t>N</w:t>
            </w:r>
          </w:p>
        </w:tc>
        <w:tc>
          <w:tcPr>
            <w:tcW w:w="0" w:type="auto"/>
          </w:tcPr>
          <w:p w14:paraId="71F8C86C" w14:textId="77777777" w:rsidR="00CF618B" w:rsidRPr="008128AC" w:rsidRDefault="00CF618B" w:rsidP="006C2AA7">
            <w:pPr>
              <w:rPr>
                <w:rFonts w:ascii="Calibri" w:hAnsi="Calibri" w:cs="Calibri"/>
                <w:b/>
                <w:bCs/>
              </w:rPr>
            </w:pPr>
            <w:r w:rsidRPr="008128AC">
              <w:rPr>
                <w:rFonts w:ascii="Calibri" w:hAnsi="Calibri" w:cs="Calibri"/>
                <w:b/>
                <w:bCs/>
              </w:rPr>
              <w:t>Group Home</w:t>
            </w:r>
          </w:p>
        </w:tc>
        <w:tc>
          <w:tcPr>
            <w:tcW w:w="0" w:type="auto"/>
          </w:tcPr>
          <w:p w14:paraId="702DCE71" w14:textId="77777777" w:rsidR="00CF618B" w:rsidRPr="008128AC" w:rsidRDefault="00CF618B" w:rsidP="006C2AA7">
            <w:pPr>
              <w:rPr>
                <w:rFonts w:ascii="Calibri" w:hAnsi="Calibri" w:cs="Calibri"/>
                <w:b/>
                <w:bCs/>
              </w:rPr>
            </w:pPr>
            <w:r w:rsidRPr="008128AC">
              <w:rPr>
                <w:rFonts w:ascii="Calibri" w:hAnsi="Calibri" w:cs="Calibri"/>
                <w:b/>
                <w:bCs/>
              </w:rPr>
              <w:t>N</w:t>
            </w:r>
          </w:p>
        </w:tc>
        <w:tc>
          <w:tcPr>
            <w:tcW w:w="0" w:type="auto"/>
          </w:tcPr>
          <w:p w14:paraId="2855C4F5" w14:textId="77777777" w:rsidR="00CF618B" w:rsidRPr="008128AC" w:rsidRDefault="00CF618B" w:rsidP="006C2AA7">
            <w:pPr>
              <w:rPr>
                <w:rFonts w:ascii="Calibri" w:hAnsi="Calibri" w:cs="Calibri"/>
                <w:b/>
                <w:bCs/>
              </w:rPr>
            </w:pPr>
            <w:r w:rsidRPr="008128AC">
              <w:rPr>
                <w:rFonts w:ascii="Calibri" w:hAnsi="Calibri" w:cs="Calibri"/>
                <w:b/>
                <w:bCs/>
              </w:rPr>
              <w:t>Residential Home</w:t>
            </w:r>
          </w:p>
        </w:tc>
        <w:tc>
          <w:tcPr>
            <w:tcW w:w="576" w:type="dxa"/>
          </w:tcPr>
          <w:p w14:paraId="7D71A0E0" w14:textId="77777777" w:rsidR="00CF618B" w:rsidRPr="008128AC" w:rsidRDefault="00CF618B" w:rsidP="006C2AA7">
            <w:pPr>
              <w:rPr>
                <w:rFonts w:ascii="Calibri" w:hAnsi="Calibri" w:cs="Calibri"/>
                <w:b/>
                <w:bCs/>
              </w:rPr>
            </w:pPr>
            <w:r w:rsidRPr="008128AC">
              <w:rPr>
                <w:rFonts w:ascii="Calibri" w:hAnsi="Calibri" w:cs="Calibri"/>
                <w:b/>
                <w:bCs/>
              </w:rPr>
              <w:t>N</w:t>
            </w:r>
          </w:p>
        </w:tc>
      </w:tr>
      <w:tr w:rsidR="00CF618B" w:rsidRPr="008128AC" w14:paraId="4A254848" w14:textId="77777777" w:rsidTr="006C2AA7">
        <w:trPr>
          <w:jc w:val="center"/>
        </w:trPr>
        <w:tc>
          <w:tcPr>
            <w:tcW w:w="0" w:type="auto"/>
          </w:tcPr>
          <w:p w14:paraId="239D071A" w14:textId="77777777" w:rsidR="00CF618B" w:rsidRPr="008128AC" w:rsidRDefault="00CF618B" w:rsidP="006C2AA7">
            <w:pPr>
              <w:rPr>
                <w:rFonts w:ascii="Calibri" w:hAnsi="Calibri" w:cs="Calibri"/>
              </w:rPr>
            </w:pPr>
            <w:r w:rsidRPr="008128AC">
              <w:rPr>
                <w:rFonts w:ascii="Calibri" w:hAnsi="Calibri" w:cs="Calibri"/>
              </w:rPr>
              <w:t>Chou et al 2008</w:t>
            </w:r>
          </w:p>
        </w:tc>
        <w:tc>
          <w:tcPr>
            <w:tcW w:w="0" w:type="auto"/>
          </w:tcPr>
          <w:p w14:paraId="5A26323B" w14:textId="77777777" w:rsidR="00CF618B" w:rsidRPr="008128AC" w:rsidRDefault="00CF618B" w:rsidP="006C2AA7">
            <w:pPr>
              <w:rPr>
                <w:rFonts w:ascii="Calibri" w:hAnsi="Calibri" w:cs="Calibri"/>
              </w:rPr>
            </w:pPr>
            <w:r w:rsidRPr="008128AC">
              <w:rPr>
                <w:rFonts w:ascii="Calibri" w:hAnsi="Calibri" w:cs="Calibri"/>
              </w:rPr>
              <w:t>ABS PART 2 Maladaptive Behaviouir Scale</w:t>
            </w:r>
          </w:p>
        </w:tc>
        <w:tc>
          <w:tcPr>
            <w:tcW w:w="0" w:type="auto"/>
          </w:tcPr>
          <w:p w14:paraId="0661EDB5" w14:textId="77777777" w:rsidR="00CF618B" w:rsidRPr="008128AC" w:rsidRDefault="00CF618B" w:rsidP="006C2AA7">
            <w:pPr>
              <w:rPr>
                <w:rFonts w:ascii="Calibri" w:hAnsi="Calibri" w:cs="Calibri"/>
              </w:rPr>
            </w:pPr>
            <w:r w:rsidRPr="008128AC">
              <w:rPr>
                <w:rFonts w:ascii="Calibri" w:hAnsi="Calibri" w:cs="Calibri"/>
              </w:rPr>
              <w:t>126.7 (46.7)</w:t>
            </w:r>
          </w:p>
        </w:tc>
        <w:tc>
          <w:tcPr>
            <w:tcW w:w="0" w:type="auto"/>
          </w:tcPr>
          <w:p w14:paraId="75E8FE49" w14:textId="77777777" w:rsidR="00CF618B" w:rsidRPr="008128AC" w:rsidRDefault="00CF618B" w:rsidP="006C2AA7">
            <w:pPr>
              <w:rPr>
                <w:rFonts w:ascii="Calibri" w:hAnsi="Calibri" w:cs="Calibri"/>
              </w:rPr>
            </w:pPr>
            <w:r w:rsidRPr="008128AC">
              <w:rPr>
                <w:rFonts w:ascii="Calibri" w:hAnsi="Calibri" w:cs="Calibri"/>
              </w:rPr>
              <w:t>76</w:t>
            </w:r>
          </w:p>
        </w:tc>
        <w:tc>
          <w:tcPr>
            <w:tcW w:w="0" w:type="auto"/>
          </w:tcPr>
          <w:p w14:paraId="067025F1" w14:textId="77777777" w:rsidR="00CF618B" w:rsidRPr="008128AC" w:rsidRDefault="00CF618B" w:rsidP="006C2AA7">
            <w:pPr>
              <w:rPr>
                <w:rFonts w:ascii="Calibri" w:hAnsi="Calibri" w:cs="Calibri"/>
              </w:rPr>
            </w:pPr>
            <w:r w:rsidRPr="008128AC">
              <w:rPr>
                <w:rFonts w:ascii="Calibri" w:hAnsi="Calibri" w:cs="Calibri"/>
              </w:rPr>
              <w:t>94.9 (52.6)</w:t>
            </w:r>
          </w:p>
        </w:tc>
        <w:tc>
          <w:tcPr>
            <w:tcW w:w="0" w:type="auto"/>
          </w:tcPr>
          <w:p w14:paraId="176C45ED" w14:textId="77777777" w:rsidR="00CF618B" w:rsidRPr="008128AC" w:rsidRDefault="00CF618B" w:rsidP="006C2AA7">
            <w:pPr>
              <w:rPr>
                <w:rFonts w:ascii="Calibri" w:hAnsi="Calibri" w:cs="Calibri"/>
              </w:rPr>
            </w:pPr>
            <w:r w:rsidRPr="008128AC">
              <w:rPr>
                <w:rFonts w:ascii="Calibri" w:hAnsi="Calibri" w:cs="Calibri"/>
              </w:rPr>
              <w:t>69</w:t>
            </w:r>
          </w:p>
        </w:tc>
        <w:tc>
          <w:tcPr>
            <w:tcW w:w="0" w:type="auto"/>
          </w:tcPr>
          <w:p w14:paraId="2FC3517E" w14:textId="77777777" w:rsidR="00CF618B" w:rsidRPr="008128AC" w:rsidRDefault="00CF618B" w:rsidP="006C2AA7">
            <w:pPr>
              <w:rPr>
                <w:rFonts w:ascii="Calibri" w:hAnsi="Calibri" w:cs="Calibri"/>
              </w:rPr>
            </w:pPr>
            <w:r w:rsidRPr="008128AC">
              <w:rPr>
                <w:rFonts w:ascii="Calibri" w:hAnsi="Calibri" w:cs="Calibri"/>
              </w:rPr>
              <w:t>91.7 (48.8)</w:t>
            </w:r>
          </w:p>
        </w:tc>
        <w:tc>
          <w:tcPr>
            <w:tcW w:w="576" w:type="dxa"/>
          </w:tcPr>
          <w:p w14:paraId="731A11AE" w14:textId="77777777" w:rsidR="00CF618B" w:rsidRPr="008128AC" w:rsidRDefault="00CF618B" w:rsidP="006C2AA7">
            <w:pPr>
              <w:rPr>
                <w:rFonts w:ascii="Calibri" w:hAnsi="Calibri" w:cs="Calibri"/>
              </w:rPr>
            </w:pPr>
            <w:r w:rsidRPr="008128AC">
              <w:rPr>
                <w:rFonts w:ascii="Calibri" w:hAnsi="Calibri" w:cs="Calibri"/>
              </w:rPr>
              <w:t>103</w:t>
            </w:r>
          </w:p>
        </w:tc>
      </w:tr>
      <w:tr w:rsidR="00CF618B" w:rsidRPr="008128AC" w14:paraId="63C2965A" w14:textId="77777777" w:rsidTr="006C2AA7">
        <w:trPr>
          <w:jc w:val="center"/>
        </w:trPr>
        <w:tc>
          <w:tcPr>
            <w:tcW w:w="0" w:type="auto"/>
          </w:tcPr>
          <w:p w14:paraId="1352C69A" w14:textId="77777777" w:rsidR="00CF618B" w:rsidRPr="008128AC" w:rsidRDefault="00CF618B" w:rsidP="006C2AA7">
            <w:pPr>
              <w:rPr>
                <w:rFonts w:ascii="Calibri" w:hAnsi="Calibri" w:cs="Calibri"/>
              </w:rPr>
            </w:pPr>
            <w:r w:rsidRPr="008128AC">
              <w:rPr>
                <w:rFonts w:ascii="Calibri" w:hAnsi="Calibri" w:cs="Calibri"/>
              </w:rPr>
              <w:t>Cooper &amp; Picton 2000</w:t>
            </w:r>
          </w:p>
        </w:tc>
        <w:tc>
          <w:tcPr>
            <w:tcW w:w="0" w:type="auto"/>
          </w:tcPr>
          <w:p w14:paraId="6999D09E" w14:textId="77777777" w:rsidR="00CF618B" w:rsidRPr="008128AC" w:rsidRDefault="00CF618B" w:rsidP="006C2AA7">
            <w:pPr>
              <w:rPr>
                <w:rFonts w:ascii="Calibri" w:hAnsi="Calibri" w:cs="Calibri"/>
              </w:rPr>
            </w:pPr>
            <w:r w:rsidRPr="008128AC">
              <w:rPr>
                <w:rFonts w:ascii="Calibri" w:hAnsi="Calibri" w:cs="Calibri"/>
              </w:rPr>
              <w:t>BDS_Maladaptive Behaviour</w:t>
            </w:r>
          </w:p>
        </w:tc>
        <w:tc>
          <w:tcPr>
            <w:tcW w:w="0" w:type="auto"/>
          </w:tcPr>
          <w:p w14:paraId="4CE532F6" w14:textId="77777777" w:rsidR="00CF618B" w:rsidRPr="008128AC" w:rsidRDefault="00CF618B" w:rsidP="006C2AA7">
            <w:pPr>
              <w:rPr>
                <w:rFonts w:ascii="Calibri" w:hAnsi="Calibri" w:cs="Calibri"/>
              </w:rPr>
            </w:pPr>
            <w:r w:rsidRPr="008128AC">
              <w:rPr>
                <w:rFonts w:ascii="Calibri" w:hAnsi="Calibri" w:cs="Calibri"/>
              </w:rPr>
              <w:t>1.8 (0.6)</w:t>
            </w:r>
          </w:p>
        </w:tc>
        <w:tc>
          <w:tcPr>
            <w:tcW w:w="0" w:type="auto"/>
          </w:tcPr>
          <w:p w14:paraId="0FE0E0FC" w14:textId="77777777" w:rsidR="00CF618B" w:rsidRPr="008128AC" w:rsidRDefault="00CF618B" w:rsidP="006C2AA7">
            <w:pPr>
              <w:rPr>
                <w:rFonts w:ascii="Calibri" w:hAnsi="Calibri" w:cs="Calibri"/>
              </w:rPr>
            </w:pPr>
            <w:r w:rsidRPr="008128AC">
              <w:rPr>
                <w:rFonts w:ascii="Calibri" w:hAnsi="Calibri" w:cs="Calibri"/>
              </w:rPr>
              <w:t>19</w:t>
            </w:r>
          </w:p>
        </w:tc>
        <w:tc>
          <w:tcPr>
            <w:tcW w:w="0" w:type="auto"/>
          </w:tcPr>
          <w:p w14:paraId="4123E050" w14:textId="77777777" w:rsidR="00CF618B" w:rsidRPr="008128AC" w:rsidRDefault="00CF618B" w:rsidP="006C2AA7">
            <w:pPr>
              <w:rPr>
                <w:rFonts w:ascii="Calibri" w:hAnsi="Calibri" w:cs="Calibri"/>
              </w:rPr>
            </w:pPr>
            <w:r w:rsidRPr="008128AC">
              <w:rPr>
                <w:rFonts w:ascii="Calibri" w:hAnsi="Calibri" w:cs="Calibri"/>
              </w:rPr>
              <w:t>1.3 (0.4)</w:t>
            </w:r>
          </w:p>
        </w:tc>
        <w:tc>
          <w:tcPr>
            <w:tcW w:w="0" w:type="auto"/>
          </w:tcPr>
          <w:p w14:paraId="186142D1" w14:textId="77777777" w:rsidR="00CF618B" w:rsidRPr="008128AC" w:rsidRDefault="00CF618B" w:rsidP="006C2AA7">
            <w:pPr>
              <w:rPr>
                <w:rFonts w:ascii="Calibri" w:hAnsi="Calibri" w:cs="Calibri"/>
              </w:rPr>
            </w:pPr>
            <w:r w:rsidRPr="008128AC">
              <w:rPr>
                <w:rFonts w:ascii="Calibri" w:hAnsi="Calibri" w:cs="Calibri"/>
              </w:rPr>
              <w:t>26</w:t>
            </w:r>
          </w:p>
        </w:tc>
        <w:tc>
          <w:tcPr>
            <w:tcW w:w="0" w:type="auto"/>
          </w:tcPr>
          <w:p w14:paraId="664D1906" w14:textId="77777777" w:rsidR="00CF618B" w:rsidRPr="008128AC" w:rsidRDefault="00CF618B" w:rsidP="006C2AA7">
            <w:pPr>
              <w:rPr>
                <w:rFonts w:ascii="Calibri" w:hAnsi="Calibri" w:cs="Calibri"/>
              </w:rPr>
            </w:pPr>
          </w:p>
        </w:tc>
        <w:tc>
          <w:tcPr>
            <w:tcW w:w="576" w:type="dxa"/>
          </w:tcPr>
          <w:p w14:paraId="36C5F7DC" w14:textId="77777777" w:rsidR="00CF618B" w:rsidRPr="008128AC" w:rsidRDefault="00CF618B" w:rsidP="006C2AA7">
            <w:pPr>
              <w:rPr>
                <w:rFonts w:ascii="Calibri" w:hAnsi="Calibri" w:cs="Calibri"/>
              </w:rPr>
            </w:pPr>
          </w:p>
        </w:tc>
      </w:tr>
    </w:tbl>
    <w:p w14:paraId="3B0ED5F5" w14:textId="77777777" w:rsidR="00CF618B" w:rsidRPr="000E05CB" w:rsidRDefault="00CF618B" w:rsidP="00CF618B">
      <w:pPr>
        <w:contextualSpacing/>
        <w:rPr>
          <w:rFonts w:ascii="Calibri" w:hAnsi="Calibri" w:cs="Calibri"/>
          <w:i/>
          <w:iCs/>
        </w:rPr>
      </w:pPr>
      <w:r w:rsidRPr="000E05CB">
        <w:rPr>
          <w:rFonts w:ascii="Calibri" w:hAnsi="Calibri" w:cs="Calibri"/>
          <w:i/>
          <w:iCs/>
        </w:rPr>
        <w:t>Heterogeneity: Tau</w:t>
      </w:r>
      <w:r w:rsidRPr="000E05CB">
        <w:rPr>
          <w:rFonts w:ascii="Calibri" w:hAnsi="Calibri" w:cs="Calibri"/>
          <w:i/>
          <w:iCs/>
          <w:vertAlign w:val="superscript"/>
        </w:rPr>
        <w:t>2</w:t>
      </w:r>
      <w:r w:rsidRPr="000E05CB">
        <w:rPr>
          <w:rFonts w:ascii="Calibri" w:hAnsi="Calibri" w:cs="Calibri"/>
          <w:i/>
          <w:iCs/>
        </w:rPr>
        <w:t>= 0.009, df = 2, I</w:t>
      </w:r>
      <w:r w:rsidRPr="000E05CB">
        <w:rPr>
          <w:rFonts w:ascii="Calibri" w:hAnsi="Calibri" w:cs="Calibri"/>
          <w:i/>
          <w:iCs/>
          <w:vertAlign w:val="superscript"/>
        </w:rPr>
        <w:t>2</w:t>
      </w:r>
      <w:r w:rsidRPr="000E05CB">
        <w:rPr>
          <w:rFonts w:ascii="Calibri" w:hAnsi="Calibri" w:cs="Calibri"/>
          <w:i/>
          <w:iCs/>
        </w:rPr>
        <w:t>= 19.749</w:t>
      </w:r>
    </w:p>
    <w:p w14:paraId="4332FAFC" w14:textId="77777777" w:rsidR="00CF618B" w:rsidRPr="008128AC" w:rsidRDefault="00CF618B" w:rsidP="00CF618B">
      <w:pPr>
        <w:contextualSpacing/>
        <w:rPr>
          <w:rFonts w:ascii="Calibri" w:hAnsi="Calibri" w:cs="Calibri"/>
        </w:rPr>
      </w:pPr>
    </w:p>
    <w:p w14:paraId="0498917B" w14:textId="77777777" w:rsidR="00961495" w:rsidRDefault="00961495">
      <w:pPr>
        <w:rPr>
          <w:rFonts w:ascii="Calibri" w:hAnsi="Calibri" w:cs="Calibri"/>
          <w:b/>
          <w:bCs/>
        </w:rPr>
      </w:pPr>
      <w:r>
        <w:rPr>
          <w:rFonts w:ascii="Calibri" w:hAnsi="Calibri" w:cs="Calibri"/>
          <w:b/>
          <w:bCs/>
        </w:rPr>
        <w:br w:type="page"/>
      </w:r>
    </w:p>
    <w:p w14:paraId="15D36D5E" w14:textId="6ACE3A1E" w:rsidR="00CF618B" w:rsidRDefault="00CF618B" w:rsidP="00CF618B">
      <w:pPr>
        <w:rPr>
          <w:rFonts w:ascii="Calibri" w:hAnsi="Calibri" w:cs="Calibri"/>
          <w:b/>
          <w:bCs/>
        </w:rPr>
      </w:pPr>
      <w:r w:rsidRPr="000E05CB">
        <w:rPr>
          <w:rFonts w:ascii="Calibri" w:hAnsi="Calibri" w:cs="Calibri"/>
          <w:b/>
          <w:bCs/>
        </w:rPr>
        <w:lastRenderedPageBreak/>
        <w:t>Figure 4</w:t>
      </w:r>
      <w:r>
        <w:rPr>
          <w:rFonts w:ascii="Calibri" w:hAnsi="Calibri" w:cs="Calibri"/>
          <w:b/>
          <w:bCs/>
        </w:rPr>
        <w:t>.</w:t>
      </w:r>
      <w:r w:rsidRPr="000E05CB">
        <w:rPr>
          <w:rFonts w:ascii="Calibri" w:hAnsi="Calibri" w:cs="Calibri"/>
          <w:b/>
          <w:bCs/>
        </w:rPr>
        <w:t xml:space="preserve"> Meta-analysis</w:t>
      </w:r>
      <w:r>
        <w:rPr>
          <w:rFonts w:ascii="Calibri" w:hAnsi="Calibri" w:cs="Calibri"/>
          <w:b/>
          <w:bCs/>
        </w:rPr>
        <w:t xml:space="preserve"> of ‘maladaptive behaviours’ comparison</w:t>
      </w:r>
      <w:r w:rsidRPr="000E5640">
        <w:rPr>
          <w:rFonts w:ascii="Calibri" w:hAnsi="Calibri" w:cs="Calibri"/>
          <w:b/>
          <w:bCs/>
        </w:rPr>
        <w:t xml:space="preserve"> </w:t>
      </w:r>
      <w:r>
        <w:rPr>
          <w:rFonts w:ascii="Calibri" w:hAnsi="Calibri" w:cs="Calibri"/>
          <w:b/>
          <w:bCs/>
        </w:rPr>
        <w:t xml:space="preserve">following transition from </w:t>
      </w:r>
      <w:r w:rsidRPr="000E5640">
        <w:rPr>
          <w:rFonts w:ascii="Calibri" w:hAnsi="Calibri" w:cs="Calibri"/>
          <w:b/>
          <w:bCs/>
        </w:rPr>
        <w:t xml:space="preserve">Institution </w:t>
      </w:r>
      <w:r>
        <w:rPr>
          <w:rFonts w:ascii="Calibri" w:hAnsi="Calibri" w:cs="Calibri"/>
          <w:b/>
          <w:bCs/>
        </w:rPr>
        <w:t>to</w:t>
      </w:r>
      <w:r w:rsidRPr="000E5640">
        <w:rPr>
          <w:rFonts w:ascii="Calibri" w:hAnsi="Calibri" w:cs="Calibri"/>
          <w:b/>
          <w:bCs/>
        </w:rPr>
        <w:t xml:space="preserve"> </w:t>
      </w:r>
      <w:r>
        <w:rPr>
          <w:rFonts w:ascii="Calibri" w:hAnsi="Calibri" w:cs="Calibri"/>
          <w:b/>
          <w:bCs/>
        </w:rPr>
        <w:t>de-congregated setting</w:t>
      </w:r>
    </w:p>
    <w:p w14:paraId="6B175E20" w14:textId="77777777" w:rsidR="00CF618B" w:rsidRPr="00CF145F" w:rsidRDefault="00CF618B" w:rsidP="00CF618B">
      <w:pPr>
        <w:rPr>
          <w:rFonts w:ascii="Times" w:hAnsi="Times" w:cs="Times"/>
          <w:sz w:val="24"/>
          <w:szCs w:val="24"/>
        </w:rPr>
      </w:pPr>
      <w:r>
        <w:rPr>
          <w:rFonts w:ascii="Times" w:hAnsi="Times" w:cs="Times"/>
          <w:noProof/>
          <w:sz w:val="24"/>
          <w:szCs w:val="24"/>
          <w:lang w:val="en-AU" w:eastAsia="en-AU"/>
        </w:rPr>
        <w:drawing>
          <wp:inline distT="0" distB="0" distL="0" distR="0" wp14:anchorId="5EDE1407" wp14:editId="08B340B7">
            <wp:extent cx="6519863" cy="16764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6535326" cy="1680376"/>
                    </a:xfrm>
                    <a:prstGeom prst="rect">
                      <a:avLst/>
                    </a:prstGeom>
                    <a:noFill/>
                    <a:ln>
                      <a:noFill/>
                    </a:ln>
                  </pic:spPr>
                </pic:pic>
              </a:graphicData>
            </a:graphic>
          </wp:inline>
        </w:drawing>
      </w:r>
    </w:p>
    <w:p w14:paraId="7A82ED8E" w14:textId="77777777" w:rsidR="00CF618B" w:rsidRDefault="00CF618B" w:rsidP="00CF618B">
      <w:pPr>
        <w:contextualSpacing/>
        <w:rPr>
          <w:rFonts w:ascii="Times" w:hAnsi="Times" w:cs="Times"/>
          <w:sz w:val="24"/>
          <w:szCs w:val="24"/>
        </w:rPr>
      </w:pPr>
    </w:p>
    <w:p w14:paraId="0BE04B36" w14:textId="77777777" w:rsidR="00CF618B" w:rsidRPr="00D46053" w:rsidRDefault="00CF618B" w:rsidP="00CF618B">
      <w:pPr>
        <w:rPr>
          <w:rFonts w:ascii="Calibri" w:hAnsi="Calibri" w:cs="Calibri"/>
          <w:b/>
          <w:bCs/>
        </w:rPr>
      </w:pPr>
      <w:r w:rsidRPr="000E05CB">
        <w:rPr>
          <w:rFonts w:ascii="Calibri" w:hAnsi="Calibri" w:cs="Calibri"/>
          <w:b/>
          <w:bCs/>
        </w:rPr>
        <w:t>Table 5</w:t>
      </w:r>
      <w:r>
        <w:rPr>
          <w:rFonts w:ascii="Calibri" w:hAnsi="Calibri" w:cs="Calibri"/>
          <w:b/>
          <w:bCs/>
        </w:rPr>
        <w:t>.</w:t>
      </w:r>
      <w:r w:rsidRPr="000E05CB">
        <w:rPr>
          <w:rFonts w:ascii="Calibri" w:hAnsi="Calibri" w:cs="Calibri"/>
          <w:b/>
          <w:bCs/>
        </w:rPr>
        <w:t xml:space="preserve"> Meta</w:t>
      </w:r>
      <w:r>
        <w:rPr>
          <w:rFonts w:ascii="Calibri" w:hAnsi="Calibri" w:cs="Calibri"/>
          <w:b/>
          <w:bCs/>
        </w:rPr>
        <w:t>-analysis of ‘choice’</w:t>
      </w:r>
      <w:r w:rsidRPr="000E5640">
        <w:rPr>
          <w:rFonts w:ascii="Calibri" w:hAnsi="Calibri" w:cs="Calibri"/>
          <w:b/>
          <w:bCs/>
        </w:rPr>
        <w:t xml:space="preserve"> </w:t>
      </w:r>
      <w:r>
        <w:rPr>
          <w:rFonts w:ascii="Calibri" w:hAnsi="Calibri" w:cs="Calibri"/>
          <w:b/>
          <w:bCs/>
        </w:rPr>
        <w:t xml:space="preserve">comparison following transition from </w:t>
      </w:r>
      <w:r w:rsidRPr="000E5640">
        <w:rPr>
          <w:rFonts w:ascii="Calibri" w:hAnsi="Calibri" w:cs="Calibri"/>
          <w:b/>
          <w:bCs/>
        </w:rPr>
        <w:t xml:space="preserve">Institution </w:t>
      </w:r>
      <w:r>
        <w:rPr>
          <w:rFonts w:ascii="Calibri" w:hAnsi="Calibri" w:cs="Calibri"/>
          <w:b/>
          <w:bCs/>
        </w:rPr>
        <w:t>to</w:t>
      </w:r>
      <w:r w:rsidRPr="000E5640">
        <w:rPr>
          <w:rFonts w:ascii="Calibri" w:hAnsi="Calibri" w:cs="Calibri"/>
          <w:b/>
          <w:bCs/>
        </w:rPr>
        <w:t xml:space="preserve"> </w:t>
      </w:r>
      <w:r>
        <w:rPr>
          <w:rFonts w:ascii="Calibri" w:hAnsi="Calibri" w:cs="Calibri"/>
          <w:b/>
          <w:bCs/>
        </w:rPr>
        <w:t>de-congregated setting</w:t>
      </w:r>
    </w:p>
    <w:tbl>
      <w:tblPr>
        <w:tblStyle w:val="TableGrid"/>
        <w:tblW w:w="0" w:type="auto"/>
        <w:jc w:val="center"/>
        <w:tblLook w:val="04A0" w:firstRow="1" w:lastRow="0" w:firstColumn="1" w:lastColumn="0" w:noHBand="0" w:noVBand="1"/>
      </w:tblPr>
      <w:tblGrid>
        <w:gridCol w:w="1247"/>
        <w:gridCol w:w="2805"/>
        <w:gridCol w:w="1175"/>
        <w:gridCol w:w="551"/>
        <w:gridCol w:w="1001"/>
        <w:gridCol w:w="551"/>
        <w:gridCol w:w="1444"/>
        <w:gridCol w:w="576"/>
      </w:tblGrid>
      <w:tr w:rsidR="00CF618B" w:rsidRPr="008128AC" w14:paraId="2F6A6431" w14:textId="77777777" w:rsidTr="006C2AA7">
        <w:trPr>
          <w:jc w:val="center"/>
        </w:trPr>
        <w:tc>
          <w:tcPr>
            <w:tcW w:w="0" w:type="auto"/>
          </w:tcPr>
          <w:p w14:paraId="36B21C60" w14:textId="77777777" w:rsidR="00CF618B" w:rsidRPr="008128AC" w:rsidRDefault="00CF618B" w:rsidP="006C2AA7">
            <w:pPr>
              <w:rPr>
                <w:rFonts w:ascii="Calibri" w:hAnsi="Calibri" w:cs="Calibri"/>
                <w:b/>
                <w:bCs/>
              </w:rPr>
            </w:pPr>
            <w:r w:rsidRPr="008128AC">
              <w:rPr>
                <w:rFonts w:ascii="Calibri" w:hAnsi="Calibri" w:cs="Calibri"/>
                <w:b/>
                <w:bCs/>
              </w:rPr>
              <w:t>Study</w:t>
            </w:r>
          </w:p>
        </w:tc>
        <w:tc>
          <w:tcPr>
            <w:tcW w:w="0" w:type="auto"/>
          </w:tcPr>
          <w:p w14:paraId="69F76CD5" w14:textId="77777777" w:rsidR="00CF618B" w:rsidRPr="008128AC" w:rsidRDefault="00CF618B" w:rsidP="006C2AA7">
            <w:pPr>
              <w:rPr>
                <w:rFonts w:ascii="Calibri" w:hAnsi="Calibri" w:cs="Calibri"/>
                <w:b/>
                <w:bCs/>
              </w:rPr>
            </w:pPr>
            <w:r w:rsidRPr="008128AC">
              <w:rPr>
                <w:rFonts w:ascii="Calibri" w:hAnsi="Calibri" w:cs="Calibri"/>
                <w:b/>
                <w:bCs/>
              </w:rPr>
              <w:t>Outcome</w:t>
            </w:r>
          </w:p>
        </w:tc>
        <w:tc>
          <w:tcPr>
            <w:tcW w:w="0" w:type="auto"/>
          </w:tcPr>
          <w:p w14:paraId="54171F0A" w14:textId="77777777" w:rsidR="00CF618B" w:rsidRPr="008128AC" w:rsidRDefault="00CF618B" w:rsidP="006C2AA7">
            <w:pPr>
              <w:rPr>
                <w:rFonts w:ascii="Calibri" w:hAnsi="Calibri" w:cs="Calibri"/>
                <w:b/>
                <w:bCs/>
              </w:rPr>
            </w:pPr>
            <w:r w:rsidRPr="008128AC">
              <w:rPr>
                <w:rFonts w:ascii="Calibri" w:hAnsi="Calibri" w:cs="Calibri"/>
                <w:b/>
                <w:bCs/>
              </w:rPr>
              <w:t>Institution</w:t>
            </w:r>
          </w:p>
        </w:tc>
        <w:tc>
          <w:tcPr>
            <w:tcW w:w="0" w:type="auto"/>
          </w:tcPr>
          <w:p w14:paraId="160E9F8C" w14:textId="77777777" w:rsidR="00CF618B" w:rsidRPr="008128AC" w:rsidRDefault="00CF618B" w:rsidP="006C2AA7">
            <w:pPr>
              <w:rPr>
                <w:rFonts w:ascii="Calibri" w:hAnsi="Calibri" w:cs="Calibri"/>
                <w:b/>
                <w:bCs/>
              </w:rPr>
            </w:pPr>
            <w:r w:rsidRPr="008128AC">
              <w:rPr>
                <w:rFonts w:ascii="Calibri" w:hAnsi="Calibri" w:cs="Calibri"/>
                <w:b/>
                <w:bCs/>
              </w:rPr>
              <w:t>N</w:t>
            </w:r>
          </w:p>
        </w:tc>
        <w:tc>
          <w:tcPr>
            <w:tcW w:w="0" w:type="auto"/>
          </w:tcPr>
          <w:p w14:paraId="4A0B7A54" w14:textId="77777777" w:rsidR="00CF618B" w:rsidRPr="008128AC" w:rsidRDefault="00CF618B" w:rsidP="006C2AA7">
            <w:pPr>
              <w:rPr>
                <w:rFonts w:ascii="Calibri" w:hAnsi="Calibri" w:cs="Calibri"/>
                <w:b/>
                <w:bCs/>
              </w:rPr>
            </w:pPr>
            <w:r w:rsidRPr="008128AC">
              <w:rPr>
                <w:rFonts w:ascii="Calibri" w:hAnsi="Calibri" w:cs="Calibri"/>
                <w:b/>
                <w:bCs/>
              </w:rPr>
              <w:t>Group Home</w:t>
            </w:r>
          </w:p>
        </w:tc>
        <w:tc>
          <w:tcPr>
            <w:tcW w:w="0" w:type="auto"/>
          </w:tcPr>
          <w:p w14:paraId="3560B265" w14:textId="77777777" w:rsidR="00CF618B" w:rsidRPr="008128AC" w:rsidRDefault="00CF618B" w:rsidP="006C2AA7">
            <w:pPr>
              <w:rPr>
                <w:rFonts w:ascii="Calibri" w:hAnsi="Calibri" w:cs="Calibri"/>
                <w:b/>
                <w:bCs/>
              </w:rPr>
            </w:pPr>
            <w:r w:rsidRPr="008128AC">
              <w:rPr>
                <w:rFonts w:ascii="Calibri" w:hAnsi="Calibri" w:cs="Calibri"/>
                <w:b/>
                <w:bCs/>
              </w:rPr>
              <w:t>N</w:t>
            </w:r>
          </w:p>
        </w:tc>
        <w:tc>
          <w:tcPr>
            <w:tcW w:w="0" w:type="auto"/>
          </w:tcPr>
          <w:p w14:paraId="59A8AA47" w14:textId="77777777" w:rsidR="00CF618B" w:rsidRPr="008128AC" w:rsidRDefault="00CF618B" w:rsidP="006C2AA7">
            <w:pPr>
              <w:rPr>
                <w:rFonts w:ascii="Calibri" w:hAnsi="Calibri" w:cs="Calibri"/>
                <w:b/>
                <w:bCs/>
              </w:rPr>
            </w:pPr>
            <w:r w:rsidRPr="008128AC">
              <w:rPr>
                <w:rFonts w:ascii="Calibri" w:hAnsi="Calibri" w:cs="Calibri"/>
                <w:b/>
                <w:bCs/>
              </w:rPr>
              <w:t>Residential Home</w:t>
            </w:r>
          </w:p>
        </w:tc>
        <w:tc>
          <w:tcPr>
            <w:tcW w:w="576" w:type="dxa"/>
          </w:tcPr>
          <w:p w14:paraId="36993A9D" w14:textId="77777777" w:rsidR="00CF618B" w:rsidRPr="008128AC" w:rsidRDefault="00CF618B" w:rsidP="006C2AA7">
            <w:pPr>
              <w:rPr>
                <w:rFonts w:ascii="Calibri" w:hAnsi="Calibri" w:cs="Calibri"/>
                <w:b/>
                <w:bCs/>
              </w:rPr>
            </w:pPr>
            <w:r w:rsidRPr="008128AC">
              <w:rPr>
                <w:rFonts w:ascii="Calibri" w:hAnsi="Calibri" w:cs="Calibri"/>
                <w:b/>
                <w:bCs/>
              </w:rPr>
              <w:t>N</w:t>
            </w:r>
          </w:p>
        </w:tc>
      </w:tr>
      <w:tr w:rsidR="00CF618B" w:rsidRPr="008128AC" w14:paraId="2F5333C9" w14:textId="77777777" w:rsidTr="006C2AA7">
        <w:trPr>
          <w:jc w:val="center"/>
        </w:trPr>
        <w:tc>
          <w:tcPr>
            <w:tcW w:w="0" w:type="auto"/>
          </w:tcPr>
          <w:p w14:paraId="1F926666" w14:textId="77777777" w:rsidR="00CF618B" w:rsidRPr="008128AC" w:rsidRDefault="00CF618B" w:rsidP="006C2AA7">
            <w:pPr>
              <w:rPr>
                <w:rFonts w:ascii="Calibri" w:hAnsi="Calibri" w:cs="Calibri"/>
              </w:rPr>
            </w:pPr>
            <w:r w:rsidRPr="008128AC">
              <w:rPr>
                <w:rFonts w:ascii="Calibri" w:hAnsi="Calibri" w:cs="Calibri"/>
              </w:rPr>
              <w:t>Chou et al 2008</w:t>
            </w:r>
          </w:p>
        </w:tc>
        <w:tc>
          <w:tcPr>
            <w:tcW w:w="0" w:type="auto"/>
          </w:tcPr>
          <w:p w14:paraId="4E6F0C2E" w14:textId="77777777" w:rsidR="00CF618B" w:rsidRPr="008128AC" w:rsidRDefault="00CF618B" w:rsidP="006C2AA7">
            <w:pPr>
              <w:rPr>
                <w:rFonts w:ascii="Calibri" w:hAnsi="Calibri" w:cs="Calibri"/>
              </w:rPr>
            </w:pPr>
            <w:r w:rsidRPr="008128AC">
              <w:rPr>
                <w:rFonts w:ascii="Calibri" w:hAnsi="Calibri" w:cs="Calibri"/>
              </w:rPr>
              <w:t>Residence Choice Assessment</w:t>
            </w:r>
          </w:p>
          <w:p w14:paraId="1533123C" w14:textId="77777777" w:rsidR="00CF618B" w:rsidRPr="008128AC" w:rsidRDefault="00CF618B" w:rsidP="006C2AA7">
            <w:pPr>
              <w:rPr>
                <w:rFonts w:ascii="Calibri" w:hAnsi="Calibri" w:cs="Calibri"/>
              </w:rPr>
            </w:pPr>
            <w:r w:rsidRPr="008128AC">
              <w:rPr>
                <w:rFonts w:ascii="Calibri" w:hAnsi="Calibri" w:cs="Calibri"/>
              </w:rPr>
              <w:t>Scale (RCAS)</w:t>
            </w:r>
          </w:p>
        </w:tc>
        <w:tc>
          <w:tcPr>
            <w:tcW w:w="0" w:type="auto"/>
          </w:tcPr>
          <w:p w14:paraId="634F533F" w14:textId="77777777" w:rsidR="00CF618B" w:rsidRPr="008128AC" w:rsidRDefault="00CF618B" w:rsidP="006C2AA7">
            <w:pPr>
              <w:rPr>
                <w:rFonts w:ascii="Calibri" w:hAnsi="Calibri" w:cs="Calibri"/>
              </w:rPr>
            </w:pPr>
            <w:r w:rsidRPr="008128AC">
              <w:rPr>
                <w:rFonts w:ascii="Calibri" w:hAnsi="Calibri" w:cs="Calibri"/>
              </w:rPr>
              <w:t>84.3 (19.8)</w:t>
            </w:r>
          </w:p>
        </w:tc>
        <w:tc>
          <w:tcPr>
            <w:tcW w:w="0" w:type="auto"/>
          </w:tcPr>
          <w:p w14:paraId="753994B7" w14:textId="77777777" w:rsidR="00CF618B" w:rsidRPr="008128AC" w:rsidRDefault="00CF618B" w:rsidP="006C2AA7">
            <w:pPr>
              <w:rPr>
                <w:rFonts w:ascii="Calibri" w:hAnsi="Calibri" w:cs="Calibri"/>
              </w:rPr>
            </w:pPr>
            <w:r w:rsidRPr="008128AC">
              <w:rPr>
                <w:rFonts w:ascii="Calibri" w:hAnsi="Calibri" w:cs="Calibri"/>
              </w:rPr>
              <w:t>76</w:t>
            </w:r>
          </w:p>
        </w:tc>
        <w:tc>
          <w:tcPr>
            <w:tcW w:w="0" w:type="auto"/>
          </w:tcPr>
          <w:p w14:paraId="3D0B21D9" w14:textId="77777777" w:rsidR="00CF618B" w:rsidRPr="008128AC" w:rsidRDefault="00CF618B" w:rsidP="006C2AA7">
            <w:pPr>
              <w:rPr>
                <w:rFonts w:ascii="Calibri" w:hAnsi="Calibri" w:cs="Calibri"/>
              </w:rPr>
            </w:pPr>
            <w:r w:rsidRPr="008128AC">
              <w:rPr>
                <w:rFonts w:ascii="Calibri" w:hAnsi="Calibri" w:cs="Calibri"/>
              </w:rPr>
              <w:t>111.7 (13.5)</w:t>
            </w:r>
          </w:p>
        </w:tc>
        <w:tc>
          <w:tcPr>
            <w:tcW w:w="0" w:type="auto"/>
          </w:tcPr>
          <w:p w14:paraId="6F1E54ED" w14:textId="77777777" w:rsidR="00CF618B" w:rsidRPr="008128AC" w:rsidRDefault="00CF618B" w:rsidP="006C2AA7">
            <w:pPr>
              <w:rPr>
                <w:rFonts w:ascii="Calibri" w:hAnsi="Calibri" w:cs="Calibri"/>
              </w:rPr>
            </w:pPr>
            <w:r w:rsidRPr="008128AC">
              <w:rPr>
                <w:rFonts w:ascii="Calibri" w:hAnsi="Calibri" w:cs="Calibri"/>
              </w:rPr>
              <w:t>69</w:t>
            </w:r>
          </w:p>
        </w:tc>
        <w:tc>
          <w:tcPr>
            <w:tcW w:w="0" w:type="auto"/>
          </w:tcPr>
          <w:p w14:paraId="79ACF2CB" w14:textId="77777777" w:rsidR="00CF618B" w:rsidRPr="008128AC" w:rsidRDefault="00CF618B" w:rsidP="006C2AA7">
            <w:pPr>
              <w:rPr>
                <w:rFonts w:ascii="Calibri" w:hAnsi="Calibri" w:cs="Calibri"/>
              </w:rPr>
            </w:pPr>
            <w:r w:rsidRPr="008128AC">
              <w:rPr>
                <w:rFonts w:ascii="Calibri" w:hAnsi="Calibri" w:cs="Calibri"/>
              </w:rPr>
              <w:t>120.9 (18.5)</w:t>
            </w:r>
          </w:p>
        </w:tc>
        <w:tc>
          <w:tcPr>
            <w:tcW w:w="576" w:type="dxa"/>
          </w:tcPr>
          <w:p w14:paraId="7AEB48C2" w14:textId="77777777" w:rsidR="00CF618B" w:rsidRPr="008128AC" w:rsidRDefault="00CF618B" w:rsidP="006C2AA7">
            <w:pPr>
              <w:rPr>
                <w:rFonts w:ascii="Calibri" w:hAnsi="Calibri" w:cs="Calibri"/>
              </w:rPr>
            </w:pPr>
            <w:r w:rsidRPr="008128AC">
              <w:rPr>
                <w:rFonts w:ascii="Calibri" w:hAnsi="Calibri" w:cs="Calibri"/>
              </w:rPr>
              <w:t>103</w:t>
            </w:r>
          </w:p>
        </w:tc>
      </w:tr>
      <w:tr w:rsidR="00CF618B" w:rsidRPr="008128AC" w14:paraId="7858F89A" w14:textId="77777777" w:rsidTr="006C2AA7">
        <w:trPr>
          <w:jc w:val="center"/>
        </w:trPr>
        <w:tc>
          <w:tcPr>
            <w:tcW w:w="0" w:type="auto"/>
          </w:tcPr>
          <w:p w14:paraId="25F682DC" w14:textId="77777777" w:rsidR="00CF618B" w:rsidRPr="008128AC" w:rsidRDefault="00CF618B" w:rsidP="006C2AA7">
            <w:pPr>
              <w:rPr>
                <w:rFonts w:ascii="Calibri" w:hAnsi="Calibri" w:cs="Calibri"/>
              </w:rPr>
            </w:pPr>
            <w:r w:rsidRPr="008128AC">
              <w:rPr>
                <w:rFonts w:ascii="Calibri" w:hAnsi="Calibri" w:cs="Calibri"/>
              </w:rPr>
              <w:t>Sheth et al 2019</w:t>
            </w:r>
          </w:p>
        </w:tc>
        <w:tc>
          <w:tcPr>
            <w:tcW w:w="0" w:type="auto"/>
          </w:tcPr>
          <w:p w14:paraId="7D06E76B" w14:textId="77777777" w:rsidR="00CF618B" w:rsidRPr="008128AC" w:rsidRDefault="00CF618B" w:rsidP="006C2AA7">
            <w:pPr>
              <w:rPr>
                <w:rFonts w:ascii="Calibri" w:hAnsi="Calibri" w:cs="Calibri"/>
              </w:rPr>
            </w:pPr>
            <w:r w:rsidRPr="008128AC">
              <w:rPr>
                <w:rFonts w:ascii="Calibri" w:hAnsi="Calibri" w:cs="Calibri"/>
              </w:rPr>
              <w:t>Choice and control over: Bedtime</w:t>
            </w:r>
          </w:p>
        </w:tc>
        <w:tc>
          <w:tcPr>
            <w:tcW w:w="0" w:type="auto"/>
          </w:tcPr>
          <w:p w14:paraId="0CE8E83D" w14:textId="77777777" w:rsidR="00CF618B" w:rsidRPr="008128AC" w:rsidRDefault="00CF618B" w:rsidP="006C2AA7">
            <w:pPr>
              <w:rPr>
                <w:rFonts w:ascii="Calibri" w:hAnsi="Calibri" w:cs="Calibri"/>
              </w:rPr>
            </w:pPr>
            <w:r w:rsidRPr="008128AC">
              <w:rPr>
                <w:rFonts w:ascii="Calibri" w:hAnsi="Calibri" w:cs="Calibri"/>
              </w:rPr>
              <w:t>86</w:t>
            </w:r>
          </w:p>
        </w:tc>
        <w:tc>
          <w:tcPr>
            <w:tcW w:w="0" w:type="auto"/>
          </w:tcPr>
          <w:p w14:paraId="5E222315" w14:textId="77777777" w:rsidR="00CF618B" w:rsidRPr="008128AC" w:rsidRDefault="00CF618B" w:rsidP="006C2AA7">
            <w:pPr>
              <w:rPr>
                <w:rFonts w:ascii="Calibri" w:hAnsi="Calibri" w:cs="Calibri"/>
              </w:rPr>
            </w:pPr>
            <w:r w:rsidRPr="008128AC">
              <w:rPr>
                <w:rFonts w:ascii="Calibri" w:hAnsi="Calibri" w:cs="Calibri"/>
              </w:rPr>
              <w:t>150</w:t>
            </w:r>
          </w:p>
        </w:tc>
        <w:tc>
          <w:tcPr>
            <w:tcW w:w="0" w:type="auto"/>
          </w:tcPr>
          <w:p w14:paraId="5EA8BBF0" w14:textId="77777777" w:rsidR="00CF618B" w:rsidRPr="008128AC" w:rsidRDefault="00CF618B" w:rsidP="006C2AA7">
            <w:pPr>
              <w:rPr>
                <w:rFonts w:ascii="Calibri" w:hAnsi="Calibri" w:cs="Calibri"/>
              </w:rPr>
            </w:pPr>
            <w:r w:rsidRPr="008128AC">
              <w:rPr>
                <w:rFonts w:ascii="Calibri" w:hAnsi="Calibri" w:cs="Calibri"/>
              </w:rPr>
              <w:t>144</w:t>
            </w:r>
          </w:p>
        </w:tc>
        <w:tc>
          <w:tcPr>
            <w:tcW w:w="0" w:type="auto"/>
          </w:tcPr>
          <w:p w14:paraId="0A3EC1D4" w14:textId="77777777" w:rsidR="00CF618B" w:rsidRPr="008128AC" w:rsidRDefault="00CF618B" w:rsidP="006C2AA7">
            <w:pPr>
              <w:rPr>
                <w:rFonts w:ascii="Calibri" w:hAnsi="Calibri" w:cs="Calibri"/>
              </w:rPr>
            </w:pPr>
            <w:r w:rsidRPr="008128AC">
              <w:rPr>
                <w:rFonts w:ascii="Calibri" w:hAnsi="Calibri" w:cs="Calibri"/>
              </w:rPr>
              <w:t>150</w:t>
            </w:r>
          </w:p>
        </w:tc>
        <w:tc>
          <w:tcPr>
            <w:tcW w:w="0" w:type="auto"/>
          </w:tcPr>
          <w:p w14:paraId="249E9B1D" w14:textId="77777777" w:rsidR="00CF618B" w:rsidRPr="008128AC" w:rsidRDefault="00CF618B" w:rsidP="006C2AA7">
            <w:pPr>
              <w:rPr>
                <w:rFonts w:ascii="Calibri" w:hAnsi="Calibri" w:cs="Calibri"/>
              </w:rPr>
            </w:pPr>
          </w:p>
        </w:tc>
        <w:tc>
          <w:tcPr>
            <w:tcW w:w="576" w:type="dxa"/>
          </w:tcPr>
          <w:p w14:paraId="73B16ABE" w14:textId="77777777" w:rsidR="00CF618B" w:rsidRPr="008128AC" w:rsidRDefault="00CF618B" w:rsidP="006C2AA7">
            <w:pPr>
              <w:rPr>
                <w:rFonts w:ascii="Calibri" w:hAnsi="Calibri" w:cs="Calibri"/>
              </w:rPr>
            </w:pPr>
          </w:p>
        </w:tc>
      </w:tr>
      <w:tr w:rsidR="00CF618B" w:rsidRPr="008128AC" w14:paraId="4BBC2848" w14:textId="77777777" w:rsidTr="006C2AA7">
        <w:trPr>
          <w:jc w:val="center"/>
        </w:trPr>
        <w:tc>
          <w:tcPr>
            <w:tcW w:w="0" w:type="auto"/>
          </w:tcPr>
          <w:p w14:paraId="08461646" w14:textId="77777777" w:rsidR="00CF618B" w:rsidRPr="008128AC" w:rsidRDefault="00CF618B" w:rsidP="006C2AA7">
            <w:pPr>
              <w:rPr>
                <w:rFonts w:ascii="Calibri" w:hAnsi="Calibri" w:cs="Calibri"/>
              </w:rPr>
            </w:pPr>
            <w:r w:rsidRPr="008128AC">
              <w:rPr>
                <w:rFonts w:ascii="Calibri" w:hAnsi="Calibri" w:cs="Calibri"/>
              </w:rPr>
              <w:t>Sheth et al 2019</w:t>
            </w:r>
          </w:p>
        </w:tc>
        <w:tc>
          <w:tcPr>
            <w:tcW w:w="0" w:type="auto"/>
          </w:tcPr>
          <w:p w14:paraId="03D12552" w14:textId="77777777" w:rsidR="00CF618B" w:rsidRPr="008128AC" w:rsidRDefault="00CF618B" w:rsidP="006C2AA7">
            <w:pPr>
              <w:rPr>
                <w:rFonts w:ascii="Calibri" w:hAnsi="Calibri" w:cs="Calibri"/>
              </w:rPr>
            </w:pPr>
            <w:r w:rsidRPr="008128AC">
              <w:rPr>
                <w:rFonts w:ascii="Calibri" w:hAnsi="Calibri" w:cs="Calibri"/>
              </w:rPr>
              <w:t>Choice and control over: Being alone</w:t>
            </w:r>
          </w:p>
        </w:tc>
        <w:tc>
          <w:tcPr>
            <w:tcW w:w="0" w:type="auto"/>
          </w:tcPr>
          <w:p w14:paraId="09915C83" w14:textId="77777777" w:rsidR="00CF618B" w:rsidRPr="008128AC" w:rsidRDefault="00CF618B" w:rsidP="006C2AA7">
            <w:pPr>
              <w:rPr>
                <w:rFonts w:ascii="Calibri" w:hAnsi="Calibri" w:cs="Calibri"/>
              </w:rPr>
            </w:pPr>
            <w:r w:rsidRPr="008128AC">
              <w:rPr>
                <w:rFonts w:ascii="Calibri" w:hAnsi="Calibri" w:cs="Calibri"/>
              </w:rPr>
              <w:t>44</w:t>
            </w:r>
          </w:p>
        </w:tc>
        <w:tc>
          <w:tcPr>
            <w:tcW w:w="0" w:type="auto"/>
          </w:tcPr>
          <w:p w14:paraId="2896B707" w14:textId="77777777" w:rsidR="00CF618B" w:rsidRPr="008128AC" w:rsidRDefault="00CF618B" w:rsidP="006C2AA7">
            <w:pPr>
              <w:rPr>
                <w:rFonts w:ascii="Calibri" w:hAnsi="Calibri" w:cs="Calibri"/>
              </w:rPr>
            </w:pPr>
            <w:r w:rsidRPr="008128AC">
              <w:rPr>
                <w:rFonts w:ascii="Calibri" w:hAnsi="Calibri" w:cs="Calibri"/>
              </w:rPr>
              <w:t>150</w:t>
            </w:r>
          </w:p>
        </w:tc>
        <w:tc>
          <w:tcPr>
            <w:tcW w:w="0" w:type="auto"/>
          </w:tcPr>
          <w:p w14:paraId="38F84C2E" w14:textId="77777777" w:rsidR="00CF618B" w:rsidRPr="008128AC" w:rsidRDefault="00CF618B" w:rsidP="006C2AA7">
            <w:pPr>
              <w:rPr>
                <w:rFonts w:ascii="Calibri" w:hAnsi="Calibri" w:cs="Calibri"/>
              </w:rPr>
            </w:pPr>
            <w:r w:rsidRPr="008128AC">
              <w:rPr>
                <w:rFonts w:ascii="Calibri" w:hAnsi="Calibri" w:cs="Calibri"/>
              </w:rPr>
              <w:t>140</w:t>
            </w:r>
          </w:p>
        </w:tc>
        <w:tc>
          <w:tcPr>
            <w:tcW w:w="0" w:type="auto"/>
          </w:tcPr>
          <w:p w14:paraId="288F42E0" w14:textId="77777777" w:rsidR="00CF618B" w:rsidRPr="008128AC" w:rsidRDefault="00CF618B" w:rsidP="006C2AA7">
            <w:pPr>
              <w:rPr>
                <w:rFonts w:ascii="Calibri" w:hAnsi="Calibri" w:cs="Calibri"/>
              </w:rPr>
            </w:pPr>
            <w:r w:rsidRPr="008128AC">
              <w:rPr>
                <w:rFonts w:ascii="Calibri" w:hAnsi="Calibri" w:cs="Calibri"/>
              </w:rPr>
              <w:t>150</w:t>
            </w:r>
          </w:p>
        </w:tc>
        <w:tc>
          <w:tcPr>
            <w:tcW w:w="0" w:type="auto"/>
          </w:tcPr>
          <w:p w14:paraId="1B054DC4" w14:textId="77777777" w:rsidR="00CF618B" w:rsidRPr="008128AC" w:rsidRDefault="00CF618B" w:rsidP="006C2AA7">
            <w:pPr>
              <w:rPr>
                <w:rFonts w:ascii="Calibri" w:hAnsi="Calibri" w:cs="Calibri"/>
              </w:rPr>
            </w:pPr>
          </w:p>
        </w:tc>
        <w:tc>
          <w:tcPr>
            <w:tcW w:w="576" w:type="dxa"/>
          </w:tcPr>
          <w:p w14:paraId="35850922" w14:textId="77777777" w:rsidR="00CF618B" w:rsidRPr="008128AC" w:rsidRDefault="00CF618B" w:rsidP="006C2AA7">
            <w:pPr>
              <w:rPr>
                <w:rFonts w:ascii="Calibri" w:hAnsi="Calibri" w:cs="Calibri"/>
              </w:rPr>
            </w:pPr>
          </w:p>
        </w:tc>
      </w:tr>
      <w:tr w:rsidR="00CF618B" w:rsidRPr="008128AC" w14:paraId="36C96CFF" w14:textId="77777777" w:rsidTr="006C2AA7">
        <w:trPr>
          <w:jc w:val="center"/>
        </w:trPr>
        <w:tc>
          <w:tcPr>
            <w:tcW w:w="0" w:type="auto"/>
          </w:tcPr>
          <w:p w14:paraId="0C621E36" w14:textId="77777777" w:rsidR="00CF618B" w:rsidRPr="008128AC" w:rsidRDefault="00CF618B" w:rsidP="006C2AA7">
            <w:pPr>
              <w:rPr>
                <w:rFonts w:ascii="Calibri" w:hAnsi="Calibri" w:cs="Calibri"/>
              </w:rPr>
            </w:pPr>
            <w:r w:rsidRPr="008128AC">
              <w:rPr>
                <w:rFonts w:ascii="Calibri" w:hAnsi="Calibri" w:cs="Calibri"/>
              </w:rPr>
              <w:t>Sheth et al 2019</w:t>
            </w:r>
          </w:p>
        </w:tc>
        <w:tc>
          <w:tcPr>
            <w:tcW w:w="0" w:type="auto"/>
          </w:tcPr>
          <w:p w14:paraId="2B2DBF1B" w14:textId="77777777" w:rsidR="00CF618B" w:rsidRPr="008128AC" w:rsidRDefault="00CF618B" w:rsidP="006C2AA7">
            <w:pPr>
              <w:rPr>
                <w:rFonts w:ascii="Calibri" w:hAnsi="Calibri" w:cs="Calibri"/>
              </w:rPr>
            </w:pPr>
            <w:r w:rsidRPr="008128AC">
              <w:rPr>
                <w:rFonts w:ascii="Calibri" w:hAnsi="Calibri" w:cs="Calibri"/>
              </w:rPr>
              <w:t>Choice and control over: Mealtime</w:t>
            </w:r>
          </w:p>
        </w:tc>
        <w:tc>
          <w:tcPr>
            <w:tcW w:w="0" w:type="auto"/>
          </w:tcPr>
          <w:p w14:paraId="15093F36" w14:textId="77777777" w:rsidR="00CF618B" w:rsidRPr="008128AC" w:rsidRDefault="00CF618B" w:rsidP="006C2AA7">
            <w:pPr>
              <w:rPr>
                <w:rFonts w:ascii="Calibri" w:hAnsi="Calibri" w:cs="Calibri"/>
              </w:rPr>
            </w:pPr>
            <w:r w:rsidRPr="008128AC">
              <w:rPr>
                <w:rFonts w:ascii="Calibri" w:hAnsi="Calibri" w:cs="Calibri"/>
              </w:rPr>
              <w:t>22</w:t>
            </w:r>
          </w:p>
        </w:tc>
        <w:tc>
          <w:tcPr>
            <w:tcW w:w="0" w:type="auto"/>
          </w:tcPr>
          <w:p w14:paraId="1ECAAA46" w14:textId="77777777" w:rsidR="00CF618B" w:rsidRPr="008128AC" w:rsidRDefault="00CF618B" w:rsidP="006C2AA7">
            <w:pPr>
              <w:rPr>
                <w:rFonts w:ascii="Calibri" w:hAnsi="Calibri" w:cs="Calibri"/>
              </w:rPr>
            </w:pPr>
            <w:r w:rsidRPr="008128AC">
              <w:rPr>
                <w:rFonts w:ascii="Calibri" w:hAnsi="Calibri" w:cs="Calibri"/>
              </w:rPr>
              <w:t>149</w:t>
            </w:r>
          </w:p>
        </w:tc>
        <w:tc>
          <w:tcPr>
            <w:tcW w:w="0" w:type="auto"/>
          </w:tcPr>
          <w:p w14:paraId="5FF306FC" w14:textId="77777777" w:rsidR="00CF618B" w:rsidRPr="008128AC" w:rsidRDefault="00CF618B" w:rsidP="006C2AA7">
            <w:pPr>
              <w:rPr>
                <w:rFonts w:ascii="Calibri" w:hAnsi="Calibri" w:cs="Calibri"/>
              </w:rPr>
            </w:pPr>
            <w:r w:rsidRPr="008128AC">
              <w:rPr>
                <w:rFonts w:ascii="Calibri" w:hAnsi="Calibri" w:cs="Calibri"/>
              </w:rPr>
              <w:t>145</w:t>
            </w:r>
          </w:p>
        </w:tc>
        <w:tc>
          <w:tcPr>
            <w:tcW w:w="0" w:type="auto"/>
          </w:tcPr>
          <w:p w14:paraId="095FDD4C" w14:textId="77777777" w:rsidR="00CF618B" w:rsidRPr="008128AC" w:rsidRDefault="00CF618B" w:rsidP="006C2AA7">
            <w:pPr>
              <w:rPr>
                <w:rFonts w:ascii="Calibri" w:hAnsi="Calibri" w:cs="Calibri"/>
              </w:rPr>
            </w:pPr>
            <w:r w:rsidRPr="008128AC">
              <w:rPr>
                <w:rFonts w:ascii="Calibri" w:hAnsi="Calibri" w:cs="Calibri"/>
              </w:rPr>
              <w:t>149</w:t>
            </w:r>
          </w:p>
        </w:tc>
        <w:tc>
          <w:tcPr>
            <w:tcW w:w="0" w:type="auto"/>
          </w:tcPr>
          <w:p w14:paraId="3DB967BA" w14:textId="77777777" w:rsidR="00CF618B" w:rsidRPr="008128AC" w:rsidRDefault="00CF618B" w:rsidP="006C2AA7">
            <w:pPr>
              <w:rPr>
                <w:rFonts w:ascii="Calibri" w:hAnsi="Calibri" w:cs="Calibri"/>
              </w:rPr>
            </w:pPr>
          </w:p>
        </w:tc>
        <w:tc>
          <w:tcPr>
            <w:tcW w:w="576" w:type="dxa"/>
          </w:tcPr>
          <w:p w14:paraId="0CCD307A" w14:textId="77777777" w:rsidR="00CF618B" w:rsidRPr="008128AC" w:rsidRDefault="00CF618B" w:rsidP="006C2AA7">
            <w:pPr>
              <w:rPr>
                <w:rFonts w:ascii="Calibri" w:hAnsi="Calibri" w:cs="Calibri"/>
              </w:rPr>
            </w:pPr>
          </w:p>
        </w:tc>
      </w:tr>
      <w:tr w:rsidR="00CF618B" w:rsidRPr="008128AC" w14:paraId="2AF9DEE5" w14:textId="77777777" w:rsidTr="006C2AA7">
        <w:trPr>
          <w:jc w:val="center"/>
        </w:trPr>
        <w:tc>
          <w:tcPr>
            <w:tcW w:w="0" w:type="auto"/>
          </w:tcPr>
          <w:p w14:paraId="686740B6" w14:textId="77777777" w:rsidR="00CF618B" w:rsidRPr="008128AC" w:rsidRDefault="00CF618B" w:rsidP="006C2AA7">
            <w:pPr>
              <w:rPr>
                <w:rFonts w:ascii="Calibri" w:hAnsi="Calibri" w:cs="Calibri"/>
              </w:rPr>
            </w:pPr>
            <w:r w:rsidRPr="008128AC">
              <w:rPr>
                <w:rFonts w:ascii="Calibri" w:hAnsi="Calibri" w:cs="Calibri"/>
              </w:rPr>
              <w:t>Sheth et al 2019</w:t>
            </w:r>
          </w:p>
        </w:tc>
        <w:tc>
          <w:tcPr>
            <w:tcW w:w="0" w:type="auto"/>
          </w:tcPr>
          <w:p w14:paraId="5C2A6A4B" w14:textId="77777777" w:rsidR="00CF618B" w:rsidRPr="008128AC" w:rsidRDefault="00CF618B" w:rsidP="006C2AA7">
            <w:pPr>
              <w:rPr>
                <w:rFonts w:ascii="Calibri" w:hAnsi="Calibri" w:cs="Calibri"/>
              </w:rPr>
            </w:pPr>
            <w:r w:rsidRPr="008128AC">
              <w:rPr>
                <w:rFonts w:ascii="Calibri" w:hAnsi="Calibri" w:cs="Calibri"/>
              </w:rPr>
              <w:t>Choice and control over: Foods to eat</w:t>
            </w:r>
          </w:p>
        </w:tc>
        <w:tc>
          <w:tcPr>
            <w:tcW w:w="0" w:type="auto"/>
          </w:tcPr>
          <w:p w14:paraId="623CB9D4" w14:textId="77777777" w:rsidR="00CF618B" w:rsidRPr="008128AC" w:rsidRDefault="00CF618B" w:rsidP="006C2AA7">
            <w:pPr>
              <w:rPr>
                <w:rFonts w:ascii="Calibri" w:hAnsi="Calibri" w:cs="Calibri"/>
              </w:rPr>
            </w:pPr>
            <w:r w:rsidRPr="008128AC">
              <w:rPr>
                <w:rFonts w:ascii="Calibri" w:hAnsi="Calibri" w:cs="Calibri"/>
              </w:rPr>
              <w:t>27</w:t>
            </w:r>
          </w:p>
        </w:tc>
        <w:tc>
          <w:tcPr>
            <w:tcW w:w="0" w:type="auto"/>
          </w:tcPr>
          <w:p w14:paraId="4EB1DA26" w14:textId="77777777" w:rsidR="00CF618B" w:rsidRPr="008128AC" w:rsidRDefault="00CF618B" w:rsidP="006C2AA7">
            <w:pPr>
              <w:rPr>
                <w:rFonts w:ascii="Calibri" w:hAnsi="Calibri" w:cs="Calibri"/>
              </w:rPr>
            </w:pPr>
            <w:r w:rsidRPr="008128AC">
              <w:rPr>
                <w:rFonts w:ascii="Calibri" w:hAnsi="Calibri" w:cs="Calibri"/>
              </w:rPr>
              <w:t>149</w:t>
            </w:r>
          </w:p>
        </w:tc>
        <w:tc>
          <w:tcPr>
            <w:tcW w:w="0" w:type="auto"/>
          </w:tcPr>
          <w:p w14:paraId="180ABF5F" w14:textId="77777777" w:rsidR="00CF618B" w:rsidRPr="008128AC" w:rsidRDefault="00CF618B" w:rsidP="006C2AA7">
            <w:pPr>
              <w:rPr>
                <w:rFonts w:ascii="Calibri" w:hAnsi="Calibri" w:cs="Calibri"/>
              </w:rPr>
            </w:pPr>
            <w:r w:rsidRPr="008128AC">
              <w:rPr>
                <w:rFonts w:ascii="Calibri" w:hAnsi="Calibri" w:cs="Calibri"/>
              </w:rPr>
              <w:t>143</w:t>
            </w:r>
          </w:p>
        </w:tc>
        <w:tc>
          <w:tcPr>
            <w:tcW w:w="0" w:type="auto"/>
          </w:tcPr>
          <w:p w14:paraId="6F5C51A3" w14:textId="77777777" w:rsidR="00CF618B" w:rsidRPr="008128AC" w:rsidRDefault="00CF618B" w:rsidP="006C2AA7">
            <w:pPr>
              <w:rPr>
                <w:rFonts w:ascii="Calibri" w:hAnsi="Calibri" w:cs="Calibri"/>
              </w:rPr>
            </w:pPr>
            <w:r w:rsidRPr="008128AC">
              <w:rPr>
                <w:rFonts w:ascii="Calibri" w:hAnsi="Calibri" w:cs="Calibri"/>
              </w:rPr>
              <w:t>149</w:t>
            </w:r>
          </w:p>
        </w:tc>
        <w:tc>
          <w:tcPr>
            <w:tcW w:w="0" w:type="auto"/>
          </w:tcPr>
          <w:p w14:paraId="43B4C7E9" w14:textId="77777777" w:rsidR="00CF618B" w:rsidRPr="008128AC" w:rsidRDefault="00CF618B" w:rsidP="006C2AA7">
            <w:pPr>
              <w:rPr>
                <w:rFonts w:ascii="Calibri" w:hAnsi="Calibri" w:cs="Calibri"/>
              </w:rPr>
            </w:pPr>
          </w:p>
        </w:tc>
        <w:tc>
          <w:tcPr>
            <w:tcW w:w="576" w:type="dxa"/>
          </w:tcPr>
          <w:p w14:paraId="09660C7D" w14:textId="77777777" w:rsidR="00CF618B" w:rsidRPr="008128AC" w:rsidRDefault="00CF618B" w:rsidP="006C2AA7">
            <w:pPr>
              <w:rPr>
                <w:rFonts w:ascii="Calibri" w:hAnsi="Calibri" w:cs="Calibri"/>
              </w:rPr>
            </w:pPr>
          </w:p>
        </w:tc>
      </w:tr>
      <w:tr w:rsidR="00CF618B" w:rsidRPr="008128AC" w14:paraId="4DCF5052" w14:textId="77777777" w:rsidTr="006C2AA7">
        <w:trPr>
          <w:jc w:val="center"/>
        </w:trPr>
        <w:tc>
          <w:tcPr>
            <w:tcW w:w="0" w:type="auto"/>
          </w:tcPr>
          <w:p w14:paraId="4EE8B59B" w14:textId="77777777" w:rsidR="00CF618B" w:rsidRPr="008128AC" w:rsidRDefault="00CF618B" w:rsidP="006C2AA7">
            <w:pPr>
              <w:rPr>
                <w:rFonts w:ascii="Calibri" w:hAnsi="Calibri" w:cs="Calibri"/>
              </w:rPr>
            </w:pPr>
            <w:r w:rsidRPr="008128AC">
              <w:rPr>
                <w:rFonts w:ascii="Calibri" w:hAnsi="Calibri" w:cs="Calibri"/>
              </w:rPr>
              <w:t>Sheth et al 2019</w:t>
            </w:r>
          </w:p>
        </w:tc>
        <w:tc>
          <w:tcPr>
            <w:tcW w:w="0" w:type="auto"/>
          </w:tcPr>
          <w:p w14:paraId="508BE0E9" w14:textId="77777777" w:rsidR="00CF618B" w:rsidRPr="008128AC" w:rsidRDefault="00CF618B" w:rsidP="006C2AA7">
            <w:pPr>
              <w:rPr>
                <w:rFonts w:ascii="Calibri" w:hAnsi="Calibri" w:cs="Calibri"/>
              </w:rPr>
            </w:pPr>
            <w:r w:rsidRPr="008128AC">
              <w:rPr>
                <w:rFonts w:ascii="Calibri" w:hAnsi="Calibri" w:cs="Calibri"/>
              </w:rPr>
              <w:t>Choice and control over: Phone calls</w:t>
            </w:r>
          </w:p>
        </w:tc>
        <w:tc>
          <w:tcPr>
            <w:tcW w:w="0" w:type="auto"/>
          </w:tcPr>
          <w:p w14:paraId="2140302D" w14:textId="77777777" w:rsidR="00CF618B" w:rsidRPr="008128AC" w:rsidRDefault="00CF618B" w:rsidP="006C2AA7">
            <w:pPr>
              <w:rPr>
                <w:rFonts w:ascii="Calibri" w:hAnsi="Calibri" w:cs="Calibri"/>
              </w:rPr>
            </w:pPr>
            <w:r w:rsidRPr="008128AC">
              <w:rPr>
                <w:rFonts w:ascii="Calibri" w:hAnsi="Calibri" w:cs="Calibri"/>
              </w:rPr>
              <w:t>54</w:t>
            </w:r>
          </w:p>
        </w:tc>
        <w:tc>
          <w:tcPr>
            <w:tcW w:w="0" w:type="auto"/>
          </w:tcPr>
          <w:p w14:paraId="3684E68B" w14:textId="77777777" w:rsidR="00CF618B" w:rsidRPr="008128AC" w:rsidRDefault="00CF618B" w:rsidP="006C2AA7">
            <w:pPr>
              <w:rPr>
                <w:rFonts w:ascii="Calibri" w:hAnsi="Calibri" w:cs="Calibri"/>
              </w:rPr>
            </w:pPr>
            <w:r w:rsidRPr="008128AC">
              <w:rPr>
                <w:rFonts w:ascii="Calibri" w:hAnsi="Calibri" w:cs="Calibri"/>
              </w:rPr>
              <w:t>146</w:t>
            </w:r>
          </w:p>
        </w:tc>
        <w:tc>
          <w:tcPr>
            <w:tcW w:w="0" w:type="auto"/>
          </w:tcPr>
          <w:p w14:paraId="238D452E" w14:textId="77777777" w:rsidR="00CF618B" w:rsidRPr="008128AC" w:rsidRDefault="00CF618B" w:rsidP="006C2AA7">
            <w:pPr>
              <w:rPr>
                <w:rFonts w:ascii="Calibri" w:hAnsi="Calibri" w:cs="Calibri"/>
              </w:rPr>
            </w:pPr>
            <w:r w:rsidRPr="008128AC">
              <w:rPr>
                <w:rFonts w:ascii="Calibri" w:hAnsi="Calibri" w:cs="Calibri"/>
              </w:rPr>
              <w:t>139</w:t>
            </w:r>
          </w:p>
        </w:tc>
        <w:tc>
          <w:tcPr>
            <w:tcW w:w="0" w:type="auto"/>
          </w:tcPr>
          <w:p w14:paraId="7DA3B1A6" w14:textId="77777777" w:rsidR="00CF618B" w:rsidRPr="008128AC" w:rsidRDefault="00CF618B" w:rsidP="006C2AA7">
            <w:pPr>
              <w:rPr>
                <w:rFonts w:ascii="Calibri" w:hAnsi="Calibri" w:cs="Calibri"/>
              </w:rPr>
            </w:pPr>
            <w:r w:rsidRPr="008128AC">
              <w:rPr>
                <w:rFonts w:ascii="Calibri" w:hAnsi="Calibri" w:cs="Calibri"/>
              </w:rPr>
              <w:t>147</w:t>
            </w:r>
          </w:p>
        </w:tc>
        <w:tc>
          <w:tcPr>
            <w:tcW w:w="0" w:type="auto"/>
          </w:tcPr>
          <w:p w14:paraId="0BE33980" w14:textId="77777777" w:rsidR="00CF618B" w:rsidRPr="008128AC" w:rsidRDefault="00CF618B" w:rsidP="006C2AA7">
            <w:pPr>
              <w:rPr>
                <w:rFonts w:ascii="Calibri" w:hAnsi="Calibri" w:cs="Calibri"/>
              </w:rPr>
            </w:pPr>
          </w:p>
        </w:tc>
        <w:tc>
          <w:tcPr>
            <w:tcW w:w="576" w:type="dxa"/>
          </w:tcPr>
          <w:p w14:paraId="27219148" w14:textId="77777777" w:rsidR="00CF618B" w:rsidRPr="008128AC" w:rsidRDefault="00CF618B" w:rsidP="006C2AA7">
            <w:pPr>
              <w:rPr>
                <w:rFonts w:ascii="Calibri" w:hAnsi="Calibri" w:cs="Calibri"/>
              </w:rPr>
            </w:pPr>
          </w:p>
        </w:tc>
      </w:tr>
      <w:tr w:rsidR="00CF618B" w:rsidRPr="008128AC" w14:paraId="102CC7A6" w14:textId="77777777" w:rsidTr="006C2AA7">
        <w:trPr>
          <w:jc w:val="center"/>
        </w:trPr>
        <w:tc>
          <w:tcPr>
            <w:tcW w:w="0" w:type="auto"/>
          </w:tcPr>
          <w:p w14:paraId="25493979" w14:textId="77777777" w:rsidR="00CF618B" w:rsidRPr="008128AC" w:rsidRDefault="00CF618B" w:rsidP="006C2AA7">
            <w:pPr>
              <w:rPr>
                <w:rFonts w:ascii="Calibri" w:hAnsi="Calibri" w:cs="Calibri"/>
              </w:rPr>
            </w:pPr>
            <w:r w:rsidRPr="008128AC">
              <w:rPr>
                <w:rFonts w:ascii="Calibri" w:hAnsi="Calibri" w:cs="Calibri"/>
              </w:rPr>
              <w:t>Sheth et al 2019</w:t>
            </w:r>
          </w:p>
        </w:tc>
        <w:tc>
          <w:tcPr>
            <w:tcW w:w="0" w:type="auto"/>
          </w:tcPr>
          <w:p w14:paraId="052EAF14" w14:textId="77777777" w:rsidR="00CF618B" w:rsidRPr="008128AC" w:rsidRDefault="00CF618B" w:rsidP="006C2AA7">
            <w:pPr>
              <w:rPr>
                <w:rFonts w:ascii="Calibri" w:hAnsi="Calibri" w:cs="Calibri"/>
              </w:rPr>
            </w:pPr>
            <w:r w:rsidRPr="008128AC">
              <w:rPr>
                <w:rFonts w:ascii="Calibri" w:hAnsi="Calibri" w:cs="Calibri"/>
              </w:rPr>
              <w:t>Choice and control over: Television</w:t>
            </w:r>
          </w:p>
        </w:tc>
        <w:tc>
          <w:tcPr>
            <w:tcW w:w="0" w:type="auto"/>
          </w:tcPr>
          <w:p w14:paraId="6AFF36C1" w14:textId="77777777" w:rsidR="00CF618B" w:rsidRPr="008128AC" w:rsidRDefault="00CF618B" w:rsidP="006C2AA7">
            <w:pPr>
              <w:rPr>
                <w:rFonts w:ascii="Calibri" w:hAnsi="Calibri" w:cs="Calibri"/>
              </w:rPr>
            </w:pPr>
            <w:r w:rsidRPr="008128AC">
              <w:rPr>
                <w:rFonts w:ascii="Calibri" w:hAnsi="Calibri" w:cs="Calibri"/>
              </w:rPr>
              <w:t>92</w:t>
            </w:r>
          </w:p>
        </w:tc>
        <w:tc>
          <w:tcPr>
            <w:tcW w:w="0" w:type="auto"/>
          </w:tcPr>
          <w:p w14:paraId="5BE4758F" w14:textId="77777777" w:rsidR="00CF618B" w:rsidRPr="008128AC" w:rsidRDefault="00CF618B" w:rsidP="006C2AA7">
            <w:pPr>
              <w:rPr>
                <w:rFonts w:ascii="Calibri" w:hAnsi="Calibri" w:cs="Calibri"/>
              </w:rPr>
            </w:pPr>
            <w:r w:rsidRPr="008128AC">
              <w:rPr>
                <w:rFonts w:ascii="Calibri" w:hAnsi="Calibri" w:cs="Calibri"/>
              </w:rPr>
              <w:t>149</w:t>
            </w:r>
          </w:p>
        </w:tc>
        <w:tc>
          <w:tcPr>
            <w:tcW w:w="0" w:type="auto"/>
          </w:tcPr>
          <w:p w14:paraId="667EDB12" w14:textId="77777777" w:rsidR="00CF618B" w:rsidRPr="008128AC" w:rsidRDefault="00CF618B" w:rsidP="006C2AA7">
            <w:pPr>
              <w:rPr>
                <w:rFonts w:ascii="Calibri" w:hAnsi="Calibri" w:cs="Calibri"/>
              </w:rPr>
            </w:pPr>
            <w:r w:rsidRPr="008128AC">
              <w:rPr>
                <w:rFonts w:ascii="Calibri" w:hAnsi="Calibri" w:cs="Calibri"/>
              </w:rPr>
              <w:t>141</w:t>
            </w:r>
          </w:p>
        </w:tc>
        <w:tc>
          <w:tcPr>
            <w:tcW w:w="0" w:type="auto"/>
          </w:tcPr>
          <w:p w14:paraId="2BA71F80" w14:textId="77777777" w:rsidR="00CF618B" w:rsidRPr="008128AC" w:rsidRDefault="00CF618B" w:rsidP="006C2AA7">
            <w:pPr>
              <w:rPr>
                <w:rFonts w:ascii="Calibri" w:hAnsi="Calibri" w:cs="Calibri"/>
              </w:rPr>
            </w:pPr>
            <w:r w:rsidRPr="008128AC">
              <w:rPr>
                <w:rFonts w:ascii="Calibri" w:hAnsi="Calibri" w:cs="Calibri"/>
              </w:rPr>
              <w:t>149</w:t>
            </w:r>
          </w:p>
        </w:tc>
        <w:tc>
          <w:tcPr>
            <w:tcW w:w="0" w:type="auto"/>
          </w:tcPr>
          <w:p w14:paraId="457042CC" w14:textId="77777777" w:rsidR="00CF618B" w:rsidRPr="008128AC" w:rsidRDefault="00CF618B" w:rsidP="006C2AA7">
            <w:pPr>
              <w:rPr>
                <w:rFonts w:ascii="Calibri" w:hAnsi="Calibri" w:cs="Calibri"/>
              </w:rPr>
            </w:pPr>
          </w:p>
        </w:tc>
        <w:tc>
          <w:tcPr>
            <w:tcW w:w="576" w:type="dxa"/>
          </w:tcPr>
          <w:p w14:paraId="7EBF6904" w14:textId="77777777" w:rsidR="00CF618B" w:rsidRPr="008128AC" w:rsidRDefault="00CF618B" w:rsidP="006C2AA7">
            <w:pPr>
              <w:rPr>
                <w:rFonts w:ascii="Calibri" w:hAnsi="Calibri" w:cs="Calibri"/>
              </w:rPr>
            </w:pPr>
          </w:p>
        </w:tc>
      </w:tr>
      <w:tr w:rsidR="00CF618B" w:rsidRPr="008128AC" w14:paraId="23C8028F" w14:textId="77777777" w:rsidTr="006C2AA7">
        <w:trPr>
          <w:jc w:val="center"/>
        </w:trPr>
        <w:tc>
          <w:tcPr>
            <w:tcW w:w="0" w:type="auto"/>
          </w:tcPr>
          <w:p w14:paraId="20F3F543" w14:textId="77777777" w:rsidR="00CF618B" w:rsidRPr="008128AC" w:rsidRDefault="00CF618B" w:rsidP="006C2AA7">
            <w:pPr>
              <w:rPr>
                <w:rFonts w:ascii="Calibri" w:hAnsi="Calibri" w:cs="Calibri"/>
              </w:rPr>
            </w:pPr>
            <w:r w:rsidRPr="008128AC">
              <w:rPr>
                <w:rFonts w:ascii="Calibri" w:hAnsi="Calibri" w:cs="Calibri"/>
              </w:rPr>
              <w:t>Sheth et al 2019</w:t>
            </w:r>
          </w:p>
        </w:tc>
        <w:tc>
          <w:tcPr>
            <w:tcW w:w="0" w:type="auto"/>
          </w:tcPr>
          <w:p w14:paraId="4A14C988" w14:textId="77777777" w:rsidR="00CF618B" w:rsidRPr="008128AC" w:rsidRDefault="00CF618B" w:rsidP="006C2AA7">
            <w:pPr>
              <w:rPr>
                <w:rFonts w:ascii="Calibri" w:hAnsi="Calibri" w:cs="Calibri"/>
              </w:rPr>
            </w:pPr>
            <w:r w:rsidRPr="008128AC">
              <w:rPr>
                <w:rFonts w:ascii="Calibri" w:hAnsi="Calibri" w:cs="Calibri"/>
              </w:rPr>
              <w:t>Choice and control over: Who provides assistance</w:t>
            </w:r>
          </w:p>
        </w:tc>
        <w:tc>
          <w:tcPr>
            <w:tcW w:w="0" w:type="auto"/>
          </w:tcPr>
          <w:p w14:paraId="1A84371B" w14:textId="77777777" w:rsidR="00CF618B" w:rsidRPr="008128AC" w:rsidRDefault="00CF618B" w:rsidP="006C2AA7">
            <w:pPr>
              <w:rPr>
                <w:rFonts w:ascii="Calibri" w:hAnsi="Calibri" w:cs="Calibri"/>
              </w:rPr>
            </w:pPr>
            <w:r w:rsidRPr="008128AC">
              <w:rPr>
                <w:rFonts w:ascii="Calibri" w:hAnsi="Calibri" w:cs="Calibri"/>
              </w:rPr>
              <w:t>4</w:t>
            </w:r>
          </w:p>
        </w:tc>
        <w:tc>
          <w:tcPr>
            <w:tcW w:w="0" w:type="auto"/>
          </w:tcPr>
          <w:p w14:paraId="5D42D256" w14:textId="77777777" w:rsidR="00CF618B" w:rsidRPr="008128AC" w:rsidRDefault="00CF618B" w:rsidP="006C2AA7">
            <w:pPr>
              <w:rPr>
                <w:rFonts w:ascii="Calibri" w:hAnsi="Calibri" w:cs="Calibri"/>
              </w:rPr>
            </w:pPr>
            <w:r w:rsidRPr="008128AC">
              <w:rPr>
                <w:rFonts w:ascii="Calibri" w:hAnsi="Calibri" w:cs="Calibri"/>
              </w:rPr>
              <w:t>105</w:t>
            </w:r>
          </w:p>
        </w:tc>
        <w:tc>
          <w:tcPr>
            <w:tcW w:w="0" w:type="auto"/>
          </w:tcPr>
          <w:p w14:paraId="678C0AAD" w14:textId="77777777" w:rsidR="00CF618B" w:rsidRPr="008128AC" w:rsidRDefault="00CF618B" w:rsidP="006C2AA7">
            <w:pPr>
              <w:rPr>
                <w:rFonts w:ascii="Calibri" w:hAnsi="Calibri" w:cs="Calibri"/>
              </w:rPr>
            </w:pPr>
            <w:r w:rsidRPr="008128AC">
              <w:rPr>
                <w:rFonts w:ascii="Calibri" w:hAnsi="Calibri" w:cs="Calibri"/>
              </w:rPr>
              <w:t>60</w:t>
            </w:r>
          </w:p>
        </w:tc>
        <w:tc>
          <w:tcPr>
            <w:tcW w:w="0" w:type="auto"/>
          </w:tcPr>
          <w:p w14:paraId="02827C19" w14:textId="77777777" w:rsidR="00CF618B" w:rsidRPr="008128AC" w:rsidRDefault="00CF618B" w:rsidP="006C2AA7">
            <w:pPr>
              <w:rPr>
                <w:rFonts w:ascii="Calibri" w:hAnsi="Calibri" w:cs="Calibri"/>
              </w:rPr>
            </w:pPr>
            <w:r w:rsidRPr="008128AC">
              <w:rPr>
                <w:rFonts w:ascii="Calibri" w:hAnsi="Calibri" w:cs="Calibri"/>
              </w:rPr>
              <w:t>77</w:t>
            </w:r>
          </w:p>
        </w:tc>
        <w:tc>
          <w:tcPr>
            <w:tcW w:w="0" w:type="auto"/>
          </w:tcPr>
          <w:p w14:paraId="62DF781D" w14:textId="77777777" w:rsidR="00CF618B" w:rsidRPr="008128AC" w:rsidRDefault="00CF618B" w:rsidP="006C2AA7">
            <w:pPr>
              <w:rPr>
                <w:rFonts w:ascii="Calibri" w:hAnsi="Calibri" w:cs="Calibri"/>
              </w:rPr>
            </w:pPr>
          </w:p>
        </w:tc>
        <w:tc>
          <w:tcPr>
            <w:tcW w:w="576" w:type="dxa"/>
          </w:tcPr>
          <w:p w14:paraId="320FD0BF" w14:textId="77777777" w:rsidR="00CF618B" w:rsidRPr="008128AC" w:rsidRDefault="00CF618B" w:rsidP="006C2AA7">
            <w:pPr>
              <w:rPr>
                <w:rFonts w:ascii="Calibri" w:hAnsi="Calibri" w:cs="Calibri"/>
              </w:rPr>
            </w:pPr>
          </w:p>
        </w:tc>
      </w:tr>
      <w:tr w:rsidR="00CF618B" w:rsidRPr="008128AC" w14:paraId="3D1DBE4B" w14:textId="77777777" w:rsidTr="006C2AA7">
        <w:trPr>
          <w:jc w:val="center"/>
        </w:trPr>
        <w:tc>
          <w:tcPr>
            <w:tcW w:w="0" w:type="auto"/>
          </w:tcPr>
          <w:p w14:paraId="4B16F340" w14:textId="77777777" w:rsidR="00CF618B" w:rsidRPr="008128AC" w:rsidRDefault="00CF618B" w:rsidP="006C2AA7">
            <w:pPr>
              <w:rPr>
                <w:rFonts w:ascii="Calibri" w:hAnsi="Calibri" w:cs="Calibri"/>
              </w:rPr>
            </w:pPr>
            <w:r w:rsidRPr="008128AC">
              <w:rPr>
                <w:rFonts w:ascii="Calibri" w:hAnsi="Calibri" w:cs="Calibri"/>
              </w:rPr>
              <w:t>Winkler et al 2015</w:t>
            </w:r>
          </w:p>
        </w:tc>
        <w:tc>
          <w:tcPr>
            <w:tcW w:w="0" w:type="auto"/>
          </w:tcPr>
          <w:p w14:paraId="4A7ECD25" w14:textId="77777777" w:rsidR="00CF618B" w:rsidRPr="008128AC" w:rsidRDefault="00CF618B" w:rsidP="006C2AA7">
            <w:pPr>
              <w:rPr>
                <w:rFonts w:ascii="Calibri" w:hAnsi="Calibri" w:cs="Calibri"/>
              </w:rPr>
            </w:pPr>
            <w:r w:rsidRPr="008128AC">
              <w:rPr>
                <w:rFonts w:ascii="Calibri" w:hAnsi="Calibri" w:cs="Calibri"/>
              </w:rPr>
              <w:t>RCS_The content of their evening meal</w:t>
            </w:r>
          </w:p>
        </w:tc>
        <w:tc>
          <w:tcPr>
            <w:tcW w:w="0" w:type="auto"/>
          </w:tcPr>
          <w:p w14:paraId="7D90D7AF" w14:textId="77777777" w:rsidR="00CF618B" w:rsidRPr="008128AC" w:rsidRDefault="00CF618B" w:rsidP="006C2AA7">
            <w:pPr>
              <w:rPr>
                <w:rFonts w:ascii="Calibri" w:hAnsi="Calibri" w:cs="Calibri"/>
              </w:rPr>
            </w:pPr>
            <w:r w:rsidRPr="008128AC">
              <w:rPr>
                <w:rFonts w:ascii="Calibri" w:hAnsi="Calibri" w:cs="Calibri"/>
              </w:rPr>
              <w:t>1.77 (1.03)</w:t>
            </w:r>
          </w:p>
        </w:tc>
        <w:tc>
          <w:tcPr>
            <w:tcW w:w="0" w:type="auto"/>
          </w:tcPr>
          <w:p w14:paraId="38AF4D36" w14:textId="77777777" w:rsidR="00CF618B" w:rsidRPr="008128AC" w:rsidRDefault="00CF618B" w:rsidP="006C2AA7">
            <w:pPr>
              <w:rPr>
                <w:rFonts w:ascii="Calibri" w:hAnsi="Calibri" w:cs="Calibri"/>
              </w:rPr>
            </w:pPr>
            <w:r w:rsidRPr="008128AC">
              <w:rPr>
                <w:rFonts w:ascii="Calibri" w:hAnsi="Calibri" w:cs="Calibri"/>
              </w:rPr>
              <w:t>45</w:t>
            </w:r>
          </w:p>
        </w:tc>
        <w:tc>
          <w:tcPr>
            <w:tcW w:w="0" w:type="auto"/>
          </w:tcPr>
          <w:p w14:paraId="3831D52D" w14:textId="77777777" w:rsidR="00CF618B" w:rsidRPr="008128AC" w:rsidRDefault="00CF618B" w:rsidP="006C2AA7">
            <w:pPr>
              <w:rPr>
                <w:rFonts w:ascii="Calibri" w:hAnsi="Calibri" w:cs="Calibri"/>
              </w:rPr>
            </w:pPr>
            <w:r w:rsidRPr="008128AC">
              <w:rPr>
                <w:rFonts w:ascii="Calibri" w:hAnsi="Calibri" w:cs="Calibri"/>
              </w:rPr>
              <w:t>2.81 (1.4)</w:t>
            </w:r>
          </w:p>
        </w:tc>
        <w:tc>
          <w:tcPr>
            <w:tcW w:w="0" w:type="auto"/>
          </w:tcPr>
          <w:p w14:paraId="6ACC00E7" w14:textId="77777777" w:rsidR="00CF618B" w:rsidRPr="008128AC" w:rsidRDefault="00CF618B" w:rsidP="006C2AA7">
            <w:pPr>
              <w:rPr>
                <w:rFonts w:ascii="Calibri" w:hAnsi="Calibri" w:cs="Calibri"/>
              </w:rPr>
            </w:pPr>
            <w:r w:rsidRPr="008128AC">
              <w:rPr>
                <w:rFonts w:ascii="Calibri" w:hAnsi="Calibri" w:cs="Calibri"/>
              </w:rPr>
              <w:t>20</w:t>
            </w:r>
          </w:p>
        </w:tc>
        <w:tc>
          <w:tcPr>
            <w:tcW w:w="0" w:type="auto"/>
          </w:tcPr>
          <w:p w14:paraId="2F4B8ACA" w14:textId="77777777" w:rsidR="00CF618B" w:rsidRPr="008128AC" w:rsidRDefault="00CF618B" w:rsidP="006C2AA7">
            <w:pPr>
              <w:rPr>
                <w:rFonts w:ascii="Calibri" w:hAnsi="Calibri" w:cs="Calibri"/>
              </w:rPr>
            </w:pPr>
          </w:p>
        </w:tc>
        <w:tc>
          <w:tcPr>
            <w:tcW w:w="576" w:type="dxa"/>
          </w:tcPr>
          <w:p w14:paraId="00183E61" w14:textId="77777777" w:rsidR="00CF618B" w:rsidRPr="008128AC" w:rsidRDefault="00CF618B" w:rsidP="006C2AA7">
            <w:pPr>
              <w:rPr>
                <w:rFonts w:ascii="Calibri" w:hAnsi="Calibri" w:cs="Calibri"/>
              </w:rPr>
            </w:pPr>
          </w:p>
        </w:tc>
      </w:tr>
      <w:tr w:rsidR="00CF618B" w:rsidRPr="008128AC" w14:paraId="70DCDFFC" w14:textId="77777777" w:rsidTr="006C2AA7">
        <w:trPr>
          <w:jc w:val="center"/>
        </w:trPr>
        <w:tc>
          <w:tcPr>
            <w:tcW w:w="0" w:type="auto"/>
          </w:tcPr>
          <w:p w14:paraId="391A1FC9" w14:textId="77777777" w:rsidR="00CF618B" w:rsidRPr="008128AC" w:rsidRDefault="00CF618B" w:rsidP="006C2AA7">
            <w:pPr>
              <w:rPr>
                <w:rFonts w:ascii="Calibri" w:hAnsi="Calibri" w:cs="Calibri"/>
              </w:rPr>
            </w:pPr>
            <w:r w:rsidRPr="008128AC">
              <w:rPr>
                <w:rFonts w:ascii="Calibri" w:hAnsi="Calibri" w:cs="Calibri"/>
              </w:rPr>
              <w:t>Winkler et al 2015</w:t>
            </w:r>
          </w:p>
        </w:tc>
        <w:tc>
          <w:tcPr>
            <w:tcW w:w="0" w:type="auto"/>
          </w:tcPr>
          <w:p w14:paraId="3A422FA5" w14:textId="77777777" w:rsidR="00CF618B" w:rsidRPr="008128AC" w:rsidRDefault="00CF618B" w:rsidP="006C2AA7">
            <w:pPr>
              <w:rPr>
                <w:rFonts w:ascii="Calibri" w:hAnsi="Calibri" w:cs="Calibri"/>
              </w:rPr>
            </w:pPr>
            <w:r w:rsidRPr="008128AC">
              <w:rPr>
                <w:rFonts w:ascii="Calibri" w:hAnsi="Calibri" w:cs="Calibri"/>
              </w:rPr>
              <w:t>RCS_The timing of their evening meal</w:t>
            </w:r>
          </w:p>
        </w:tc>
        <w:tc>
          <w:tcPr>
            <w:tcW w:w="0" w:type="auto"/>
          </w:tcPr>
          <w:p w14:paraId="182AADAD" w14:textId="77777777" w:rsidR="00CF618B" w:rsidRPr="008128AC" w:rsidRDefault="00CF618B" w:rsidP="006C2AA7">
            <w:pPr>
              <w:rPr>
                <w:rFonts w:ascii="Calibri" w:hAnsi="Calibri" w:cs="Calibri"/>
              </w:rPr>
            </w:pPr>
            <w:r w:rsidRPr="008128AC">
              <w:rPr>
                <w:rFonts w:ascii="Calibri" w:hAnsi="Calibri" w:cs="Calibri"/>
              </w:rPr>
              <w:t>1.39 (0.86)</w:t>
            </w:r>
          </w:p>
        </w:tc>
        <w:tc>
          <w:tcPr>
            <w:tcW w:w="0" w:type="auto"/>
          </w:tcPr>
          <w:p w14:paraId="38558C6E" w14:textId="77777777" w:rsidR="00CF618B" w:rsidRPr="008128AC" w:rsidRDefault="00CF618B" w:rsidP="006C2AA7">
            <w:pPr>
              <w:rPr>
                <w:rFonts w:ascii="Calibri" w:hAnsi="Calibri" w:cs="Calibri"/>
              </w:rPr>
            </w:pPr>
            <w:r w:rsidRPr="008128AC">
              <w:rPr>
                <w:rFonts w:ascii="Calibri" w:hAnsi="Calibri" w:cs="Calibri"/>
              </w:rPr>
              <w:t>45</w:t>
            </w:r>
          </w:p>
        </w:tc>
        <w:tc>
          <w:tcPr>
            <w:tcW w:w="0" w:type="auto"/>
          </w:tcPr>
          <w:p w14:paraId="44F935D9" w14:textId="77777777" w:rsidR="00CF618B" w:rsidRPr="008128AC" w:rsidRDefault="00CF618B" w:rsidP="006C2AA7">
            <w:pPr>
              <w:rPr>
                <w:rFonts w:ascii="Calibri" w:hAnsi="Calibri" w:cs="Calibri"/>
              </w:rPr>
            </w:pPr>
            <w:r w:rsidRPr="008128AC">
              <w:rPr>
                <w:rFonts w:ascii="Calibri" w:hAnsi="Calibri" w:cs="Calibri"/>
              </w:rPr>
              <w:t>2.81 (1.25)</w:t>
            </w:r>
          </w:p>
        </w:tc>
        <w:tc>
          <w:tcPr>
            <w:tcW w:w="0" w:type="auto"/>
          </w:tcPr>
          <w:p w14:paraId="2793902A" w14:textId="77777777" w:rsidR="00CF618B" w:rsidRPr="008128AC" w:rsidRDefault="00CF618B" w:rsidP="006C2AA7">
            <w:pPr>
              <w:rPr>
                <w:rFonts w:ascii="Calibri" w:hAnsi="Calibri" w:cs="Calibri"/>
              </w:rPr>
            </w:pPr>
            <w:r w:rsidRPr="008128AC">
              <w:rPr>
                <w:rFonts w:ascii="Calibri" w:hAnsi="Calibri" w:cs="Calibri"/>
              </w:rPr>
              <w:t>20</w:t>
            </w:r>
          </w:p>
        </w:tc>
        <w:tc>
          <w:tcPr>
            <w:tcW w:w="0" w:type="auto"/>
          </w:tcPr>
          <w:p w14:paraId="630E55ED" w14:textId="77777777" w:rsidR="00CF618B" w:rsidRPr="008128AC" w:rsidRDefault="00CF618B" w:rsidP="006C2AA7">
            <w:pPr>
              <w:rPr>
                <w:rFonts w:ascii="Calibri" w:hAnsi="Calibri" w:cs="Calibri"/>
              </w:rPr>
            </w:pPr>
          </w:p>
        </w:tc>
        <w:tc>
          <w:tcPr>
            <w:tcW w:w="576" w:type="dxa"/>
          </w:tcPr>
          <w:p w14:paraId="3803478E" w14:textId="77777777" w:rsidR="00CF618B" w:rsidRPr="008128AC" w:rsidRDefault="00CF618B" w:rsidP="006C2AA7">
            <w:pPr>
              <w:rPr>
                <w:rFonts w:ascii="Calibri" w:hAnsi="Calibri" w:cs="Calibri"/>
              </w:rPr>
            </w:pPr>
          </w:p>
        </w:tc>
      </w:tr>
      <w:tr w:rsidR="00CF618B" w:rsidRPr="008128AC" w14:paraId="7BE7BE59" w14:textId="77777777" w:rsidTr="006C2AA7">
        <w:trPr>
          <w:jc w:val="center"/>
        </w:trPr>
        <w:tc>
          <w:tcPr>
            <w:tcW w:w="0" w:type="auto"/>
          </w:tcPr>
          <w:p w14:paraId="6489B8BC" w14:textId="77777777" w:rsidR="00CF618B" w:rsidRPr="008128AC" w:rsidRDefault="00CF618B" w:rsidP="006C2AA7">
            <w:pPr>
              <w:rPr>
                <w:rFonts w:ascii="Calibri" w:hAnsi="Calibri" w:cs="Calibri"/>
              </w:rPr>
            </w:pPr>
            <w:r w:rsidRPr="008128AC">
              <w:rPr>
                <w:rFonts w:ascii="Calibri" w:hAnsi="Calibri" w:cs="Calibri"/>
              </w:rPr>
              <w:t>Winkler et al 2015</w:t>
            </w:r>
          </w:p>
        </w:tc>
        <w:tc>
          <w:tcPr>
            <w:tcW w:w="0" w:type="auto"/>
          </w:tcPr>
          <w:p w14:paraId="1280FD9C" w14:textId="77777777" w:rsidR="00CF618B" w:rsidRPr="008128AC" w:rsidRDefault="00CF618B" w:rsidP="006C2AA7">
            <w:pPr>
              <w:rPr>
                <w:rFonts w:ascii="Calibri" w:hAnsi="Calibri" w:cs="Calibri"/>
              </w:rPr>
            </w:pPr>
            <w:r w:rsidRPr="008128AC">
              <w:rPr>
                <w:rFonts w:ascii="Calibri" w:hAnsi="Calibri" w:cs="Calibri"/>
              </w:rPr>
              <w:t>RCS_Indoor leisure e.g., TV, radio</w:t>
            </w:r>
          </w:p>
        </w:tc>
        <w:tc>
          <w:tcPr>
            <w:tcW w:w="0" w:type="auto"/>
          </w:tcPr>
          <w:p w14:paraId="798E0011" w14:textId="77777777" w:rsidR="00CF618B" w:rsidRPr="008128AC" w:rsidRDefault="00CF618B" w:rsidP="006C2AA7">
            <w:pPr>
              <w:rPr>
                <w:rFonts w:ascii="Calibri" w:hAnsi="Calibri" w:cs="Calibri"/>
              </w:rPr>
            </w:pPr>
            <w:r w:rsidRPr="008128AC">
              <w:rPr>
                <w:rFonts w:ascii="Calibri" w:hAnsi="Calibri" w:cs="Calibri"/>
              </w:rPr>
              <w:t>2.84 (1.26)</w:t>
            </w:r>
          </w:p>
        </w:tc>
        <w:tc>
          <w:tcPr>
            <w:tcW w:w="0" w:type="auto"/>
          </w:tcPr>
          <w:p w14:paraId="57A5876F" w14:textId="77777777" w:rsidR="00CF618B" w:rsidRPr="008128AC" w:rsidRDefault="00CF618B" w:rsidP="006C2AA7">
            <w:pPr>
              <w:rPr>
                <w:rFonts w:ascii="Calibri" w:hAnsi="Calibri" w:cs="Calibri"/>
              </w:rPr>
            </w:pPr>
            <w:r w:rsidRPr="008128AC">
              <w:rPr>
                <w:rFonts w:ascii="Calibri" w:hAnsi="Calibri" w:cs="Calibri"/>
              </w:rPr>
              <w:t>45</w:t>
            </w:r>
          </w:p>
        </w:tc>
        <w:tc>
          <w:tcPr>
            <w:tcW w:w="0" w:type="auto"/>
          </w:tcPr>
          <w:p w14:paraId="04497F86" w14:textId="77777777" w:rsidR="00CF618B" w:rsidRPr="008128AC" w:rsidRDefault="00CF618B" w:rsidP="006C2AA7">
            <w:pPr>
              <w:rPr>
                <w:rFonts w:ascii="Calibri" w:hAnsi="Calibri" w:cs="Calibri"/>
              </w:rPr>
            </w:pPr>
            <w:r w:rsidRPr="008128AC">
              <w:rPr>
                <w:rFonts w:ascii="Calibri" w:hAnsi="Calibri" w:cs="Calibri"/>
              </w:rPr>
              <w:t>3.71 (0.64)</w:t>
            </w:r>
          </w:p>
        </w:tc>
        <w:tc>
          <w:tcPr>
            <w:tcW w:w="0" w:type="auto"/>
          </w:tcPr>
          <w:p w14:paraId="12ADF520" w14:textId="77777777" w:rsidR="00CF618B" w:rsidRPr="008128AC" w:rsidRDefault="00CF618B" w:rsidP="006C2AA7">
            <w:pPr>
              <w:rPr>
                <w:rFonts w:ascii="Calibri" w:hAnsi="Calibri" w:cs="Calibri"/>
              </w:rPr>
            </w:pPr>
            <w:r w:rsidRPr="008128AC">
              <w:rPr>
                <w:rFonts w:ascii="Calibri" w:hAnsi="Calibri" w:cs="Calibri"/>
              </w:rPr>
              <w:t>20</w:t>
            </w:r>
          </w:p>
        </w:tc>
        <w:tc>
          <w:tcPr>
            <w:tcW w:w="0" w:type="auto"/>
          </w:tcPr>
          <w:p w14:paraId="36A17E01" w14:textId="77777777" w:rsidR="00CF618B" w:rsidRPr="008128AC" w:rsidRDefault="00CF618B" w:rsidP="006C2AA7">
            <w:pPr>
              <w:rPr>
                <w:rFonts w:ascii="Calibri" w:hAnsi="Calibri" w:cs="Calibri"/>
              </w:rPr>
            </w:pPr>
          </w:p>
        </w:tc>
        <w:tc>
          <w:tcPr>
            <w:tcW w:w="576" w:type="dxa"/>
          </w:tcPr>
          <w:p w14:paraId="6C6BBABC" w14:textId="77777777" w:rsidR="00CF618B" w:rsidRPr="008128AC" w:rsidRDefault="00CF618B" w:rsidP="006C2AA7">
            <w:pPr>
              <w:rPr>
                <w:rFonts w:ascii="Calibri" w:hAnsi="Calibri" w:cs="Calibri"/>
              </w:rPr>
            </w:pPr>
          </w:p>
        </w:tc>
      </w:tr>
      <w:tr w:rsidR="00CF618B" w:rsidRPr="008128AC" w14:paraId="792FF36C" w14:textId="77777777" w:rsidTr="006C2AA7">
        <w:trPr>
          <w:jc w:val="center"/>
        </w:trPr>
        <w:tc>
          <w:tcPr>
            <w:tcW w:w="0" w:type="auto"/>
          </w:tcPr>
          <w:p w14:paraId="047E4682" w14:textId="77777777" w:rsidR="00CF618B" w:rsidRPr="008128AC" w:rsidRDefault="00CF618B" w:rsidP="006C2AA7">
            <w:pPr>
              <w:rPr>
                <w:rFonts w:ascii="Calibri" w:hAnsi="Calibri" w:cs="Calibri"/>
              </w:rPr>
            </w:pPr>
            <w:r w:rsidRPr="008128AC">
              <w:rPr>
                <w:rFonts w:ascii="Calibri" w:hAnsi="Calibri" w:cs="Calibri"/>
              </w:rPr>
              <w:t>Winkler et al 2015</w:t>
            </w:r>
          </w:p>
        </w:tc>
        <w:tc>
          <w:tcPr>
            <w:tcW w:w="0" w:type="auto"/>
          </w:tcPr>
          <w:p w14:paraId="7B63AB89" w14:textId="77777777" w:rsidR="00CF618B" w:rsidRPr="008128AC" w:rsidRDefault="00CF618B" w:rsidP="006C2AA7">
            <w:pPr>
              <w:rPr>
                <w:rFonts w:ascii="Calibri" w:hAnsi="Calibri" w:cs="Calibri"/>
              </w:rPr>
            </w:pPr>
            <w:r w:rsidRPr="008128AC">
              <w:rPr>
                <w:rFonts w:ascii="Calibri" w:hAnsi="Calibri" w:cs="Calibri"/>
              </w:rPr>
              <w:t>RCS_Going out (e.g., pub, cinema)</w:t>
            </w:r>
          </w:p>
        </w:tc>
        <w:tc>
          <w:tcPr>
            <w:tcW w:w="0" w:type="auto"/>
          </w:tcPr>
          <w:p w14:paraId="39B89D75" w14:textId="77777777" w:rsidR="00CF618B" w:rsidRPr="008128AC" w:rsidRDefault="00CF618B" w:rsidP="006C2AA7">
            <w:pPr>
              <w:rPr>
                <w:rFonts w:ascii="Calibri" w:hAnsi="Calibri" w:cs="Calibri"/>
              </w:rPr>
            </w:pPr>
            <w:r w:rsidRPr="008128AC">
              <w:rPr>
                <w:rFonts w:ascii="Calibri" w:hAnsi="Calibri" w:cs="Calibri"/>
              </w:rPr>
              <w:t>2.37 (1.28)</w:t>
            </w:r>
          </w:p>
        </w:tc>
        <w:tc>
          <w:tcPr>
            <w:tcW w:w="0" w:type="auto"/>
          </w:tcPr>
          <w:p w14:paraId="7A7D608D" w14:textId="77777777" w:rsidR="00CF618B" w:rsidRPr="008128AC" w:rsidRDefault="00CF618B" w:rsidP="006C2AA7">
            <w:pPr>
              <w:rPr>
                <w:rFonts w:ascii="Calibri" w:hAnsi="Calibri" w:cs="Calibri"/>
              </w:rPr>
            </w:pPr>
            <w:r w:rsidRPr="008128AC">
              <w:rPr>
                <w:rFonts w:ascii="Calibri" w:hAnsi="Calibri" w:cs="Calibri"/>
              </w:rPr>
              <w:t>45</w:t>
            </w:r>
          </w:p>
        </w:tc>
        <w:tc>
          <w:tcPr>
            <w:tcW w:w="0" w:type="auto"/>
          </w:tcPr>
          <w:p w14:paraId="36EDF344" w14:textId="77777777" w:rsidR="00CF618B" w:rsidRPr="008128AC" w:rsidRDefault="00CF618B" w:rsidP="006C2AA7">
            <w:pPr>
              <w:rPr>
                <w:rFonts w:ascii="Calibri" w:hAnsi="Calibri" w:cs="Calibri"/>
              </w:rPr>
            </w:pPr>
            <w:r w:rsidRPr="008128AC">
              <w:rPr>
                <w:rFonts w:ascii="Calibri" w:hAnsi="Calibri" w:cs="Calibri"/>
              </w:rPr>
              <w:t>3.24 (0.83)</w:t>
            </w:r>
          </w:p>
        </w:tc>
        <w:tc>
          <w:tcPr>
            <w:tcW w:w="0" w:type="auto"/>
          </w:tcPr>
          <w:p w14:paraId="619A3CDC" w14:textId="77777777" w:rsidR="00CF618B" w:rsidRPr="008128AC" w:rsidRDefault="00CF618B" w:rsidP="006C2AA7">
            <w:pPr>
              <w:rPr>
                <w:rFonts w:ascii="Calibri" w:hAnsi="Calibri" w:cs="Calibri"/>
              </w:rPr>
            </w:pPr>
            <w:r w:rsidRPr="008128AC">
              <w:rPr>
                <w:rFonts w:ascii="Calibri" w:hAnsi="Calibri" w:cs="Calibri"/>
              </w:rPr>
              <w:t>20</w:t>
            </w:r>
          </w:p>
        </w:tc>
        <w:tc>
          <w:tcPr>
            <w:tcW w:w="0" w:type="auto"/>
          </w:tcPr>
          <w:p w14:paraId="751DB6DC" w14:textId="77777777" w:rsidR="00CF618B" w:rsidRPr="008128AC" w:rsidRDefault="00CF618B" w:rsidP="006C2AA7">
            <w:pPr>
              <w:rPr>
                <w:rFonts w:ascii="Calibri" w:hAnsi="Calibri" w:cs="Calibri"/>
              </w:rPr>
            </w:pPr>
          </w:p>
        </w:tc>
        <w:tc>
          <w:tcPr>
            <w:tcW w:w="576" w:type="dxa"/>
          </w:tcPr>
          <w:p w14:paraId="0FFD0831" w14:textId="77777777" w:rsidR="00CF618B" w:rsidRPr="008128AC" w:rsidRDefault="00CF618B" w:rsidP="006C2AA7">
            <w:pPr>
              <w:rPr>
                <w:rFonts w:ascii="Calibri" w:hAnsi="Calibri" w:cs="Calibri"/>
              </w:rPr>
            </w:pPr>
          </w:p>
        </w:tc>
      </w:tr>
      <w:tr w:rsidR="00CF618B" w:rsidRPr="008128AC" w14:paraId="52FEDF4B" w14:textId="77777777" w:rsidTr="006C2AA7">
        <w:trPr>
          <w:jc w:val="center"/>
        </w:trPr>
        <w:tc>
          <w:tcPr>
            <w:tcW w:w="0" w:type="auto"/>
          </w:tcPr>
          <w:p w14:paraId="3F9A7C35" w14:textId="77777777" w:rsidR="00CF618B" w:rsidRPr="008128AC" w:rsidRDefault="00CF618B" w:rsidP="006C2AA7">
            <w:pPr>
              <w:rPr>
                <w:rFonts w:ascii="Calibri" w:hAnsi="Calibri" w:cs="Calibri"/>
              </w:rPr>
            </w:pPr>
            <w:r w:rsidRPr="008128AC">
              <w:rPr>
                <w:rFonts w:ascii="Calibri" w:hAnsi="Calibri" w:cs="Calibri"/>
              </w:rPr>
              <w:t>Winkler et al 2015</w:t>
            </w:r>
          </w:p>
        </w:tc>
        <w:tc>
          <w:tcPr>
            <w:tcW w:w="0" w:type="auto"/>
          </w:tcPr>
          <w:p w14:paraId="249BCE67" w14:textId="77777777" w:rsidR="00CF618B" w:rsidRPr="008128AC" w:rsidRDefault="00CF618B" w:rsidP="006C2AA7">
            <w:pPr>
              <w:rPr>
                <w:rFonts w:ascii="Calibri" w:hAnsi="Calibri" w:cs="Calibri"/>
              </w:rPr>
            </w:pPr>
            <w:r w:rsidRPr="008128AC">
              <w:rPr>
                <w:rFonts w:ascii="Calibri" w:hAnsi="Calibri" w:cs="Calibri"/>
              </w:rPr>
              <w:t>RCS_The time they go to bed in the evening</w:t>
            </w:r>
          </w:p>
        </w:tc>
        <w:tc>
          <w:tcPr>
            <w:tcW w:w="0" w:type="auto"/>
          </w:tcPr>
          <w:p w14:paraId="084A1465" w14:textId="77777777" w:rsidR="00CF618B" w:rsidRPr="008128AC" w:rsidRDefault="00CF618B" w:rsidP="006C2AA7">
            <w:pPr>
              <w:rPr>
                <w:rFonts w:ascii="Calibri" w:hAnsi="Calibri" w:cs="Calibri"/>
              </w:rPr>
            </w:pPr>
            <w:r w:rsidRPr="008128AC">
              <w:rPr>
                <w:rFonts w:ascii="Calibri" w:hAnsi="Calibri" w:cs="Calibri"/>
              </w:rPr>
              <w:t>2.24 (1.2)</w:t>
            </w:r>
          </w:p>
        </w:tc>
        <w:tc>
          <w:tcPr>
            <w:tcW w:w="0" w:type="auto"/>
          </w:tcPr>
          <w:p w14:paraId="1CFD2B67" w14:textId="77777777" w:rsidR="00CF618B" w:rsidRPr="008128AC" w:rsidRDefault="00CF618B" w:rsidP="006C2AA7">
            <w:pPr>
              <w:rPr>
                <w:rFonts w:ascii="Calibri" w:hAnsi="Calibri" w:cs="Calibri"/>
              </w:rPr>
            </w:pPr>
            <w:r w:rsidRPr="008128AC">
              <w:rPr>
                <w:rFonts w:ascii="Calibri" w:hAnsi="Calibri" w:cs="Calibri"/>
              </w:rPr>
              <w:t>45</w:t>
            </w:r>
          </w:p>
        </w:tc>
        <w:tc>
          <w:tcPr>
            <w:tcW w:w="0" w:type="auto"/>
          </w:tcPr>
          <w:p w14:paraId="3776D78D" w14:textId="77777777" w:rsidR="00CF618B" w:rsidRPr="008128AC" w:rsidRDefault="00CF618B" w:rsidP="006C2AA7">
            <w:pPr>
              <w:rPr>
                <w:rFonts w:ascii="Calibri" w:hAnsi="Calibri" w:cs="Calibri"/>
              </w:rPr>
            </w:pPr>
            <w:r w:rsidRPr="008128AC">
              <w:rPr>
                <w:rFonts w:ascii="Calibri" w:hAnsi="Calibri" w:cs="Calibri"/>
              </w:rPr>
              <w:t>3.48 (0.75)</w:t>
            </w:r>
          </w:p>
        </w:tc>
        <w:tc>
          <w:tcPr>
            <w:tcW w:w="0" w:type="auto"/>
          </w:tcPr>
          <w:p w14:paraId="6537FA7C" w14:textId="77777777" w:rsidR="00CF618B" w:rsidRPr="008128AC" w:rsidRDefault="00CF618B" w:rsidP="006C2AA7">
            <w:pPr>
              <w:rPr>
                <w:rFonts w:ascii="Calibri" w:hAnsi="Calibri" w:cs="Calibri"/>
              </w:rPr>
            </w:pPr>
            <w:r w:rsidRPr="008128AC">
              <w:rPr>
                <w:rFonts w:ascii="Calibri" w:hAnsi="Calibri" w:cs="Calibri"/>
              </w:rPr>
              <w:t>20</w:t>
            </w:r>
          </w:p>
        </w:tc>
        <w:tc>
          <w:tcPr>
            <w:tcW w:w="0" w:type="auto"/>
          </w:tcPr>
          <w:p w14:paraId="2F916514" w14:textId="77777777" w:rsidR="00CF618B" w:rsidRPr="008128AC" w:rsidRDefault="00CF618B" w:rsidP="006C2AA7">
            <w:pPr>
              <w:rPr>
                <w:rFonts w:ascii="Calibri" w:hAnsi="Calibri" w:cs="Calibri"/>
              </w:rPr>
            </w:pPr>
          </w:p>
        </w:tc>
        <w:tc>
          <w:tcPr>
            <w:tcW w:w="576" w:type="dxa"/>
          </w:tcPr>
          <w:p w14:paraId="77DF77AB" w14:textId="77777777" w:rsidR="00CF618B" w:rsidRPr="008128AC" w:rsidRDefault="00CF618B" w:rsidP="006C2AA7">
            <w:pPr>
              <w:rPr>
                <w:rFonts w:ascii="Calibri" w:hAnsi="Calibri" w:cs="Calibri"/>
              </w:rPr>
            </w:pPr>
          </w:p>
        </w:tc>
      </w:tr>
      <w:tr w:rsidR="00CF618B" w:rsidRPr="008128AC" w14:paraId="35A7DD2F" w14:textId="77777777" w:rsidTr="006C2AA7">
        <w:trPr>
          <w:jc w:val="center"/>
        </w:trPr>
        <w:tc>
          <w:tcPr>
            <w:tcW w:w="0" w:type="auto"/>
          </w:tcPr>
          <w:p w14:paraId="16C929F9" w14:textId="77777777" w:rsidR="00CF618B" w:rsidRPr="008128AC" w:rsidRDefault="00CF618B" w:rsidP="006C2AA7">
            <w:pPr>
              <w:rPr>
                <w:rFonts w:ascii="Calibri" w:hAnsi="Calibri" w:cs="Calibri"/>
              </w:rPr>
            </w:pPr>
            <w:r w:rsidRPr="008128AC">
              <w:rPr>
                <w:rFonts w:ascii="Calibri" w:hAnsi="Calibri" w:cs="Calibri"/>
              </w:rPr>
              <w:t>Winkler et al 2015</w:t>
            </w:r>
          </w:p>
        </w:tc>
        <w:tc>
          <w:tcPr>
            <w:tcW w:w="0" w:type="auto"/>
          </w:tcPr>
          <w:p w14:paraId="3E5BF43F" w14:textId="77777777" w:rsidR="00CF618B" w:rsidRPr="008128AC" w:rsidRDefault="00CF618B" w:rsidP="006C2AA7">
            <w:pPr>
              <w:rPr>
                <w:rFonts w:ascii="Calibri" w:hAnsi="Calibri" w:cs="Calibri"/>
              </w:rPr>
            </w:pPr>
            <w:r w:rsidRPr="008128AC">
              <w:rPr>
                <w:rFonts w:ascii="Calibri" w:hAnsi="Calibri" w:cs="Calibri"/>
              </w:rPr>
              <w:t>RCS_The clothes they wear each day</w:t>
            </w:r>
          </w:p>
        </w:tc>
        <w:tc>
          <w:tcPr>
            <w:tcW w:w="0" w:type="auto"/>
          </w:tcPr>
          <w:p w14:paraId="68B5F6F7" w14:textId="77777777" w:rsidR="00CF618B" w:rsidRPr="008128AC" w:rsidRDefault="00CF618B" w:rsidP="006C2AA7">
            <w:pPr>
              <w:rPr>
                <w:rFonts w:ascii="Calibri" w:hAnsi="Calibri" w:cs="Calibri"/>
              </w:rPr>
            </w:pPr>
            <w:r w:rsidRPr="008128AC">
              <w:rPr>
                <w:rFonts w:ascii="Calibri" w:hAnsi="Calibri" w:cs="Calibri"/>
              </w:rPr>
              <w:t>2.68 (1.34)</w:t>
            </w:r>
          </w:p>
        </w:tc>
        <w:tc>
          <w:tcPr>
            <w:tcW w:w="0" w:type="auto"/>
          </w:tcPr>
          <w:p w14:paraId="27D05905" w14:textId="77777777" w:rsidR="00CF618B" w:rsidRPr="008128AC" w:rsidRDefault="00CF618B" w:rsidP="006C2AA7">
            <w:pPr>
              <w:rPr>
                <w:rFonts w:ascii="Calibri" w:hAnsi="Calibri" w:cs="Calibri"/>
              </w:rPr>
            </w:pPr>
            <w:r w:rsidRPr="008128AC">
              <w:rPr>
                <w:rFonts w:ascii="Calibri" w:hAnsi="Calibri" w:cs="Calibri"/>
              </w:rPr>
              <w:t>45</w:t>
            </w:r>
          </w:p>
        </w:tc>
        <w:tc>
          <w:tcPr>
            <w:tcW w:w="0" w:type="auto"/>
          </w:tcPr>
          <w:p w14:paraId="7EF3CEE2" w14:textId="77777777" w:rsidR="00CF618B" w:rsidRPr="008128AC" w:rsidRDefault="00CF618B" w:rsidP="006C2AA7">
            <w:pPr>
              <w:rPr>
                <w:rFonts w:ascii="Calibri" w:hAnsi="Calibri" w:cs="Calibri"/>
              </w:rPr>
            </w:pPr>
            <w:r w:rsidRPr="008128AC">
              <w:rPr>
                <w:rFonts w:ascii="Calibri" w:hAnsi="Calibri" w:cs="Calibri"/>
              </w:rPr>
              <w:t>3.52 (0.98)</w:t>
            </w:r>
          </w:p>
        </w:tc>
        <w:tc>
          <w:tcPr>
            <w:tcW w:w="0" w:type="auto"/>
          </w:tcPr>
          <w:p w14:paraId="6A54AB89" w14:textId="77777777" w:rsidR="00CF618B" w:rsidRPr="008128AC" w:rsidRDefault="00CF618B" w:rsidP="006C2AA7">
            <w:pPr>
              <w:rPr>
                <w:rFonts w:ascii="Calibri" w:hAnsi="Calibri" w:cs="Calibri"/>
              </w:rPr>
            </w:pPr>
            <w:r w:rsidRPr="008128AC">
              <w:rPr>
                <w:rFonts w:ascii="Calibri" w:hAnsi="Calibri" w:cs="Calibri"/>
              </w:rPr>
              <w:t>20</w:t>
            </w:r>
          </w:p>
        </w:tc>
        <w:tc>
          <w:tcPr>
            <w:tcW w:w="0" w:type="auto"/>
          </w:tcPr>
          <w:p w14:paraId="4D45954A" w14:textId="77777777" w:rsidR="00CF618B" w:rsidRPr="008128AC" w:rsidRDefault="00CF618B" w:rsidP="006C2AA7">
            <w:pPr>
              <w:rPr>
                <w:rFonts w:ascii="Calibri" w:hAnsi="Calibri" w:cs="Calibri"/>
              </w:rPr>
            </w:pPr>
          </w:p>
        </w:tc>
        <w:tc>
          <w:tcPr>
            <w:tcW w:w="576" w:type="dxa"/>
          </w:tcPr>
          <w:p w14:paraId="017D0EA7" w14:textId="77777777" w:rsidR="00CF618B" w:rsidRPr="008128AC" w:rsidRDefault="00CF618B" w:rsidP="006C2AA7">
            <w:pPr>
              <w:rPr>
                <w:rFonts w:ascii="Calibri" w:hAnsi="Calibri" w:cs="Calibri"/>
              </w:rPr>
            </w:pPr>
          </w:p>
        </w:tc>
      </w:tr>
      <w:tr w:rsidR="00CF618B" w:rsidRPr="008128AC" w14:paraId="0E0B92E8" w14:textId="77777777" w:rsidTr="006C2AA7">
        <w:trPr>
          <w:jc w:val="center"/>
        </w:trPr>
        <w:tc>
          <w:tcPr>
            <w:tcW w:w="0" w:type="auto"/>
          </w:tcPr>
          <w:p w14:paraId="03DD169E" w14:textId="77777777" w:rsidR="00CF618B" w:rsidRPr="008128AC" w:rsidRDefault="00CF618B" w:rsidP="006C2AA7">
            <w:pPr>
              <w:rPr>
                <w:rFonts w:ascii="Calibri" w:hAnsi="Calibri" w:cs="Calibri"/>
              </w:rPr>
            </w:pPr>
            <w:r w:rsidRPr="008128AC">
              <w:rPr>
                <w:rFonts w:ascii="Calibri" w:hAnsi="Calibri" w:cs="Calibri"/>
              </w:rPr>
              <w:lastRenderedPageBreak/>
              <w:t>Winkler et al 2015</w:t>
            </w:r>
          </w:p>
        </w:tc>
        <w:tc>
          <w:tcPr>
            <w:tcW w:w="0" w:type="auto"/>
          </w:tcPr>
          <w:p w14:paraId="53B94F5D" w14:textId="77777777" w:rsidR="00CF618B" w:rsidRPr="008128AC" w:rsidRDefault="00CF618B" w:rsidP="006C2AA7">
            <w:pPr>
              <w:rPr>
                <w:rFonts w:ascii="Calibri" w:hAnsi="Calibri" w:cs="Calibri"/>
              </w:rPr>
            </w:pPr>
            <w:r w:rsidRPr="008128AC">
              <w:rPr>
                <w:rFonts w:ascii="Calibri" w:hAnsi="Calibri" w:cs="Calibri"/>
              </w:rPr>
              <w:t>RCS_Involvement of intimate partners</w:t>
            </w:r>
          </w:p>
        </w:tc>
        <w:tc>
          <w:tcPr>
            <w:tcW w:w="0" w:type="auto"/>
          </w:tcPr>
          <w:p w14:paraId="072683D2" w14:textId="77777777" w:rsidR="00CF618B" w:rsidRPr="008128AC" w:rsidRDefault="00CF618B" w:rsidP="006C2AA7">
            <w:pPr>
              <w:rPr>
                <w:rFonts w:ascii="Calibri" w:hAnsi="Calibri" w:cs="Calibri"/>
              </w:rPr>
            </w:pPr>
            <w:r w:rsidRPr="008128AC">
              <w:rPr>
                <w:rFonts w:ascii="Calibri" w:hAnsi="Calibri" w:cs="Calibri"/>
              </w:rPr>
              <w:t>1.54 (1.26)</w:t>
            </w:r>
          </w:p>
        </w:tc>
        <w:tc>
          <w:tcPr>
            <w:tcW w:w="0" w:type="auto"/>
          </w:tcPr>
          <w:p w14:paraId="6B9BCB61" w14:textId="77777777" w:rsidR="00CF618B" w:rsidRPr="008128AC" w:rsidRDefault="00CF618B" w:rsidP="006C2AA7">
            <w:pPr>
              <w:rPr>
                <w:rFonts w:ascii="Calibri" w:hAnsi="Calibri" w:cs="Calibri"/>
              </w:rPr>
            </w:pPr>
            <w:r w:rsidRPr="008128AC">
              <w:rPr>
                <w:rFonts w:ascii="Calibri" w:hAnsi="Calibri" w:cs="Calibri"/>
              </w:rPr>
              <w:t>45</w:t>
            </w:r>
          </w:p>
        </w:tc>
        <w:tc>
          <w:tcPr>
            <w:tcW w:w="0" w:type="auto"/>
          </w:tcPr>
          <w:p w14:paraId="52D63C00" w14:textId="77777777" w:rsidR="00CF618B" w:rsidRPr="008128AC" w:rsidRDefault="00CF618B" w:rsidP="006C2AA7">
            <w:pPr>
              <w:rPr>
                <w:rFonts w:ascii="Calibri" w:hAnsi="Calibri" w:cs="Calibri"/>
              </w:rPr>
            </w:pPr>
            <w:r w:rsidRPr="008128AC">
              <w:rPr>
                <w:rFonts w:ascii="Calibri" w:hAnsi="Calibri" w:cs="Calibri"/>
              </w:rPr>
              <w:t>2 (1.79)</w:t>
            </w:r>
          </w:p>
        </w:tc>
        <w:tc>
          <w:tcPr>
            <w:tcW w:w="0" w:type="auto"/>
          </w:tcPr>
          <w:p w14:paraId="7FC8BE43" w14:textId="77777777" w:rsidR="00CF618B" w:rsidRPr="008128AC" w:rsidRDefault="00CF618B" w:rsidP="006C2AA7">
            <w:pPr>
              <w:rPr>
                <w:rFonts w:ascii="Calibri" w:hAnsi="Calibri" w:cs="Calibri"/>
              </w:rPr>
            </w:pPr>
            <w:r w:rsidRPr="008128AC">
              <w:rPr>
                <w:rFonts w:ascii="Calibri" w:hAnsi="Calibri" w:cs="Calibri"/>
              </w:rPr>
              <w:t>20</w:t>
            </w:r>
          </w:p>
        </w:tc>
        <w:tc>
          <w:tcPr>
            <w:tcW w:w="0" w:type="auto"/>
          </w:tcPr>
          <w:p w14:paraId="5338109E" w14:textId="77777777" w:rsidR="00CF618B" w:rsidRPr="008128AC" w:rsidRDefault="00CF618B" w:rsidP="006C2AA7">
            <w:pPr>
              <w:rPr>
                <w:rFonts w:ascii="Calibri" w:hAnsi="Calibri" w:cs="Calibri"/>
              </w:rPr>
            </w:pPr>
          </w:p>
        </w:tc>
        <w:tc>
          <w:tcPr>
            <w:tcW w:w="576" w:type="dxa"/>
          </w:tcPr>
          <w:p w14:paraId="28E2560A" w14:textId="77777777" w:rsidR="00CF618B" w:rsidRPr="008128AC" w:rsidRDefault="00CF618B" w:rsidP="006C2AA7">
            <w:pPr>
              <w:rPr>
                <w:rFonts w:ascii="Calibri" w:hAnsi="Calibri" w:cs="Calibri"/>
              </w:rPr>
            </w:pPr>
          </w:p>
        </w:tc>
      </w:tr>
      <w:tr w:rsidR="00CF618B" w:rsidRPr="008128AC" w14:paraId="6E4A69C1" w14:textId="77777777" w:rsidTr="006C2AA7">
        <w:trPr>
          <w:jc w:val="center"/>
        </w:trPr>
        <w:tc>
          <w:tcPr>
            <w:tcW w:w="0" w:type="auto"/>
          </w:tcPr>
          <w:p w14:paraId="6D0F7684" w14:textId="77777777" w:rsidR="00CF618B" w:rsidRPr="008128AC" w:rsidRDefault="00CF618B" w:rsidP="006C2AA7">
            <w:pPr>
              <w:rPr>
                <w:rFonts w:ascii="Calibri" w:hAnsi="Calibri" w:cs="Calibri"/>
              </w:rPr>
            </w:pPr>
            <w:r w:rsidRPr="008128AC">
              <w:rPr>
                <w:rFonts w:ascii="Calibri" w:hAnsi="Calibri" w:cs="Calibri"/>
              </w:rPr>
              <w:t>Winkler et al 2015</w:t>
            </w:r>
          </w:p>
        </w:tc>
        <w:tc>
          <w:tcPr>
            <w:tcW w:w="0" w:type="auto"/>
          </w:tcPr>
          <w:p w14:paraId="0542948D" w14:textId="77777777" w:rsidR="00CF618B" w:rsidRPr="008128AC" w:rsidRDefault="00CF618B" w:rsidP="006C2AA7">
            <w:pPr>
              <w:rPr>
                <w:rFonts w:ascii="Calibri" w:hAnsi="Calibri" w:cs="Calibri"/>
              </w:rPr>
            </w:pPr>
            <w:r w:rsidRPr="008128AC">
              <w:rPr>
                <w:rFonts w:ascii="Calibri" w:hAnsi="Calibri" w:cs="Calibri"/>
              </w:rPr>
              <w:t>RCS_Their daytime activities</w:t>
            </w:r>
          </w:p>
        </w:tc>
        <w:tc>
          <w:tcPr>
            <w:tcW w:w="0" w:type="auto"/>
          </w:tcPr>
          <w:p w14:paraId="66499C98" w14:textId="77777777" w:rsidR="00CF618B" w:rsidRPr="008128AC" w:rsidRDefault="00CF618B" w:rsidP="006C2AA7">
            <w:pPr>
              <w:rPr>
                <w:rFonts w:ascii="Calibri" w:hAnsi="Calibri" w:cs="Calibri"/>
              </w:rPr>
            </w:pPr>
            <w:r w:rsidRPr="008128AC">
              <w:rPr>
                <w:rFonts w:ascii="Calibri" w:hAnsi="Calibri" w:cs="Calibri"/>
              </w:rPr>
              <w:t>2.59 (1.18)</w:t>
            </w:r>
          </w:p>
        </w:tc>
        <w:tc>
          <w:tcPr>
            <w:tcW w:w="0" w:type="auto"/>
          </w:tcPr>
          <w:p w14:paraId="310955FA" w14:textId="77777777" w:rsidR="00CF618B" w:rsidRPr="008128AC" w:rsidRDefault="00CF618B" w:rsidP="006C2AA7">
            <w:pPr>
              <w:rPr>
                <w:rFonts w:ascii="Calibri" w:hAnsi="Calibri" w:cs="Calibri"/>
              </w:rPr>
            </w:pPr>
            <w:r w:rsidRPr="008128AC">
              <w:rPr>
                <w:rFonts w:ascii="Calibri" w:hAnsi="Calibri" w:cs="Calibri"/>
              </w:rPr>
              <w:t>45</w:t>
            </w:r>
          </w:p>
        </w:tc>
        <w:tc>
          <w:tcPr>
            <w:tcW w:w="0" w:type="auto"/>
          </w:tcPr>
          <w:p w14:paraId="4E341ABB" w14:textId="77777777" w:rsidR="00CF618B" w:rsidRPr="008128AC" w:rsidRDefault="00CF618B" w:rsidP="006C2AA7">
            <w:pPr>
              <w:rPr>
                <w:rFonts w:ascii="Calibri" w:hAnsi="Calibri" w:cs="Calibri"/>
              </w:rPr>
            </w:pPr>
            <w:r w:rsidRPr="008128AC">
              <w:rPr>
                <w:rFonts w:ascii="Calibri" w:hAnsi="Calibri" w:cs="Calibri"/>
              </w:rPr>
              <w:t>3.67 (0.66)</w:t>
            </w:r>
          </w:p>
        </w:tc>
        <w:tc>
          <w:tcPr>
            <w:tcW w:w="0" w:type="auto"/>
          </w:tcPr>
          <w:p w14:paraId="3FF259A4" w14:textId="77777777" w:rsidR="00CF618B" w:rsidRPr="008128AC" w:rsidRDefault="00CF618B" w:rsidP="006C2AA7">
            <w:pPr>
              <w:rPr>
                <w:rFonts w:ascii="Calibri" w:hAnsi="Calibri" w:cs="Calibri"/>
              </w:rPr>
            </w:pPr>
            <w:r w:rsidRPr="008128AC">
              <w:rPr>
                <w:rFonts w:ascii="Calibri" w:hAnsi="Calibri" w:cs="Calibri"/>
              </w:rPr>
              <w:t>20</w:t>
            </w:r>
          </w:p>
        </w:tc>
        <w:tc>
          <w:tcPr>
            <w:tcW w:w="0" w:type="auto"/>
          </w:tcPr>
          <w:p w14:paraId="4F65BD06" w14:textId="77777777" w:rsidR="00CF618B" w:rsidRPr="008128AC" w:rsidRDefault="00CF618B" w:rsidP="006C2AA7">
            <w:pPr>
              <w:rPr>
                <w:rFonts w:ascii="Calibri" w:hAnsi="Calibri" w:cs="Calibri"/>
              </w:rPr>
            </w:pPr>
          </w:p>
        </w:tc>
        <w:tc>
          <w:tcPr>
            <w:tcW w:w="576" w:type="dxa"/>
          </w:tcPr>
          <w:p w14:paraId="0D115DDC" w14:textId="77777777" w:rsidR="00CF618B" w:rsidRPr="008128AC" w:rsidRDefault="00CF618B" w:rsidP="006C2AA7">
            <w:pPr>
              <w:rPr>
                <w:rFonts w:ascii="Calibri" w:hAnsi="Calibri" w:cs="Calibri"/>
              </w:rPr>
            </w:pPr>
          </w:p>
        </w:tc>
      </w:tr>
      <w:tr w:rsidR="00CF618B" w:rsidRPr="008128AC" w14:paraId="5EB43624" w14:textId="77777777" w:rsidTr="006C2AA7">
        <w:trPr>
          <w:jc w:val="center"/>
        </w:trPr>
        <w:tc>
          <w:tcPr>
            <w:tcW w:w="0" w:type="auto"/>
          </w:tcPr>
          <w:p w14:paraId="37C81117" w14:textId="77777777" w:rsidR="00CF618B" w:rsidRPr="008128AC" w:rsidRDefault="00CF618B" w:rsidP="006C2AA7">
            <w:pPr>
              <w:rPr>
                <w:rFonts w:ascii="Calibri" w:hAnsi="Calibri" w:cs="Calibri"/>
              </w:rPr>
            </w:pPr>
            <w:r w:rsidRPr="008128AC">
              <w:rPr>
                <w:rFonts w:ascii="Calibri" w:hAnsi="Calibri" w:cs="Calibri"/>
              </w:rPr>
              <w:t>Winkler et al 2015</w:t>
            </w:r>
          </w:p>
        </w:tc>
        <w:tc>
          <w:tcPr>
            <w:tcW w:w="0" w:type="auto"/>
          </w:tcPr>
          <w:p w14:paraId="1144827D" w14:textId="77777777" w:rsidR="00CF618B" w:rsidRPr="008128AC" w:rsidRDefault="00CF618B" w:rsidP="006C2AA7">
            <w:pPr>
              <w:rPr>
                <w:rFonts w:ascii="Calibri" w:hAnsi="Calibri" w:cs="Calibri"/>
              </w:rPr>
            </w:pPr>
            <w:r w:rsidRPr="008128AC">
              <w:rPr>
                <w:rFonts w:ascii="Calibri" w:hAnsi="Calibri" w:cs="Calibri"/>
              </w:rPr>
              <w:t>RCS_The time they spend in the bath or shower</w:t>
            </w:r>
          </w:p>
        </w:tc>
        <w:tc>
          <w:tcPr>
            <w:tcW w:w="0" w:type="auto"/>
          </w:tcPr>
          <w:p w14:paraId="0C4EB4CE" w14:textId="77777777" w:rsidR="00CF618B" w:rsidRPr="008128AC" w:rsidRDefault="00CF618B" w:rsidP="006C2AA7">
            <w:pPr>
              <w:rPr>
                <w:rFonts w:ascii="Calibri" w:hAnsi="Calibri" w:cs="Calibri"/>
              </w:rPr>
            </w:pPr>
            <w:r w:rsidRPr="008128AC">
              <w:rPr>
                <w:rFonts w:ascii="Calibri" w:hAnsi="Calibri" w:cs="Calibri"/>
              </w:rPr>
              <w:t>1.82 (1.06)</w:t>
            </w:r>
          </w:p>
        </w:tc>
        <w:tc>
          <w:tcPr>
            <w:tcW w:w="0" w:type="auto"/>
          </w:tcPr>
          <w:p w14:paraId="427AE993" w14:textId="77777777" w:rsidR="00CF618B" w:rsidRPr="008128AC" w:rsidRDefault="00CF618B" w:rsidP="006C2AA7">
            <w:pPr>
              <w:rPr>
                <w:rFonts w:ascii="Calibri" w:hAnsi="Calibri" w:cs="Calibri"/>
              </w:rPr>
            </w:pPr>
            <w:r w:rsidRPr="008128AC">
              <w:rPr>
                <w:rFonts w:ascii="Calibri" w:hAnsi="Calibri" w:cs="Calibri"/>
              </w:rPr>
              <w:t>45</w:t>
            </w:r>
          </w:p>
        </w:tc>
        <w:tc>
          <w:tcPr>
            <w:tcW w:w="0" w:type="auto"/>
          </w:tcPr>
          <w:p w14:paraId="005F82B9" w14:textId="77777777" w:rsidR="00CF618B" w:rsidRPr="008128AC" w:rsidRDefault="00CF618B" w:rsidP="006C2AA7">
            <w:pPr>
              <w:rPr>
                <w:rFonts w:ascii="Calibri" w:hAnsi="Calibri" w:cs="Calibri"/>
              </w:rPr>
            </w:pPr>
            <w:r w:rsidRPr="008128AC">
              <w:rPr>
                <w:rFonts w:ascii="Calibri" w:hAnsi="Calibri" w:cs="Calibri"/>
              </w:rPr>
              <w:t>3 (1.14)</w:t>
            </w:r>
          </w:p>
        </w:tc>
        <w:tc>
          <w:tcPr>
            <w:tcW w:w="0" w:type="auto"/>
          </w:tcPr>
          <w:p w14:paraId="6B26B045" w14:textId="77777777" w:rsidR="00CF618B" w:rsidRPr="008128AC" w:rsidRDefault="00CF618B" w:rsidP="006C2AA7">
            <w:pPr>
              <w:rPr>
                <w:rFonts w:ascii="Calibri" w:hAnsi="Calibri" w:cs="Calibri"/>
              </w:rPr>
            </w:pPr>
            <w:r w:rsidRPr="008128AC">
              <w:rPr>
                <w:rFonts w:ascii="Calibri" w:hAnsi="Calibri" w:cs="Calibri"/>
              </w:rPr>
              <w:t>20</w:t>
            </w:r>
          </w:p>
        </w:tc>
        <w:tc>
          <w:tcPr>
            <w:tcW w:w="0" w:type="auto"/>
          </w:tcPr>
          <w:p w14:paraId="464548B2" w14:textId="77777777" w:rsidR="00CF618B" w:rsidRPr="008128AC" w:rsidRDefault="00CF618B" w:rsidP="006C2AA7">
            <w:pPr>
              <w:rPr>
                <w:rFonts w:ascii="Calibri" w:hAnsi="Calibri" w:cs="Calibri"/>
              </w:rPr>
            </w:pPr>
          </w:p>
        </w:tc>
        <w:tc>
          <w:tcPr>
            <w:tcW w:w="576" w:type="dxa"/>
          </w:tcPr>
          <w:p w14:paraId="6B029FAA" w14:textId="77777777" w:rsidR="00CF618B" w:rsidRPr="008128AC" w:rsidRDefault="00CF618B" w:rsidP="006C2AA7">
            <w:pPr>
              <w:rPr>
                <w:rFonts w:ascii="Calibri" w:hAnsi="Calibri" w:cs="Calibri"/>
              </w:rPr>
            </w:pPr>
          </w:p>
        </w:tc>
      </w:tr>
      <w:tr w:rsidR="00CF618B" w:rsidRPr="008128AC" w14:paraId="4E427988" w14:textId="77777777" w:rsidTr="006C2AA7">
        <w:trPr>
          <w:jc w:val="center"/>
        </w:trPr>
        <w:tc>
          <w:tcPr>
            <w:tcW w:w="0" w:type="auto"/>
          </w:tcPr>
          <w:p w14:paraId="428DE6CF" w14:textId="77777777" w:rsidR="00CF618B" w:rsidRPr="008128AC" w:rsidRDefault="00CF618B" w:rsidP="006C2AA7">
            <w:pPr>
              <w:rPr>
                <w:rFonts w:ascii="Calibri" w:hAnsi="Calibri" w:cs="Calibri"/>
              </w:rPr>
            </w:pPr>
            <w:r w:rsidRPr="008128AC">
              <w:rPr>
                <w:rFonts w:ascii="Calibri" w:hAnsi="Calibri" w:cs="Calibri"/>
              </w:rPr>
              <w:t>Winkler et al 2015</w:t>
            </w:r>
          </w:p>
        </w:tc>
        <w:tc>
          <w:tcPr>
            <w:tcW w:w="0" w:type="auto"/>
          </w:tcPr>
          <w:p w14:paraId="58DC63F9" w14:textId="77777777" w:rsidR="00CF618B" w:rsidRPr="008128AC" w:rsidRDefault="00CF618B" w:rsidP="006C2AA7">
            <w:pPr>
              <w:rPr>
                <w:rFonts w:ascii="Calibri" w:hAnsi="Calibri" w:cs="Calibri"/>
              </w:rPr>
            </w:pPr>
            <w:r w:rsidRPr="008128AC">
              <w:rPr>
                <w:rFonts w:ascii="Calibri" w:hAnsi="Calibri" w:cs="Calibri"/>
              </w:rPr>
              <w:t>RCS_Access to a private area</w:t>
            </w:r>
          </w:p>
        </w:tc>
        <w:tc>
          <w:tcPr>
            <w:tcW w:w="0" w:type="auto"/>
          </w:tcPr>
          <w:p w14:paraId="19F419F5" w14:textId="77777777" w:rsidR="00CF618B" w:rsidRPr="008128AC" w:rsidRDefault="00CF618B" w:rsidP="006C2AA7">
            <w:pPr>
              <w:rPr>
                <w:rFonts w:ascii="Calibri" w:hAnsi="Calibri" w:cs="Calibri"/>
              </w:rPr>
            </w:pPr>
            <w:r w:rsidRPr="008128AC">
              <w:rPr>
                <w:rFonts w:ascii="Calibri" w:hAnsi="Calibri" w:cs="Calibri"/>
              </w:rPr>
              <w:t>2.45 (1.34)</w:t>
            </w:r>
          </w:p>
        </w:tc>
        <w:tc>
          <w:tcPr>
            <w:tcW w:w="0" w:type="auto"/>
          </w:tcPr>
          <w:p w14:paraId="44947EF5" w14:textId="77777777" w:rsidR="00CF618B" w:rsidRPr="008128AC" w:rsidRDefault="00CF618B" w:rsidP="006C2AA7">
            <w:pPr>
              <w:rPr>
                <w:rFonts w:ascii="Calibri" w:hAnsi="Calibri" w:cs="Calibri"/>
              </w:rPr>
            </w:pPr>
            <w:r w:rsidRPr="008128AC">
              <w:rPr>
                <w:rFonts w:ascii="Calibri" w:hAnsi="Calibri" w:cs="Calibri"/>
              </w:rPr>
              <w:t>45</w:t>
            </w:r>
          </w:p>
        </w:tc>
        <w:tc>
          <w:tcPr>
            <w:tcW w:w="0" w:type="auto"/>
          </w:tcPr>
          <w:p w14:paraId="0FD74444" w14:textId="77777777" w:rsidR="00CF618B" w:rsidRPr="008128AC" w:rsidRDefault="00CF618B" w:rsidP="006C2AA7">
            <w:pPr>
              <w:rPr>
                <w:rFonts w:ascii="Calibri" w:hAnsi="Calibri" w:cs="Calibri"/>
              </w:rPr>
            </w:pPr>
            <w:r w:rsidRPr="008128AC">
              <w:rPr>
                <w:rFonts w:ascii="Calibri" w:hAnsi="Calibri" w:cs="Calibri"/>
              </w:rPr>
              <w:t>3.76 (0.63)</w:t>
            </w:r>
          </w:p>
        </w:tc>
        <w:tc>
          <w:tcPr>
            <w:tcW w:w="0" w:type="auto"/>
          </w:tcPr>
          <w:p w14:paraId="50628E36" w14:textId="77777777" w:rsidR="00CF618B" w:rsidRPr="008128AC" w:rsidRDefault="00CF618B" w:rsidP="006C2AA7">
            <w:pPr>
              <w:rPr>
                <w:rFonts w:ascii="Calibri" w:hAnsi="Calibri" w:cs="Calibri"/>
              </w:rPr>
            </w:pPr>
            <w:r w:rsidRPr="008128AC">
              <w:rPr>
                <w:rFonts w:ascii="Calibri" w:hAnsi="Calibri" w:cs="Calibri"/>
              </w:rPr>
              <w:t>20</w:t>
            </w:r>
          </w:p>
        </w:tc>
        <w:tc>
          <w:tcPr>
            <w:tcW w:w="0" w:type="auto"/>
          </w:tcPr>
          <w:p w14:paraId="6FF69F95" w14:textId="77777777" w:rsidR="00CF618B" w:rsidRPr="008128AC" w:rsidRDefault="00CF618B" w:rsidP="006C2AA7">
            <w:pPr>
              <w:rPr>
                <w:rFonts w:ascii="Calibri" w:hAnsi="Calibri" w:cs="Calibri"/>
              </w:rPr>
            </w:pPr>
          </w:p>
        </w:tc>
        <w:tc>
          <w:tcPr>
            <w:tcW w:w="576" w:type="dxa"/>
          </w:tcPr>
          <w:p w14:paraId="6354FB88" w14:textId="77777777" w:rsidR="00CF618B" w:rsidRPr="008128AC" w:rsidRDefault="00CF618B" w:rsidP="006C2AA7">
            <w:pPr>
              <w:rPr>
                <w:rFonts w:ascii="Calibri" w:hAnsi="Calibri" w:cs="Calibri"/>
              </w:rPr>
            </w:pPr>
          </w:p>
        </w:tc>
      </w:tr>
      <w:tr w:rsidR="00CF618B" w:rsidRPr="008128AC" w14:paraId="1C03F850" w14:textId="77777777" w:rsidTr="006C2AA7">
        <w:trPr>
          <w:jc w:val="center"/>
        </w:trPr>
        <w:tc>
          <w:tcPr>
            <w:tcW w:w="0" w:type="auto"/>
          </w:tcPr>
          <w:p w14:paraId="673D2A2D" w14:textId="77777777" w:rsidR="00CF618B" w:rsidRPr="008128AC" w:rsidRDefault="00CF618B" w:rsidP="006C2AA7">
            <w:pPr>
              <w:rPr>
                <w:rFonts w:ascii="Calibri" w:hAnsi="Calibri" w:cs="Calibri"/>
              </w:rPr>
            </w:pPr>
            <w:r w:rsidRPr="008128AC">
              <w:rPr>
                <w:rFonts w:ascii="Calibri" w:hAnsi="Calibri" w:cs="Calibri"/>
              </w:rPr>
              <w:t>Winkler et al 2015</w:t>
            </w:r>
          </w:p>
        </w:tc>
        <w:tc>
          <w:tcPr>
            <w:tcW w:w="0" w:type="auto"/>
          </w:tcPr>
          <w:p w14:paraId="3087DD09" w14:textId="77777777" w:rsidR="00CF618B" w:rsidRPr="008128AC" w:rsidRDefault="00CF618B" w:rsidP="006C2AA7">
            <w:pPr>
              <w:rPr>
                <w:rFonts w:ascii="Calibri" w:hAnsi="Calibri" w:cs="Calibri"/>
              </w:rPr>
            </w:pPr>
            <w:r w:rsidRPr="008128AC">
              <w:rPr>
                <w:rFonts w:ascii="Calibri" w:hAnsi="Calibri" w:cs="Calibri"/>
              </w:rPr>
              <w:t>RCS_The furnishings in their bedroom</w:t>
            </w:r>
          </w:p>
        </w:tc>
        <w:tc>
          <w:tcPr>
            <w:tcW w:w="0" w:type="auto"/>
          </w:tcPr>
          <w:p w14:paraId="67377031" w14:textId="77777777" w:rsidR="00CF618B" w:rsidRPr="008128AC" w:rsidRDefault="00CF618B" w:rsidP="006C2AA7">
            <w:pPr>
              <w:rPr>
                <w:rFonts w:ascii="Calibri" w:hAnsi="Calibri" w:cs="Calibri"/>
              </w:rPr>
            </w:pPr>
            <w:r w:rsidRPr="008128AC">
              <w:rPr>
                <w:rFonts w:ascii="Calibri" w:hAnsi="Calibri" w:cs="Calibri"/>
              </w:rPr>
              <w:t>2.52 (1.15)</w:t>
            </w:r>
          </w:p>
        </w:tc>
        <w:tc>
          <w:tcPr>
            <w:tcW w:w="0" w:type="auto"/>
          </w:tcPr>
          <w:p w14:paraId="54D80468" w14:textId="77777777" w:rsidR="00CF618B" w:rsidRPr="008128AC" w:rsidRDefault="00CF618B" w:rsidP="006C2AA7">
            <w:pPr>
              <w:rPr>
                <w:rFonts w:ascii="Calibri" w:hAnsi="Calibri" w:cs="Calibri"/>
              </w:rPr>
            </w:pPr>
            <w:r w:rsidRPr="008128AC">
              <w:rPr>
                <w:rFonts w:ascii="Calibri" w:hAnsi="Calibri" w:cs="Calibri"/>
              </w:rPr>
              <w:t>45</w:t>
            </w:r>
          </w:p>
        </w:tc>
        <w:tc>
          <w:tcPr>
            <w:tcW w:w="0" w:type="auto"/>
          </w:tcPr>
          <w:p w14:paraId="7E2DE63D" w14:textId="77777777" w:rsidR="00CF618B" w:rsidRPr="008128AC" w:rsidRDefault="00CF618B" w:rsidP="006C2AA7">
            <w:pPr>
              <w:rPr>
                <w:rFonts w:ascii="Calibri" w:hAnsi="Calibri" w:cs="Calibri"/>
              </w:rPr>
            </w:pPr>
            <w:r w:rsidRPr="008128AC">
              <w:rPr>
                <w:rFonts w:ascii="Calibri" w:hAnsi="Calibri" w:cs="Calibri"/>
              </w:rPr>
              <w:t>3.9 (0.3)</w:t>
            </w:r>
          </w:p>
        </w:tc>
        <w:tc>
          <w:tcPr>
            <w:tcW w:w="0" w:type="auto"/>
          </w:tcPr>
          <w:p w14:paraId="41E6B7E8" w14:textId="77777777" w:rsidR="00CF618B" w:rsidRPr="008128AC" w:rsidRDefault="00CF618B" w:rsidP="006C2AA7">
            <w:pPr>
              <w:rPr>
                <w:rFonts w:ascii="Calibri" w:hAnsi="Calibri" w:cs="Calibri"/>
              </w:rPr>
            </w:pPr>
            <w:r w:rsidRPr="008128AC">
              <w:rPr>
                <w:rFonts w:ascii="Calibri" w:hAnsi="Calibri" w:cs="Calibri"/>
              </w:rPr>
              <w:t>20</w:t>
            </w:r>
          </w:p>
        </w:tc>
        <w:tc>
          <w:tcPr>
            <w:tcW w:w="0" w:type="auto"/>
          </w:tcPr>
          <w:p w14:paraId="4B2A21F6" w14:textId="77777777" w:rsidR="00CF618B" w:rsidRPr="008128AC" w:rsidRDefault="00CF618B" w:rsidP="006C2AA7">
            <w:pPr>
              <w:rPr>
                <w:rFonts w:ascii="Calibri" w:hAnsi="Calibri" w:cs="Calibri"/>
              </w:rPr>
            </w:pPr>
          </w:p>
        </w:tc>
        <w:tc>
          <w:tcPr>
            <w:tcW w:w="576" w:type="dxa"/>
          </w:tcPr>
          <w:p w14:paraId="2A65BCAD" w14:textId="77777777" w:rsidR="00CF618B" w:rsidRPr="008128AC" w:rsidRDefault="00CF618B" w:rsidP="006C2AA7">
            <w:pPr>
              <w:rPr>
                <w:rFonts w:ascii="Calibri" w:hAnsi="Calibri" w:cs="Calibri"/>
              </w:rPr>
            </w:pPr>
          </w:p>
        </w:tc>
      </w:tr>
    </w:tbl>
    <w:p w14:paraId="5F59E921" w14:textId="77777777" w:rsidR="00CF618B" w:rsidRPr="000E05CB" w:rsidRDefault="00CF618B" w:rsidP="00CF618B">
      <w:pPr>
        <w:contextualSpacing/>
        <w:rPr>
          <w:rFonts w:ascii="Calibri" w:hAnsi="Calibri" w:cs="Calibri"/>
          <w:i/>
          <w:iCs/>
        </w:rPr>
      </w:pPr>
      <w:r w:rsidRPr="000E05CB">
        <w:rPr>
          <w:rFonts w:ascii="Calibri" w:hAnsi="Calibri" w:cs="Calibri"/>
          <w:i/>
          <w:iCs/>
        </w:rPr>
        <w:t>Heterogeneity: Tau</w:t>
      </w:r>
      <w:r w:rsidRPr="000E05CB">
        <w:rPr>
          <w:rFonts w:ascii="Calibri" w:hAnsi="Calibri" w:cs="Calibri"/>
          <w:i/>
          <w:iCs/>
          <w:vertAlign w:val="superscript"/>
        </w:rPr>
        <w:t>2</w:t>
      </w:r>
      <w:r w:rsidRPr="000E05CB">
        <w:rPr>
          <w:rFonts w:ascii="Calibri" w:hAnsi="Calibri" w:cs="Calibri"/>
          <w:i/>
          <w:iCs/>
        </w:rPr>
        <w:t>= 0.131, df = 3, I</w:t>
      </w:r>
      <w:r w:rsidRPr="000E05CB">
        <w:rPr>
          <w:rFonts w:ascii="Calibri" w:hAnsi="Calibri" w:cs="Calibri"/>
          <w:i/>
          <w:iCs/>
          <w:vertAlign w:val="superscript"/>
        </w:rPr>
        <w:t>2</w:t>
      </w:r>
      <w:r w:rsidRPr="000E05CB">
        <w:rPr>
          <w:rFonts w:ascii="Calibri" w:hAnsi="Calibri" w:cs="Calibri"/>
          <w:i/>
          <w:iCs/>
        </w:rPr>
        <w:t xml:space="preserve">= 73.02 </w:t>
      </w:r>
    </w:p>
    <w:p w14:paraId="17518F8D" w14:textId="77777777" w:rsidR="00CF618B" w:rsidRDefault="00CF618B" w:rsidP="00CF618B">
      <w:pPr>
        <w:rPr>
          <w:rFonts w:ascii="Calibri" w:hAnsi="Calibri" w:cs="Calibri"/>
        </w:rPr>
      </w:pPr>
    </w:p>
    <w:p w14:paraId="2EFCD1AA" w14:textId="77777777" w:rsidR="00CF618B" w:rsidRDefault="00CF618B" w:rsidP="00CF618B">
      <w:pPr>
        <w:rPr>
          <w:rFonts w:ascii="Calibri" w:hAnsi="Calibri" w:cs="Calibri"/>
          <w:b/>
          <w:bCs/>
        </w:rPr>
      </w:pPr>
      <w:r w:rsidRPr="000E05CB">
        <w:rPr>
          <w:rFonts w:ascii="Calibri" w:hAnsi="Calibri" w:cs="Calibri"/>
          <w:b/>
          <w:bCs/>
        </w:rPr>
        <w:t>Figure 5. Meta</w:t>
      </w:r>
      <w:r>
        <w:rPr>
          <w:rFonts w:ascii="Calibri" w:hAnsi="Calibri" w:cs="Calibri"/>
          <w:b/>
          <w:bCs/>
        </w:rPr>
        <w:t>-analysis of ‘choice’</w:t>
      </w:r>
      <w:r w:rsidRPr="000E5640">
        <w:rPr>
          <w:rFonts w:ascii="Calibri" w:hAnsi="Calibri" w:cs="Calibri"/>
          <w:b/>
          <w:bCs/>
        </w:rPr>
        <w:t xml:space="preserve"> </w:t>
      </w:r>
      <w:r>
        <w:rPr>
          <w:rFonts w:ascii="Calibri" w:hAnsi="Calibri" w:cs="Calibri"/>
          <w:b/>
          <w:bCs/>
        </w:rPr>
        <w:t xml:space="preserve">comparison following transition from </w:t>
      </w:r>
      <w:r w:rsidRPr="000E5640">
        <w:rPr>
          <w:rFonts w:ascii="Calibri" w:hAnsi="Calibri" w:cs="Calibri"/>
          <w:b/>
          <w:bCs/>
        </w:rPr>
        <w:t xml:space="preserve">Institution </w:t>
      </w:r>
      <w:r>
        <w:rPr>
          <w:rFonts w:ascii="Calibri" w:hAnsi="Calibri" w:cs="Calibri"/>
          <w:b/>
          <w:bCs/>
        </w:rPr>
        <w:t>to</w:t>
      </w:r>
      <w:r w:rsidRPr="000E5640">
        <w:rPr>
          <w:rFonts w:ascii="Calibri" w:hAnsi="Calibri" w:cs="Calibri"/>
          <w:b/>
          <w:bCs/>
        </w:rPr>
        <w:t xml:space="preserve"> </w:t>
      </w:r>
      <w:r>
        <w:rPr>
          <w:rFonts w:ascii="Calibri" w:hAnsi="Calibri" w:cs="Calibri"/>
          <w:b/>
          <w:bCs/>
        </w:rPr>
        <w:t>de-congregated setting</w:t>
      </w:r>
    </w:p>
    <w:p w14:paraId="34043E80" w14:textId="77777777" w:rsidR="00CF618B" w:rsidRDefault="00CF618B" w:rsidP="00CF618B">
      <w:pPr>
        <w:rPr>
          <w:rFonts w:ascii="Times" w:hAnsi="Times" w:cs="Times"/>
          <w:sz w:val="24"/>
          <w:szCs w:val="24"/>
        </w:rPr>
      </w:pPr>
      <w:r>
        <w:rPr>
          <w:rFonts w:ascii="Times" w:hAnsi="Times" w:cs="Times"/>
          <w:noProof/>
          <w:sz w:val="24"/>
          <w:szCs w:val="24"/>
          <w:lang w:val="en-AU" w:eastAsia="en-AU"/>
        </w:rPr>
        <w:drawing>
          <wp:inline distT="0" distB="0" distL="0" distR="0" wp14:anchorId="5FC65CBC" wp14:editId="57E0713C">
            <wp:extent cx="6537628" cy="1752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6554310" cy="1757072"/>
                    </a:xfrm>
                    <a:prstGeom prst="rect">
                      <a:avLst/>
                    </a:prstGeom>
                    <a:noFill/>
                    <a:ln>
                      <a:noFill/>
                    </a:ln>
                  </pic:spPr>
                </pic:pic>
              </a:graphicData>
            </a:graphic>
          </wp:inline>
        </w:drawing>
      </w:r>
    </w:p>
    <w:p w14:paraId="21DE82E1" w14:textId="77777777" w:rsidR="00CF618B" w:rsidRDefault="00CF618B" w:rsidP="00CF618B">
      <w:pPr>
        <w:rPr>
          <w:rFonts w:ascii="Calibri" w:hAnsi="Calibri" w:cs="Calibri"/>
          <w:b/>
          <w:bCs/>
        </w:rPr>
      </w:pPr>
    </w:p>
    <w:p w14:paraId="704FA510" w14:textId="77777777" w:rsidR="00CF618B" w:rsidRPr="00D46053" w:rsidRDefault="00CF618B" w:rsidP="00CF618B">
      <w:pPr>
        <w:rPr>
          <w:rFonts w:ascii="Times" w:hAnsi="Times" w:cs="Times"/>
          <w:sz w:val="24"/>
          <w:szCs w:val="24"/>
        </w:rPr>
      </w:pPr>
      <w:r w:rsidRPr="000E05CB">
        <w:rPr>
          <w:rFonts w:ascii="Calibri" w:hAnsi="Calibri" w:cs="Calibri"/>
          <w:b/>
          <w:bCs/>
        </w:rPr>
        <w:t>Table 6</w:t>
      </w:r>
      <w:r>
        <w:rPr>
          <w:rFonts w:ascii="Calibri" w:hAnsi="Calibri" w:cs="Calibri"/>
          <w:b/>
          <w:bCs/>
        </w:rPr>
        <w:t>.</w:t>
      </w:r>
      <w:r w:rsidRPr="000E05CB">
        <w:rPr>
          <w:rFonts w:ascii="Calibri" w:hAnsi="Calibri" w:cs="Calibri"/>
          <w:b/>
          <w:bCs/>
        </w:rPr>
        <w:t xml:space="preserve"> Meta</w:t>
      </w:r>
      <w:r>
        <w:rPr>
          <w:rFonts w:ascii="Calibri" w:hAnsi="Calibri" w:cs="Calibri"/>
          <w:b/>
          <w:bCs/>
        </w:rPr>
        <w:t>-analysis of ‘community integration’</w:t>
      </w:r>
      <w:r w:rsidRPr="000E5640">
        <w:rPr>
          <w:rFonts w:ascii="Calibri" w:hAnsi="Calibri" w:cs="Calibri"/>
          <w:b/>
          <w:bCs/>
        </w:rPr>
        <w:t xml:space="preserve"> </w:t>
      </w:r>
      <w:r>
        <w:rPr>
          <w:rFonts w:ascii="Calibri" w:hAnsi="Calibri" w:cs="Calibri"/>
          <w:b/>
          <w:bCs/>
        </w:rPr>
        <w:t xml:space="preserve">comparison following transition from </w:t>
      </w:r>
      <w:r w:rsidRPr="000E5640">
        <w:rPr>
          <w:rFonts w:ascii="Calibri" w:hAnsi="Calibri" w:cs="Calibri"/>
          <w:b/>
          <w:bCs/>
        </w:rPr>
        <w:t xml:space="preserve">Institution </w:t>
      </w:r>
      <w:r>
        <w:rPr>
          <w:rFonts w:ascii="Calibri" w:hAnsi="Calibri" w:cs="Calibri"/>
          <w:b/>
          <w:bCs/>
        </w:rPr>
        <w:t>to</w:t>
      </w:r>
      <w:r w:rsidRPr="000E5640">
        <w:rPr>
          <w:rFonts w:ascii="Calibri" w:hAnsi="Calibri" w:cs="Calibri"/>
          <w:b/>
          <w:bCs/>
        </w:rPr>
        <w:t xml:space="preserve"> </w:t>
      </w:r>
      <w:r>
        <w:rPr>
          <w:rFonts w:ascii="Calibri" w:hAnsi="Calibri" w:cs="Calibri"/>
          <w:b/>
          <w:bCs/>
        </w:rPr>
        <w:t>de-congregated setting</w:t>
      </w:r>
    </w:p>
    <w:tbl>
      <w:tblPr>
        <w:tblStyle w:val="TableGrid"/>
        <w:tblW w:w="0" w:type="auto"/>
        <w:jc w:val="center"/>
        <w:tblLook w:val="04A0" w:firstRow="1" w:lastRow="0" w:firstColumn="1" w:lastColumn="0" w:noHBand="0" w:noVBand="1"/>
      </w:tblPr>
      <w:tblGrid>
        <w:gridCol w:w="990"/>
        <w:gridCol w:w="3163"/>
        <w:gridCol w:w="1172"/>
        <w:gridCol w:w="551"/>
        <w:gridCol w:w="952"/>
        <w:gridCol w:w="551"/>
        <w:gridCol w:w="1395"/>
        <w:gridCol w:w="576"/>
      </w:tblGrid>
      <w:tr w:rsidR="00CF618B" w:rsidRPr="008128AC" w14:paraId="4FA0E6F3" w14:textId="77777777" w:rsidTr="006C2AA7">
        <w:trPr>
          <w:jc w:val="center"/>
        </w:trPr>
        <w:tc>
          <w:tcPr>
            <w:tcW w:w="0" w:type="auto"/>
          </w:tcPr>
          <w:p w14:paraId="3A7C40E9" w14:textId="77777777" w:rsidR="00CF618B" w:rsidRPr="008128AC" w:rsidRDefault="00CF618B" w:rsidP="006C2AA7">
            <w:pPr>
              <w:rPr>
                <w:rFonts w:ascii="Calibri" w:hAnsi="Calibri" w:cs="Calibri"/>
                <w:b/>
                <w:bCs/>
              </w:rPr>
            </w:pPr>
            <w:r w:rsidRPr="008128AC">
              <w:rPr>
                <w:rFonts w:ascii="Calibri" w:hAnsi="Calibri" w:cs="Calibri"/>
                <w:b/>
                <w:bCs/>
              </w:rPr>
              <w:t>Study</w:t>
            </w:r>
          </w:p>
        </w:tc>
        <w:tc>
          <w:tcPr>
            <w:tcW w:w="0" w:type="auto"/>
          </w:tcPr>
          <w:p w14:paraId="4BD30C47" w14:textId="77777777" w:rsidR="00CF618B" w:rsidRPr="008128AC" w:rsidRDefault="00CF618B" w:rsidP="006C2AA7">
            <w:pPr>
              <w:rPr>
                <w:rFonts w:ascii="Calibri" w:hAnsi="Calibri" w:cs="Calibri"/>
                <w:b/>
                <w:bCs/>
              </w:rPr>
            </w:pPr>
            <w:r w:rsidRPr="008128AC">
              <w:rPr>
                <w:rFonts w:ascii="Calibri" w:hAnsi="Calibri" w:cs="Calibri"/>
                <w:b/>
                <w:bCs/>
              </w:rPr>
              <w:t>Outcome</w:t>
            </w:r>
          </w:p>
        </w:tc>
        <w:tc>
          <w:tcPr>
            <w:tcW w:w="0" w:type="auto"/>
          </w:tcPr>
          <w:p w14:paraId="7A8ACD44" w14:textId="77777777" w:rsidR="00CF618B" w:rsidRPr="008128AC" w:rsidRDefault="00CF618B" w:rsidP="006C2AA7">
            <w:pPr>
              <w:rPr>
                <w:rFonts w:ascii="Calibri" w:hAnsi="Calibri" w:cs="Calibri"/>
                <w:b/>
                <w:bCs/>
              </w:rPr>
            </w:pPr>
            <w:r w:rsidRPr="008128AC">
              <w:rPr>
                <w:rFonts w:ascii="Calibri" w:hAnsi="Calibri" w:cs="Calibri"/>
                <w:b/>
                <w:bCs/>
              </w:rPr>
              <w:t>Institution</w:t>
            </w:r>
          </w:p>
        </w:tc>
        <w:tc>
          <w:tcPr>
            <w:tcW w:w="0" w:type="auto"/>
          </w:tcPr>
          <w:p w14:paraId="39F1A2DD" w14:textId="77777777" w:rsidR="00CF618B" w:rsidRPr="008128AC" w:rsidRDefault="00CF618B" w:rsidP="006C2AA7">
            <w:pPr>
              <w:rPr>
                <w:rFonts w:ascii="Calibri" w:hAnsi="Calibri" w:cs="Calibri"/>
                <w:b/>
                <w:bCs/>
              </w:rPr>
            </w:pPr>
            <w:r w:rsidRPr="008128AC">
              <w:rPr>
                <w:rFonts w:ascii="Calibri" w:hAnsi="Calibri" w:cs="Calibri"/>
                <w:b/>
                <w:bCs/>
              </w:rPr>
              <w:t>N</w:t>
            </w:r>
          </w:p>
        </w:tc>
        <w:tc>
          <w:tcPr>
            <w:tcW w:w="0" w:type="auto"/>
          </w:tcPr>
          <w:p w14:paraId="0601C730" w14:textId="77777777" w:rsidR="00CF618B" w:rsidRPr="008128AC" w:rsidRDefault="00CF618B" w:rsidP="006C2AA7">
            <w:pPr>
              <w:rPr>
                <w:rFonts w:ascii="Calibri" w:hAnsi="Calibri" w:cs="Calibri"/>
                <w:b/>
                <w:bCs/>
              </w:rPr>
            </w:pPr>
            <w:r w:rsidRPr="008128AC">
              <w:rPr>
                <w:rFonts w:ascii="Calibri" w:hAnsi="Calibri" w:cs="Calibri"/>
                <w:b/>
                <w:bCs/>
              </w:rPr>
              <w:t>Group Home</w:t>
            </w:r>
          </w:p>
        </w:tc>
        <w:tc>
          <w:tcPr>
            <w:tcW w:w="0" w:type="auto"/>
          </w:tcPr>
          <w:p w14:paraId="0D433A2F" w14:textId="77777777" w:rsidR="00CF618B" w:rsidRPr="008128AC" w:rsidRDefault="00CF618B" w:rsidP="006C2AA7">
            <w:pPr>
              <w:rPr>
                <w:rFonts w:ascii="Calibri" w:hAnsi="Calibri" w:cs="Calibri"/>
                <w:b/>
                <w:bCs/>
              </w:rPr>
            </w:pPr>
            <w:r w:rsidRPr="008128AC">
              <w:rPr>
                <w:rFonts w:ascii="Calibri" w:hAnsi="Calibri" w:cs="Calibri"/>
                <w:b/>
                <w:bCs/>
              </w:rPr>
              <w:t>N</w:t>
            </w:r>
          </w:p>
        </w:tc>
        <w:tc>
          <w:tcPr>
            <w:tcW w:w="0" w:type="auto"/>
          </w:tcPr>
          <w:p w14:paraId="671BC3F6" w14:textId="77777777" w:rsidR="00CF618B" w:rsidRPr="008128AC" w:rsidRDefault="00CF618B" w:rsidP="006C2AA7">
            <w:pPr>
              <w:rPr>
                <w:rFonts w:ascii="Calibri" w:hAnsi="Calibri" w:cs="Calibri"/>
                <w:b/>
                <w:bCs/>
              </w:rPr>
            </w:pPr>
            <w:r w:rsidRPr="008128AC">
              <w:rPr>
                <w:rFonts w:ascii="Calibri" w:hAnsi="Calibri" w:cs="Calibri"/>
                <w:b/>
                <w:bCs/>
              </w:rPr>
              <w:t>Residential Home</w:t>
            </w:r>
          </w:p>
        </w:tc>
        <w:tc>
          <w:tcPr>
            <w:tcW w:w="576" w:type="dxa"/>
          </w:tcPr>
          <w:p w14:paraId="2F39989F" w14:textId="77777777" w:rsidR="00CF618B" w:rsidRPr="008128AC" w:rsidRDefault="00CF618B" w:rsidP="006C2AA7">
            <w:pPr>
              <w:rPr>
                <w:rFonts w:ascii="Calibri" w:hAnsi="Calibri" w:cs="Calibri"/>
                <w:b/>
                <w:bCs/>
              </w:rPr>
            </w:pPr>
            <w:r w:rsidRPr="008128AC">
              <w:rPr>
                <w:rFonts w:ascii="Calibri" w:hAnsi="Calibri" w:cs="Calibri"/>
                <w:b/>
                <w:bCs/>
              </w:rPr>
              <w:t>N</w:t>
            </w:r>
          </w:p>
        </w:tc>
      </w:tr>
      <w:tr w:rsidR="00CF618B" w:rsidRPr="008128AC" w14:paraId="35AE9409" w14:textId="77777777" w:rsidTr="006C2AA7">
        <w:trPr>
          <w:jc w:val="center"/>
        </w:trPr>
        <w:tc>
          <w:tcPr>
            <w:tcW w:w="0" w:type="auto"/>
          </w:tcPr>
          <w:p w14:paraId="6AC8D449" w14:textId="77777777" w:rsidR="00CF618B" w:rsidRPr="008128AC" w:rsidRDefault="00CF618B" w:rsidP="006C2AA7">
            <w:pPr>
              <w:rPr>
                <w:rFonts w:ascii="Calibri" w:hAnsi="Calibri" w:cs="Calibri"/>
              </w:rPr>
            </w:pPr>
            <w:r w:rsidRPr="008128AC">
              <w:rPr>
                <w:rFonts w:ascii="Calibri" w:hAnsi="Calibri" w:cs="Calibri"/>
              </w:rPr>
              <w:t>Chou et al 2008</w:t>
            </w:r>
          </w:p>
        </w:tc>
        <w:tc>
          <w:tcPr>
            <w:tcW w:w="0" w:type="auto"/>
          </w:tcPr>
          <w:p w14:paraId="3584F6D2" w14:textId="77777777" w:rsidR="00CF618B" w:rsidRPr="008128AC" w:rsidRDefault="00CF618B" w:rsidP="006C2AA7">
            <w:pPr>
              <w:rPr>
                <w:rFonts w:ascii="Calibri" w:hAnsi="Calibri" w:cs="Calibri"/>
              </w:rPr>
            </w:pPr>
            <w:r w:rsidRPr="008128AC">
              <w:rPr>
                <w:rFonts w:ascii="Calibri" w:hAnsi="Calibri" w:cs="Calibri"/>
              </w:rPr>
              <w:t>Use of Community Facilities</w:t>
            </w:r>
          </w:p>
          <w:p w14:paraId="48FDAB55" w14:textId="77777777" w:rsidR="00CF618B" w:rsidRPr="008128AC" w:rsidRDefault="00CF618B" w:rsidP="006C2AA7">
            <w:pPr>
              <w:rPr>
                <w:rFonts w:ascii="Calibri" w:hAnsi="Calibri" w:cs="Calibri"/>
              </w:rPr>
            </w:pPr>
            <w:r w:rsidRPr="008128AC">
              <w:rPr>
                <w:rFonts w:ascii="Calibri" w:hAnsi="Calibri" w:cs="Calibri"/>
              </w:rPr>
              <w:t>Scale (UCFS)</w:t>
            </w:r>
          </w:p>
        </w:tc>
        <w:tc>
          <w:tcPr>
            <w:tcW w:w="0" w:type="auto"/>
          </w:tcPr>
          <w:p w14:paraId="46A2BBF0" w14:textId="77777777" w:rsidR="00CF618B" w:rsidRPr="008128AC" w:rsidRDefault="00CF618B" w:rsidP="006C2AA7">
            <w:pPr>
              <w:rPr>
                <w:rFonts w:ascii="Calibri" w:hAnsi="Calibri" w:cs="Calibri"/>
              </w:rPr>
            </w:pPr>
            <w:r w:rsidRPr="008128AC">
              <w:rPr>
                <w:rFonts w:ascii="Calibri" w:hAnsi="Calibri" w:cs="Calibri"/>
              </w:rPr>
              <w:t>12.6 (8.4)</w:t>
            </w:r>
          </w:p>
        </w:tc>
        <w:tc>
          <w:tcPr>
            <w:tcW w:w="0" w:type="auto"/>
          </w:tcPr>
          <w:p w14:paraId="6C10BAC7" w14:textId="77777777" w:rsidR="00CF618B" w:rsidRPr="008128AC" w:rsidRDefault="00CF618B" w:rsidP="006C2AA7">
            <w:pPr>
              <w:rPr>
                <w:rFonts w:ascii="Calibri" w:hAnsi="Calibri" w:cs="Calibri"/>
              </w:rPr>
            </w:pPr>
            <w:r w:rsidRPr="008128AC">
              <w:rPr>
                <w:rFonts w:ascii="Calibri" w:hAnsi="Calibri" w:cs="Calibri"/>
              </w:rPr>
              <w:t>76</w:t>
            </w:r>
          </w:p>
        </w:tc>
        <w:tc>
          <w:tcPr>
            <w:tcW w:w="0" w:type="auto"/>
          </w:tcPr>
          <w:p w14:paraId="58DA6744" w14:textId="77777777" w:rsidR="00CF618B" w:rsidRPr="008128AC" w:rsidRDefault="00CF618B" w:rsidP="006C2AA7">
            <w:pPr>
              <w:rPr>
                <w:rFonts w:ascii="Calibri" w:hAnsi="Calibri" w:cs="Calibri"/>
              </w:rPr>
            </w:pPr>
            <w:r w:rsidRPr="008128AC">
              <w:rPr>
                <w:rFonts w:ascii="Calibri" w:hAnsi="Calibri" w:cs="Calibri"/>
              </w:rPr>
              <w:t>14.5 (5.4)</w:t>
            </w:r>
          </w:p>
        </w:tc>
        <w:tc>
          <w:tcPr>
            <w:tcW w:w="0" w:type="auto"/>
          </w:tcPr>
          <w:p w14:paraId="4DB88906" w14:textId="77777777" w:rsidR="00CF618B" w:rsidRPr="008128AC" w:rsidRDefault="00CF618B" w:rsidP="006C2AA7">
            <w:pPr>
              <w:rPr>
                <w:rFonts w:ascii="Calibri" w:hAnsi="Calibri" w:cs="Calibri"/>
              </w:rPr>
            </w:pPr>
            <w:r w:rsidRPr="008128AC">
              <w:rPr>
                <w:rFonts w:ascii="Calibri" w:hAnsi="Calibri" w:cs="Calibri"/>
              </w:rPr>
              <w:t>69</w:t>
            </w:r>
          </w:p>
        </w:tc>
        <w:tc>
          <w:tcPr>
            <w:tcW w:w="0" w:type="auto"/>
          </w:tcPr>
          <w:p w14:paraId="3B6D858B" w14:textId="77777777" w:rsidR="00CF618B" w:rsidRPr="008128AC" w:rsidRDefault="00CF618B" w:rsidP="006C2AA7">
            <w:pPr>
              <w:rPr>
                <w:rFonts w:ascii="Calibri" w:hAnsi="Calibri" w:cs="Calibri"/>
              </w:rPr>
            </w:pPr>
            <w:r w:rsidRPr="008128AC">
              <w:rPr>
                <w:rFonts w:ascii="Calibri" w:hAnsi="Calibri" w:cs="Calibri"/>
              </w:rPr>
              <w:t>20 (8.8)</w:t>
            </w:r>
          </w:p>
        </w:tc>
        <w:tc>
          <w:tcPr>
            <w:tcW w:w="576" w:type="dxa"/>
          </w:tcPr>
          <w:p w14:paraId="73A90195" w14:textId="77777777" w:rsidR="00CF618B" w:rsidRPr="008128AC" w:rsidRDefault="00CF618B" w:rsidP="006C2AA7">
            <w:pPr>
              <w:rPr>
                <w:rFonts w:ascii="Calibri" w:hAnsi="Calibri" w:cs="Calibri"/>
              </w:rPr>
            </w:pPr>
            <w:r w:rsidRPr="008128AC">
              <w:rPr>
                <w:rFonts w:ascii="Calibri" w:hAnsi="Calibri" w:cs="Calibri"/>
              </w:rPr>
              <w:t>103</w:t>
            </w:r>
          </w:p>
        </w:tc>
      </w:tr>
      <w:tr w:rsidR="00CF618B" w:rsidRPr="008128AC" w14:paraId="336E2F92" w14:textId="77777777" w:rsidTr="006C2AA7">
        <w:trPr>
          <w:jc w:val="center"/>
        </w:trPr>
        <w:tc>
          <w:tcPr>
            <w:tcW w:w="0" w:type="auto"/>
          </w:tcPr>
          <w:p w14:paraId="0571EE1F" w14:textId="77777777" w:rsidR="00CF618B" w:rsidRPr="008128AC" w:rsidRDefault="00CF618B" w:rsidP="006C2AA7">
            <w:pPr>
              <w:rPr>
                <w:rFonts w:ascii="Calibri" w:hAnsi="Calibri" w:cs="Calibri"/>
              </w:rPr>
            </w:pPr>
            <w:r w:rsidRPr="008128AC">
              <w:rPr>
                <w:rFonts w:ascii="Calibri" w:hAnsi="Calibri" w:cs="Calibri"/>
              </w:rPr>
              <w:t>Sheth et al 2019</w:t>
            </w:r>
          </w:p>
        </w:tc>
        <w:tc>
          <w:tcPr>
            <w:tcW w:w="0" w:type="auto"/>
            <w:vAlign w:val="bottom"/>
          </w:tcPr>
          <w:p w14:paraId="7EC8CE5C" w14:textId="77777777" w:rsidR="00CF618B" w:rsidRPr="008128AC" w:rsidRDefault="00CF618B" w:rsidP="006C2AA7">
            <w:pPr>
              <w:rPr>
                <w:rFonts w:ascii="Calibri" w:hAnsi="Calibri" w:cs="Calibri"/>
              </w:rPr>
            </w:pPr>
            <w:r w:rsidRPr="008128AC">
              <w:rPr>
                <w:rFonts w:ascii="Calibri" w:eastAsia="Malgun Gothic" w:hAnsi="Calibri" w:cs="Calibri"/>
                <w:color w:val="000000"/>
              </w:rPr>
              <w:t>Community integration and inclusion-able to: See family and friends</w:t>
            </w:r>
          </w:p>
        </w:tc>
        <w:tc>
          <w:tcPr>
            <w:tcW w:w="0" w:type="auto"/>
          </w:tcPr>
          <w:p w14:paraId="78A19AFA" w14:textId="77777777" w:rsidR="00CF618B" w:rsidRPr="008128AC" w:rsidRDefault="00CF618B" w:rsidP="006C2AA7">
            <w:pPr>
              <w:rPr>
                <w:rFonts w:ascii="Calibri" w:hAnsi="Calibri" w:cs="Calibri"/>
              </w:rPr>
            </w:pPr>
            <w:r w:rsidRPr="008128AC">
              <w:rPr>
                <w:rFonts w:ascii="Calibri" w:hAnsi="Calibri" w:cs="Calibri"/>
              </w:rPr>
              <w:t>76</w:t>
            </w:r>
          </w:p>
        </w:tc>
        <w:tc>
          <w:tcPr>
            <w:tcW w:w="0" w:type="auto"/>
          </w:tcPr>
          <w:p w14:paraId="6AC356E3" w14:textId="77777777" w:rsidR="00CF618B" w:rsidRPr="008128AC" w:rsidRDefault="00CF618B" w:rsidP="006C2AA7">
            <w:pPr>
              <w:rPr>
                <w:rFonts w:ascii="Calibri" w:hAnsi="Calibri" w:cs="Calibri"/>
              </w:rPr>
            </w:pPr>
            <w:r w:rsidRPr="008128AC">
              <w:rPr>
                <w:rFonts w:ascii="Calibri" w:hAnsi="Calibri" w:cs="Calibri"/>
              </w:rPr>
              <w:t>150</w:t>
            </w:r>
          </w:p>
        </w:tc>
        <w:tc>
          <w:tcPr>
            <w:tcW w:w="0" w:type="auto"/>
          </w:tcPr>
          <w:p w14:paraId="62E93C39" w14:textId="77777777" w:rsidR="00CF618B" w:rsidRPr="008128AC" w:rsidRDefault="00CF618B" w:rsidP="006C2AA7">
            <w:pPr>
              <w:rPr>
                <w:rFonts w:ascii="Calibri" w:hAnsi="Calibri" w:cs="Calibri"/>
              </w:rPr>
            </w:pPr>
            <w:r w:rsidRPr="008128AC">
              <w:rPr>
                <w:rFonts w:ascii="Calibri" w:hAnsi="Calibri" w:cs="Calibri"/>
              </w:rPr>
              <w:t>106</w:t>
            </w:r>
          </w:p>
        </w:tc>
        <w:tc>
          <w:tcPr>
            <w:tcW w:w="0" w:type="auto"/>
          </w:tcPr>
          <w:p w14:paraId="28B836EB" w14:textId="77777777" w:rsidR="00CF618B" w:rsidRPr="008128AC" w:rsidRDefault="00CF618B" w:rsidP="006C2AA7">
            <w:pPr>
              <w:rPr>
                <w:rFonts w:ascii="Calibri" w:hAnsi="Calibri" w:cs="Calibri"/>
              </w:rPr>
            </w:pPr>
            <w:r w:rsidRPr="008128AC">
              <w:rPr>
                <w:rFonts w:ascii="Calibri" w:hAnsi="Calibri" w:cs="Calibri"/>
              </w:rPr>
              <w:t>150</w:t>
            </w:r>
          </w:p>
        </w:tc>
        <w:tc>
          <w:tcPr>
            <w:tcW w:w="0" w:type="auto"/>
          </w:tcPr>
          <w:p w14:paraId="3E1F918A" w14:textId="77777777" w:rsidR="00CF618B" w:rsidRPr="008128AC" w:rsidRDefault="00CF618B" w:rsidP="006C2AA7">
            <w:pPr>
              <w:rPr>
                <w:rFonts w:ascii="Calibri" w:hAnsi="Calibri" w:cs="Calibri"/>
              </w:rPr>
            </w:pPr>
          </w:p>
        </w:tc>
        <w:tc>
          <w:tcPr>
            <w:tcW w:w="576" w:type="dxa"/>
          </w:tcPr>
          <w:p w14:paraId="5C1F2F80" w14:textId="77777777" w:rsidR="00CF618B" w:rsidRPr="008128AC" w:rsidRDefault="00CF618B" w:rsidP="006C2AA7">
            <w:pPr>
              <w:rPr>
                <w:rFonts w:ascii="Calibri" w:hAnsi="Calibri" w:cs="Calibri"/>
              </w:rPr>
            </w:pPr>
          </w:p>
        </w:tc>
      </w:tr>
      <w:tr w:rsidR="00CF618B" w:rsidRPr="008128AC" w14:paraId="108FB5C3" w14:textId="77777777" w:rsidTr="006C2AA7">
        <w:trPr>
          <w:jc w:val="center"/>
        </w:trPr>
        <w:tc>
          <w:tcPr>
            <w:tcW w:w="0" w:type="auto"/>
          </w:tcPr>
          <w:p w14:paraId="2523C75C" w14:textId="77777777" w:rsidR="00CF618B" w:rsidRPr="008128AC" w:rsidRDefault="00CF618B" w:rsidP="006C2AA7">
            <w:pPr>
              <w:rPr>
                <w:rFonts w:ascii="Calibri" w:hAnsi="Calibri" w:cs="Calibri"/>
              </w:rPr>
            </w:pPr>
            <w:r w:rsidRPr="008128AC">
              <w:rPr>
                <w:rFonts w:ascii="Calibri" w:hAnsi="Calibri" w:cs="Calibri"/>
              </w:rPr>
              <w:t>Sheth et al 2019</w:t>
            </w:r>
          </w:p>
        </w:tc>
        <w:tc>
          <w:tcPr>
            <w:tcW w:w="0" w:type="auto"/>
            <w:vAlign w:val="bottom"/>
          </w:tcPr>
          <w:p w14:paraId="68A3EDA9" w14:textId="77777777" w:rsidR="00CF618B" w:rsidRPr="008128AC" w:rsidRDefault="00CF618B" w:rsidP="006C2AA7">
            <w:pPr>
              <w:rPr>
                <w:rFonts w:ascii="Calibri" w:hAnsi="Calibri" w:cs="Calibri"/>
              </w:rPr>
            </w:pPr>
            <w:r w:rsidRPr="008128AC">
              <w:rPr>
                <w:rFonts w:ascii="Calibri" w:eastAsia="Malgun Gothic" w:hAnsi="Calibri" w:cs="Calibri"/>
                <w:color w:val="000000"/>
              </w:rPr>
              <w:t>Community integration and inclusion-able to: Get to places you need to go</w:t>
            </w:r>
          </w:p>
        </w:tc>
        <w:tc>
          <w:tcPr>
            <w:tcW w:w="0" w:type="auto"/>
          </w:tcPr>
          <w:p w14:paraId="73E1530B" w14:textId="77777777" w:rsidR="00CF618B" w:rsidRPr="008128AC" w:rsidRDefault="00CF618B" w:rsidP="006C2AA7">
            <w:pPr>
              <w:rPr>
                <w:rFonts w:ascii="Calibri" w:hAnsi="Calibri" w:cs="Calibri"/>
              </w:rPr>
            </w:pPr>
            <w:r w:rsidRPr="008128AC">
              <w:rPr>
                <w:rFonts w:ascii="Calibri" w:hAnsi="Calibri" w:cs="Calibri"/>
              </w:rPr>
              <w:t>76</w:t>
            </w:r>
          </w:p>
        </w:tc>
        <w:tc>
          <w:tcPr>
            <w:tcW w:w="0" w:type="auto"/>
          </w:tcPr>
          <w:p w14:paraId="263BC75B" w14:textId="77777777" w:rsidR="00CF618B" w:rsidRPr="008128AC" w:rsidRDefault="00CF618B" w:rsidP="006C2AA7">
            <w:pPr>
              <w:rPr>
                <w:rFonts w:ascii="Calibri" w:hAnsi="Calibri" w:cs="Calibri"/>
              </w:rPr>
            </w:pPr>
            <w:r w:rsidRPr="008128AC">
              <w:rPr>
                <w:rFonts w:ascii="Calibri" w:hAnsi="Calibri" w:cs="Calibri"/>
              </w:rPr>
              <w:t>148</w:t>
            </w:r>
          </w:p>
        </w:tc>
        <w:tc>
          <w:tcPr>
            <w:tcW w:w="0" w:type="auto"/>
          </w:tcPr>
          <w:p w14:paraId="5E5BB95C" w14:textId="77777777" w:rsidR="00CF618B" w:rsidRPr="008128AC" w:rsidRDefault="00CF618B" w:rsidP="006C2AA7">
            <w:pPr>
              <w:rPr>
                <w:rFonts w:ascii="Calibri" w:hAnsi="Calibri" w:cs="Calibri"/>
              </w:rPr>
            </w:pPr>
            <w:r w:rsidRPr="008128AC">
              <w:rPr>
                <w:rFonts w:ascii="Calibri" w:hAnsi="Calibri" w:cs="Calibri"/>
              </w:rPr>
              <w:t>125</w:t>
            </w:r>
          </w:p>
        </w:tc>
        <w:tc>
          <w:tcPr>
            <w:tcW w:w="0" w:type="auto"/>
          </w:tcPr>
          <w:p w14:paraId="7FE2ED50" w14:textId="77777777" w:rsidR="00CF618B" w:rsidRPr="008128AC" w:rsidRDefault="00CF618B" w:rsidP="006C2AA7">
            <w:pPr>
              <w:rPr>
                <w:rFonts w:ascii="Calibri" w:hAnsi="Calibri" w:cs="Calibri"/>
              </w:rPr>
            </w:pPr>
            <w:r w:rsidRPr="008128AC">
              <w:rPr>
                <w:rFonts w:ascii="Calibri" w:hAnsi="Calibri" w:cs="Calibri"/>
              </w:rPr>
              <w:t>150</w:t>
            </w:r>
          </w:p>
        </w:tc>
        <w:tc>
          <w:tcPr>
            <w:tcW w:w="0" w:type="auto"/>
          </w:tcPr>
          <w:p w14:paraId="3FB70FAC" w14:textId="77777777" w:rsidR="00CF618B" w:rsidRPr="008128AC" w:rsidRDefault="00CF618B" w:rsidP="006C2AA7">
            <w:pPr>
              <w:rPr>
                <w:rFonts w:ascii="Calibri" w:hAnsi="Calibri" w:cs="Calibri"/>
              </w:rPr>
            </w:pPr>
          </w:p>
        </w:tc>
        <w:tc>
          <w:tcPr>
            <w:tcW w:w="576" w:type="dxa"/>
          </w:tcPr>
          <w:p w14:paraId="6CE10BD4" w14:textId="77777777" w:rsidR="00CF618B" w:rsidRPr="008128AC" w:rsidRDefault="00CF618B" w:rsidP="006C2AA7">
            <w:pPr>
              <w:rPr>
                <w:rFonts w:ascii="Calibri" w:hAnsi="Calibri" w:cs="Calibri"/>
              </w:rPr>
            </w:pPr>
          </w:p>
        </w:tc>
      </w:tr>
      <w:tr w:rsidR="00CF618B" w:rsidRPr="008128AC" w14:paraId="4F6B680A" w14:textId="77777777" w:rsidTr="006C2AA7">
        <w:trPr>
          <w:jc w:val="center"/>
        </w:trPr>
        <w:tc>
          <w:tcPr>
            <w:tcW w:w="0" w:type="auto"/>
          </w:tcPr>
          <w:p w14:paraId="743CA31F" w14:textId="77777777" w:rsidR="00CF618B" w:rsidRPr="008128AC" w:rsidRDefault="00CF618B" w:rsidP="006C2AA7">
            <w:pPr>
              <w:rPr>
                <w:rFonts w:ascii="Calibri" w:hAnsi="Calibri" w:cs="Calibri"/>
              </w:rPr>
            </w:pPr>
            <w:r w:rsidRPr="008128AC">
              <w:rPr>
                <w:rFonts w:ascii="Calibri" w:hAnsi="Calibri" w:cs="Calibri"/>
              </w:rPr>
              <w:t>Sheth et al 2019</w:t>
            </w:r>
          </w:p>
        </w:tc>
        <w:tc>
          <w:tcPr>
            <w:tcW w:w="0" w:type="auto"/>
            <w:vAlign w:val="bottom"/>
          </w:tcPr>
          <w:p w14:paraId="554ADFAF" w14:textId="77777777" w:rsidR="00CF618B" w:rsidRPr="008128AC" w:rsidRDefault="00CF618B" w:rsidP="006C2AA7">
            <w:pPr>
              <w:rPr>
                <w:rFonts w:ascii="Calibri" w:hAnsi="Calibri" w:cs="Calibri"/>
              </w:rPr>
            </w:pPr>
            <w:r w:rsidRPr="008128AC">
              <w:rPr>
                <w:rFonts w:ascii="Calibri" w:eastAsia="Malgun Gothic" w:hAnsi="Calibri" w:cs="Calibri"/>
                <w:color w:val="000000"/>
              </w:rPr>
              <w:t>Community integration and inclusion-able to: Go out for leisure or entertainment</w:t>
            </w:r>
          </w:p>
        </w:tc>
        <w:tc>
          <w:tcPr>
            <w:tcW w:w="0" w:type="auto"/>
          </w:tcPr>
          <w:p w14:paraId="34742D7E" w14:textId="77777777" w:rsidR="00CF618B" w:rsidRPr="008128AC" w:rsidRDefault="00CF618B" w:rsidP="006C2AA7">
            <w:pPr>
              <w:rPr>
                <w:rFonts w:ascii="Calibri" w:hAnsi="Calibri" w:cs="Calibri"/>
              </w:rPr>
            </w:pPr>
            <w:r w:rsidRPr="008128AC">
              <w:rPr>
                <w:rFonts w:ascii="Calibri" w:hAnsi="Calibri" w:cs="Calibri"/>
              </w:rPr>
              <w:t>71</w:t>
            </w:r>
          </w:p>
        </w:tc>
        <w:tc>
          <w:tcPr>
            <w:tcW w:w="0" w:type="auto"/>
          </w:tcPr>
          <w:p w14:paraId="68020A58" w14:textId="77777777" w:rsidR="00CF618B" w:rsidRPr="008128AC" w:rsidRDefault="00CF618B" w:rsidP="006C2AA7">
            <w:pPr>
              <w:rPr>
                <w:rFonts w:ascii="Calibri" w:hAnsi="Calibri" w:cs="Calibri"/>
              </w:rPr>
            </w:pPr>
            <w:r w:rsidRPr="008128AC">
              <w:rPr>
                <w:rFonts w:ascii="Calibri" w:hAnsi="Calibri" w:cs="Calibri"/>
              </w:rPr>
              <w:t>147</w:t>
            </w:r>
          </w:p>
        </w:tc>
        <w:tc>
          <w:tcPr>
            <w:tcW w:w="0" w:type="auto"/>
          </w:tcPr>
          <w:p w14:paraId="3153CE6D" w14:textId="77777777" w:rsidR="00CF618B" w:rsidRPr="008128AC" w:rsidRDefault="00CF618B" w:rsidP="006C2AA7">
            <w:pPr>
              <w:rPr>
                <w:rFonts w:ascii="Calibri" w:hAnsi="Calibri" w:cs="Calibri"/>
              </w:rPr>
            </w:pPr>
            <w:r w:rsidRPr="008128AC">
              <w:rPr>
                <w:rFonts w:ascii="Calibri" w:hAnsi="Calibri" w:cs="Calibri"/>
              </w:rPr>
              <w:t>129</w:t>
            </w:r>
          </w:p>
        </w:tc>
        <w:tc>
          <w:tcPr>
            <w:tcW w:w="0" w:type="auto"/>
          </w:tcPr>
          <w:p w14:paraId="7722FA1F" w14:textId="77777777" w:rsidR="00CF618B" w:rsidRPr="008128AC" w:rsidRDefault="00CF618B" w:rsidP="006C2AA7">
            <w:pPr>
              <w:rPr>
                <w:rFonts w:ascii="Calibri" w:hAnsi="Calibri" w:cs="Calibri"/>
              </w:rPr>
            </w:pPr>
            <w:r w:rsidRPr="008128AC">
              <w:rPr>
                <w:rFonts w:ascii="Calibri" w:hAnsi="Calibri" w:cs="Calibri"/>
              </w:rPr>
              <w:t>149</w:t>
            </w:r>
          </w:p>
        </w:tc>
        <w:tc>
          <w:tcPr>
            <w:tcW w:w="0" w:type="auto"/>
          </w:tcPr>
          <w:p w14:paraId="13E25EE4" w14:textId="77777777" w:rsidR="00CF618B" w:rsidRPr="008128AC" w:rsidRDefault="00CF618B" w:rsidP="006C2AA7">
            <w:pPr>
              <w:rPr>
                <w:rFonts w:ascii="Calibri" w:hAnsi="Calibri" w:cs="Calibri"/>
              </w:rPr>
            </w:pPr>
          </w:p>
        </w:tc>
        <w:tc>
          <w:tcPr>
            <w:tcW w:w="576" w:type="dxa"/>
          </w:tcPr>
          <w:p w14:paraId="6E5F0C65" w14:textId="77777777" w:rsidR="00CF618B" w:rsidRPr="008128AC" w:rsidRDefault="00CF618B" w:rsidP="006C2AA7">
            <w:pPr>
              <w:rPr>
                <w:rFonts w:ascii="Calibri" w:hAnsi="Calibri" w:cs="Calibri"/>
              </w:rPr>
            </w:pPr>
          </w:p>
        </w:tc>
      </w:tr>
      <w:tr w:rsidR="00CF618B" w:rsidRPr="008128AC" w14:paraId="5D657116" w14:textId="77777777" w:rsidTr="006C2AA7">
        <w:trPr>
          <w:jc w:val="center"/>
        </w:trPr>
        <w:tc>
          <w:tcPr>
            <w:tcW w:w="0" w:type="auto"/>
          </w:tcPr>
          <w:p w14:paraId="66833075" w14:textId="77777777" w:rsidR="00CF618B" w:rsidRPr="008128AC" w:rsidRDefault="00CF618B" w:rsidP="006C2AA7">
            <w:pPr>
              <w:rPr>
                <w:rFonts w:ascii="Calibri" w:hAnsi="Calibri" w:cs="Calibri"/>
              </w:rPr>
            </w:pPr>
            <w:r w:rsidRPr="008128AC">
              <w:rPr>
                <w:rFonts w:ascii="Calibri" w:hAnsi="Calibri" w:cs="Calibri"/>
              </w:rPr>
              <w:t>Sheth et al 2019</w:t>
            </w:r>
          </w:p>
        </w:tc>
        <w:tc>
          <w:tcPr>
            <w:tcW w:w="0" w:type="auto"/>
            <w:vAlign w:val="bottom"/>
          </w:tcPr>
          <w:p w14:paraId="51E6D6C3" w14:textId="77777777" w:rsidR="00CF618B" w:rsidRPr="008128AC" w:rsidRDefault="00CF618B" w:rsidP="006C2AA7">
            <w:pPr>
              <w:rPr>
                <w:rFonts w:ascii="Calibri" w:hAnsi="Calibri" w:cs="Calibri"/>
              </w:rPr>
            </w:pPr>
            <w:r w:rsidRPr="008128AC">
              <w:rPr>
                <w:rFonts w:ascii="Calibri" w:eastAsia="Malgun Gothic" w:hAnsi="Calibri" w:cs="Calibri"/>
                <w:color w:val="000000"/>
              </w:rPr>
              <w:t>Community integration and inclusion-able to: Leave residence without planning</w:t>
            </w:r>
          </w:p>
        </w:tc>
        <w:tc>
          <w:tcPr>
            <w:tcW w:w="0" w:type="auto"/>
          </w:tcPr>
          <w:p w14:paraId="1FC9E403" w14:textId="77777777" w:rsidR="00CF618B" w:rsidRPr="008128AC" w:rsidRDefault="00CF618B" w:rsidP="006C2AA7">
            <w:pPr>
              <w:rPr>
                <w:rFonts w:ascii="Calibri" w:hAnsi="Calibri" w:cs="Calibri"/>
              </w:rPr>
            </w:pPr>
            <w:r w:rsidRPr="008128AC">
              <w:rPr>
                <w:rFonts w:ascii="Calibri" w:hAnsi="Calibri" w:cs="Calibri"/>
              </w:rPr>
              <w:t>22</w:t>
            </w:r>
          </w:p>
        </w:tc>
        <w:tc>
          <w:tcPr>
            <w:tcW w:w="0" w:type="auto"/>
          </w:tcPr>
          <w:p w14:paraId="1F3D1385" w14:textId="77777777" w:rsidR="00CF618B" w:rsidRPr="008128AC" w:rsidRDefault="00CF618B" w:rsidP="006C2AA7">
            <w:pPr>
              <w:rPr>
                <w:rFonts w:ascii="Calibri" w:hAnsi="Calibri" w:cs="Calibri"/>
              </w:rPr>
            </w:pPr>
            <w:r w:rsidRPr="008128AC">
              <w:rPr>
                <w:rFonts w:ascii="Calibri" w:hAnsi="Calibri" w:cs="Calibri"/>
              </w:rPr>
              <w:t>131</w:t>
            </w:r>
          </w:p>
        </w:tc>
        <w:tc>
          <w:tcPr>
            <w:tcW w:w="0" w:type="auto"/>
          </w:tcPr>
          <w:p w14:paraId="05229349" w14:textId="77777777" w:rsidR="00CF618B" w:rsidRPr="008128AC" w:rsidRDefault="00CF618B" w:rsidP="006C2AA7">
            <w:pPr>
              <w:rPr>
                <w:rFonts w:ascii="Calibri" w:hAnsi="Calibri" w:cs="Calibri"/>
              </w:rPr>
            </w:pPr>
            <w:r w:rsidRPr="008128AC">
              <w:rPr>
                <w:rFonts w:ascii="Calibri" w:hAnsi="Calibri" w:cs="Calibri"/>
              </w:rPr>
              <w:t>55</w:t>
            </w:r>
          </w:p>
        </w:tc>
        <w:tc>
          <w:tcPr>
            <w:tcW w:w="0" w:type="auto"/>
          </w:tcPr>
          <w:p w14:paraId="1A791351" w14:textId="77777777" w:rsidR="00CF618B" w:rsidRPr="008128AC" w:rsidRDefault="00CF618B" w:rsidP="006C2AA7">
            <w:pPr>
              <w:rPr>
                <w:rFonts w:ascii="Calibri" w:hAnsi="Calibri" w:cs="Calibri"/>
              </w:rPr>
            </w:pPr>
            <w:r w:rsidRPr="008128AC">
              <w:rPr>
                <w:rFonts w:ascii="Calibri" w:hAnsi="Calibri" w:cs="Calibri"/>
              </w:rPr>
              <w:t>149</w:t>
            </w:r>
          </w:p>
        </w:tc>
        <w:tc>
          <w:tcPr>
            <w:tcW w:w="0" w:type="auto"/>
          </w:tcPr>
          <w:p w14:paraId="31E6BBF4" w14:textId="77777777" w:rsidR="00CF618B" w:rsidRPr="008128AC" w:rsidRDefault="00CF618B" w:rsidP="006C2AA7">
            <w:pPr>
              <w:rPr>
                <w:rFonts w:ascii="Calibri" w:hAnsi="Calibri" w:cs="Calibri"/>
              </w:rPr>
            </w:pPr>
          </w:p>
        </w:tc>
        <w:tc>
          <w:tcPr>
            <w:tcW w:w="576" w:type="dxa"/>
          </w:tcPr>
          <w:p w14:paraId="7BC55BF3" w14:textId="77777777" w:rsidR="00CF618B" w:rsidRPr="008128AC" w:rsidRDefault="00CF618B" w:rsidP="006C2AA7">
            <w:pPr>
              <w:rPr>
                <w:rFonts w:ascii="Calibri" w:hAnsi="Calibri" w:cs="Calibri"/>
              </w:rPr>
            </w:pPr>
          </w:p>
        </w:tc>
      </w:tr>
      <w:tr w:rsidR="00CF618B" w:rsidRPr="008128AC" w14:paraId="2A9BE65D" w14:textId="77777777" w:rsidTr="006C2AA7">
        <w:trPr>
          <w:jc w:val="center"/>
        </w:trPr>
        <w:tc>
          <w:tcPr>
            <w:tcW w:w="0" w:type="auto"/>
          </w:tcPr>
          <w:p w14:paraId="17B043EB" w14:textId="77777777" w:rsidR="00CF618B" w:rsidRPr="008128AC" w:rsidRDefault="00CF618B" w:rsidP="006C2AA7">
            <w:pPr>
              <w:rPr>
                <w:rFonts w:ascii="Calibri" w:hAnsi="Calibri" w:cs="Calibri"/>
              </w:rPr>
            </w:pPr>
            <w:r w:rsidRPr="008128AC">
              <w:rPr>
                <w:rFonts w:ascii="Calibri" w:hAnsi="Calibri" w:cs="Calibri"/>
              </w:rPr>
              <w:t>Sheth et al 2019</w:t>
            </w:r>
          </w:p>
        </w:tc>
        <w:tc>
          <w:tcPr>
            <w:tcW w:w="0" w:type="auto"/>
            <w:vAlign w:val="bottom"/>
          </w:tcPr>
          <w:p w14:paraId="602A4990" w14:textId="77777777" w:rsidR="00CF618B" w:rsidRPr="008128AC" w:rsidRDefault="00CF618B" w:rsidP="006C2AA7">
            <w:pPr>
              <w:rPr>
                <w:rFonts w:ascii="Calibri" w:hAnsi="Calibri" w:cs="Calibri"/>
              </w:rPr>
            </w:pPr>
            <w:r w:rsidRPr="008128AC">
              <w:rPr>
                <w:rFonts w:ascii="Calibri" w:eastAsia="Malgun Gothic" w:hAnsi="Calibri" w:cs="Calibri"/>
                <w:color w:val="000000"/>
              </w:rPr>
              <w:t>Community integration and inclusion-able to: Access transportation</w:t>
            </w:r>
          </w:p>
        </w:tc>
        <w:tc>
          <w:tcPr>
            <w:tcW w:w="0" w:type="auto"/>
          </w:tcPr>
          <w:p w14:paraId="5155062F" w14:textId="77777777" w:rsidR="00CF618B" w:rsidRPr="008128AC" w:rsidRDefault="00CF618B" w:rsidP="006C2AA7">
            <w:pPr>
              <w:rPr>
                <w:rFonts w:ascii="Calibri" w:hAnsi="Calibri" w:cs="Calibri"/>
              </w:rPr>
            </w:pPr>
            <w:r w:rsidRPr="008128AC">
              <w:rPr>
                <w:rFonts w:ascii="Calibri" w:hAnsi="Calibri" w:cs="Calibri"/>
              </w:rPr>
              <w:t>51</w:t>
            </w:r>
          </w:p>
        </w:tc>
        <w:tc>
          <w:tcPr>
            <w:tcW w:w="0" w:type="auto"/>
          </w:tcPr>
          <w:p w14:paraId="45DB0FFE" w14:textId="77777777" w:rsidR="00CF618B" w:rsidRPr="008128AC" w:rsidRDefault="00CF618B" w:rsidP="006C2AA7">
            <w:pPr>
              <w:rPr>
                <w:rFonts w:ascii="Calibri" w:hAnsi="Calibri" w:cs="Calibri"/>
              </w:rPr>
            </w:pPr>
            <w:r w:rsidRPr="008128AC">
              <w:rPr>
                <w:rFonts w:ascii="Calibri" w:hAnsi="Calibri" w:cs="Calibri"/>
              </w:rPr>
              <w:t>145</w:t>
            </w:r>
          </w:p>
        </w:tc>
        <w:tc>
          <w:tcPr>
            <w:tcW w:w="0" w:type="auto"/>
          </w:tcPr>
          <w:p w14:paraId="000151BA" w14:textId="77777777" w:rsidR="00CF618B" w:rsidRPr="008128AC" w:rsidRDefault="00CF618B" w:rsidP="006C2AA7">
            <w:pPr>
              <w:rPr>
                <w:rFonts w:ascii="Calibri" w:hAnsi="Calibri" w:cs="Calibri"/>
              </w:rPr>
            </w:pPr>
            <w:r w:rsidRPr="008128AC">
              <w:rPr>
                <w:rFonts w:ascii="Calibri" w:hAnsi="Calibri" w:cs="Calibri"/>
              </w:rPr>
              <w:t>78</w:t>
            </w:r>
          </w:p>
        </w:tc>
        <w:tc>
          <w:tcPr>
            <w:tcW w:w="0" w:type="auto"/>
          </w:tcPr>
          <w:p w14:paraId="4DA906DD" w14:textId="77777777" w:rsidR="00CF618B" w:rsidRPr="008128AC" w:rsidRDefault="00CF618B" w:rsidP="006C2AA7">
            <w:pPr>
              <w:rPr>
                <w:rFonts w:ascii="Calibri" w:hAnsi="Calibri" w:cs="Calibri"/>
              </w:rPr>
            </w:pPr>
            <w:r w:rsidRPr="008128AC">
              <w:rPr>
                <w:rFonts w:ascii="Calibri" w:hAnsi="Calibri" w:cs="Calibri"/>
              </w:rPr>
              <w:t>150</w:t>
            </w:r>
          </w:p>
        </w:tc>
        <w:tc>
          <w:tcPr>
            <w:tcW w:w="0" w:type="auto"/>
          </w:tcPr>
          <w:p w14:paraId="68793243" w14:textId="77777777" w:rsidR="00CF618B" w:rsidRPr="008128AC" w:rsidRDefault="00CF618B" w:rsidP="006C2AA7">
            <w:pPr>
              <w:rPr>
                <w:rFonts w:ascii="Calibri" w:hAnsi="Calibri" w:cs="Calibri"/>
              </w:rPr>
            </w:pPr>
          </w:p>
        </w:tc>
        <w:tc>
          <w:tcPr>
            <w:tcW w:w="576" w:type="dxa"/>
          </w:tcPr>
          <w:p w14:paraId="0C8A2436" w14:textId="77777777" w:rsidR="00CF618B" w:rsidRPr="008128AC" w:rsidRDefault="00CF618B" w:rsidP="006C2AA7">
            <w:pPr>
              <w:rPr>
                <w:rFonts w:ascii="Calibri" w:hAnsi="Calibri" w:cs="Calibri"/>
              </w:rPr>
            </w:pPr>
          </w:p>
        </w:tc>
      </w:tr>
      <w:tr w:rsidR="00CF618B" w:rsidRPr="008128AC" w14:paraId="3B8DD14B" w14:textId="77777777" w:rsidTr="006C2AA7">
        <w:trPr>
          <w:jc w:val="center"/>
        </w:trPr>
        <w:tc>
          <w:tcPr>
            <w:tcW w:w="0" w:type="auto"/>
          </w:tcPr>
          <w:p w14:paraId="39E140D9" w14:textId="77777777" w:rsidR="00CF618B" w:rsidRPr="008128AC" w:rsidRDefault="00CF618B" w:rsidP="006C2AA7">
            <w:pPr>
              <w:rPr>
                <w:rFonts w:ascii="Calibri" w:hAnsi="Calibri" w:cs="Calibri"/>
              </w:rPr>
            </w:pPr>
            <w:r w:rsidRPr="008128AC">
              <w:rPr>
                <w:rFonts w:ascii="Calibri" w:hAnsi="Calibri" w:cs="Calibri"/>
              </w:rPr>
              <w:lastRenderedPageBreak/>
              <w:t>Sheth et al 2019</w:t>
            </w:r>
          </w:p>
        </w:tc>
        <w:tc>
          <w:tcPr>
            <w:tcW w:w="0" w:type="auto"/>
            <w:vAlign w:val="bottom"/>
          </w:tcPr>
          <w:p w14:paraId="11818E1D" w14:textId="77777777" w:rsidR="00CF618B" w:rsidRPr="008128AC" w:rsidRDefault="00CF618B" w:rsidP="006C2AA7">
            <w:pPr>
              <w:rPr>
                <w:rFonts w:ascii="Calibri" w:hAnsi="Calibri" w:cs="Calibri"/>
              </w:rPr>
            </w:pPr>
            <w:r w:rsidRPr="008128AC">
              <w:rPr>
                <w:rFonts w:ascii="Calibri" w:eastAsia="Malgun Gothic" w:hAnsi="Calibri" w:cs="Calibri"/>
                <w:color w:val="000000"/>
              </w:rPr>
              <w:t>Community integration and inclusion-able to: Access everything outside residence</w:t>
            </w:r>
          </w:p>
        </w:tc>
        <w:tc>
          <w:tcPr>
            <w:tcW w:w="0" w:type="auto"/>
          </w:tcPr>
          <w:p w14:paraId="3235BABD" w14:textId="77777777" w:rsidR="00CF618B" w:rsidRPr="008128AC" w:rsidRDefault="00CF618B" w:rsidP="006C2AA7">
            <w:pPr>
              <w:rPr>
                <w:rFonts w:ascii="Calibri" w:hAnsi="Calibri" w:cs="Calibri"/>
              </w:rPr>
            </w:pPr>
            <w:r w:rsidRPr="008128AC">
              <w:rPr>
                <w:rFonts w:ascii="Calibri" w:hAnsi="Calibri" w:cs="Calibri"/>
              </w:rPr>
              <w:t>50</w:t>
            </w:r>
          </w:p>
        </w:tc>
        <w:tc>
          <w:tcPr>
            <w:tcW w:w="0" w:type="auto"/>
          </w:tcPr>
          <w:p w14:paraId="5249B415" w14:textId="77777777" w:rsidR="00CF618B" w:rsidRPr="008128AC" w:rsidRDefault="00CF618B" w:rsidP="006C2AA7">
            <w:pPr>
              <w:rPr>
                <w:rFonts w:ascii="Calibri" w:hAnsi="Calibri" w:cs="Calibri"/>
              </w:rPr>
            </w:pPr>
            <w:r w:rsidRPr="008128AC">
              <w:rPr>
                <w:rFonts w:ascii="Calibri" w:hAnsi="Calibri" w:cs="Calibri"/>
              </w:rPr>
              <w:t>141</w:t>
            </w:r>
          </w:p>
        </w:tc>
        <w:tc>
          <w:tcPr>
            <w:tcW w:w="0" w:type="auto"/>
          </w:tcPr>
          <w:p w14:paraId="708E7825" w14:textId="77777777" w:rsidR="00CF618B" w:rsidRPr="008128AC" w:rsidRDefault="00CF618B" w:rsidP="006C2AA7">
            <w:pPr>
              <w:rPr>
                <w:rFonts w:ascii="Calibri" w:hAnsi="Calibri" w:cs="Calibri"/>
              </w:rPr>
            </w:pPr>
            <w:r w:rsidRPr="008128AC">
              <w:rPr>
                <w:rFonts w:ascii="Calibri" w:hAnsi="Calibri" w:cs="Calibri"/>
              </w:rPr>
              <w:t>81</w:t>
            </w:r>
          </w:p>
        </w:tc>
        <w:tc>
          <w:tcPr>
            <w:tcW w:w="0" w:type="auto"/>
          </w:tcPr>
          <w:p w14:paraId="24A42093" w14:textId="77777777" w:rsidR="00CF618B" w:rsidRPr="008128AC" w:rsidRDefault="00CF618B" w:rsidP="006C2AA7">
            <w:pPr>
              <w:rPr>
                <w:rFonts w:ascii="Calibri" w:hAnsi="Calibri" w:cs="Calibri"/>
              </w:rPr>
            </w:pPr>
            <w:r w:rsidRPr="008128AC">
              <w:rPr>
                <w:rFonts w:ascii="Calibri" w:hAnsi="Calibri" w:cs="Calibri"/>
              </w:rPr>
              <w:t>150</w:t>
            </w:r>
          </w:p>
        </w:tc>
        <w:tc>
          <w:tcPr>
            <w:tcW w:w="0" w:type="auto"/>
          </w:tcPr>
          <w:p w14:paraId="47826811" w14:textId="77777777" w:rsidR="00CF618B" w:rsidRPr="008128AC" w:rsidRDefault="00CF618B" w:rsidP="006C2AA7">
            <w:pPr>
              <w:rPr>
                <w:rFonts w:ascii="Calibri" w:hAnsi="Calibri" w:cs="Calibri"/>
              </w:rPr>
            </w:pPr>
          </w:p>
        </w:tc>
        <w:tc>
          <w:tcPr>
            <w:tcW w:w="576" w:type="dxa"/>
          </w:tcPr>
          <w:p w14:paraId="70DF24A5" w14:textId="77777777" w:rsidR="00CF618B" w:rsidRPr="008128AC" w:rsidRDefault="00CF618B" w:rsidP="006C2AA7">
            <w:pPr>
              <w:rPr>
                <w:rFonts w:ascii="Calibri" w:hAnsi="Calibri" w:cs="Calibri"/>
              </w:rPr>
            </w:pPr>
          </w:p>
        </w:tc>
      </w:tr>
    </w:tbl>
    <w:p w14:paraId="4AA2EDC2" w14:textId="77777777" w:rsidR="00CF618B" w:rsidRPr="000E05CB" w:rsidRDefault="00CF618B" w:rsidP="00CF618B">
      <w:pPr>
        <w:contextualSpacing/>
        <w:rPr>
          <w:rFonts w:ascii="Calibri" w:hAnsi="Calibri" w:cs="Calibri"/>
          <w:i/>
          <w:iCs/>
        </w:rPr>
      </w:pPr>
      <w:r w:rsidRPr="000E05CB">
        <w:rPr>
          <w:rFonts w:ascii="Calibri" w:hAnsi="Calibri" w:cs="Calibri"/>
          <w:i/>
          <w:iCs/>
        </w:rPr>
        <w:t>Heterogeneity: Tau</w:t>
      </w:r>
      <w:r w:rsidRPr="000E05CB">
        <w:rPr>
          <w:rFonts w:ascii="Calibri" w:hAnsi="Calibri" w:cs="Calibri"/>
          <w:i/>
          <w:iCs/>
          <w:vertAlign w:val="superscript"/>
        </w:rPr>
        <w:t>2</w:t>
      </w:r>
      <w:r w:rsidRPr="000E05CB">
        <w:rPr>
          <w:rFonts w:ascii="Calibri" w:hAnsi="Calibri" w:cs="Calibri"/>
          <w:i/>
          <w:iCs/>
        </w:rPr>
        <w:t>= 0.057, df = 2P, I</w:t>
      </w:r>
      <w:r w:rsidRPr="000E05CB">
        <w:rPr>
          <w:rFonts w:ascii="Calibri" w:hAnsi="Calibri" w:cs="Calibri"/>
          <w:i/>
          <w:iCs/>
          <w:vertAlign w:val="superscript"/>
        </w:rPr>
        <w:t>2</w:t>
      </w:r>
      <w:r w:rsidRPr="000E05CB">
        <w:rPr>
          <w:rFonts w:ascii="Calibri" w:hAnsi="Calibri" w:cs="Calibri"/>
          <w:i/>
          <w:iCs/>
        </w:rPr>
        <w:t>= 70.167</w:t>
      </w:r>
    </w:p>
    <w:p w14:paraId="6787F833" w14:textId="77777777" w:rsidR="00CF618B" w:rsidRDefault="00CF618B" w:rsidP="00CF618B">
      <w:pPr>
        <w:rPr>
          <w:rFonts w:ascii="Calibri" w:hAnsi="Calibri" w:cs="Calibri"/>
          <w:b/>
          <w:bCs/>
        </w:rPr>
      </w:pPr>
    </w:p>
    <w:p w14:paraId="6649BCBA" w14:textId="77777777" w:rsidR="00CF618B" w:rsidRPr="008128AC" w:rsidRDefault="00CF618B" w:rsidP="00CF618B">
      <w:pPr>
        <w:rPr>
          <w:rFonts w:ascii="Calibri" w:hAnsi="Calibri" w:cs="Calibri"/>
        </w:rPr>
      </w:pPr>
      <w:r>
        <w:rPr>
          <w:rFonts w:ascii="Calibri" w:hAnsi="Calibri" w:cs="Calibri"/>
          <w:b/>
          <w:bCs/>
        </w:rPr>
        <w:t>Figure</w:t>
      </w:r>
      <w:r w:rsidRPr="000E05CB">
        <w:rPr>
          <w:rFonts w:ascii="Calibri" w:hAnsi="Calibri" w:cs="Calibri"/>
          <w:b/>
          <w:bCs/>
        </w:rPr>
        <w:t xml:space="preserve"> 6</w:t>
      </w:r>
      <w:r>
        <w:rPr>
          <w:rFonts w:ascii="Calibri" w:hAnsi="Calibri" w:cs="Calibri"/>
          <w:b/>
          <w:bCs/>
        </w:rPr>
        <w:t>.</w:t>
      </w:r>
      <w:r w:rsidRPr="000E05CB">
        <w:rPr>
          <w:rFonts w:ascii="Calibri" w:hAnsi="Calibri" w:cs="Calibri"/>
          <w:b/>
          <w:bCs/>
        </w:rPr>
        <w:t xml:space="preserve"> Meta</w:t>
      </w:r>
      <w:r>
        <w:rPr>
          <w:rFonts w:ascii="Calibri" w:hAnsi="Calibri" w:cs="Calibri"/>
          <w:b/>
          <w:bCs/>
        </w:rPr>
        <w:t>-analysis of ‘community integration’</w:t>
      </w:r>
      <w:r w:rsidRPr="000E5640">
        <w:rPr>
          <w:rFonts w:ascii="Calibri" w:hAnsi="Calibri" w:cs="Calibri"/>
          <w:b/>
          <w:bCs/>
        </w:rPr>
        <w:t xml:space="preserve"> </w:t>
      </w:r>
      <w:r>
        <w:rPr>
          <w:rFonts w:ascii="Calibri" w:hAnsi="Calibri" w:cs="Calibri"/>
          <w:b/>
          <w:bCs/>
        </w:rPr>
        <w:t xml:space="preserve">comparison following transition from </w:t>
      </w:r>
      <w:r w:rsidRPr="000E5640">
        <w:rPr>
          <w:rFonts w:ascii="Calibri" w:hAnsi="Calibri" w:cs="Calibri"/>
          <w:b/>
          <w:bCs/>
        </w:rPr>
        <w:t xml:space="preserve">Institution </w:t>
      </w:r>
      <w:r>
        <w:rPr>
          <w:rFonts w:ascii="Calibri" w:hAnsi="Calibri" w:cs="Calibri"/>
          <w:b/>
          <w:bCs/>
        </w:rPr>
        <w:t>to</w:t>
      </w:r>
      <w:r w:rsidRPr="000E5640">
        <w:rPr>
          <w:rFonts w:ascii="Calibri" w:hAnsi="Calibri" w:cs="Calibri"/>
          <w:b/>
          <w:bCs/>
        </w:rPr>
        <w:t xml:space="preserve"> </w:t>
      </w:r>
      <w:r>
        <w:rPr>
          <w:rFonts w:ascii="Calibri" w:hAnsi="Calibri" w:cs="Calibri"/>
          <w:b/>
          <w:bCs/>
        </w:rPr>
        <w:t>de-congregated setting</w:t>
      </w:r>
    </w:p>
    <w:p w14:paraId="35DA239B" w14:textId="77777777" w:rsidR="00CF618B" w:rsidRDefault="00CF618B" w:rsidP="00CF618B">
      <w:pPr>
        <w:rPr>
          <w:rFonts w:ascii="Times" w:hAnsi="Times" w:cs="Times"/>
          <w:sz w:val="24"/>
          <w:szCs w:val="24"/>
        </w:rPr>
      </w:pPr>
      <w:r>
        <w:rPr>
          <w:rFonts w:ascii="Times" w:hAnsi="Times" w:cs="Times"/>
          <w:noProof/>
          <w:sz w:val="24"/>
          <w:szCs w:val="24"/>
          <w:lang w:val="en-AU" w:eastAsia="en-AU"/>
        </w:rPr>
        <w:drawing>
          <wp:inline distT="0" distB="0" distL="0" distR="0" wp14:anchorId="5864FBF0" wp14:editId="35220AAB">
            <wp:extent cx="6434874" cy="1682750"/>
            <wp:effectExtent l="0" t="0" r="444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6449716" cy="1686631"/>
                    </a:xfrm>
                    <a:prstGeom prst="rect">
                      <a:avLst/>
                    </a:prstGeom>
                    <a:noFill/>
                    <a:ln>
                      <a:noFill/>
                    </a:ln>
                  </pic:spPr>
                </pic:pic>
              </a:graphicData>
            </a:graphic>
          </wp:inline>
        </w:drawing>
      </w:r>
    </w:p>
    <w:p w14:paraId="0C94CAB4" w14:textId="77777777" w:rsidR="00CF618B" w:rsidRPr="008128AC" w:rsidRDefault="00CF618B" w:rsidP="00CF618B">
      <w:pPr>
        <w:rPr>
          <w:rFonts w:ascii="Calibri" w:hAnsi="Calibri" w:cs="Calibri"/>
        </w:rPr>
      </w:pPr>
      <w:r w:rsidRPr="008128AC">
        <w:rPr>
          <w:rFonts w:ascii="Calibri" w:hAnsi="Calibri" w:cs="Calibri"/>
          <w:b/>
          <w:bCs/>
        </w:rPr>
        <w:t>Publication Bias</w:t>
      </w:r>
    </w:p>
    <w:p w14:paraId="43310341" w14:textId="77777777" w:rsidR="00CF618B" w:rsidRPr="008128AC" w:rsidRDefault="00CF618B" w:rsidP="00CF618B">
      <w:pPr>
        <w:rPr>
          <w:rFonts w:ascii="Calibri" w:hAnsi="Calibri" w:cs="Calibri"/>
        </w:rPr>
      </w:pPr>
      <w:r w:rsidRPr="008128AC">
        <w:rPr>
          <w:rFonts w:ascii="Calibri" w:hAnsi="Calibri" w:cs="Calibri"/>
        </w:rPr>
        <w:t xml:space="preserve">The Egger’s test did not identify any publication bias in all meta-analyses (p &gt; 0.05). As shown in Figure 7, the funnel plots were all symmetric about the effect sizes indicating low publication bias in all meta-analyses. However, three studies included in the meta-analysis of QoL between adults who moved from institution to community-based supported accommodation </w:t>
      </w:r>
      <w:r>
        <w:rPr>
          <w:rFonts w:ascii="Calibri" w:hAnsi="Calibri" w:cs="Calibri"/>
        </w:rPr>
        <w:t xml:space="preserve">deviated form the confidence intervals (CI) </w:t>
      </w:r>
      <w:r w:rsidRPr="008128AC">
        <w:rPr>
          <w:rFonts w:ascii="Calibri" w:hAnsi="Calibri" w:cs="Calibri"/>
        </w:rPr>
        <w:t xml:space="preserve">of the funnel plot </w:t>
      </w:r>
      <w:r>
        <w:rPr>
          <w:rFonts w:ascii="Calibri" w:hAnsi="Calibri" w:cs="Calibri"/>
        </w:rPr>
        <w:t>(</w:t>
      </w:r>
      <w:r w:rsidRPr="008128AC">
        <w:rPr>
          <w:rFonts w:ascii="Calibri" w:hAnsi="Calibri" w:cs="Calibri"/>
        </w:rPr>
        <w:t>CI lines</w:t>
      </w:r>
      <w:r>
        <w:rPr>
          <w:rFonts w:ascii="Calibri" w:hAnsi="Calibri" w:cs="Calibri"/>
        </w:rPr>
        <w:t>)</w:t>
      </w:r>
      <w:r w:rsidRPr="008128AC">
        <w:rPr>
          <w:rFonts w:ascii="Calibri" w:hAnsi="Calibri" w:cs="Calibri"/>
        </w:rPr>
        <w:t>. These results indicate a risk of sampling bias and low statistical power (e.g., the samples were too small).</w:t>
      </w:r>
    </w:p>
    <w:p w14:paraId="4A56A05E" w14:textId="77777777" w:rsidR="00CF618B" w:rsidRPr="004D2D60" w:rsidRDefault="00CF618B" w:rsidP="00CF618B">
      <w:pPr>
        <w:rPr>
          <w:rFonts w:ascii="Calibri" w:hAnsi="Calibri" w:cs="Calibri"/>
          <w:b/>
          <w:bCs/>
        </w:rPr>
      </w:pPr>
      <w:r w:rsidRPr="004D2D60">
        <w:rPr>
          <w:rFonts w:ascii="Calibri" w:hAnsi="Calibri" w:cs="Calibri"/>
          <w:b/>
          <w:bCs/>
        </w:rPr>
        <w:t>Table 7. Egger's regression test</w:t>
      </w:r>
    </w:p>
    <w:tbl>
      <w:tblPr>
        <w:tblStyle w:val="TableGrid"/>
        <w:tblW w:w="0" w:type="auto"/>
        <w:tblLook w:val="04A0" w:firstRow="1" w:lastRow="0" w:firstColumn="1" w:lastColumn="0" w:noHBand="0" w:noVBand="1"/>
      </w:tblPr>
      <w:tblGrid>
        <w:gridCol w:w="3243"/>
        <w:gridCol w:w="3164"/>
        <w:gridCol w:w="2943"/>
      </w:tblGrid>
      <w:tr w:rsidR="00CF618B" w:rsidRPr="008128AC" w14:paraId="3BAE1DE7" w14:textId="77777777" w:rsidTr="006C2AA7">
        <w:tc>
          <w:tcPr>
            <w:tcW w:w="4562" w:type="dxa"/>
          </w:tcPr>
          <w:p w14:paraId="7853021F" w14:textId="77777777" w:rsidR="00CF618B" w:rsidRPr="008128AC" w:rsidRDefault="00CF618B" w:rsidP="006C2AA7">
            <w:pPr>
              <w:rPr>
                <w:rFonts w:ascii="Calibri" w:hAnsi="Calibri" w:cs="Calibri"/>
              </w:rPr>
            </w:pPr>
          </w:p>
        </w:tc>
        <w:tc>
          <w:tcPr>
            <w:tcW w:w="4562" w:type="dxa"/>
          </w:tcPr>
          <w:p w14:paraId="23856682" w14:textId="77777777" w:rsidR="00CF618B" w:rsidRPr="006D7F62" w:rsidRDefault="00CF618B" w:rsidP="006C2AA7">
            <w:pPr>
              <w:rPr>
                <w:rFonts w:ascii="Calibri" w:hAnsi="Calibri" w:cs="Calibri"/>
                <w:b/>
                <w:bCs/>
              </w:rPr>
            </w:pPr>
            <w:r w:rsidRPr="006D7F62">
              <w:rPr>
                <w:rFonts w:ascii="Calibri" w:hAnsi="Calibri" w:cs="Calibri"/>
                <w:b/>
                <w:bCs/>
              </w:rPr>
              <w:t>t-value</w:t>
            </w:r>
          </w:p>
        </w:tc>
        <w:tc>
          <w:tcPr>
            <w:tcW w:w="4563" w:type="dxa"/>
          </w:tcPr>
          <w:p w14:paraId="4FBA5DD2" w14:textId="77777777" w:rsidR="00CF618B" w:rsidRPr="006D7F62" w:rsidRDefault="00CF618B" w:rsidP="006C2AA7">
            <w:pPr>
              <w:rPr>
                <w:rFonts w:ascii="Calibri" w:hAnsi="Calibri" w:cs="Calibri"/>
                <w:b/>
                <w:bCs/>
              </w:rPr>
            </w:pPr>
            <w:r w:rsidRPr="006D7F62">
              <w:rPr>
                <w:rFonts w:ascii="Calibri" w:hAnsi="Calibri" w:cs="Calibri"/>
                <w:b/>
                <w:bCs/>
              </w:rPr>
              <w:t>P</w:t>
            </w:r>
          </w:p>
        </w:tc>
      </w:tr>
      <w:tr w:rsidR="00CF618B" w:rsidRPr="008128AC" w14:paraId="6841DC4A" w14:textId="77777777" w:rsidTr="006C2AA7">
        <w:tc>
          <w:tcPr>
            <w:tcW w:w="4562" w:type="dxa"/>
          </w:tcPr>
          <w:p w14:paraId="21BDEDE1" w14:textId="77777777" w:rsidR="00CF618B" w:rsidRPr="008128AC" w:rsidRDefault="00CF618B" w:rsidP="006C2AA7">
            <w:pPr>
              <w:rPr>
                <w:rFonts w:ascii="Calibri" w:hAnsi="Calibri" w:cs="Calibri"/>
              </w:rPr>
            </w:pPr>
            <w:r w:rsidRPr="008128AC">
              <w:rPr>
                <w:rFonts w:ascii="Calibri" w:hAnsi="Calibri" w:cs="Calibri"/>
              </w:rPr>
              <w:t>QoL – Baseline to 6 months post-move</w:t>
            </w:r>
            <w:r>
              <w:rPr>
                <w:rFonts w:ascii="Calibri" w:hAnsi="Calibri" w:cs="Calibri"/>
              </w:rPr>
              <w:t xml:space="preserve"> </w:t>
            </w:r>
            <w:r w:rsidRPr="006D7F62">
              <w:rPr>
                <w:rFonts w:ascii="Calibri" w:hAnsi="Calibri" w:cs="Calibri"/>
              </w:rPr>
              <w:t>- Institution vs community setting</w:t>
            </w:r>
          </w:p>
        </w:tc>
        <w:tc>
          <w:tcPr>
            <w:tcW w:w="4562" w:type="dxa"/>
          </w:tcPr>
          <w:p w14:paraId="0E5B84BE" w14:textId="77777777" w:rsidR="00CF618B" w:rsidRPr="008128AC" w:rsidRDefault="00CF618B" w:rsidP="006C2AA7">
            <w:pPr>
              <w:rPr>
                <w:rFonts w:ascii="Calibri" w:hAnsi="Calibri" w:cs="Calibri"/>
              </w:rPr>
            </w:pPr>
            <w:r w:rsidRPr="008128AC">
              <w:rPr>
                <w:rFonts w:ascii="Calibri" w:hAnsi="Calibri" w:cs="Calibri"/>
              </w:rPr>
              <w:t>2.64</w:t>
            </w:r>
          </w:p>
        </w:tc>
        <w:tc>
          <w:tcPr>
            <w:tcW w:w="4563" w:type="dxa"/>
          </w:tcPr>
          <w:p w14:paraId="680022BF" w14:textId="77777777" w:rsidR="00CF618B" w:rsidRPr="008128AC" w:rsidRDefault="00CF618B" w:rsidP="006C2AA7">
            <w:pPr>
              <w:rPr>
                <w:rFonts w:ascii="Calibri" w:hAnsi="Calibri" w:cs="Calibri"/>
              </w:rPr>
            </w:pPr>
            <w:r w:rsidRPr="008128AC">
              <w:rPr>
                <w:rFonts w:ascii="Calibri" w:hAnsi="Calibri" w:cs="Calibri"/>
              </w:rPr>
              <w:t>0.12</w:t>
            </w:r>
          </w:p>
        </w:tc>
      </w:tr>
      <w:tr w:rsidR="00CF618B" w:rsidRPr="008128AC" w14:paraId="5053E2B2" w14:textId="77777777" w:rsidTr="006C2AA7">
        <w:tc>
          <w:tcPr>
            <w:tcW w:w="4562" w:type="dxa"/>
          </w:tcPr>
          <w:p w14:paraId="41ACFA18" w14:textId="77777777" w:rsidR="00CF618B" w:rsidRPr="008128AC" w:rsidRDefault="00CF618B" w:rsidP="006C2AA7">
            <w:pPr>
              <w:rPr>
                <w:rFonts w:ascii="Calibri" w:hAnsi="Calibri" w:cs="Calibri"/>
              </w:rPr>
            </w:pPr>
            <w:r w:rsidRPr="008128AC">
              <w:rPr>
                <w:rFonts w:ascii="Calibri" w:hAnsi="Calibri" w:cs="Calibri"/>
              </w:rPr>
              <w:t>QoL – Baseline to 1-year post-move</w:t>
            </w:r>
          </w:p>
        </w:tc>
        <w:tc>
          <w:tcPr>
            <w:tcW w:w="4562" w:type="dxa"/>
          </w:tcPr>
          <w:p w14:paraId="2403442F" w14:textId="77777777" w:rsidR="00CF618B" w:rsidRPr="008128AC" w:rsidRDefault="00CF618B" w:rsidP="006C2AA7">
            <w:pPr>
              <w:rPr>
                <w:rFonts w:ascii="Calibri" w:hAnsi="Calibri" w:cs="Calibri"/>
              </w:rPr>
            </w:pPr>
            <w:r w:rsidRPr="008128AC">
              <w:rPr>
                <w:rFonts w:ascii="Calibri" w:hAnsi="Calibri" w:cs="Calibri"/>
              </w:rPr>
              <w:t>At least 3 studies required</w:t>
            </w:r>
            <w:r>
              <w:rPr>
                <w:rFonts w:ascii="Calibri" w:hAnsi="Calibri" w:cs="Calibri"/>
              </w:rPr>
              <w:t xml:space="preserve"> to complete Egger’s regression test</w:t>
            </w:r>
          </w:p>
        </w:tc>
        <w:tc>
          <w:tcPr>
            <w:tcW w:w="4563" w:type="dxa"/>
          </w:tcPr>
          <w:p w14:paraId="2C5B9445" w14:textId="77777777" w:rsidR="00CF618B" w:rsidRPr="008128AC" w:rsidRDefault="00CF618B" w:rsidP="006C2AA7">
            <w:pPr>
              <w:rPr>
                <w:rFonts w:ascii="Calibri" w:hAnsi="Calibri" w:cs="Calibri"/>
              </w:rPr>
            </w:pPr>
          </w:p>
        </w:tc>
      </w:tr>
      <w:tr w:rsidR="00CF618B" w:rsidRPr="008128AC" w14:paraId="07916D65" w14:textId="77777777" w:rsidTr="006C2AA7">
        <w:tc>
          <w:tcPr>
            <w:tcW w:w="4562" w:type="dxa"/>
          </w:tcPr>
          <w:p w14:paraId="3D2CB961" w14:textId="77777777" w:rsidR="00CF618B" w:rsidRDefault="00CF618B" w:rsidP="006C2AA7">
            <w:pPr>
              <w:rPr>
                <w:rFonts w:ascii="Calibri" w:hAnsi="Calibri" w:cs="Calibri"/>
              </w:rPr>
            </w:pPr>
            <w:r w:rsidRPr="008128AC">
              <w:rPr>
                <w:rFonts w:ascii="Calibri" w:hAnsi="Calibri" w:cs="Calibri"/>
              </w:rPr>
              <w:t>QoL –</w:t>
            </w:r>
            <w:r>
              <w:rPr>
                <w:rFonts w:ascii="Calibri" w:hAnsi="Calibri" w:cs="Calibri"/>
              </w:rPr>
              <w:t xml:space="preserve"> </w:t>
            </w:r>
            <w:r w:rsidRPr="008128AC">
              <w:rPr>
                <w:rFonts w:ascii="Calibri" w:hAnsi="Calibri" w:cs="Calibri"/>
              </w:rPr>
              <w:t xml:space="preserve">Institution vs </w:t>
            </w:r>
            <w:r>
              <w:rPr>
                <w:rFonts w:ascii="Calibri" w:hAnsi="Calibri" w:cs="Calibri"/>
              </w:rPr>
              <w:t>de-congregated setting</w:t>
            </w:r>
          </w:p>
          <w:p w14:paraId="77D09B99" w14:textId="77777777" w:rsidR="00CF618B" w:rsidRPr="008128AC" w:rsidRDefault="00CF618B" w:rsidP="006C2AA7">
            <w:pPr>
              <w:rPr>
                <w:rFonts w:ascii="Calibri" w:hAnsi="Calibri" w:cs="Calibri"/>
              </w:rPr>
            </w:pPr>
          </w:p>
        </w:tc>
        <w:tc>
          <w:tcPr>
            <w:tcW w:w="4562" w:type="dxa"/>
          </w:tcPr>
          <w:p w14:paraId="18EE22DD" w14:textId="77777777" w:rsidR="00CF618B" w:rsidRPr="008128AC" w:rsidRDefault="00CF618B" w:rsidP="006C2AA7">
            <w:pPr>
              <w:rPr>
                <w:rFonts w:ascii="Calibri" w:hAnsi="Calibri" w:cs="Calibri"/>
              </w:rPr>
            </w:pPr>
            <w:r w:rsidRPr="008128AC">
              <w:rPr>
                <w:rFonts w:ascii="Calibri" w:hAnsi="Calibri" w:cs="Calibri"/>
              </w:rPr>
              <w:t>1.09</w:t>
            </w:r>
          </w:p>
        </w:tc>
        <w:tc>
          <w:tcPr>
            <w:tcW w:w="4563" w:type="dxa"/>
          </w:tcPr>
          <w:p w14:paraId="02BC2984" w14:textId="77777777" w:rsidR="00CF618B" w:rsidRPr="008128AC" w:rsidRDefault="00CF618B" w:rsidP="006C2AA7">
            <w:pPr>
              <w:rPr>
                <w:rFonts w:ascii="Calibri" w:hAnsi="Calibri" w:cs="Calibri"/>
              </w:rPr>
            </w:pPr>
            <w:r w:rsidRPr="008128AC">
              <w:rPr>
                <w:rFonts w:ascii="Calibri" w:hAnsi="Calibri" w:cs="Calibri"/>
              </w:rPr>
              <w:t>0.39</w:t>
            </w:r>
          </w:p>
        </w:tc>
      </w:tr>
      <w:tr w:rsidR="00CF618B" w:rsidRPr="008128AC" w14:paraId="0BEBD075" w14:textId="77777777" w:rsidTr="006C2AA7">
        <w:tc>
          <w:tcPr>
            <w:tcW w:w="4562" w:type="dxa"/>
          </w:tcPr>
          <w:p w14:paraId="711E7742" w14:textId="77777777" w:rsidR="00CF618B" w:rsidRPr="008128AC" w:rsidRDefault="00CF618B" w:rsidP="006C2AA7">
            <w:pPr>
              <w:rPr>
                <w:rFonts w:ascii="Calibri" w:hAnsi="Calibri" w:cs="Calibri"/>
              </w:rPr>
            </w:pPr>
            <w:r w:rsidRPr="008128AC">
              <w:rPr>
                <w:rFonts w:ascii="Calibri" w:hAnsi="Calibri" w:cs="Calibri"/>
              </w:rPr>
              <w:t>Maladaptive</w:t>
            </w:r>
            <w:r>
              <w:rPr>
                <w:rFonts w:ascii="Calibri" w:hAnsi="Calibri" w:cs="Calibri"/>
              </w:rPr>
              <w:t xml:space="preserve"> </w:t>
            </w:r>
            <w:r w:rsidRPr="008128AC">
              <w:rPr>
                <w:rFonts w:ascii="Calibri" w:hAnsi="Calibri" w:cs="Calibri"/>
              </w:rPr>
              <w:t>Behaviour</w:t>
            </w:r>
            <w:r>
              <w:rPr>
                <w:rFonts w:ascii="Calibri" w:hAnsi="Calibri" w:cs="Calibri"/>
              </w:rPr>
              <w:t>s</w:t>
            </w:r>
            <w:r w:rsidRPr="008128AC">
              <w:rPr>
                <w:rFonts w:ascii="Calibri" w:hAnsi="Calibri" w:cs="Calibri"/>
              </w:rPr>
              <w:t xml:space="preserve"> – Institution vs </w:t>
            </w:r>
            <w:r>
              <w:rPr>
                <w:rFonts w:ascii="Calibri" w:hAnsi="Calibri" w:cs="Calibri"/>
              </w:rPr>
              <w:t>de-congregated setting</w:t>
            </w:r>
          </w:p>
        </w:tc>
        <w:tc>
          <w:tcPr>
            <w:tcW w:w="4562" w:type="dxa"/>
          </w:tcPr>
          <w:p w14:paraId="38D21F52" w14:textId="77777777" w:rsidR="00CF618B" w:rsidRPr="008128AC" w:rsidRDefault="00CF618B" w:rsidP="006C2AA7">
            <w:pPr>
              <w:rPr>
                <w:rFonts w:ascii="Calibri" w:hAnsi="Calibri" w:cs="Calibri"/>
              </w:rPr>
            </w:pPr>
            <w:r w:rsidRPr="008128AC">
              <w:rPr>
                <w:rFonts w:ascii="Calibri" w:hAnsi="Calibri" w:cs="Calibri"/>
              </w:rPr>
              <w:t>9.53</w:t>
            </w:r>
          </w:p>
        </w:tc>
        <w:tc>
          <w:tcPr>
            <w:tcW w:w="4563" w:type="dxa"/>
          </w:tcPr>
          <w:p w14:paraId="70085D2F" w14:textId="77777777" w:rsidR="00CF618B" w:rsidRPr="008128AC" w:rsidRDefault="00CF618B" w:rsidP="006C2AA7">
            <w:pPr>
              <w:rPr>
                <w:rFonts w:ascii="Calibri" w:hAnsi="Calibri" w:cs="Calibri"/>
              </w:rPr>
            </w:pPr>
            <w:r w:rsidRPr="008128AC">
              <w:rPr>
                <w:rFonts w:ascii="Calibri" w:hAnsi="Calibri" w:cs="Calibri"/>
              </w:rPr>
              <w:t>0.07</w:t>
            </w:r>
          </w:p>
        </w:tc>
      </w:tr>
      <w:tr w:rsidR="00CF618B" w:rsidRPr="008128AC" w14:paraId="40A00596" w14:textId="77777777" w:rsidTr="006C2AA7">
        <w:tc>
          <w:tcPr>
            <w:tcW w:w="4562" w:type="dxa"/>
          </w:tcPr>
          <w:p w14:paraId="70A8E00F" w14:textId="77777777" w:rsidR="00CF618B" w:rsidRPr="008128AC" w:rsidRDefault="00CF618B" w:rsidP="006C2AA7">
            <w:pPr>
              <w:rPr>
                <w:rFonts w:ascii="Calibri" w:hAnsi="Calibri" w:cs="Calibri"/>
              </w:rPr>
            </w:pPr>
            <w:r w:rsidRPr="008128AC">
              <w:rPr>
                <w:rFonts w:ascii="Calibri" w:hAnsi="Calibri" w:cs="Calibri"/>
              </w:rPr>
              <w:t xml:space="preserve">Choice – Institution vs </w:t>
            </w:r>
            <w:r>
              <w:rPr>
                <w:rFonts w:ascii="Calibri" w:hAnsi="Calibri" w:cs="Calibri"/>
              </w:rPr>
              <w:t>de-congregated setting</w:t>
            </w:r>
          </w:p>
        </w:tc>
        <w:tc>
          <w:tcPr>
            <w:tcW w:w="4562" w:type="dxa"/>
          </w:tcPr>
          <w:p w14:paraId="19A88B33" w14:textId="77777777" w:rsidR="00CF618B" w:rsidRPr="008128AC" w:rsidRDefault="00CF618B" w:rsidP="006C2AA7">
            <w:pPr>
              <w:rPr>
                <w:rFonts w:ascii="Calibri" w:hAnsi="Calibri" w:cs="Calibri"/>
              </w:rPr>
            </w:pPr>
            <w:r w:rsidRPr="008128AC">
              <w:rPr>
                <w:rFonts w:ascii="Calibri" w:hAnsi="Calibri" w:cs="Calibri"/>
              </w:rPr>
              <w:t>0.66</w:t>
            </w:r>
          </w:p>
        </w:tc>
        <w:tc>
          <w:tcPr>
            <w:tcW w:w="4563" w:type="dxa"/>
          </w:tcPr>
          <w:p w14:paraId="71F0DECB" w14:textId="77777777" w:rsidR="00CF618B" w:rsidRPr="008128AC" w:rsidRDefault="00CF618B" w:rsidP="006C2AA7">
            <w:pPr>
              <w:rPr>
                <w:rFonts w:ascii="Calibri" w:hAnsi="Calibri" w:cs="Calibri"/>
              </w:rPr>
            </w:pPr>
            <w:r w:rsidRPr="008128AC">
              <w:rPr>
                <w:rFonts w:ascii="Calibri" w:hAnsi="Calibri" w:cs="Calibri"/>
              </w:rPr>
              <w:t>0.58</w:t>
            </w:r>
          </w:p>
        </w:tc>
      </w:tr>
      <w:tr w:rsidR="00CF618B" w:rsidRPr="008128AC" w14:paraId="0B098B9C" w14:textId="77777777" w:rsidTr="006C2AA7">
        <w:tc>
          <w:tcPr>
            <w:tcW w:w="4562" w:type="dxa"/>
          </w:tcPr>
          <w:p w14:paraId="56031E70" w14:textId="77777777" w:rsidR="00CF618B" w:rsidRPr="008128AC" w:rsidRDefault="00CF618B" w:rsidP="006C2AA7">
            <w:pPr>
              <w:rPr>
                <w:rFonts w:ascii="Calibri" w:hAnsi="Calibri" w:cs="Calibri"/>
              </w:rPr>
            </w:pPr>
            <w:r w:rsidRPr="008128AC">
              <w:rPr>
                <w:rFonts w:ascii="Calibri" w:hAnsi="Calibri" w:cs="Calibri"/>
              </w:rPr>
              <w:t xml:space="preserve">Community Integration – Institution vs </w:t>
            </w:r>
            <w:r>
              <w:rPr>
                <w:rFonts w:ascii="Calibri" w:hAnsi="Calibri" w:cs="Calibri"/>
              </w:rPr>
              <w:t>de-congregated setting</w:t>
            </w:r>
          </w:p>
        </w:tc>
        <w:tc>
          <w:tcPr>
            <w:tcW w:w="4562" w:type="dxa"/>
          </w:tcPr>
          <w:p w14:paraId="50B38B73" w14:textId="77777777" w:rsidR="00CF618B" w:rsidRPr="008128AC" w:rsidRDefault="00CF618B" w:rsidP="006C2AA7">
            <w:pPr>
              <w:rPr>
                <w:rFonts w:ascii="Calibri" w:hAnsi="Calibri" w:cs="Calibri"/>
              </w:rPr>
            </w:pPr>
            <w:r w:rsidRPr="008128AC">
              <w:rPr>
                <w:rFonts w:ascii="Calibri" w:hAnsi="Calibri" w:cs="Calibri"/>
              </w:rPr>
              <w:t>0.58</w:t>
            </w:r>
          </w:p>
        </w:tc>
        <w:tc>
          <w:tcPr>
            <w:tcW w:w="4563" w:type="dxa"/>
          </w:tcPr>
          <w:p w14:paraId="12F98FAD" w14:textId="77777777" w:rsidR="00CF618B" w:rsidRPr="008128AC" w:rsidRDefault="00CF618B" w:rsidP="006C2AA7">
            <w:pPr>
              <w:rPr>
                <w:rFonts w:ascii="Calibri" w:hAnsi="Calibri" w:cs="Calibri"/>
              </w:rPr>
            </w:pPr>
            <w:r w:rsidRPr="008128AC">
              <w:rPr>
                <w:rFonts w:ascii="Calibri" w:hAnsi="Calibri" w:cs="Calibri"/>
              </w:rPr>
              <w:t>0.67</w:t>
            </w:r>
          </w:p>
        </w:tc>
      </w:tr>
    </w:tbl>
    <w:p w14:paraId="083D9626" w14:textId="77777777" w:rsidR="00CF618B" w:rsidRPr="008128AC" w:rsidRDefault="00CF618B" w:rsidP="00CF618B">
      <w:pPr>
        <w:rPr>
          <w:rFonts w:ascii="Calibri" w:hAnsi="Calibri" w:cs="Calibri"/>
        </w:rPr>
      </w:pPr>
    </w:p>
    <w:p w14:paraId="0084BDBF" w14:textId="77777777" w:rsidR="00961495" w:rsidRDefault="00961495">
      <w:pPr>
        <w:rPr>
          <w:rFonts w:ascii="Calibri" w:hAnsi="Calibri" w:cs="Calibri"/>
          <w:b/>
          <w:bCs/>
        </w:rPr>
      </w:pPr>
      <w:r>
        <w:rPr>
          <w:rFonts w:ascii="Calibri" w:hAnsi="Calibri" w:cs="Calibri"/>
          <w:b/>
          <w:bCs/>
        </w:rPr>
        <w:br w:type="page"/>
      </w:r>
    </w:p>
    <w:p w14:paraId="3DB5E54E" w14:textId="6C11C378" w:rsidR="00CF618B" w:rsidRDefault="00CF618B" w:rsidP="00CF618B">
      <w:pPr>
        <w:rPr>
          <w:rFonts w:ascii="Calibri" w:hAnsi="Calibri" w:cs="Calibri"/>
          <w:b/>
          <w:bCs/>
        </w:rPr>
      </w:pPr>
      <w:r w:rsidRPr="00D17E2C">
        <w:rPr>
          <w:rFonts w:ascii="Calibri" w:hAnsi="Calibri" w:cs="Calibri"/>
          <w:b/>
          <w:bCs/>
        </w:rPr>
        <w:lastRenderedPageBreak/>
        <w:t>Figure 7</w:t>
      </w:r>
      <w:r>
        <w:rPr>
          <w:rFonts w:ascii="Calibri" w:hAnsi="Calibri" w:cs="Calibri"/>
          <w:b/>
          <w:bCs/>
        </w:rPr>
        <w:t xml:space="preserve">a: </w:t>
      </w:r>
      <w:r w:rsidRPr="00D17E2C">
        <w:rPr>
          <w:rFonts w:ascii="Calibri" w:hAnsi="Calibri" w:cs="Calibri"/>
          <w:b/>
          <w:bCs/>
        </w:rPr>
        <w:t>QoL Pre/Post</w:t>
      </w:r>
      <w:r>
        <w:rPr>
          <w:rFonts w:ascii="Calibri" w:hAnsi="Calibri" w:cs="Calibri"/>
          <w:b/>
          <w:bCs/>
        </w:rPr>
        <w:t>-Institution vs community setting</w:t>
      </w:r>
    </w:p>
    <w:p w14:paraId="062AAF57" w14:textId="77777777" w:rsidR="00CF618B" w:rsidRDefault="00CF618B" w:rsidP="00CF618B">
      <w:pPr>
        <w:pStyle w:val="ListParagraph"/>
        <w:ind w:left="760"/>
        <w:rPr>
          <w:rFonts w:ascii="Times" w:hAnsi="Times" w:cs="Times"/>
          <w:sz w:val="24"/>
          <w:szCs w:val="24"/>
        </w:rPr>
      </w:pPr>
      <w:r>
        <w:rPr>
          <w:rFonts w:ascii="Times" w:hAnsi="Times" w:cs="Times"/>
          <w:noProof/>
          <w:sz w:val="24"/>
          <w:szCs w:val="24"/>
          <w:lang w:val="en-AU" w:eastAsia="en-AU"/>
        </w:rPr>
        <w:drawing>
          <wp:inline distT="0" distB="0" distL="0" distR="0" wp14:anchorId="76000BD9" wp14:editId="7AD379D7">
            <wp:extent cx="4550143" cy="2451100"/>
            <wp:effectExtent l="0" t="0" r="317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4653792" cy="2506935"/>
                    </a:xfrm>
                    <a:prstGeom prst="rect">
                      <a:avLst/>
                    </a:prstGeom>
                    <a:noFill/>
                    <a:ln>
                      <a:noFill/>
                    </a:ln>
                  </pic:spPr>
                </pic:pic>
              </a:graphicData>
            </a:graphic>
          </wp:inline>
        </w:drawing>
      </w:r>
    </w:p>
    <w:p w14:paraId="303B8B71" w14:textId="77777777" w:rsidR="00CF618B" w:rsidRPr="006D7F62" w:rsidRDefault="00CF618B" w:rsidP="00CF618B">
      <w:pPr>
        <w:rPr>
          <w:rFonts w:ascii="Calibri" w:hAnsi="Calibri" w:cs="Calibri"/>
          <w:b/>
          <w:bCs/>
        </w:rPr>
      </w:pPr>
      <w:r w:rsidRPr="006D7F62">
        <w:rPr>
          <w:rFonts w:ascii="Calibri" w:hAnsi="Calibri" w:cs="Calibri"/>
          <w:b/>
          <w:bCs/>
        </w:rPr>
        <w:t>Figure 7b: QoL Institution vs de-congregated setting</w:t>
      </w:r>
    </w:p>
    <w:p w14:paraId="77614D22" w14:textId="77777777" w:rsidR="00CF618B" w:rsidRDefault="00CF618B" w:rsidP="00CF618B">
      <w:pPr>
        <w:pStyle w:val="ListParagraph"/>
        <w:ind w:left="760"/>
        <w:rPr>
          <w:rFonts w:ascii="Times" w:hAnsi="Times" w:cs="Times"/>
          <w:sz w:val="24"/>
          <w:szCs w:val="24"/>
        </w:rPr>
      </w:pPr>
      <w:r>
        <w:rPr>
          <w:rFonts w:ascii="Times" w:hAnsi="Times" w:cs="Times"/>
          <w:noProof/>
          <w:sz w:val="24"/>
          <w:szCs w:val="24"/>
          <w:lang w:val="en-AU" w:eastAsia="en-AU"/>
        </w:rPr>
        <w:drawing>
          <wp:inline distT="0" distB="0" distL="0" distR="0" wp14:anchorId="1DF6309B" wp14:editId="08B37BC2">
            <wp:extent cx="4620871" cy="2489200"/>
            <wp:effectExtent l="0" t="0" r="889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4685777" cy="2524164"/>
                    </a:xfrm>
                    <a:prstGeom prst="rect">
                      <a:avLst/>
                    </a:prstGeom>
                    <a:noFill/>
                    <a:ln>
                      <a:noFill/>
                    </a:ln>
                  </pic:spPr>
                </pic:pic>
              </a:graphicData>
            </a:graphic>
          </wp:inline>
        </w:drawing>
      </w:r>
    </w:p>
    <w:p w14:paraId="6AD8FE72" w14:textId="77777777" w:rsidR="00CF618B" w:rsidRPr="00D46053" w:rsidRDefault="00CF618B" w:rsidP="00CF618B">
      <w:pPr>
        <w:rPr>
          <w:rFonts w:ascii="Calibri" w:hAnsi="Calibri" w:cs="Calibri"/>
          <w:b/>
          <w:bCs/>
        </w:rPr>
      </w:pPr>
      <w:r w:rsidRPr="00D46053">
        <w:rPr>
          <w:rFonts w:ascii="Calibri" w:hAnsi="Calibri" w:cs="Calibri"/>
          <w:b/>
          <w:bCs/>
        </w:rPr>
        <w:t>Figure 7c: Maladaptive behaviours-Institution vs de-congregated setting</w:t>
      </w:r>
    </w:p>
    <w:p w14:paraId="21A6473D" w14:textId="77777777" w:rsidR="00CF618B" w:rsidRDefault="00CF618B" w:rsidP="00CF618B">
      <w:pPr>
        <w:pStyle w:val="ListParagraph"/>
        <w:ind w:left="760"/>
        <w:rPr>
          <w:rFonts w:ascii="Times" w:hAnsi="Times" w:cs="Times"/>
          <w:sz w:val="24"/>
          <w:szCs w:val="24"/>
        </w:rPr>
      </w:pPr>
      <w:r>
        <w:rPr>
          <w:rFonts w:ascii="Times" w:hAnsi="Times" w:cs="Times"/>
          <w:noProof/>
          <w:sz w:val="24"/>
          <w:szCs w:val="24"/>
          <w:lang w:val="en-AU" w:eastAsia="en-AU"/>
        </w:rPr>
        <w:drawing>
          <wp:inline distT="0" distB="0" distL="0" distR="0" wp14:anchorId="689F85F5" wp14:editId="4AE308F5">
            <wp:extent cx="4533900" cy="2448967"/>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4570137" cy="2468540"/>
                    </a:xfrm>
                    <a:prstGeom prst="rect">
                      <a:avLst/>
                    </a:prstGeom>
                    <a:noFill/>
                    <a:ln>
                      <a:noFill/>
                    </a:ln>
                  </pic:spPr>
                </pic:pic>
              </a:graphicData>
            </a:graphic>
          </wp:inline>
        </w:drawing>
      </w:r>
    </w:p>
    <w:p w14:paraId="0307B153" w14:textId="77777777" w:rsidR="00CF618B" w:rsidRPr="00D46053" w:rsidRDefault="00CF618B" w:rsidP="00CF618B">
      <w:pPr>
        <w:rPr>
          <w:rFonts w:ascii="Times" w:hAnsi="Times" w:cs="Times"/>
        </w:rPr>
      </w:pPr>
      <w:r>
        <w:rPr>
          <w:rFonts w:ascii="Times" w:hAnsi="Times" w:cs="Times"/>
          <w:sz w:val="24"/>
          <w:szCs w:val="24"/>
        </w:rPr>
        <w:br w:type="page"/>
      </w:r>
      <w:r w:rsidRPr="00D46053">
        <w:rPr>
          <w:rFonts w:ascii="Calibri" w:hAnsi="Calibri" w:cs="Calibri"/>
          <w:b/>
          <w:bCs/>
        </w:rPr>
        <w:lastRenderedPageBreak/>
        <w:t>Figure 7d: Choice - Institution vs de-congregated setting</w:t>
      </w:r>
    </w:p>
    <w:p w14:paraId="592A7F8A" w14:textId="77777777" w:rsidR="00CF618B" w:rsidRPr="00D46053" w:rsidRDefault="00CF618B" w:rsidP="00CF618B">
      <w:pPr>
        <w:pStyle w:val="ListParagraph"/>
        <w:ind w:left="760"/>
        <w:rPr>
          <w:rFonts w:ascii="Times" w:hAnsi="Times" w:cs="Times"/>
        </w:rPr>
      </w:pPr>
      <w:r w:rsidRPr="00D46053">
        <w:rPr>
          <w:rFonts w:ascii="Times" w:hAnsi="Times" w:cs="Times"/>
          <w:noProof/>
          <w:lang w:val="en-AU" w:eastAsia="en-AU"/>
        </w:rPr>
        <w:drawing>
          <wp:inline distT="0" distB="0" distL="0" distR="0" wp14:anchorId="02DB69A3" wp14:editId="36704265">
            <wp:extent cx="4552950" cy="2452610"/>
            <wp:effectExtent l="0" t="0" r="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4609850" cy="2483261"/>
                    </a:xfrm>
                    <a:prstGeom prst="rect">
                      <a:avLst/>
                    </a:prstGeom>
                    <a:noFill/>
                    <a:ln>
                      <a:noFill/>
                    </a:ln>
                  </pic:spPr>
                </pic:pic>
              </a:graphicData>
            </a:graphic>
          </wp:inline>
        </w:drawing>
      </w:r>
    </w:p>
    <w:p w14:paraId="4E6BA86D" w14:textId="77777777" w:rsidR="00CF618B" w:rsidRPr="00D46053" w:rsidRDefault="00CF618B" w:rsidP="00CF618B">
      <w:pPr>
        <w:rPr>
          <w:rFonts w:ascii="Calibri" w:hAnsi="Calibri" w:cs="Calibri"/>
          <w:b/>
          <w:bCs/>
        </w:rPr>
      </w:pPr>
      <w:r w:rsidRPr="00D46053">
        <w:rPr>
          <w:rFonts w:ascii="Calibri" w:hAnsi="Calibri" w:cs="Calibri"/>
          <w:b/>
          <w:bCs/>
        </w:rPr>
        <w:t>Figure 7e: Community Integration CS - Institution vs de-congregated settin</w:t>
      </w:r>
      <w:r>
        <w:rPr>
          <w:rFonts w:ascii="Calibri" w:hAnsi="Calibri" w:cs="Calibri"/>
          <w:b/>
          <w:bCs/>
        </w:rPr>
        <w:t>g</w:t>
      </w:r>
    </w:p>
    <w:p w14:paraId="13293F88" w14:textId="77777777" w:rsidR="00CF618B" w:rsidRPr="005204B9" w:rsidRDefault="00CF618B" w:rsidP="00CF618B">
      <w:pPr>
        <w:pStyle w:val="ListParagraph"/>
        <w:ind w:left="760"/>
        <w:rPr>
          <w:rStyle w:val="Heading2Char"/>
          <w:rFonts w:ascii="Times" w:eastAsiaTheme="minorHAnsi" w:hAnsi="Times" w:cs="Times"/>
          <w:color w:val="auto"/>
          <w:sz w:val="24"/>
          <w:szCs w:val="24"/>
        </w:rPr>
      </w:pPr>
      <w:r>
        <w:rPr>
          <w:rFonts w:ascii="Times" w:hAnsi="Times" w:cs="Times"/>
          <w:noProof/>
          <w:sz w:val="24"/>
          <w:szCs w:val="24"/>
          <w:lang w:val="en-AU" w:eastAsia="en-AU"/>
        </w:rPr>
        <w:drawing>
          <wp:inline distT="0" distB="0" distL="0" distR="0" wp14:anchorId="0BAFEEAB" wp14:editId="7763D5A8">
            <wp:extent cx="4552950" cy="2452613"/>
            <wp:effectExtent l="0" t="0" r="0" b="508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4645623" cy="2502535"/>
                    </a:xfrm>
                    <a:prstGeom prst="rect">
                      <a:avLst/>
                    </a:prstGeom>
                    <a:noFill/>
                    <a:ln>
                      <a:noFill/>
                    </a:ln>
                  </pic:spPr>
                </pic:pic>
              </a:graphicData>
            </a:graphic>
          </wp:inline>
        </w:drawing>
      </w:r>
    </w:p>
    <w:bookmarkEnd w:id="87"/>
    <w:p w14:paraId="30770765" w14:textId="77777777" w:rsidR="00CF618B" w:rsidRPr="00226C03" w:rsidRDefault="00CF618B" w:rsidP="00CF618B">
      <w:pPr>
        <w:rPr>
          <w:rFonts w:eastAsia="Times New Roman" w:cstheme="minorHAnsi"/>
          <w:color w:val="000000"/>
          <w:lang w:eastAsia="en-AU"/>
        </w:rPr>
      </w:pPr>
    </w:p>
    <w:p w14:paraId="0EDBEFEC" w14:textId="77777777" w:rsidR="00B17725" w:rsidRDefault="00B17725" w:rsidP="00CF618B"/>
    <w:p w14:paraId="7C7CF765" w14:textId="77777777" w:rsidR="00B17725" w:rsidRDefault="00B17725" w:rsidP="00CF618B"/>
    <w:p w14:paraId="100BB612" w14:textId="12BF5C3A" w:rsidR="00CF618B" w:rsidRPr="00CF618B" w:rsidRDefault="00CF618B" w:rsidP="00CF618B"/>
    <w:sectPr w:rsidR="00CF618B" w:rsidRPr="00CF618B" w:rsidSect="001767A2">
      <w:headerReference w:type="default" r:id="rId173"/>
      <w:footerReference w:type="default" r:id="rId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0E43" w14:textId="77777777" w:rsidR="00D3719D" w:rsidRDefault="00D3719D" w:rsidP="002E7617">
      <w:r>
        <w:separator/>
      </w:r>
    </w:p>
  </w:endnote>
  <w:endnote w:type="continuationSeparator" w:id="0">
    <w:p w14:paraId="68FC52A8" w14:textId="77777777" w:rsidR="00D3719D" w:rsidRDefault="00D3719D" w:rsidP="002E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76657"/>
      <w:docPartObj>
        <w:docPartGallery w:val="Page Numbers (Bottom of Page)"/>
        <w:docPartUnique/>
      </w:docPartObj>
    </w:sdtPr>
    <w:sdtEndPr>
      <w:rPr>
        <w:noProof/>
      </w:rPr>
    </w:sdtEndPr>
    <w:sdtContent>
      <w:p w14:paraId="44BEDAFC" w14:textId="0D59DDC6" w:rsidR="00D3719D" w:rsidRDefault="00D3719D">
        <w:pPr>
          <w:pStyle w:val="Footer"/>
          <w:jc w:val="right"/>
        </w:pPr>
        <w:r>
          <w:fldChar w:fldCharType="begin"/>
        </w:r>
        <w:r>
          <w:instrText xml:space="preserve"> PAGE   \* MERGEFORMAT </w:instrText>
        </w:r>
        <w:r>
          <w:fldChar w:fldCharType="separate"/>
        </w:r>
        <w:r w:rsidR="00AE0078">
          <w:rPr>
            <w:noProof/>
          </w:rPr>
          <w:t>20</w:t>
        </w:r>
        <w:r>
          <w:rPr>
            <w:noProof/>
          </w:rPr>
          <w:fldChar w:fldCharType="end"/>
        </w:r>
      </w:p>
    </w:sdtContent>
  </w:sdt>
  <w:p w14:paraId="4818F411" w14:textId="77777777" w:rsidR="00D3719D" w:rsidRDefault="00D3719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187239"/>
      <w:docPartObj>
        <w:docPartGallery w:val="Page Numbers (Bottom of Page)"/>
        <w:docPartUnique/>
      </w:docPartObj>
    </w:sdtPr>
    <w:sdtEndPr>
      <w:rPr>
        <w:noProof/>
      </w:rPr>
    </w:sdtEndPr>
    <w:sdtContent>
      <w:p w14:paraId="4569343B" w14:textId="11EA990C" w:rsidR="00D3719D" w:rsidRDefault="00D3719D">
        <w:pPr>
          <w:pStyle w:val="Footer"/>
          <w:jc w:val="right"/>
        </w:pPr>
        <w:r>
          <w:fldChar w:fldCharType="begin"/>
        </w:r>
        <w:r>
          <w:instrText xml:space="preserve"> PAGE   \* MERGEFORMAT </w:instrText>
        </w:r>
        <w:r>
          <w:fldChar w:fldCharType="separate"/>
        </w:r>
        <w:r w:rsidR="00AE0078">
          <w:rPr>
            <w:noProof/>
          </w:rPr>
          <w:t>56</w:t>
        </w:r>
        <w:r>
          <w:rPr>
            <w:noProof/>
          </w:rPr>
          <w:fldChar w:fldCharType="end"/>
        </w:r>
      </w:p>
    </w:sdtContent>
  </w:sdt>
  <w:p w14:paraId="70058948" w14:textId="77777777" w:rsidR="00D3719D" w:rsidRDefault="00D3719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336762"/>
      <w:docPartObj>
        <w:docPartGallery w:val="Page Numbers (Bottom of Page)"/>
        <w:docPartUnique/>
      </w:docPartObj>
    </w:sdtPr>
    <w:sdtEndPr>
      <w:rPr>
        <w:noProof/>
      </w:rPr>
    </w:sdtEndPr>
    <w:sdtContent>
      <w:p w14:paraId="3A18829C" w14:textId="7FEB3900" w:rsidR="00D3719D" w:rsidRDefault="00D3719D">
        <w:pPr>
          <w:pStyle w:val="Footer"/>
          <w:jc w:val="right"/>
        </w:pPr>
        <w:r>
          <w:fldChar w:fldCharType="begin"/>
        </w:r>
        <w:r>
          <w:instrText xml:space="preserve"> PAGE   \* MERGEFORMAT </w:instrText>
        </w:r>
        <w:r>
          <w:fldChar w:fldCharType="separate"/>
        </w:r>
        <w:r w:rsidR="00AE0078">
          <w:rPr>
            <w:noProof/>
          </w:rPr>
          <w:t>57</w:t>
        </w:r>
        <w:r>
          <w:rPr>
            <w:noProof/>
          </w:rPr>
          <w:fldChar w:fldCharType="end"/>
        </w:r>
      </w:p>
    </w:sdtContent>
  </w:sdt>
  <w:p w14:paraId="59577EB3" w14:textId="77777777" w:rsidR="00D3719D" w:rsidRDefault="00D3719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276931"/>
      <w:docPartObj>
        <w:docPartGallery w:val="Page Numbers (Bottom of Page)"/>
        <w:docPartUnique/>
      </w:docPartObj>
    </w:sdtPr>
    <w:sdtEndPr>
      <w:rPr>
        <w:noProof/>
      </w:rPr>
    </w:sdtEndPr>
    <w:sdtContent>
      <w:p w14:paraId="77853DD1" w14:textId="7A47F804" w:rsidR="00D3719D" w:rsidRDefault="00D3719D">
        <w:pPr>
          <w:pStyle w:val="Footer"/>
          <w:jc w:val="right"/>
        </w:pPr>
        <w:r>
          <w:fldChar w:fldCharType="begin"/>
        </w:r>
        <w:r>
          <w:instrText xml:space="preserve"> PAGE   \* MERGEFORMAT </w:instrText>
        </w:r>
        <w:r>
          <w:fldChar w:fldCharType="separate"/>
        </w:r>
        <w:r w:rsidR="00AE0078">
          <w:rPr>
            <w:noProof/>
          </w:rPr>
          <w:t>58</w:t>
        </w:r>
        <w:r>
          <w:rPr>
            <w:noProof/>
          </w:rPr>
          <w:fldChar w:fldCharType="end"/>
        </w:r>
      </w:p>
    </w:sdtContent>
  </w:sdt>
  <w:p w14:paraId="4DA17236" w14:textId="77777777" w:rsidR="00D3719D" w:rsidRDefault="00D3719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683963"/>
      <w:docPartObj>
        <w:docPartGallery w:val="Page Numbers (Bottom of Page)"/>
        <w:docPartUnique/>
      </w:docPartObj>
    </w:sdtPr>
    <w:sdtEndPr>
      <w:rPr>
        <w:noProof/>
      </w:rPr>
    </w:sdtEndPr>
    <w:sdtContent>
      <w:p w14:paraId="7BEAA2C7" w14:textId="6A0BCB98" w:rsidR="00D3719D" w:rsidRDefault="00D3719D">
        <w:pPr>
          <w:pStyle w:val="Footer"/>
          <w:jc w:val="right"/>
        </w:pPr>
        <w:r>
          <w:fldChar w:fldCharType="begin"/>
        </w:r>
        <w:r>
          <w:instrText xml:space="preserve"> PAGE   \* MERGEFORMAT </w:instrText>
        </w:r>
        <w:r>
          <w:fldChar w:fldCharType="separate"/>
        </w:r>
        <w:r w:rsidR="00AE0078">
          <w:rPr>
            <w:noProof/>
          </w:rPr>
          <w:t>64</w:t>
        </w:r>
        <w:r>
          <w:rPr>
            <w:noProof/>
          </w:rPr>
          <w:fldChar w:fldCharType="end"/>
        </w:r>
      </w:p>
    </w:sdtContent>
  </w:sdt>
  <w:p w14:paraId="7373AA05" w14:textId="77777777" w:rsidR="00D3719D" w:rsidRDefault="00D3719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533778"/>
      <w:docPartObj>
        <w:docPartGallery w:val="Page Numbers (Bottom of Page)"/>
        <w:docPartUnique/>
      </w:docPartObj>
    </w:sdtPr>
    <w:sdtEndPr>
      <w:rPr>
        <w:noProof/>
      </w:rPr>
    </w:sdtEndPr>
    <w:sdtContent>
      <w:p w14:paraId="3B2ECB7D" w14:textId="51A35197" w:rsidR="00D3719D" w:rsidRDefault="00D3719D">
        <w:pPr>
          <w:pStyle w:val="Footer"/>
          <w:jc w:val="right"/>
        </w:pPr>
        <w:r>
          <w:fldChar w:fldCharType="begin"/>
        </w:r>
        <w:r>
          <w:instrText xml:space="preserve"> PAGE   \* MERGEFORMAT </w:instrText>
        </w:r>
        <w:r>
          <w:fldChar w:fldCharType="separate"/>
        </w:r>
        <w:r w:rsidR="00AE0078">
          <w:rPr>
            <w:noProof/>
          </w:rPr>
          <w:t>66</w:t>
        </w:r>
        <w:r>
          <w:rPr>
            <w:noProof/>
          </w:rPr>
          <w:fldChar w:fldCharType="end"/>
        </w:r>
      </w:p>
    </w:sdtContent>
  </w:sdt>
  <w:p w14:paraId="0D4140B2" w14:textId="77777777" w:rsidR="00D3719D" w:rsidRDefault="00D3719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48800"/>
      <w:docPartObj>
        <w:docPartGallery w:val="Page Numbers (Bottom of Page)"/>
        <w:docPartUnique/>
      </w:docPartObj>
    </w:sdtPr>
    <w:sdtEndPr>
      <w:rPr>
        <w:noProof/>
      </w:rPr>
    </w:sdtEndPr>
    <w:sdtContent>
      <w:p w14:paraId="57D947D5" w14:textId="56034B46" w:rsidR="00D3719D" w:rsidRDefault="00D3719D">
        <w:pPr>
          <w:pStyle w:val="Footer"/>
          <w:jc w:val="right"/>
        </w:pPr>
        <w:r>
          <w:fldChar w:fldCharType="begin"/>
        </w:r>
        <w:r>
          <w:instrText xml:space="preserve"> PAGE   \* MERGEFORMAT </w:instrText>
        </w:r>
        <w:r>
          <w:fldChar w:fldCharType="separate"/>
        </w:r>
        <w:r w:rsidR="00AE0078">
          <w:rPr>
            <w:noProof/>
          </w:rPr>
          <w:t>67</w:t>
        </w:r>
        <w:r>
          <w:rPr>
            <w:noProof/>
          </w:rPr>
          <w:fldChar w:fldCharType="end"/>
        </w:r>
      </w:p>
    </w:sdtContent>
  </w:sdt>
  <w:p w14:paraId="45A5A56C" w14:textId="77777777" w:rsidR="00D3719D" w:rsidRDefault="00D3719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708595"/>
      <w:docPartObj>
        <w:docPartGallery w:val="Page Numbers (Bottom of Page)"/>
        <w:docPartUnique/>
      </w:docPartObj>
    </w:sdtPr>
    <w:sdtEndPr>
      <w:rPr>
        <w:noProof/>
      </w:rPr>
    </w:sdtEndPr>
    <w:sdtContent>
      <w:p w14:paraId="3A568798" w14:textId="625E71C8" w:rsidR="00D3719D" w:rsidRDefault="00D3719D">
        <w:pPr>
          <w:pStyle w:val="Footer"/>
          <w:jc w:val="right"/>
        </w:pPr>
        <w:r>
          <w:fldChar w:fldCharType="begin"/>
        </w:r>
        <w:r>
          <w:instrText xml:space="preserve"> PAGE   \* MERGEFORMAT </w:instrText>
        </w:r>
        <w:r>
          <w:fldChar w:fldCharType="separate"/>
        </w:r>
        <w:r w:rsidR="00AE0078">
          <w:rPr>
            <w:noProof/>
          </w:rPr>
          <w:t>77</w:t>
        </w:r>
        <w:r>
          <w:rPr>
            <w:noProof/>
          </w:rPr>
          <w:fldChar w:fldCharType="end"/>
        </w:r>
      </w:p>
    </w:sdtContent>
  </w:sdt>
  <w:p w14:paraId="249CA278" w14:textId="77777777" w:rsidR="00D3719D" w:rsidRDefault="00D3719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811015"/>
      <w:docPartObj>
        <w:docPartGallery w:val="Page Numbers (Bottom of Page)"/>
        <w:docPartUnique/>
      </w:docPartObj>
    </w:sdtPr>
    <w:sdtEndPr>
      <w:rPr>
        <w:noProof/>
      </w:rPr>
    </w:sdtEndPr>
    <w:sdtContent>
      <w:p w14:paraId="0C081F87" w14:textId="1C565B51" w:rsidR="00D3719D" w:rsidRDefault="00D3719D">
        <w:pPr>
          <w:pStyle w:val="Footer"/>
          <w:jc w:val="right"/>
        </w:pPr>
        <w:r>
          <w:fldChar w:fldCharType="begin"/>
        </w:r>
        <w:r>
          <w:instrText xml:space="preserve"> PAGE   \* MERGEFORMAT </w:instrText>
        </w:r>
        <w:r>
          <w:fldChar w:fldCharType="separate"/>
        </w:r>
        <w:r w:rsidR="00AE0078">
          <w:rPr>
            <w:noProof/>
          </w:rPr>
          <w:t>78</w:t>
        </w:r>
        <w:r>
          <w:rPr>
            <w:noProof/>
          </w:rPr>
          <w:fldChar w:fldCharType="end"/>
        </w:r>
      </w:p>
    </w:sdtContent>
  </w:sdt>
  <w:p w14:paraId="2EAE3318" w14:textId="77777777" w:rsidR="00D3719D" w:rsidRDefault="00D3719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010152"/>
      <w:docPartObj>
        <w:docPartGallery w:val="Page Numbers (Bottom of Page)"/>
        <w:docPartUnique/>
      </w:docPartObj>
    </w:sdtPr>
    <w:sdtEndPr>
      <w:rPr>
        <w:noProof/>
      </w:rPr>
    </w:sdtEndPr>
    <w:sdtContent>
      <w:p w14:paraId="3D097B53" w14:textId="288486C8" w:rsidR="00D3719D" w:rsidRDefault="00D3719D">
        <w:pPr>
          <w:pStyle w:val="Footer"/>
          <w:jc w:val="right"/>
        </w:pPr>
        <w:r>
          <w:fldChar w:fldCharType="begin"/>
        </w:r>
        <w:r>
          <w:instrText xml:space="preserve"> PAGE   \* MERGEFORMAT </w:instrText>
        </w:r>
        <w:r>
          <w:fldChar w:fldCharType="separate"/>
        </w:r>
        <w:r w:rsidR="00AE0078">
          <w:rPr>
            <w:noProof/>
          </w:rPr>
          <w:t>81</w:t>
        </w:r>
        <w:r>
          <w:rPr>
            <w:noProof/>
          </w:rPr>
          <w:fldChar w:fldCharType="end"/>
        </w:r>
      </w:p>
    </w:sdtContent>
  </w:sdt>
  <w:p w14:paraId="2FCCF0E7" w14:textId="77777777" w:rsidR="00D3719D" w:rsidRDefault="00D3719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229328"/>
      <w:docPartObj>
        <w:docPartGallery w:val="Page Numbers (Bottom of Page)"/>
        <w:docPartUnique/>
      </w:docPartObj>
    </w:sdtPr>
    <w:sdtEndPr>
      <w:rPr>
        <w:noProof/>
      </w:rPr>
    </w:sdtEndPr>
    <w:sdtContent>
      <w:p w14:paraId="39244BBE" w14:textId="71630D05" w:rsidR="00D3719D" w:rsidRDefault="00D3719D">
        <w:pPr>
          <w:pStyle w:val="Footer"/>
          <w:jc w:val="right"/>
        </w:pPr>
        <w:r>
          <w:fldChar w:fldCharType="begin"/>
        </w:r>
        <w:r>
          <w:instrText xml:space="preserve"> PAGE   \* MERGEFORMAT </w:instrText>
        </w:r>
        <w:r>
          <w:fldChar w:fldCharType="separate"/>
        </w:r>
        <w:r w:rsidR="00AE0078">
          <w:rPr>
            <w:noProof/>
          </w:rPr>
          <w:t>82</w:t>
        </w:r>
        <w:r>
          <w:rPr>
            <w:noProof/>
          </w:rPr>
          <w:fldChar w:fldCharType="end"/>
        </w:r>
      </w:p>
    </w:sdtContent>
  </w:sdt>
  <w:p w14:paraId="407A8B1F" w14:textId="77777777" w:rsidR="00D3719D" w:rsidRDefault="00D37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790604"/>
      <w:docPartObj>
        <w:docPartGallery w:val="Page Numbers (Bottom of Page)"/>
        <w:docPartUnique/>
      </w:docPartObj>
    </w:sdtPr>
    <w:sdtEndPr>
      <w:rPr>
        <w:noProof/>
      </w:rPr>
    </w:sdtEndPr>
    <w:sdtContent>
      <w:p w14:paraId="03AEC17C" w14:textId="22A54B75" w:rsidR="00D3719D" w:rsidRDefault="00D3719D">
        <w:pPr>
          <w:pStyle w:val="Footer"/>
          <w:jc w:val="right"/>
        </w:pPr>
        <w:r>
          <w:fldChar w:fldCharType="begin"/>
        </w:r>
        <w:r>
          <w:instrText xml:space="preserve"> PAGE   \* MERGEFORMAT </w:instrText>
        </w:r>
        <w:r>
          <w:fldChar w:fldCharType="separate"/>
        </w:r>
        <w:r w:rsidR="00AE0078">
          <w:rPr>
            <w:noProof/>
          </w:rPr>
          <w:t>34</w:t>
        </w:r>
        <w:r>
          <w:rPr>
            <w:noProof/>
          </w:rPr>
          <w:fldChar w:fldCharType="end"/>
        </w:r>
      </w:p>
    </w:sdtContent>
  </w:sdt>
  <w:p w14:paraId="62417568" w14:textId="77777777" w:rsidR="00D3719D" w:rsidRDefault="00D3719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451734"/>
      <w:docPartObj>
        <w:docPartGallery w:val="Page Numbers (Bottom of Page)"/>
        <w:docPartUnique/>
      </w:docPartObj>
    </w:sdtPr>
    <w:sdtEndPr>
      <w:rPr>
        <w:noProof/>
      </w:rPr>
    </w:sdtEndPr>
    <w:sdtContent>
      <w:p w14:paraId="7D9535C6" w14:textId="52A07F37" w:rsidR="00D3719D" w:rsidRDefault="00D3719D">
        <w:pPr>
          <w:pStyle w:val="Footer"/>
          <w:jc w:val="right"/>
        </w:pPr>
        <w:r>
          <w:fldChar w:fldCharType="begin"/>
        </w:r>
        <w:r>
          <w:instrText xml:space="preserve"> PAGE   \* MERGEFORMAT </w:instrText>
        </w:r>
        <w:r>
          <w:fldChar w:fldCharType="separate"/>
        </w:r>
        <w:r w:rsidR="00AE0078">
          <w:rPr>
            <w:noProof/>
          </w:rPr>
          <w:t>89</w:t>
        </w:r>
        <w:r>
          <w:rPr>
            <w:noProof/>
          </w:rPr>
          <w:fldChar w:fldCharType="end"/>
        </w:r>
      </w:p>
    </w:sdtContent>
  </w:sdt>
  <w:p w14:paraId="603CFA3E" w14:textId="77777777" w:rsidR="00D3719D" w:rsidRDefault="00D3719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37086"/>
      <w:docPartObj>
        <w:docPartGallery w:val="Page Numbers (Bottom of Page)"/>
        <w:docPartUnique/>
      </w:docPartObj>
    </w:sdtPr>
    <w:sdtEndPr>
      <w:rPr>
        <w:noProof/>
      </w:rPr>
    </w:sdtEndPr>
    <w:sdtContent>
      <w:p w14:paraId="787DD24A" w14:textId="34E63ADB" w:rsidR="00D3719D" w:rsidRDefault="00D3719D">
        <w:pPr>
          <w:pStyle w:val="Footer"/>
          <w:jc w:val="right"/>
        </w:pPr>
        <w:r>
          <w:fldChar w:fldCharType="begin"/>
        </w:r>
        <w:r>
          <w:instrText xml:space="preserve"> PAGE   \* MERGEFORMAT </w:instrText>
        </w:r>
        <w:r>
          <w:fldChar w:fldCharType="separate"/>
        </w:r>
        <w:r w:rsidR="00AE0078">
          <w:rPr>
            <w:noProof/>
          </w:rPr>
          <w:t>90</w:t>
        </w:r>
        <w:r>
          <w:rPr>
            <w:noProof/>
          </w:rPr>
          <w:fldChar w:fldCharType="end"/>
        </w:r>
      </w:p>
    </w:sdtContent>
  </w:sdt>
  <w:p w14:paraId="0DF947B0" w14:textId="77777777" w:rsidR="00D3719D" w:rsidRDefault="00D3719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669670"/>
      <w:docPartObj>
        <w:docPartGallery w:val="Page Numbers (Bottom of Page)"/>
        <w:docPartUnique/>
      </w:docPartObj>
    </w:sdtPr>
    <w:sdtEndPr>
      <w:rPr>
        <w:noProof/>
      </w:rPr>
    </w:sdtEndPr>
    <w:sdtContent>
      <w:p w14:paraId="44F7EC3E" w14:textId="50DAE99D" w:rsidR="00D3719D" w:rsidRDefault="00D3719D">
        <w:pPr>
          <w:pStyle w:val="Footer"/>
          <w:jc w:val="right"/>
        </w:pPr>
        <w:r>
          <w:fldChar w:fldCharType="begin"/>
        </w:r>
        <w:r>
          <w:instrText xml:space="preserve"> PAGE   \* MERGEFORMAT </w:instrText>
        </w:r>
        <w:r>
          <w:fldChar w:fldCharType="separate"/>
        </w:r>
        <w:r w:rsidR="00AE0078">
          <w:rPr>
            <w:noProof/>
          </w:rPr>
          <w:t>92</w:t>
        </w:r>
        <w:r>
          <w:rPr>
            <w:noProof/>
          </w:rPr>
          <w:fldChar w:fldCharType="end"/>
        </w:r>
      </w:p>
    </w:sdtContent>
  </w:sdt>
  <w:p w14:paraId="762EE8AD" w14:textId="77777777" w:rsidR="00D3719D" w:rsidRDefault="00D3719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505853"/>
      <w:docPartObj>
        <w:docPartGallery w:val="Page Numbers (Bottom of Page)"/>
        <w:docPartUnique/>
      </w:docPartObj>
    </w:sdtPr>
    <w:sdtEndPr>
      <w:rPr>
        <w:noProof/>
      </w:rPr>
    </w:sdtEndPr>
    <w:sdtContent>
      <w:p w14:paraId="65192C93" w14:textId="40CD76BA" w:rsidR="00D3719D" w:rsidRDefault="00D3719D">
        <w:pPr>
          <w:pStyle w:val="Footer"/>
          <w:jc w:val="right"/>
        </w:pPr>
        <w:r>
          <w:fldChar w:fldCharType="begin"/>
        </w:r>
        <w:r>
          <w:instrText xml:space="preserve"> PAGE   \* MERGEFORMAT </w:instrText>
        </w:r>
        <w:r>
          <w:fldChar w:fldCharType="separate"/>
        </w:r>
        <w:r w:rsidR="00AE0078">
          <w:rPr>
            <w:noProof/>
          </w:rPr>
          <w:t>94</w:t>
        </w:r>
        <w:r>
          <w:rPr>
            <w:noProof/>
          </w:rPr>
          <w:fldChar w:fldCharType="end"/>
        </w:r>
      </w:p>
    </w:sdtContent>
  </w:sdt>
  <w:p w14:paraId="11CFE87C" w14:textId="77777777" w:rsidR="00D3719D" w:rsidRDefault="00D3719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630952"/>
      <w:docPartObj>
        <w:docPartGallery w:val="Page Numbers (Bottom of Page)"/>
        <w:docPartUnique/>
      </w:docPartObj>
    </w:sdtPr>
    <w:sdtEndPr>
      <w:rPr>
        <w:noProof/>
      </w:rPr>
    </w:sdtEndPr>
    <w:sdtContent>
      <w:p w14:paraId="6E6055E2" w14:textId="25CAEA10" w:rsidR="00D3719D" w:rsidRDefault="00D3719D">
        <w:pPr>
          <w:pStyle w:val="Footer"/>
          <w:jc w:val="right"/>
        </w:pPr>
        <w:r>
          <w:fldChar w:fldCharType="begin"/>
        </w:r>
        <w:r>
          <w:instrText xml:space="preserve"> PAGE   \* MERGEFORMAT </w:instrText>
        </w:r>
        <w:r>
          <w:fldChar w:fldCharType="separate"/>
        </w:r>
        <w:r w:rsidR="00AE0078">
          <w:rPr>
            <w:noProof/>
          </w:rPr>
          <w:t>99</w:t>
        </w:r>
        <w:r>
          <w:rPr>
            <w:noProof/>
          </w:rPr>
          <w:fldChar w:fldCharType="end"/>
        </w:r>
      </w:p>
    </w:sdtContent>
  </w:sdt>
  <w:p w14:paraId="00CBA216" w14:textId="77777777" w:rsidR="00D3719D" w:rsidRDefault="00D3719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103190"/>
      <w:docPartObj>
        <w:docPartGallery w:val="Page Numbers (Bottom of Page)"/>
        <w:docPartUnique/>
      </w:docPartObj>
    </w:sdtPr>
    <w:sdtEndPr>
      <w:rPr>
        <w:noProof/>
      </w:rPr>
    </w:sdtEndPr>
    <w:sdtContent>
      <w:p w14:paraId="56A97640" w14:textId="4DD75354" w:rsidR="00D3719D" w:rsidRDefault="00D3719D">
        <w:pPr>
          <w:pStyle w:val="Footer"/>
          <w:jc w:val="right"/>
        </w:pPr>
        <w:r>
          <w:fldChar w:fldCharType="begin"/>
        </w:r>
        <w:r>
          <w:instrText xml:space="preserve"> PAGE   \* MERGEFORMAT </w:instrText>
        </w:r>
        <w:r>
          <w:fldChar w:fldCharType="separate"/>
        </w:r>
        <w:r w:rsidR="00AE0078">
          <w:rPr>
            <w:noProof/>
          </w:rPr>
          <w:t>102</w:t>
        </w:r>
        <w:r>
          <w:rPr>
            <w:noProof/>
          </w:rPr>
          <w:fldChar w:fldCharType="end"/>
        </w:r>
      </w:p>
    </w:sdtContent>
  </w:sdt>
  <w:p w14:paraId="3E2A55E8" w14:textId="77777777" w:rsidR="00D3719D" w:rsidRDefault="00D3719D">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989990"/>
      <w:docPartObj>
        <w:docPartGallery w:val="Page Numbers (Bottom of Page)"/>
        <w:docPartUnique/>
      </w:docPartObj>
    </w:sdtPr>
    <w:sdtEndPr>
      <w:rPr>
        <w:noProof/>
      </w:rPr>
    </w:sdtEndPr>
    <w:sdtContent>
      <w:p w14:paraId="21779EEA" w14:textId="1B4A0DAD" w:rsidR="00D3719D" w:rsidRDefault="00D3719D">
        <w:pPr>
          <w:pStyle w:val="Footer"/>
          <w:jc w:val="right"/>
        </w:pPr>
        <w:r>
          <w:fldChar w:fldCharType="begin"/>
        </w:r>
        <w:r>
          <w:instrText xml:space="preserve"> PAGE   \* MERGEFORMAT </w:instrText>
        </w:r>
        <w:r>
          <w:fldChar w:fldCharType="separate"/>
        </w:r>
        <w:r w:rsidR="00AE0078">
          <w:rPr>
            <w:noProof/>
          </w:rPr>
          <w:t>119</w:t>
        </w:r>
        <w:r>
          <w:rPr>
            <w:noProof/>
          </w:rPr>
          <w:fldChar w:fldCharType="end"/>
        </w:r>
      </w:p>
    </w:sdtContent>
  </w:sdt>
  <w:p w14:paraId="05183DAB" w14:textId="77777777" w:rsidR="00D3719D" w:rsidRDefault="00D3719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712886"/>
      <w:docPartObj>
        <w:docPartGallery w:val="Page Numbers (Bottom of Page)"/>
        <w:docPartUnique/>
      </w:docPartObj>
    </w:sdtPr>
    <w:sdtEndPr>
      <w:rPr>
        <w:noProof/>
      </w:rPr>
    </w:sdtEndPr>
    <w:sdtContent>
      <w:p w14:paraId="1591B551" w14:textId="707BDB31" w:rsidR="00D3719D" w:rsidRDefault="00D3719D">
        <w:pPr>
          <w:pStyle w:val="Footer"/>
          <w:jc w:val="right"/>
        </w:pPr>
        <w:r>
          <w:fldChar w:fldCharType="begin"/>
        </w:r>
        <w:r>
          <w:instrText xml:space="preserve"> PAGE   \* MERGEFORMAT </w:instrText>
        </w:r>
        <w:r>
          <w:fldChar w:fldCharType="separate"/>
        </w:r>
        <w:r w:rsidR="00AE0078">
          <w:rPr>
            <w:noProof/>
          </w:rPr>
          <w:t>122</w:t>
        </w:r>
        <w:r>
          <w:rPr>
            <w:noProof/>
          </w:rPr>
          <w:fldChar w:fldCharType="end"/>
        </w:r>
      </w:p>
    </w:sdtContent>
  </w:sdt>
  <w:p w14:paraId="11E5A77D" w14:textId="77777777" w:rsidR="00D3719D" w:rsidRDefault="00D3719D">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575924"/>
      <w:docPartObj>
        <w:docPartGallery w:val="Page Numbers (Bottom of Page)"/>
        <w:docPartUnique/>
      </w:docPartObj>
    </w:sdtPr>
    <w:sdtEndPr>
      <w:rPr>
        <w:noProof/>
      </w:rPr>
    </w:sdtEndPr>
    <w:sdtContent>
      <w:p w14:paraId="59C7DF2D" w14:textId="7AC0304F" w:rsidR="00D3719D" w:rsidRDefault="00D3719D">
        <w:pPr>
          <w:pStyle w:val="Footer"/>
          <w:jc w:val="right"/>
        </w:pPr>
        <w:r>
          <w:fldChar w:fldCharType="begin"/>
        </w:r>
        <w:r>
          <w:instrText xml:space="preserve"> PAGE   \* MERGEFORMAT </w:instrText>
        </w:r>
        <w:r>
          <w:fldChar w:fldCharType="separate"/>
        </w:r>
        <w:r w:rsidR="00AE0078">
          <w:rPr>
            <w:noProof/>
          </w:rPr>
          <w:t>143</w:t>
        </w:r>
        <w:r>
          <w:rPr>
            <w:noProof/>
          </w:rPr>
          <w:fldChar w:fldCharType="end"/>
        </w:r>
      </w:p>
    </w:sdtContent>
  </w:sdt>
  <w:p w14:paraId="63C9AAD8" w14:textId="77777777" w:rsidR="00D3719D" w:rsidRDefault="00D3719D">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11626"/>
      <w:docPartObj>
        <w:docPartGallery w:val="Page Numbers (Bottom of Page)"/>
        <w:docPartUnique/>
      </w:docPartObj>
    </w:sdtPr>
    <w:sdtEndPr>
      <w:rPr>
        <w:noProof/>
      </w:rPr>
    </w:sdtEndPr>
    <w:sdtContent>
      <w:p w14:paraId="3E492FBA" w14:textId="339A52FF" w:rsidR="00D3719D" w:rsidRDefault="00D3719D">
        <w:pPr>
          <w:pStyle w:val="Footer"/>
          <w:jc w:val="right"/>
        </w:pPr>
        <w:r>
          <w:fldChar w:fldCharType="begin"/>
        </w:r>
        <w:r>
          <w:instrText xml:space="preserve"> PAGE   \* MERGEFORMAT </w:instrText>
        </w:r>
        <w:r>
          <w:fldChar w:fldCharType="separate"/>
        </w:r>
        <w:r w:rsidR="00AE0078">
          <w:rPr>
            <w:noProof/>
          </w:rPr>
          <w:t>199</w:t>
        </w:r>
        <w:r>
          <w:rPr>
            <w:noProof/>
          </w:rPr>
          <w:fldChar w:fldCharType="end"/>
        </w:r>
      </w:p>
    </w:sdtContent>
  </w:sdt>
  <w:p w14:paraId="18B8BAE1" w14:textId="77777777" w:rsidR="00D3719D" w:rsidRDefault="00D37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883343"/>
      <w:docPartObj>
        <w:docPartGallery w:val="Page Numbers (Bottom of Page)"/>
        <w:docPartUnique/>
      </w:docPartObj>
    </w:sdtPr>
    <w:sdtEndPr>
      <w:rPr>
        <w:noProof/>
      </w:rPr>
    </w:sdtEndPr>
    <w:sdtContent>
      <w:p w14:paraId="63B4E3F6" w14:textId="240835FE" w:rsidR="00D3719D" w:rsidRDefault="00D3719D">
        <w:pPr>
          <w:pStyle w:val="Footer"/>
          <w:jc w:val="right"/>
        </w:pPr>
        <w:r>
          <w:fldChar w:fldCharType="begin"/>
        </w:r>
        <w:r>
          <w:instrText xml:space="preserve"> PAGE   \* MERGEFORMAT </w:instrText>
        </w:r>
        <w:r>
          <w:fldChar w:fldCharType="separate"/>
        </w:r>
        <w:r w:rsidR="00AE0078">
          <w:rPr>
            <w:noProof/>
          </w:rPr>
          <w:t>35</w:t>
        </w:r>
        <w:r>
          <w:rPr>
            <w:noProof/>
          </w:rPr>
          <w:fldChar w:fldCharType="end"/>
        </w:r>
      </w:p>
    </w:sdtContent>
  </w:sdt>
  <w:p w14:paraId="2D9A394C" w14:textId="77777777" w:rsidR="00D3719D" w:rsidRDefault="00D3719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785387"/>
      <w:docPartObj>
        <w:docPartGallery w:val="Page Numbers (Bottom of Page)"/>
        <w:docPartUnique/>
      </w:docPartObj>
    </w:sdtPr>
    <w:sdtEndPr>
      <w:rPr>
        <w:noProof/>
      </w:rPr>
    </w:sdtEndPr>
    <w:sdtContent>
      <w:p w14:paraId="2E465009" w14:textId="51D08270" w:rsidR="00D3719D" w:rsidRDefault="00D3719D">
        <w:pPr>
          <w:pStyle w:val="Footer"/>
          <w:jc w:val="right"/>
        </w:pPr>
        <w:r>
          <w:fldChar w:fldCharType="begin"/>
        </w:r>
        <w:r>
          <w:instrText xml:space="preserve"> PAGE   \* MERGEFORMAT </w:instrText>
        </w:r>
        <w:r>
          <w:fldChar w:fldCharType="separate"/>
        </w:r>
        <w:r w:rsidR="00AE0078">
          <w:rPr>
            <w:noProof/>
          </w:rPr>
          <w:t>202</w:t>
        </w:r>
        <w:r>
          <w:rPr>
            <w:noProof/>
          </w:rPr>
          <w:fldChar w:fldCharType="end"/>
        </w:r>
      </w:p>
    </w:sdtContent>
  </w:sdt>
  <w:p w14:paraId="5A794535" w14:textId="77777777" w:rsidR="00D3719D" w:rsidRDefault="00D371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528634"/>
      <w:docPartObj>
        <w:docPartGallery w:val="Page Numbers (Bottom of Page)"/>
        <w:docPartUnique/>
      </w:docPartObj>
    </w:sdtPr>
    <w:sdtEndPr>
      <w:rPr>
        <w:noProof/>
      </w:rPr>
    </w:sdtEndPr>
    <w:sdtContent>
      <w:p w14:paraId="04DC3207" w14:textId="4A47F96F" w:rsidR="00D3719D" w:rsidRDefault="00D3719D">
        <w:pPr>
          <w:pStyle w:val="Footer"/>
          <w:jc w:val="right"/>
        </w:pPr>
        <w:r>
          <w:fldChar w:fldCharType="begin"/>
        </w:r>
        <w:r>
          <w:instrText xml:space="preserve"> PAGE   \* MERGEFORMAT </w:instrText>
        </w:r>
        <w:r>
          <w:fldChar w:fldCharType="separate"/>
        </w:r>
        <w:r w:rsidR="00AE0078">
          <w:rPr>
            <w:noProof/>
          </w:rPr>
          <w:t>40</w:t>
        </w:r>
        <w:r>
          <w:rPr>
            <w:noProof/>
          </w:rPr>
          <w:fldChar w:fldCharType="end"/>
        </w:r>
      </w:p>
    </w:sdtContent>
  </w:sdt>
  <w:p w14:paraId="0E77D6FE" w14:textId="77777777" w:rsidR="00D3719D" w:rsidRDefault="00D371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562072"/>
      <w:docPartObj>
        <w:docPartGallery w:val="Page Numbers (Bottom of Page)"/>
        <w:docPartUnique/>
      </w:docPartObj>
    </w:sdtPr>
    <w:sdtEndPr>
      <w:rPr>
        <w:noProof/>
      </w:rPr>
    </w:sdtEndPr>
    <w:sdtContent>
      <w:p w14:paraId="5553C1EA" w14:textId="10B3F381" w:rsidR="00D3719D" w:rsidRDefault="00D3719D">
        <w:pPr>
          <w:pStyle w:val="Footer"/>
          <w:jc w:val="right"/>
        </w:pPr>
        <w:r>
          <w:fldChar w:fldCharType="begin"/>
        </w:r>
        <w:r>
          <w:instrText xml:space="preserve"> PAGE   \* MERGEFORMAT </w:instrText>
        </w:r>
        <w:r>
          <w:fldChar w:fldCharType="separate"/>
        </w:r>
        <w:r w:rsidR="00AE0078">
          <w:rPr>
            <w:noProof/>
          </w:rPr>
          <w:t>41</w:t>
        </w:r>
        <w:r>
          <w:rPr>
            <w:noProof/>
          </w:rPr>
          <w:fldChar w:fldCharType="end"/>
        </w:r>
      </w:p>
    </w:sdtContent>
  </w:sdt>
  <w:p w14:paraId="0942FE56" w14:textId="77777777" w:rsidR="00D3719D" w:rsidRDefault="00D371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858397"/>
      <w:docPartObj>
        <w:docPartGallery w:val="Page Numbers (Bottom of Page)"/>
        <w:docPartUnique/>
      </w:docPartObj>
    </w:sdtPr>
    <w:sdtEndPr>
      <w:rPr>
        <w:noProof/>
      </w:rPr>
    </w:sdtEndPr>
    <w:sdtContent>
      <w:p w14:paraId="549E00FA" w14:textId="582AB9E2" w:rsidR="00D3719D" w:rsidRDefault="00D3719D">
        <w:pPr>
          <w:pStyle w:val="Footer"/>
          <w:jc w:val="right"/>
        </w:pPr>
        <w:r>
          <w:fldChar w:fldCharType="begin"/>
        </w:r>
        <w:r>
          <w:instrText xml:space="preserve"> PAGE   \* MERGEFORMAT </w:instrText>
        </w:r>
        <w:r>
          <w:fldChar w:fldCharType="separate"/>
        </w:r>
        <w:r w:rsidR="00AE0078">
          <w:rPr>
            <w:noProof/>
          </w:rPr>
          <w:t>43</w:t>
        </w:r>
        <w:r>
          <w:rPr>
            <w:noProof/>
          </w:rPr>
          <w:fldChar w:fldCharType="end"/>
        </w:r>
      </w:p>
    </w:sdtContent>
  </w:sdt>
  <w:p w14:paraId="4C9846C5" w14:textId="77777777" w:rsidR="00D3719D" w:rsidRDefault="00D3719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646130"/>
      <w:docPartObj>
        <w:docPartGallery w:val="Page Numbers (Bottom of Page)"/>
        <w:docPartUnique/>
      </w:docPartObj>
    </w:sdtPr>
    <w:sdtEndPr>
      <w:rPr>
        <w:noProof/>
      </w:rPr>
    </w:sdtEndPr>
    <w:sdtContent>
      <w:p w14:paraId="1658B36D" w14:textId="3E8EDD4A" w:rsidR="00D3719D" w:rsidRDefault="00D3719D">
        <w:pPr>
          <w:pStyle w:val="Footer"/>
          <w:jc w:val="right"/>
        </w:pPr>
        <w:r>
          <w:fldChar w:fldCharType="begin"/>
        </w:r>
        <w:r>
          <w:instrText xml:space="preserve"> PAGE   \* MERGEFORMAT </w:instrText>
        </w:r>
        <w:r>
          <w:fldChar w:fldCharType="separate"/>
        </w:r>
        <w:r w:rsidR="00AE0078">
          <w:rPr>
            <w:noProof/>
          </w:rPr>
          <w:t>49</w:t>
        </w:r>
        <w:r>
          <w:rPr>
            <w:noProof/>
          </w:rPr>
          <w:fldChar w:fldCharType="end"/>
        </w:r>
      </w:p>
    </w:sdtContent>
  </w:sdt>
  <w:p w14:paraId="63E821C1" w14:textId="77777777" w:rsidR="00D3719D" w:rsidRDefault="00D3719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877101"/>
      <w:docPartObj>
        <w:docPartGallery w:val="Page Numbers (Bottom of Page)"/>
        <w:docPartUnique/>
      </w:docPartObj>
    </w:sdtPr>
    <w:sdtEndPr>
      <w:rPr>
        <w:noProof/>
      </w:rPr>
    </w:sdtEndPr>
    <w:sdtContent>
      <w:p w14:paraId="5D7217BF" w14:textId="77A1C47A" w:rsidR="00D3719D" w:rsidRDefault="00D3719D">
        <w:pPr>
          <w:pStyle w:val="Footer"/>
          <w:jc w:val="right"/>
        </w:pPr>
        <w:r>
          <w:fldChar w:fldCharType="begin"/>
        </w:r>
        <w:r>
          <w:instrText xml:space="preserve"> PAGE   \* MERGEFORMAT </w:instrText>
        </w:r>
        <w:r>
          <w:fldChar w:fldCharType="separate"/>
        </w:r>
        <w:r w:rsidR="00AE0078">
          <w:rPr>
            <w:noProof/>
          </w:rPr>
          <w:t>50</w:t>
        </w:r>
        <w:r>
          <w:rPr>
            <w:noProof/>
          </w:rPr>
          <w:fldChar w:fldCharType="end"/>
        </w:r>
      </w:p>
    </w:sdtContent>
  </w:sdt>
  <w:p w14:paraId="7D05E60E" w14:textId="77777777" w:rsidR="00D3719D" w:rsidRDefault="00D3719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495280"/>
      <w:docPartObj>
        <w:docPartGallery w:val="Page Numbers (Bottom of Page)"/>
        <w:docPartUnique/>
      </w:docPartObj>
    </w:sdtPr>
    <w:sdtEndPr>
      <w:rPr>
        <w:noProof/>
      </w:rPr>
    </w:sdtEndPr>
    <w:sdtContent>
      <w:p w14:paraId="63CA11AD" w14:textId="72101E88" w:rsidR="00D3719D" w:rsidRDefault="00D3719D">
        <w:pPr>
          <w:pStyle w:val="Footer"/>
          <w:jc w:val="right"/>
        </w:pPr>
        <w:r>
          <w:fldChar w:fldCharType="begin"/>
        </w:r>
        <w:r>
          <w:instrText xml:space="preserve"> PAGE   \* MERGEFORMAT </w:instrText>
        </w:r>
        <w:r>
          <w:fldChar w:fldCharType="separate"/>
        </w:r>
        <w:r w:rsidR="00AE0078">
          <w:rPr>
            <w:noProof/>
          </w:rPr>
          <w:t>52</w:t>
        </w:r>
        <w:r>
          <w:rPr>
            <w:noProof/>
          </w:rPr>
          <w:fldChar w:fldCharType="end"/>
        </w:r>
      </w:p>
    </w:sdtContent>
  </w:sdt>
  <w:p w14:paraId="5A14F748" w14:textId="77777777" w:rsidR="00D3719D" w:rsidRDefault="00D37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9F5F" w14:textId="77777777" w:rsidR="00D3719D" w:rsidRDefault="00D3719D" w:rsidP="002E7617">
      <w:r>
        <w:separator/>
      </w:r>
    </w:p>
  </w:footnote>
  <w:footnote w:type="continuationSeparator" w:id="0">
    <w:p w14:paraId="2D34F284" w14:textId="77777777" w:rsidR="00D3719D" w:rsidRDefault="00D3719D" w:rsidP="002E7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8E15" w14:textId="77777777" w:rsidR="00D3719D" w:rsidRDefault="00D371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0E18" w14:textId="77777777" w:rsidR="00D3719D" w:rsidRDefault="00D3719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1BED" w14:textId="77777777" w:rsidR="00D3719D" w:rsidRDefault="00D3719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3168" w14:textId="77777777" w:rsidR="00D3719D" w:rsidRDefault="00D3719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1BEE" w14:textId="77777777" w:rsidR="00D3719D" w:rsidRDefault="00D3719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5A2E" w14:textId="77777777" w:rsidR="00D3719D" w:rsidRDefault="00D3719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9B0C" w14:textId="77777777" w:rsidR="00D3719D" w:rsidRDefault="00D3719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5FA7" w14:textId="77777777" w:rsidR="00D3719D" w:rsidRDefault="00D3719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7EAB" w14:textId="77777777" w:rsidR="00D3719D" w:rsidRDefault="00D3719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7F27" w14:textId="77777777" w:rsidR="00D3719D" w:rsidRDefault="00D3719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0823" w14:textId="77777777" w:rsidR="00D3719D" w:rsidRDefault="00D37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DC643" w14:textId="77777777" w:rsidR="00D3719D" w:rsidRDefault="00D3719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CF9F" w14:textId="77777777" w:rsidR="00D3719D" w:rsidRDefault="00D3719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4A8E" w14:textId="77777777" w:rsidR="00D3719D" w:rsidRDefault="00D3719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A2A3" w14:textId="77777777" w:rsidR="00D3719D" w:rsidRDefault="00D3719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A7F3" w14:textId="77777777" w:rsidR="00D3719D" w:rsidRDefault="00D3719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47AA" w14:textId="77777777" w:rsidR="00D3719D" w:rsidRDefault="00D3719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FA82" w14:textId="77777777" w:rsidR="00D3719D" w:rsidRDefault="00D3719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D8B5" w14:textId="77777777" w:rsidR="00D3719D" w:rsidRDefault="00D3719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9BD4" w14:textId="77777777" w:rsidR="00D3719D" w:rsidRDefault="00D3719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D8CD" w14:textId="77777777" w:rsidR="00D3719D" w:rsidRDefault="00D3719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926B" w14:textId="77777777" w:rsidR="00D3719D" w:rsidRDefault="00D37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1175" w14:textId="77777777" w:rsidR="00D3719D" w:rsidRDefault="00D3719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81B0" w14:textId="77777777" w:rsidR="00D3719D" w:rsidRDefault="00D371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501F" w14:textId="77777777" w:rsidR="00D3719D" w:rsidRDefault="00D371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A06C" w14:textId="77777777" w:rsidR="00D3719D" w:rsidRDefault="00D371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D040" w14:textId="77777777" w:rsidR="00D3719D" w:rsidRDefault="00D371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3A96" w14:textId="77777777" w:rsidR="00D3719D" w:rsidRDefault="00D3719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931" w14:textId="77777777" w:rsidR="00D3719D" w:rsidRDefault="00D3719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E0FF" w14:textId="77777777" w:rsidR="00D3719D" w:rsidRDefault="00D37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D21"/>
    <w:multiLevelType w:val="hybridMultilevel"/>
    <w:tmpl w:val="4F5E292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7C4052"/>
    <w:multiLevelType w:val="hybridMultilevel"/>
    <w:tmpl w:val="ACC6B2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733A86"/>
    <w:multiLevelType w:val="hybridMultilevel"/>
    <w:tmpl w:val="D3B2F2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AED2AE3"/>
    <w:multiLevelType w:val="hybridMultilevel"/>
    <w:tmpl w:val="EACAFAE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2EA34F1"/>
    <w:multiLevelType w:val="hybridMultilevel"/>
    <w:tmpl w:val="798A3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807360"/>
    <w:multiLevelType w:val="hybridMultilevel"/>
    <w:tmpl w:val="E64EF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A95939"/>
    <w:multiLevelType w:val="hybridMultilevel"/>
    <w:tmpl w:val="4AEA4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C74AF1"/>
    <w:multiLevelType w:val="hybridMultilevel"/>
    <w:tmpl w:val="715EAE68"/>
    <w:lvl w:ilvl="0" w:tplc="0C09000F">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C376EA0"/>
    <w:multiLevelType w:val="hybridMultilevel"/>
    <w:tmpl w:val="07F6BC0A"/>
    <w:lvl w:ilvl="0" w:tplc="87043CC0">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0847FD"/>
    <w:multiLevelType w:val="hybridMultilevel"/>
    <w:tmpl w:val="15F49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D739AE"/>
    <w:multiLevelType w:val="hybridMultilevel"/>
    <w:tmpl w:val="6DC0E334"/>
    <w:lvl w:ilvl="0" w:tplc="F7062E10">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BB5003"/>
    <w:multiLevelType w:val="hybridMultilevel"/>
    <w:tmpl w:val="368A94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6649AD"/>
    <w:multiLevelType w:val="hybridMultilevel"/>
    <w:tmpl w:val="5992B22E"/>
    <w:lvl w:ilvl="0" w:tplc="0A5CC5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39F6CDC"/>
    <w:multiLevelType w:val="hybridMultilevel"/>
    <w:tmpl w:val="1C80B4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0364E8"/>
    <w:multiLevelType w:val="hybridMultilevel"/>
    <w:tmpl w:val="D75C6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102FA6"/>
    <w:multiLevelType w:val="hybridMultilevel"/>
    <w:tmpl w:val="368A94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A71180A"/>
    <w:multiLevelType w:val="hybridMultilevel"/>
    <w:tmpl w:val="FFB8F8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A433B1"/>
    <w:multiLevelType w:val="hybridMultilevel"/>
    <w:tmpl w:val="E8C45268"/>
    <w:lvl w:ilvl="0" w:tplc="82F2FFB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B12DB7"/>
    <w:multiLevelType w:val="hybridMultilevel"/>
    <w:tmpl w:val="FB9E7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03513F"/>
    <w:multiLevelType w:val="hybridMultilevel"/>
    <w:tmpl w:val="C6D6B758"/>
    <w:lvl w:ilvl="0" w:tplc="B432830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0616FD1"/>
    <w:multiLevelType w:val="hybridMultilevel"/>
    <w:tmpl w:val="B748D6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96D06B1"/>
    <w:multiLevelType w:val="hybridMultilevel"/>
    <w:tmpl w:val="A51480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A3445AF"/>
    <w:multiLevelType w:val="hybridMultilevel"/>
    <w:tmpl w:val="268C27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ECF6FEF"/>
    <w:multiLevelType w:val="hybridMultilevel"/>
    <w:tmpl w:val="D21E719A"/>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4" w15:restartNumberingAfterBreak="0">
    <w:nsid w:val="6CE42796"/>
    <w:multiLevelType w:val="hybridMultilevel"/>
    <w:tmpl w:val="D2721BC6"/>
    <w:lvl w:ilvl="0" w:tplc="0C090011">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42C0EA8"/>
    <w:multiLevelType w:val="hybridMultilevel"/>
    <w:tmpl w:val="E8B85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A24C98"/>
    <w:multiLevelType w:val="hybridMultilevel"/>
    <w:tmpl w:val="663EC9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A37745D"/>
    <w:multiLevelType w:val="hybridMultilevel"/>
    <w:tmpl w:val="EB9EC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DC11B99"/>
    <w:multiLevelType w:val="hybridMultilevel"/>
    <w:tmpl w:val="E682AA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F5F3E5C"/>
    <w:multiLevelType w:val="hybridMultilevel"/>
    <w:tmpl w:val="444ED2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24"/>
  </w:num>
  <w:num w:numId="3">
    <w:abstractNumId w:val="6"/>
  </w:num>
  <w:num w:numId="4">
    <w:abstractNumId w:val="14"/>
  </w:num>
  <w:num w:numId="5">
    <w:abstractNumId w:val="9"/>
  </w:num>
  <w:num w:numId="6">
    <w:abstractNumId w:val="13"/>
  </w:num>
  <w:num w:numId="7">
    <w:abstractNumId w:val="22"/>
  </w:num>
  <w:num w:numId="8">
    <w:abstractNumId w:val="20"/>
  </w:num>
  <w:num w:numId="9">
    <w:abstractNumId w:val="29"/>
  </w:num>
  <w:num w:numId="10">
    <w:abstractNumId w:val="19"/>
  </w:num>
  <w:num w:numId="11">
    <w:abstractNumId w:val="21"/>
  </w:num>
  <w:num w:numId="12">
    <w:abstractNumId w:val="2"/>
  </w:num>
  <w:num w:numId="13">
    <w:abstractNumId w:val="15"/>
  </w:num>
  <w:num w:numId="14">
    <w:abstractNumId w:val="18"/>
  </w:num>
  <w:num w:numId="15">
    <w:abstractNumId w:val="23"/>
  </w:num>
  <w:num w:numId="16">
    <w:abstractNumId w:val="3"/>
  </w:num>
  <w:num w:numId="17">
    <w:abstractNumId w:val="5"/>
  </w:num>
  <w:num w:numId="18">
    <w:abstractNumId w:val="28"/>
  </w:num>
  <w:num w:numId="19">
    <w:abstractNumId w:val="26"/>
  </w:num>
  <w:num w:numId="20">
    <w:abstractNumId w:val="16"/>
  </w:num>
  <w:num w:numId="21">
    <w:abstractNumId w:val="0"/>
  </w:num>
  <w:num w:numId="22">
    <w:abstractNumId w:val="17"/>
  </w:num>
  <w:num w:numId="23">
    <w:abstractNumId w:val="12"/>
  </w:num>
  <w:num w:numId="24">
    <w:abstractNumId w:val="8"/>
  </w:num>
  <w:num w:numId="25">
    <w:abstractNumId w:val="4"/>
  </w:num>
  <w:num w:numId="26">
    <w:abstractNumId w:val="25"/>
  </w:num>
  <w:num w:numId="27">
    <w:abstractNumId w:val="7"/>
  </w:num>
  <w:num w:numId="28">
    <w:abstractNumId w:val="1"/>
  </w:num>
  <w:num w:numId="29">
    <w:abstractNumId w:val="27"/>
  </w:num>
  <w:num w:numId="3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E7617"/>
    <w:rsid w:val="000003BF"/>
    <w:rsid w:val="00000839"/>
    <w:rsid w:val="00000E5D"/>
    <w:rsid w:val="00001361"/>
    <w:rsid w:val="000027FC"/>
    <w:rsid w:val="00002C69"/>
    <w:rsid w:val="000038F8"/>
    <w:rsid w:val="00003FBE"/>
    <w:rsid w:val="0000759C"/>
    <w:rsid w:val="00011001"/>
    <w:rsid w:val="000110CF"/>
    <w:rsid w:val="000118D2"/>
    <w:rsid w:val="00011988"/>
    <w:rsid w:val="00012BA9"/>
    <w:rsid w:val="00012FD8"/>
    <w:rsid w:val="000139E6"/>
    <w:rsid w:val="00016858"/>
    <w:rsid w:val="000168F0"/>
    <w:rsid w:val="00016C77"/>
    <w:rsid w:val="00016C8B"/>
    <w:rsid w:val="000201F3"/>
    <w:rsid w:val="00020EE5"/>
    <w:rsid w:val="000211E7"/>
    <w:rsid w:val="000212E4"/>
    <w:rsid w:val="00021924"/>
    <w:rsid w:val="00021DF9"/>
    <w:rsid w:val="00022074"/>
    <w:rsid w:val="00022A89"/>
    <w:rsid w:val="00023C88"/>
    <w:rsid w:val="000242F2"/>
    <w:rsid w:val="00024C55"/>
    <w:rsid w:val="00026CC0"/>
    <w:rsid w:val="000309F0"/>
    <w:rsid w:val="00032CBA"/>
    <w:rsid w:val="00033520"/>
    <w:rsid w:val="000335B1"/>
    <w:rsid w:val="00033911"/>
    <w:rsid w:val="00035BE6"/>
    <w:rsid w:val="00040A6A"/>
    <w:rsid w:val="00043409"/>
    <w:rsid w:val="00043449"/>
    <w:rsid w:val="0004366D"/>
    <w:rsid w:val="00045789"/>
    <w:rsid w:val="000466BB"/>
    <w:rsid w:val="00046E15"/>
    <w:rsid w:val="00046F26"/>
    <w:rsid w:val="00046FE9"/>
    <w:rsid w:val="000475D9"/>
    <w:rsid w:val="00047DBE"/>
    <w:rsid w:val="00051077"/>
    <w:rsid w:val="000516EA"/>
    <w:rsid w:val="00052F12"/>
    <w:rsid w:val="000539F1"/>
    <w:rsid w:val="0005478F"/>
    <w:rsid w:val="00055E0A"/>
    <w:rsid w:val="000612FB"/>
    <w:rsid w:val="00062B5C"/>
    <w:rsid w:val="00062D82"/>
    <w:rsid w:val="00062DC1"/>
    <w:rsid w:val="000634AF"/>
    <w:rsid w:val="000648F7"/>
    <w:rsid w:val="00067273"/>
    <w:rsid w:val="000677DB"/>
    <w:rsid w:val="00067C7F"/>
    <w:rsid w:val="000700B0"/>
    <w:rsid w:val="00071D6F"/>
    <w:rsid w:val="00072047"/>
    <w:rsid w:val="00072AD0"/>
    <w:rsid w:val="00073C13"/>
    <w:rsid w:val="00074199"/>
    <w:rsid w:val="000751AF"/>
    <w:rsid w:val="00075D54"/>
    <w:rsid w:val="000768FB"/>
    <w:rsid w:val="00077BAC"/>
    <w:rsid w:val="00080519"/>
    <w:rsid w:val="000808AC"/>
    <w:rsid w:val="00082E58"/>
    <w:rsid w:val="00084248"/>
    <w:rsid w:val="000849E0"/>
    <w:rsid w:val="00085ED9"/>
    <w:rsid w:val="0008684B"/>
    <w:rsid w:val="0009077E"/>
    <w:rsid w:val="00091018"/>
    <w:rsid w:val="00091A27"/>
    <w:rsid w:val="000938E2"/>
    <w:rsid w:val="0009498D"/>
    <w:rsid w:val="0009518B"/>
    <w:rsid w:val="0009532F"/>
    <w:rsid w:val="0009550B"/>
    <w:rsid w:val="000967E6"/>
    <w:rsid w:val="000978EF"/>
    <w:rsid w:val="00097D3F"/>
    <w:rsid w:val="000A417F"/>
    <w:rsid w:val="000A5005"/>
    <w:rsid w:val="000A5D18"/>
    <w:rsid w:val="000A626B"/>
    <w:rsid w:val="000A6AEE"/>
    <w:rsid w:val="000A6DC4"/>
    <w:rsid w:val="000A6DD3"/>
    <w:rsid w:val="000A7505"/>
    <w:rsid w:val="000A75D7"/>
    <w:rsid w:val="000A7761"/>
    <w:rsid w:val="000B05E4"/>
    <w:rsid w:val="000B13A0"/>
    <w:rsid w:val="000B1E96"/>
    <w:rsid w:val="000B3708"/>
    <w:rsid w:val="000B5627"/>
    <w:rsid w:val="000B5C14"/>
    <w:rsid w:val="000B5E44"/>
    <w:rsid w:val="000C0037"/>
    <w:rsid w:val="000C15D0"/>
    <w:rsid w:val="000C21F3"/>
    <w:rsid w:val="000C6F79"/>
    <w:rsid w:val="000D0701"/>
    <w:rsid w:val="000D0891"/>
    <w:rsid w:val="000D0E6D"/>
    <w:rsid w:val="000D1337"/>
    <w:rsid w:val="000D1560"/>
    <w:rsid w:val="000D18BD"/>
    <w:rsid w:val="000D28D6"/>
    <w:rsid w:val="000D2EC1"/>
    <w:rsid w:val="000D49FD"/>
    <w:rsid w:val="000D5FFA"/>
    <w:rsid w:val="000D6961"/>
    <w:rsid w:val="000D6F99"/>
    <w:rsid w:val="000E126E"/>
    <w:rsid w:val="000E365A"/>
    <w:rsid w:val="000E383F"/>
    <w:rsid w:val="000E469C"/>
    <w:rsid w:val="000E4E29"/>
    <w:rsid w:val="000E578D"/>
    <w:rsid w:val="000E693E"/>
    <w:rsid w:val="000E7BA9"/>
    <w:rsid w:val="000E7EE9"/>
    <w:rsid w:val="000E7FFE"/>
    <w:rsid w:val="000F0B20"/>
    <w:rsid w:val="000F23DB"/>
    <w:rsid w:val="000F36AE"/>
    <w:rsid w:val="000F562C"/>
    <w:rsid w:val="000F5A50"/>
    <w:rsid w:val="000F65D8"/>
    <w:rsid w:val="000F6626"/>
    <w:rsid w:val="000F6D41"/>
    <w:rsid w:val="000F7518"/>
    <w:rsid w:val="00101F4C"/>
    <w:rsid w:val="00102147"/>
    <w:rsid w:val="001026F2"/>
    <w:rsid w:val="00102936"/>
    <w:rsid w:val="00102D5F"/>
    <w:rsid w:val="00102F46"/>
    <w:rsid w:val="00103659"/>
    <w:rsid w:val="0010494E"/>
    <w:rsid w:val="00105582"/>
    <w:rsid w:val="00106AF5"/>
    <w:rsid w:val="00106C34"/>
    <w:rsid w:val="00106E4D"/>
    <w:rsid w:val="001100D1"/>
    <w:rsid w:val="001103CD"/>
    <w:rsid w:val="00111762"/>
    <w:rsid w:val="00111DC4"/>
    <w:rsid w:val="00113AD8"/>
    <w:rsid w:val="00113B02"/>
    <w:rsid w:val="00114BBF"/>
    <w:rsid w:val="0011533F"/>
    <w:rsid w:val="00115A81"/>
    <w:rsid w:val="001175C0"/>
    <w:rsid w:val="00122F41"/>
    <w:rsid w:val="001246BE"/>
    <w:rsid w:val="00124DE4"/>
    <w:rsid w:val="00125703"/>
    <w:rsid w:val="0012638F"/>
    <w:rsid w:val="00126E36"/>
    <w:rsid w:val="00130130"/>
    <w:rsid w:val="00130F85"/>
    <w:rsid w:val="00131BDE"/>
    <w:rsid w:val="0013223B"/>
    <w:rsid w:val="0013249E"/>
    <w:rsid w:val="00132B9E"/>
    <w:rsid w:val="00132CD7"/>
    <w:rsid w:val="0013308E"/>
    <w:rsid w:val="001339D3"/>
    <w:rsid w:val="00135FC8"/>
    <w:rsid w:val="00136EA2"/>
    <w:rsid w:val="0014150E"/>
    <w:rsid w:val="0014459D"/>
    <w:rsid w:val="00146446"/>
    <w:rsid w:val="00146C61"/>
    <w:rsid w:val="0014711F"/>
    <w:rsid w:val="001473ED"/>
    <w:rsid w:val="0015055B"/>
    <w:rsid w:val="00151337"/>
    <w:rsid w:val="00152224"/>
    <w:rsid w:val="00153113"/>
    <w:rsid w:val="0015334E"/>
    <w:rsid w:val="00153633"/>
    <w:rsid w:val="00153890"/>
    <w:rsid w:val="0015576D"/>
    <w:rsid w:val="001562B5"/>
    <w:rsid w:val="00157346"/>
    <w:rsid w:val="0015754A"/>
    <w:rsid w:val="00161093"/>
    <w:rsid w:val="00161FA2"/>
    <w:rsid w:val="00162287"/>
    <w:rsid w:val="0016267A"/>
    <w:rsid w:val="0016278C"/>
    <w:rsid w:val="001654C4"/>
    <w:rsid w:val="00165BF9"/>
    <w:rsid w:val="0016612F"/>
    <w:rsid w:val="001662E5"/>
    <w:rsid w:val="00166A1B"/>
    <w:rsid w:val="001704E7"/>
    <w:rsid w:val="00170876"/>
    <w:rsid w:val="00170A0F"/>
    <w:rsid w:val="00171133"/>
    <w:rsid w:val="0017125F"/>
    <w:rsid w:val="00171A95"/>
    <w:rsid w:val="00171E3F"/>
    <w:rsid w:val="001729C4"/>
    <w:rsid w:val="00173295"/>
    <w:rsid w:val="00174164"/>
    <w:rsid w:val="00174A02"/>
    <w:rsid w:val="00174D2F"/>
    <w:rsid w:val="001753CA"/>
    <w:rsid w:val="0017540C"/>
    <w:rsid w:val="00175559"/>
    <w:rsid w:val="00175CDD"/>
    <w:rsid w:val="001767A2"/>
    <w:rsid w:val="00177300"/>
    <w:rsid w:val="00177CB5"/>
    <w:rsid w:val="00177CD9"/>
    <w:rsid w:val="001806A2"/>
    <w:rsid w:val="001807C5"/>
    <w:rsid w:val="00185E09"/>
    <w:rsid w:val="0018763D"/>
    <w:rsid w:val="00187EB2"/>
    <w:rsid w:val="00191B34"/>
    <w:rsid w:val="00193531"/>
    <w:rsid w:val="00194650"/>
    <w:rsid w:val="00194A01"/>
    <w:rsid w:val="00194C20"/>
    <w:rsid w:val="00194F71"/>
    <w:rsid w:val="001A1CF1"/>
    <w:rsid w:val="001A2F2A"/>
    <w:rsid w:val="001A3404"/>
    <w:rsid w:val="001A5F80"/>
    <w:rsid w:val="001B064A"/>
    <w:rsid w:val="001B181F"/>
    <w:rsid w:val="001B2F0D"/>
    <w:rsid w:val="001B4338"/>
    <w:rsid w:val="001B4F30"/>
    <w:rsid w:val="001B6608"/>
    <w:rsid w:val="001B696F"/>
    <w:rsid w:val="001C12B2"/>
    <w:rsid w:val="001C47D2"/>
    <w:rsid w:val="001C54FB"/>
    <w:rsid w:val="001C5525"/>
    <w:rsid w:val="001C67E7"/>
    <w:rsid w:val="001C6E6D"/>
    <w:rsid w:val="001D02D1"/>
    <w:rsid w:val="001D13D7"/>
    <w:rsid w:val="001D192C"/>
    <w:rsid w:val="001D2D79"/>
    <w:rsid w:val="001D541E"/>
    <w:rsid w:val="001D5D4E"/>
    <w:rsid w:val="001D6538"/>
    <w:rsid w:val="001D681A"/>
    <w:rsid w:val="001D6A47"/>
    <w:rsid w:val="001D784A"/>
    <w:rsid w:val="001D796D"/>
    <w:rsid w:val="001E194D"/>
    <w:rsid w:val="001E1B72"/>
    <w:rsid w:val="001E2E5D"/>
    <w:rsid w:val="001E2EB3"/>
    <w:rsid w:val="001E4606"/>
    <w:rsid w:val="001E516D"/>
    <w:rsid w:val="001E6328"/>
    <w:rsid w:val="001E7736"/>
    <w:rsid w:val="001F0FA1"/>
    <w:rsid w:val="001F1F28"/>
    <w:rsid w:val="001F29B0"/>
    <w:rsid w:val="001F340B"/>
    <w:rsid w:val="001F4951"/>
    <w:rsid w:val="001F4B8C"/>
    <w:rsid w:val="001F4D2F"/>
    <w:rsid w:val="001F65C7"/>
    <w:rsid w:val="001F76D0"/>
    <w:rsid w:val="002000EB"/>
    <w:rsid w:val="00202694"/>
    <w:rsid w:val="002027DE"/>
    <w:rsid w:val="00202881"/>
    <w:rsid w:val="002036B5"/>
    <w:rsid w:val="0020433B"/>
    <w:rsid w:val="00204587"/>
    <w:rsid w:val="0020461B"/>
    <w:rsid w:val="00204B13"/>
    <w:rsid w:val="00204BF3"/>
    <w:rsid w:val="00205857"/>
    <w:rsid w:val="00205A14"/>
    <w:rsid w:val="00207692"/>
    <w:rsid w:val="00210099"/>
    <w:rsid w:val="0021018A"/>
    <w:rsid w:val="002107BE"/>
    <w:rsid w:val="00211647"/>
    <w:rsid w:val="002119C1"/>
    <w:rsid w:val="00212FDC"/>
    <w:rsid w:val="002135C6"/>
    <w:rsid w:val="0021669E"/>
    <w:rsid w:val="00216844"/>
    <w:rsid w:val="002168A9"/>
    <w:rsid w:val="00216D95"/>
    <w:rsid w:val="00220B4B"/>
    <w:rsid w:val="0022118F"/>
    <w:rsid w:val="002229FD"/>
    <w:rsid w:val="00222ADE"/>
    <w:rsid w:val="00223359"/>
    <w:rsid w:val="00223389"/>
    <w:rsid w:val="002245EB"/>
    <w:rsid w:val="0022518B"/>
    <w:rsid w:val="00225F55"/>
    <w:rsid w:val="00227E51"/>
    <w:rsid w:val="00227E66"/>
    <w:rsid w:val="00227F1A"/>
    <w:rsid w:val="00230BAD"/>
    <w:rsid w:val="00230EED"/>
    <w:rsid w:val="00231888"/>
    <w:rsid w:val="00233383"/>
    <w:rsid w:val="0023405A"/>
    <w:rsid w:val="0023453C"/>
    <w:rsid w:val="00234C93"/>
    <w:rsid w:val="00240641"/>
    <w:rsid w:val="0024333A"/>
    <w:rsid w:val="0024504A"/>
    <w:rsid w:val="0024669F"/>
    <w:rsid w:val="0024702D"/>
    <w:rsid w:val="00247B0B"/>
    <w:rsid w:val="002508AC"/>
    <w:rsid w:val="00250BBE"/>
    <w:rsid w:val="00252B6E"/>
    <w:rsid w:val="00253F89"/>
    <w:rsid w:val="00254647"/>
    <w:rsid w:val="00254A9D"/>
    <w:rsid w:val="00254EB2"/>
    <w:rsid w:val="00255BF2"/>
    <w:rsid w:val="00255EA2"/>
    <w:rsid w:val="00256494"/>
    <w:rsid w:val="00256583"/>
    <w:rsid w:val="00256A69"/>
    <w:rsid w:val="00257A0C"/>
    <w:rsid w:val="002604A2"/>
    <w:rsid w:val="00261105"/>
    <w:rsid w:val="00261DEE"/>
    <w:rsid w:val="00262B95"/>
    <w:rsid w:val="00264CC9"/>
    <w:rsid w:val="00265328"/>
    <w:rsid w:val="002656C6"/>
    <w:rsid w:val="002662B5"/>
    <w:rsid w:val="0026650C"/>
    <w:rsid w:val="00266612"/>
    <w:rsid w:val="00267551"/>
    <w:rsid w:val="002708F8"/>
    <w:rsid w:val="00270A39"/>
    <w:rsid w:val="00270B59"/>
    <w:rsid w:val="00270F04"/>
    <w:rsid w:val="002728EC"/>
    <w:rsid w:val="00272E9D"/>
    <w:rsid w:val="00274BC5"/>
    <w:rsid w:val="00274C25"/>
    <w:rsid w:val="002764A7"/>
    <w:rsid w:val="00277288"/>
    <w:rsid w:val="00277362"/>
    <w:rsid w:val="00277589"/>
    <w:rsid w:val="00280B31"/>
    <w:rsid w:val="002815CC"/>
    <w:rsid w:val="00281BAC"/>
    <w:rsid w:val="0028247C"/>
    <w:rsid w:val="002826A2"/>
    <w:rsid w:val="002835AA"/>
    <w:rsid w:val="00283950"/>
    <w:rsid w:val="00285273"/>
    <w:rsid w:val="00285E95"/>
    <w:rsid w:val="002873BE"/>
    <w:rsid w:val="00290B10"/>
    <w:rsid w:val="00290CCA"/>
    <w:rsid w:val="00290F8B"/>
    <w:rsid w:val="0029103F"/>
    <w:rsid w:val="002918AC"/>
    <w:rsid w:val="00291D1B"/>
    <w:rsid w:val="00292F47"/>
    <w:rsid w:val="00293393"/>
    <w:rsid w:val="00296073"/>
    <w:rsid w:val="002961BD"/>
    <w:rsid w:val="0029620C"/>
    <w:rsid w:val="00296F58"/>
    <w:rsid w:val="00297EF4"/>
    <w:rsid w:val="002A02B6"/>
    <w:rsid w:val="002A23F3"/>
    <w:rsid w:val="002A3987"/>
    <w:rsid w:val="002A41A5"/>
    <w:rsid w:val="002A6799"/>
    <w:rsid w:val="002A726A"/>
    <w:rsid w:val="002A7416"/>
    <w:rsid w:val="002A759C"/>
    <w:rsid w:val="002B13BC"/>
    <w:rsid w:val="002B1430"/>
    <w:rsid w:val="002B262E"/>
    <w:rsid w:val="002B28F2"/>
    <w:rsid w:val="002B296F"/>
    <w:rsid w:val="002B2D38"/>
    <w:rsid w:val="002B387C"/>
    <w:rsid w:val="002B3E85"/>
    <w:rsid w:val="002B4661"/>
    <w:rsid w:val="002B5533"/>
    <w:rsid w:val="002B5C8F"/>
    <w:rsid w:val="002B613A"/>
    <w:rsid w:val="002B6FF4"/>
    <w:rsid w:val="002B7890"/>
    <w:rsid w:val="002B7977"/>
    <w:rsid w:val="002C0763"/>
    <w:rsid w:val="002C0E46"/>
    <w:rsid w:val="002C2D45"/>
    <w:rsid w:val="002C2F4E"/>
    <w:rsid w:val="002C3B41"/>
    <w:rsid w:val="002C4AB9"/>
    <w:rsid w:val="002C509A"/>
    <w:rsid w:val="002C54A7"/>
    <w:rsid w:val="002C621D"/>
    <w:rsid w:val="002C6474"/>
    <w:rsid w:val="002C725B"/>
    <w:rsid w:val="002C76B7"/>
    <w:rsid w:val="002C77C9"/>
    <w:rsid w:val="002D0622"/>
    <w:rsid w:val="002D235E"/>
    <w:rsid w:val="002D2B13"/>
    <w:rsid w:val="002D3623"/>
    <w:rsid w:val="002D381B"/>
    <w:rsid w:val="002D43D7"/>
    <w:rsid w:val="002D5C50"/>
    <w:rsid w:val="002D631B"/>
    <w:rsid w:val="002D6E72"/>
    <w:rsid w:val="002D7AAD"/>
    <w:rsid w:val="002E0FE7"/>
    <w:rsid w:val="002E4A9E"/>
    <w:rsid w:val="002E531A"/>
    <w:rsid w:val="002E5449"/>
    <w:rsid w:val="002E57DA"/>
    <w:rsid w:val="002E5EE2"/>
    <w:rsid w:val="002E5FED"/>
    <w:rsid w:val="002E7037"/>
    <w:rsid w:val="002E73F7"/>
    <w:rsid w:val="002E7617"/>
    <w:rsid w:val="002F0606"/>
    <w:rsid w:val="002F1289"/>
    <w:rsid w:val="002F14A5"/>
    <w:rsid w:val="002F198B"/>
    <w:rsid w:val="002F1DAA"/>
    <w:rsid w:val="002F29D3"/>
    <w:rsid w:val="002F2F4C"/>
    <w:rsid w:val="002F55F5"/>
    <w:rsid w:val="002F5DCF"/>
    <w:rsid w:val="002F7248"/>
    <w:rsid w:val="00302F0A"/>
    <w:rsid w:val="00306A6E"/>
    <w:rsid w:val="00307BCA"/>
    <w:rsid w:val="003100C5"/>
    <w:rsid w:val="0031297A"/>
    <w:rsid w:val="00312EFE"/>
    <w:rsid w:val="00314334"/>
    <w:rsid w:val="00314763"/>
    <w:rsid w:val="00314974"/>
    <w:rsid w:val="00316742"/>
    <w:rsid w:val="00317901"/>
    <w:rsid w:val="00317BA9"/>
    <w:rsid w:val="00320112"/>
    <w:rsid w:val="00320FD4"/>
    <w:rsid w:val="003212D1"/>
    <w:rsid w:val="00322886"/>
    <w:rsid w:val="00324AB9"/>
    <w:rsid w:val="00324B29"/>
    <w:rsid w:val="0032511D"/>
    <w:rsid w:val="00325AC4"/>
    <w:rsid w:val="00326006"/>
    <w:rsid w:val="003264AA"/>
    <w:rsid w:val="00327996"/>
    <w:rsid w:val="00327C04"/>
    <w:rsid w:val="0033076A"/>
    <w:rsid w:val="003308CE"/>
    <w:rsid w:val="00331759"/>
    <w:rsid w:val="00332BD3"/>
    <w:rsid w:val="00332CB7"/>
    <w:rsid w:val="003337BE"/>
    <w:rsid w:val="00333B4C"/>
    <w:rsid w:val="003356F9"/>
    <w:rsid w:val="003364C5"/>
    <w:rsid w:val="00337252"/>
    <w:rsid w:val="00337D02"/>
    <w:rsid w:val="003417D5"/>
    <w:rsid w:val="00342DB8"/>
    <w:rsid w:val="003438AE"/>
    <w:rsid w:val="0034395E"/>
    <w:rsid w:val="0034424E"/>
    <w:rsid w:val="00344588"/>
    <w:rsid w:val="003446B0"/>
    <w:rsid w:val="00344C67"/>
    <w:rsid w:val="0034750F"/>
    <w:rsid w:val="003519B8"/>
    <w:rsid w:val="00352679"/>
    <w:rsid w:val="00353D92"/>
    <w:rsid w:val="0035705D"/>
    <w:rsid w:val="003602C7"/>
    <w:rsid w:val="00361354"/>
    <w:rsid w:val="0036177A"/>
    <w:rsid w:val="00361C67"/>
    <w:rsid w:val="00361E24"/>
    <w:rsid w:val="0036233E"/>
    <w:rsid w:val="00364203"/>
    <w:rsid w:val="00364740"/>
    <w:rsid w:val="0037051F"/>
    <w:rsid w:val="00370CB2"/>
    <w:rsid w:val="00371C7C"/>
    <w:rsid w:val="00371CC7"/>
    <w:rsid w:val="00373492"/>
    <w:rsid w:val="00373A6F"/>
    <w:rsid w:val="0037459E"/>
    <w:rsid w:val="0037468E"/>
    <w:rsid w:val="003747CA"/>
    <w:rsid w:val="003770DD"/>
    <w:rsid w:val="00377730"/>
    <w:rsid w:val="003802FE"/>
    <w:rsid w:val="00380586"/>
    <w:rsid w:val="00380805"/>
    <w:rsid w:val="00380AB6"/>
    <w:rsid w:val="00380F9B"/>
    <w:rsid w:val="003813CB"/>
    <w:rsid w:val="00381BDE"/>
    <w:rsid w:val="003833B8"/>
    <w:rsid w:val="00384927"/>
    <w:rsid w:val="00384A48"/>
    <w:rsid w:val="00384ACC"/>
    <w:rsid w:val="00385D2A"/>
    <w:rsid w:val="00386B0D"/>
    <w:rsid w:val="00387871"/>
    <w:rsid w:val="0039062A"/>
    <w:rsid w:val="003906E0"/>
    <w:rsid w:val="00393708"/>
    <w:rsid w:val="00394ED5"/>
    <w:rsid w:val="00395443"/>
    <w:rsid w:val="00395CAE"/>
    <w:rsid w:val="00396EAA"/>
    <w:rsid w:val="0039726B"/>
    <w:rsid w:val="0039760A"/>
    <w:rsid w:val="00397895"/>
    <w:rsid w:val="003A0EDF"/>
    <w:rsid w:val="003A20C8"/>
    <w:rsid w:val="003A2402"/>
    <w:rsid w:val="003A352F"/>
    <w:rsid w:val="003A4116"/>
    <w:rsid w:val="003A4805"/>
    <w:rsid w:val="003A755C"/>
    <w:rsid w:val="003B1542"/>
    <w:rsid w:val="003B3117"/>
    <w:rsid w:val="003B348C"/>
    <w:rsid w:val="003B418B"/>
    <w:rsid w:val="003B49D4"/>
    <w:rsid w:val="003B4E98"/>
    <w:rsid w:val="003B665E"/>
    <w:rsid w:val="003B68A4"/>
    <w:rsid w:val="003B706D"/>
    <w:rsid w:val="003C1170"/>
    <w:rsid w:val="003C2F1C"/>
    <w:rsid w:val="003C37F2"/>
    <w:rsid w:val="003C43D4"/>
    <w:rsid w:val="003C44BA"/>
    <w:rsid w:val="003C4718"/>
    <w:rsid w:val="003C54D9"/>
    <w:rsid w:val="003C590C"/>
    <w:rsid w:val="003C6097"/>
    <w:rsid w:val="003C68BF"/>
    <w:rsid w:val="003C6B1A"/>
    <w:rsid w:val="003D08B0"/>
    <w:rsid w:val="003D1FE6"/>
    <w:rsid w:val="003D2333"/>
    <w:rsid w:val="003D25C7"/>
    <w:rsid w:val="003D3130"/>
    <w:rsid w:val="003D3DC0"/>
    <w:rsid w:val="003D4E2F"/>
    <w:rsid w:val="003D56E3"/>
    <w:rsid w:val="003D6196"/>
    <w:rsid w:val="003E05E5"/>
    <w:rsid w:val="003E1B66"/>
    <w:rsid w:val="003E1E05"/>
    <w:rsid w:val="003E28DC"/>
    <w:rsid w:val="003E2F3D"/>
    <w:rsid w:val="003E4507"/>
    <w:rsid w:val="003E476D"/>
    <w:rsid w:val="003E4831"/>
    <w:rsid w:val="003E6B69"/>
    <w:rsid w:val="003E6C5B"/>
    <w:rsid w:val="003F253A"/>
    <w:rsid w:val="003F36DC"/>
    <w:rsid w:val="003F46AE"/>
    <w:rsid w:val="003F4D3F"/>
    <w:rsid w:val="003F4FC5"/>
    <w:rsid w:val="003F6769"/>
    <w:rsid w:val="003F77F3"/>
    <w:rsid w:val="0040003F"/>
    <w:rsid w:val="0040066C"/>
    <w:rsid w:val="00400B7A"/>
    <w:rsid w:val="004019D9"/>
    <w:rsid w:val="004028E9"/>
    <w:rsid w:val="00402B5A"/>
    <w:rsid w:val="00402B68"/>
    <w:rsid w:val="0040419B"/>
    <w:rsid w:val="00404D67"/>
    <w:rsid w:val="00405DBE"/>
    <w:rsid w:val="00406509"/>
    <w:rsid w:val="00407B61"/>
    <w:rsid w:val="00410CEB"/>
    <w:rsid w:val="00411033"/>
    <w:rsid w:val="00411436"/>
    <w:rsid w:val="00412C38"/>
    <w:rsid w:val="00413121"/>
    <w:rsid w:val="004137D1"/>
    <w:rsid w:val="00414193"/>
    <w:rsid w:val="00416A73"/>
    <w:rsid w:val="004171BC"/>
    <w:rsid w:val="004207E3"/>
    <w:rsid w:val="00420B2D"/>
    <w:rsid w:val="00423884"/>
    <w:rsid w:val="00424CD0"/>
    <w:rsid w:val="004259AB"/>
    <w:rsid w:val="00426744"/>
    <w:rsid w:val="00427146"/>
    <w:rsid w:val="004279D8"/>
    <w:rsid w:val="0043039C"/>
    <w:rsid w:val="004303D3"/>
    <w:rsid w:val="004325C9"/>
    <w:rsid w:val="00432882"/>
    <w:rsid w:val="0043730D"/>
    <w:rsid w:val="00440ABD"/>
    <w:rsid w:val="00442672"/>
    <w:rsid w:val="00443154"/>
    <w:rsid w:val="00444863"/>
    <w:rsid w:val="00444D8D"/>
    <w:rsid w:val="0044524E"/>
    <w:rsid w:val="00445E75"/>
    <w:rsid w:val="00446ECE"/>
    <w:rsid w:val="004472CD"/>
    <w:rsid w:val="00450455"/>
    <w:rsid w:val="00452871"/>
    <w:rsid w:val="004531AC"/>
    <w:rsid w:val="00455415"/>
    <w:rsid w:val="00455D3D"/>
    <w:rsid w:val="0045695E"/>
    <w:rsid w:val="00460188"/>
    <w:rsid w:val="00460E24"/>
    <w:rsid w:val="00461593"/>
    <w:rsid w:val="00461A95"/>
    <w:rsid w:val="00461CF0"/>
    <w:rsid w:val="00461D3D"/>
    <w:rsid w:val="00463667"/>
    <w:rsid w:val="0046379A"/>
    <w:rsid w:val="00465242"/>
    <w:rsid w:val="004663AC"/>
    <w:rsid w:val="00470F61"/>
    <w:rsid w:val="0047204F"/>
    <w:rsid w:val="00475B1E"/>
    <w:rsid w:val="00476C3F"/>
    <w:rsid w:val="00476C41"/>
    <w:rsid w:val="0047783F"/>
    <w:rsid w:val="00477C20"/>
    <w:rsid w:val="0048103F"/>
    <w:rsid w:val="004814DA"/>
    <w:rsid w:val="0048224F"/>
    <w:rsid w:val="00484169"/>
    <w:rsid w:val="00484615"/>
    <w:rsid w:val="00487160"/>
    <w:rsid w:val="004873BD"/>
    <w:rsid w:val="004875AF"/>
    <w:rsid w:val="004903FD"/>
    <w:rsid w:val="00491115"/>
    <w:rsid w:val="004920C4"/>
    <w:rsid w:val="0049308C"/>
    <w:rsid w:val="00493278"/>
    <w:rsid w:val="0049342C"/>
    <w:rsid w:val="0049382E"/>
    <w:rsid w:val="00493BFD"/>
    <w:rsid w:val="00494C8F"/>
    <w:rsid w:val="00495F3C"/>
    <w:rsid w:val="00497416"/>
    <w:rsid w:val="004A15A5"/>
    <w:rsid w:val="004A1810"/>
    <w:rsid w:val="004A40AD"/>
    <w:rsid w:val="004A44BC"/>
    <w:rsid w:val="004A4C5C"/>
    <w:rsid w:val="004A557A"/>
    <w:rsid w:val="004A5CAD"/>
    <w:rsid w:val="004A6F28"/>
    <w:rsid w:val="004A709A"/>
    <w:rsid w:val="004A7F61"/>
    <w:rsid w:val="004B02E8"/>
    <w:rsid w:val="004B06A2"/>
    <w:rsid w:val="004B0C98"/>
    <w:rsid w:val="004B13C5"/>
    <w:rsid w:val="004B58D8"/>
    <w:rsid w:val="004B6CB1"/>
    <w:rsid w:val="004B7424"/>
    <w:rsid w:val="004C2581"/>
    <w:rsid w:val="004C25D2"/>
    <w:rsid w:val="004C2826"/>
    <w:rsid w:val="004C31F9"/>
    <w:rsid w:val="004C3C34"/>
    <w:rsid w:val="004C4C6F"/>
    <w:rsid w:val="004C4E2A"/>
    <w:rsid w:val="004C5B83"/>
    <w:rsid w:val="004C6A11"/>
    <w:rsid w:val="004C7A46"/>
    <w:rsid w:val="004D1015"/>
    <w:rsid w:val="004D1091"/>
    <w:rsid w:val="004D1AD2"/>
    <w:rsid w:val="004D1B9E"/>
    <w:rsid w:val="004D28EB"/>
    <w:rsid w:val="004D36D0"/>
    <w:rsid w:val="004D7629"/>
    <w:rsid w:val="004E0CB0"/>
    <w:rsid w:val="004E1220"/>
    <w:rsid w:val="004E1B08"/>
    <w:rsid w:val="004E25B0"/>
    <w:rsid w:val="004E2EEA"/>
    <w:rsid w:val="004E3537"/>
    <w:rsid w:val="004E368F"/>
    <w:rsid w:val="004E3DB7"/>
    <w:rsid w:val="004E5AB6"/>
    <w:rsid w:val="004E5FDF"/>
    <w:rsid w:val="004E70E9"/>
    <w:rsid w:val="004E73BF"/>
    <w:rsid w:val="004F000A"/>
    <w:rsid w:val="004F05F0"/>
    <w:rsid w:val="004F0C55"/>
    <w:rsid w:val="004F175A"/>
    <w:rsid w:val="004F1ABC"/>
    <w:rsid w:val="004F1FBE"/>
    <w:rsid w:val="004F28C9"/>
    <w:rsid w:val="004F2EBB"/>
    <w:rsid w:val="004F3000"/>
    <w:rsid w:val="004F56FC"/>
    <w:rsid w:val="004F5BB7"/>
    <w:rsid w:val="004F5D36"/>
    <w:rsid w:val="004F72DC"/>
    <w:rsid w:val="004F754B"/>
    <w:rsid w:val="004F766A"/>
    <w:rsid w:val="004F7781"/>
    <w:rsid w:val="004F7A29"/>
    <w:rsid w:val="00500BDF"/>
    <w:rsid w:val="00501013"/>
    <w:rsid w:val="0050123F"/>
    <w:rsid w:val="00501E99"/>
    <w:rsid w:val="005023F4"/>
    <w:rsid w:val="0050343B"/>
    <w:rsid w:val="00504E05"/>
    <w:rsid w:val="005057EA"/>
    <w:rsid w:val="005058FD"/>
    <w:rsid w:val="00512BE9"/>
    <w:rsid w:val="00515DD3"/>
    <w:rsid w:val="00515F27"/>
    <w:rsid w:val="00516AB1"/>
    <w:rsid w:val="00516AB9"/>
    <w:rsid w:val="0051781D"/>
    <w:rsid w:val="00524105"/>
    <w:rsid w:val="005256BE"/>
    <w:rsid w:val="0052594B"/>
    <w:rsid w:val="0052685B"/>
    <w:rsid w:val="00527217"/>
    <w:rsid w:val="00530E83"/>
    <w:rsid w:val="005322B2"/>
    <w:rsid w:val="0053263B"/>
    <w:rsid w:val="0053306F"/>
    <w:rsid w:val="00533F55"/>
    <w:rsid w:val="00534107"/>
    <w:rsid w:val="0053468A"/>
    <w:rsid w:val="00535284"/>
    <w:rsid w:val="005354A7"/>
    <w:rsid w:val="00535A2B"/>
    <w:rsid w:val="00535A36"/>
    <w:rsid w:val="00535FD3"/>
    <w:rsid w:val="005368CA"/>
    <w:rsid w:val="005375A9"/>
    <w:rsid w:val="005416D6"/>
    <w:rsid w:val="00542410"/>
    <w:rsid w:val="00542915"/>
    <w:rsid w:val="005443A2"/>
    <w:rsid w:val="00545F5C"/>
    <w:rsid w:val="00547416"/>
    <w:rsid w:val="00550765"/>
    <w:rsid w:val="005512CB"/>
    <w:rsid w:val="005524B5"/>
    <w:rsid w:val="0055284C"/>
    <w:rsid w:val="00552992"/>
    <w:rsid w:val="00557CBF"/>
    <w:rsid w:val="00561D38"/>
    <w:rsid w:val="00562DFE"/>
    <w:rsid w:val="00562F89"/>
    <w:rsid w:val="005643DD"/>
    <w:rsid w:val="00564CB2"/>
    <w:rsid w:val="00564EF5"/>
    <w:rsid w:val="005662C6"/>
    <w:rsid w:val="00566993"/>
    <w:rsid w:val="00566CCD"/>
    <w:rsid w:val="0056759D"/>
    <w:rsid w:val="0057025A"/>
    <w:rsid w:val="00571003"/>
    <w:rsid w:val="00571324"/>
    <w:rsid w:val="00571E4E"/>
    <w:rsid w:val="0057259E"/>
    <w:rsid w:val="00572829"/>
    <w:rsid w:val="0057300B"/>
    <w:rsid w:val="0057456E"/>
    <w:rsid w:val="0057587B"/>
    <w:rsid w:val="00575C99"/>
    <w:rsid w:val="00575EAA"/>
    <w:rsid w:val="00577613"/>
    <w:rsid w:val="0058080D"/>
    <w:rsid w:val="00581119"/>
    <w:rsid w:val="00581EFF"/>
    <w:rsid w:val="00583CD2"/>
    <w:rsid w:val="00583D6B"/>
    <w:rsid w:val="005851A7"/>
    <w:rsid w:val="005855F9"/>
    <w:rsid w:val="00585BBE"/>
    <w:rsid w:val="00590145"/>
    <w:rsid w:val="00590365"/>
    <w:rsid w:val="00590481"/>
    <w:rsid w:val="00590C83"/>
    <w:rsid w:val="00592B80"/>
    <w:rsid w:val="00593DC2"/>
    <w:rsid w:val="005944C7"/>
    <w:rsid w:val="005945E4"/>
    <w:rsid w:val="005948E8"/>
    <w:rsid w:val="00594A36"/>
    <w:rsid w:val="00595196"/>
    <w:rsid w:val="00595BA0"/>
    <w:rsid w:val="00596040"/>
    <w:rsid w:val="00596626"/>
    <w:rsid w:val="0059721A"/>
    <w:rsid w:val="005A0331"/>
    <w:rsid w:val="005A0D55"/>
    <w:rsid w:val="005A26C7"/>
    <w:rsid w:val="005A2C6E"/>
    <w:rsid w:val="005A3FD5"/>
    <w:rsid w:val="005A4453"/>
    <w:rsid w:val="005A467A"/>
    <w:rsid w:val="005A5CC5"/>
    <w:rsid w:val="005A6F2E"/>
    <w:rsid w:val="005A7184"/>
    <w:rsid w:val="005B25E6"/>
    <w:rsid w:val="005B3F33"/>
    <w:rsid w:val="005B4ECE"/>
    <w:rsid w:val="005B5196"/>
    <w:rsid w:val="005B574F"/>
    <w:rsid w:val="005B6957"/>
    <w:rsid w:val="005B7D53"/>
    <w:rsid w:val="005C003D"/>
    <w:rsid w:val="005C037E"/>
    <w:rsid w:val="005C16E9"/>
    <w:rsid w:val="005C1CB1"/>
    <w:rsid w:val="005C1CB4"/>
    <w:rsid w:val="005C1D27"/>
    <w:rsid w:val="005C31E7"/>
    <w:rsid w:val="005C482E"/>
    <w:rsid w:val="005C4AA0"/>
    <w:rsid w:val="005C4B56"/>
    <w:rsid w:val="005C586D"/>
    <w:rsid w:val="005C6B09"/>
    <w:rsid w:val="005D001F"/>
    <w:rsid w:val="005D20A7"/>
    <w:rsid w:val="005D2E7C"/>
    <w:rsid w:val="005D3A30"/>
    <w:rsid w:val="005D405F"/>
    <w:rsid w:val="005D4F7F"/>
    <w:rsid w:val="005D53FC"/>
    <w:rsid w:val="005D5F75"/>
    <w:rsid w:val="005D67BE"/>
    <w:rsid w:val="005D6E24"/>
    <w:rsid w:val="005D72C6"/>
    <w:rsid w:val="005D7322"/>
    <w:rsid w:val="005E1C91"/>
    <w:rsid w:val="005E25A5"/>
    <w:rsid w:val="005E3752"/>
    <w:rsid w:val="005E4203"/>
    <w:rsid w:val="005E464B"/>
    <w:rsid w:val="005E4DEE"/>
    <w:rsid w:val="005E5F92"/>
    <w:rsid w:val="005F047B"/>
    <w:rsid w:val="005F260A"/>
    <w:rsid w:val="005F3FE8"/>
    <w:rsid w:val="0060262C"/>
    <w:rsid w:val="0060411F"/>
    <w:rsid w:val="00604719"/>
    <w:rsid w:val="00605379"/>
    <w:rsid w:val="006054A1"/>
    <w:rsid w:val="006057A6"/>
    <w:rsid w:val="006059D5"/>
    <w:rsid w:val="00605E76"/>
    <w:rsid w:val="0060663C"/>
    <w:rsid w:val="00610174"/>
    <w:rsid w:val="00610192"/>
    <w:rsid w:val="00610A05"/>
    <w:rsid w:val="00610B1B"/>
    <w:rsid w:val="0061180E"/>
    <w:rsid w:val="00614721"/>
    <w:rsid w:val="0062157E"/>
    <w:rsid w:val="0062163C"/>
    <w:rsid w:val="006218A9"/>
    <w:rsid w:val="006218C1"/>
    <w:rsid w:val="006227A3"/>
    <w:rsid w:val="0062334D"/>
    <w:rsid w:val="006233A5"/>
    <w:rsid w:val="006237B0"/>
    <w:rsid w:val="00623BA8"/>
    <w:rsid w:val="006243A0"/>
    <w:rsid w:val="00624F13"/>
    <w:rsid w:val="00624F3A"/>
    <w:rsid w:val="006255E5"/>
    <w:rsid w:val="00627073"/>
    <w:rsid w:val="006301BF"/>
    <w:rsid w:val="006314C5"/>
    <w:rsid w:val="00632F6B"/>
    <w:rsid w:val="00633610"/>
    <w:rsid w:val="00633694"/>
    <w:rsid w:val="00635D93"/>
    <w:rsid w:val="00641D90"/>
    <w:rsid w:val="006429B3"/>
    <w:rsid w:val="00642B5D"/>
    <w:rsid w:val="0064313F"/>
    <w:rsid w:val="00644491"/>
    <w:rsid w:val="00645252"/>
    <w:rsid w:val="00646677"/>
    <w:rsid w:val="006509AE"/>
    <w:rsid w:val="00651A68"/>
    <w:rsid w:val="00653222"/>
    <w:rsid w:val="00654084"/>
    <w:rsid w:val="0065424C"/>
    <w:rsid w:val="006547B0"/>
    <w:rsid w:val="006567DE"/>
    <w:rsid w:val="006568C8"/>
    <w:rsid w:val="0066106D"/>
    <w:rsid w:val="00661407"/>
    <w:rsid w:val="0066432C"/>
    <w:rsid w:val="006656E0"/>
    <w:rsid w:val="006674DD"/>
    <w:rsid w:val="0066771D"/>
    <w:rsid w:val="006677A8"/>
    <w:rsid w:val="006714A1"/>
    <w:rsid w:val="00672A75"/>
    <w:rsid w:val="006730CF"/>
    <w:rsid w:val="00673342"/>
    <w:rsid w:val="006738DC"/>
    <w:rsid w:val="00673A38"/>
    <w:rsid w:val="00673BFA"/>
    <w:rsid w:val="00674911"/>
    <w:rsid w:val="00674AA3"/>
    <w:rsid w:val="00676AF5"/>
    <w:rsid w:val="00676B1F"/>
    <w:rsid w:val="00677DF9"/>
    <w:rsid w:val="00677EAB"/>
    <w:rsid w:val="006804CD"/>
    <w:rsid w:val="00680BA8"/>
    <w:rsid w:val="00681AE4"/>
    <w:rsid w:val="006828B0"/>
    <w:rsid w:val="0068384F"/>
    <w:rsid w:val="00684AB7"/>
    <w:rsid w:val="006859E1"/>
    <w:rsid w:val="0068710B"/>
    <w:rsid w:val="0068777B"/>
    <w:rsid w:val="006900F6"/>
    <w:rsid w:val="006903CC"/>
    <w:rsid w:val="00690F82"/>
    <w:rsid w:val="00692E43"/>
    <w:rsid w:val="006930B7"/>
    <w:rsid w:val="00693F88"/>
    <w:rsid w:val="00694E29"/>
    <w:rsid w:val="00696B8B"/>
    <w:rsid w:val="006979A9"/>
    <w:rsid w:val="006A06EC"/>
    <w:rsid w:val="006A0B5E"/>
    <w:rsid w:val="006A1E5D"/>
    <w:rsid w:val="006A5B54"/>
    <w:rsid w:val="006A5F83"/>
    <w:rsid w:val="006A6A32"/>
    <w:rsid w:val="006A76F2"/>
    <w:rsid w:val="006B1749"/>
    <w:rsid w:val="006B2EFD"/>
    <w:rsid w:val="006B30B9"/>
    <w:rsid w:val="006B3949"/>
    <w:rsid w:val="006B3B78"/>
    <w:rsid w:val="006B3C68"/>
    <w:rsid w:val="006B3EAD"/>
    <w:rsid w:val="006B5186"/>
    <w:rsid w:val="006B698D"/>
    <w:rsid w:val="006B70E1"/>
    <w:rsid w:val="006B74E2"/>
    <w:rsid w:val="006B7816"/>
    <w:rsid w:val="006B7E0D"/>
    <w:rsid w:val="006C14DA"/>
    <w:rsid w:val="006C2AA7"/>
    <w:rsid w:val="006C320C"/>
    <w:rsid w:val="006C3323"/>
    <w:rsid w:val="006C3454"/>
    <w:rsid w:val="006C470F"/>
    <w:rsid w:val="006C65E8"/>
    <w:rsid w:val="006C7440"/>
    <w:rsid w:val="006C763F"/>
    <w:rsid w:val="006C7AE3"/>
    <w:rsid w:val="006D3597"/>
    <w:rsid w:val="006D3CCA"/>
    <w:rsid w:val="006D3D74"/>
    <w:rsid w:val="006D47D8"/>
    <w:rsid w:val="006D4C13"/>
    <w:rsid w:val="006D6076"/>
    <w:rsid w:val="006D7233"/>
    <w:rsid w:val="006D7A9A"/>
    <w:rsid w:val="006D7B46"/>
    <w:rsid w:val="006D7E3C"/>
    <w:rsid w:val="006E0AF3"/>
    <w:rsid w:val="006E25C7"/>
    <w:rsid w:val="006E2BBE"/>
    <w:rsid w:val="006E2C88"/>
    <w:rsid w:val="006E3757"/>
    <w:rsid w:val="006E3E56"/>
    <w:rsid w:val="006E4C19"/>
    <w:rsid w:val="006E6DA3"/>
    <w:rsid w:val="006F136B"/>
    <w:rsid w:val="006F464C"/>
    <w:rsid w:val="006F5062"/>
    <w:rsid w:val="006F5FCA"/>
    <w:rsid w:val="006F6C4F"/>
    <w:rsid w:val="006F6CFC"/>
    <w:rsid w:val="006F71C4"/>
    <w:rsid w:val="006F7B7F"/>
    <w:rsid w:val="00700BF8"/>
    <w:rsid w:val="00702375"/>
    <w:rsid w:val="00702816"/>
    <w:rsid w:val="00702C76"/>
    <w:rsid w:val="00703AC8"/>
    <w:rsid w:val="00703C92"/>
    <w:rsid w:val="00703EA6"/>
    <w:rsid w:val="0070430E"/>
    <w:rsid w:val="00706FC4"/>
    <w:rsid w:val="007075B4"/>
    <w:rsid w:val="007100F8"/>
    <w:rsid w:val="00710253"/>
    <w:rsid w:val="00710C4F"/>
    <w:rsid w:val="007115C5"/>
    <w:rsid w:val="00711DCA"/>
    <w:rsid w:val="00712506"/>
    <w:rsid w:val="007149E2"/>
    <w:rsid w:val="00716136"/>
    <w:rsid w:val="0071749B"/>
    <w:rsid w:val="00721CDB"/>
    <w:rsid w:val="00723939"/>
    <w:rsid w:val="007245E8"/>
    <w:rsid w:val="0072541F"/>
    <w:rsid w:val="00725C2F"/>
    <w:rsid w:val="00727729"/>
    <w:rsid w:val="00727856"/>
    <w:rsid w:val="00730C07"/>
    <w:rsid w:val="007324F2"/>
    <w:rsid w:val="00732FA8"/>
    <w:rsid w:val="00733142"/>
    <w:rsid w:val="00733793"/>
    <w:rsid w:val="00733C49"/>
    <w:rsid w:val="00734C15"/>
    <w:rsid w:val="0073774E"/>
    <w:rsid w:val="0074063D"/>
    <w:rsid w:val="0074099C"/>
    <w:rsid w:val="00740FEB"/>
    <w:rsid w:val="007436FC"/>
    <w:rsid w:val="00743BCE"/>
    <w:rsid w:val="00743F90"/>
    <w:rsid w:val="007477A5"/>
    <w:rsid w:val="0075075E"/>
    <w:rsid w:val="007510FE"/>
    <w:rsid w:val="00751242"/>
    <w:rsid w:val="0075304E"/>
    <w:rsid w:val="007556F4"/>
    <w:rsid w:val="00757028"/>
    <w:rsid w:val="0076024B"/>
    <w:rsid w:val="0076334F"/>
    <w:rsid w:val="00764BDB"/>
    <w:rsid w:val="00764FE2"/>
    <w:rsid w:val="007664AB"/>
    <w:rsid w:val="0076760B"/>
    <w:rsid w:val="007717F1"/>
    <w:rsid w:val="00773353"/>
    <w:rsid w:val="00774C9C"/>
    <w:rsid w:val="00774CDB"/>
    <w:rsid w:val="00775361"/>
    <w:rsid w:val="0077586D"/>
    <w:rsid w:val="00775C91"/>
    <w:rsid w:val="00775E43"/>
    <w:rsid w:val="00780D17"/>
    <w:rsid w:val="007811F4"/>
    <w:rsid w:val="007831B9"/>
    <w:rsid w:val="00784036"/>
    <w:rsid w:val="0078407F"/>
    <w:rsid w:val="007848FB"/>
    <w:rsid w:val="0078501D"/>
    <w:rsid w:val="007850E0"/>
    <w:rsid w:val="007854D0"/>
    <w:rsid w:val="00786D01"/>
    <w:rsid w:val="00786E15"/>
    <w:rsid w:val="0078755B"/>
    <w:rsid w:val="00787CF0"/>
    <w:rsid w:val="00791288"/>
    <w:rsid w:val="00793771"/>
    <w:rsid w:val="00793ADB"/>
    <w:rsid w:val="00796D50"/>
    <w:rsid w:val="007A07CA"/>
    <w:rsid w:val="007A11BB"/>
    <w:rsid w:val="007A27E7"/>
    <w:rsid w:val="007A4509"/>
    <w:rsid w:val="007A4844"/>
    <w:rsid w:val="007A5E6D"/>
    <w:rsid w:val="007B02D6"/>
    <w:rsid w:val="007B15F0"/>
    <w:rsid w:val="007B1B4C"/>
    <w:rsid w:val="007B1EA3"/>
    <w:rsid w:val="007B2076"/>
    <w:rsid w:val="007B274C"/>
    <w:rsid w:val="007B38A0"/>
    <w:rsid w:val="007B4251"/>
    <w:rsid w:val="007B4B14"/>
    <w:rsid w:val="007B568D"/>
    <w:rsid w:val="007B5F78"/>
    <w:rsid w:val="007B6DD2"/>
    <w:rsid w:val="007B7B05"/>
    <w:rsid w:val="007C04F0"/>
    <w:rsid w:val="007C0CD1"/>
    <w:rsid w:val="007C0E10"/>
    <w:rsid w:val="007C1169"/>
    <w:rsid w:val="007C2EB3"/>
    <w:rsid w:val="007C2F1E"/>
    <w:rsid w:val="007C4236"/>
    <w:rsid w:val="007C4F6E"/>
    <w:rsid w:val="007C51F9"/>
    <w:rsid w:val="007C5363"/>
    <w:rsid w:val="007C6EAF"/>
    <w:rsid w:val="007C7BF3"/>
    <w:rsid w:val="007D09AF"/>
    <w:rsid w:val="007D3757"/>
    <w:rsid w:val="007D376E"/>
    <w:rsid w:val="007D5FC7"/>
    <w:rsid w:val="007D612A"/>
    <w:rsid w:val="007E0362"/>
    <w:rsid w:val="007E0C14"/>
    <w:rsid w:val="007E1457"/>
    <w:rsid w:val="007E28AB"/>
    <w:rsid w:val="007E45BF"/>
    <w:rsid w:val="007F0072"/>
    <w:rsid w:val="007F14AB"/>
    <w:rsid w:val="007F1B6D"/>
    <w:rsid w:val="007F3E99"/>
    <w:rsid w:val="007F447A"/>
    <w:rsid w:val="007F6444"/>
    <w:rsid w:val="007F7230"/>
    <w:rsid w:val="00801C90"/>
    <w:rsid w:val="00801F6B"/>
    <w:rsid w:val="0080497A"/>
    <w:rsid w:val="00805EC4"/>
    <w:rsid w:val="008063A9"/>
    <w:rsid w:val="00806AE9"/>
    <w:rsid w:val="00806E84"/>
    <w:rsid w:val="00807AD3"/>
    <w:rsid w:val="00807B2A"/>
    <w:rsid w:val="00810630"/>
    <w:rsid w:val="00810DB1"/>
    <w:rsid w:val="0081140F"/>
    <w:rsid w:val="00811E1B"/>
    <w:rsid w:val="00811E7B"/>
    <w:rsid w:val="008126F1"/>
    <w:rsid w:val="00812E56"/>
    <w:rsid w:val="00814143"/>
    <w:rsid w:val="008149BD"/>
    <w:rsid w:val="00814AF8"/>
    <w:rsid w:val="00815417"/>
    <w:rsid w:val="00815F93"/>
    <w:rsid w:val="008210B6"/>
    <w:rsid w:val="0082275F"/>
    <w:rsid w:val="00824010"/>
    <w:rsid w:val="00827316"/>
    <w:rsid w:val="008305D2"/>
    <w:rsid w:val="00830CB0"/>
    <w:rsid w:val="00831A70"/>
    <w:rsid w:val="00834725"/>
    <w:rsid w:val="00834DC3"/>
    <w:rsid w:val="0083569A"/>
    <w:rsid w:val="00836AF1"/>
    <w:rsid w:val="00840422"/>
    <w:rsid w:val="00840539"/>
    <w:rsid w:val="00841132"/>
    <w:rsid w:val="008417F4"/>
    <w:rsid w:val="008432C4"/>
    <w:rsid w:val="00843C1C"/>
    <w:rsid w:val="00845F5E"/>
    <w:rsid w:val="00847546"/>
    <w:rsid w:val="00850E4E"/>
    <w:rsid w:val="00851A6E"/>
    <w:rsid w:val="0085288F"/>
    <w:rsid w:val="00852C01"/>
    <w:rsid w:val="0085354B"/>
    <w:rsid w:val="00855022"/>
    <w:rsid w:val="00856DD3"/>
    <w:rsid w:val="00857460"/>
    <w:rsid w:val="00862141"/>
    <w:rsid w:val="0086411B"/>
    <w:rsid w:val="008645AE"/>
    <w:rsid w:val="00864928"/>
    <w:rsid w:val="00864DCE"/>
    <w:rsid w:val="00865087"/>
    <w:rsid w:val="00867D68"/>
    <w:rsid w:val="00867E14"/>
    <w:rsid w:val="00872D6F"/>
    <w:rsid w:val="008734EC"/>
    <w:rsid w:val="00874E63"/>
    <w:rsid w:val="00876D43"/>
    <w:rsid w:val="00880265"/>
    <w:rsid w:val="008803B8"/>
    <w:rsid w:val="00881B51"/>
    <w:rsid w:val="00883D62"/>
    <w:rsid w:val="00884417"/>
    <w:rsid w:val="00884422"/>
    <w:rsid w:val="00884EB3"/>
    <w:rsid w:val="00886B83"/>
    <w:rsid w:val="00887D3F"/>
    <w:rsid w:val="008930DF"/>
    <w:rsid w:val="00893105"/>
    <w:rsid w:val="0089378F"/>
    <w:rsid w:val="00894155"/>
    <w:rsid w:val="00894FD2"/>
    <w:rsid w:val="00895254"/>
    <w:rsid w:val="00896B7E"/>
    <w:rsid w:val="008A0108"/>
    <w:rsid w:val="008A0E75"/>
    <w:rsid w:val="008A160A"/>
    <w:rsid w:val="008A1C8E"/>
    <w:rsid w:val="008A21F1"/>
    <w:rsid w:val="008A255F"/>
    <w:rsid w:val="008A259B"/>
    <w:rsid w:val="008A3532"/>
    <w:rsid w:val="008A3666"/>
    <w:rsid w:val="008A3755"/>
    <w:rsid w:val="008A59D9"/>
    <w:rsid w:val="008A6257"/>
    <w:rsid w:val="008A64B9"/>
    <w:rsid w:val="008A67E8"/>
    <w:rsid w:val="008A70F6"/>
    <w:rsid w:val="008A719D"/>
    <w:rsid w:val="008B0F3E"/>
    <w:rsid w:val="008B191D"/>
    <w:rsid w:val="008B572E"/>
    <w:rsid w:val="008B6B8A"/>
    <w:rsid w:val="008B6EA4"/>
    <w:rsid w:val="008B7D87"/>
    <w:rsid w:val="008C2D9F"/>
    <w:rsid w:val="008C4432"/>
    <w:rsid w:val="008C4474"/>
    <w:rsid w:val="008C44A7"/>
    <w:rsid w:val="008C4A8D"/>
    <w:rsid w:val="008C515E"/>
    <w:rsid w:val="008C555D"/>
    <w:rsid w:val="008C5AA1"/>
    <w:rsid w:val="008C68B8"/>
    <w:rsid w:val="008D0B99"/>
    <w:rsid w:val="008D17E9"/>
    <w:rsid w:val="008D2050"/>
    <w:rsid w:val="008D2840"/>
    <w:rsid w:val="008D28F6"/>
    <w:rsid w:val="008D2FB4"/>
    <w:rsid w:val="008D39E1"/>
    <w:rsid w:val="008D39EF"/>
    <w:rsid w:val="008D3E5C"/>
    <w:rsid w:val="008D42EB"/>
    <w:rsid w:val="008D4C64"/>
    <w:rsid w:val="008D4F02"/>
    <w:rsid w:val="008D78D1"/>
    <w:rsid w:val="008D7A95"/>
    <w:rsid w:val="008E030A"/>
    <w:rsid w:val="008E2F4E"/>
    <w:rsid w:val="008E3981"/>
    <w:rsid w:val="008E407B"/>
    <w:rsid w:val="008E4845"/>
    <w:rsid w:val="008E666E"/>
    <w:rsid w:val="008E6F40"/>
    <w:rsid w:val="008E7F05"/>
    <w:rsid w:val="008F1338"/>
    <w:rsid w:val="008F14D2"/>
    <w:rsid w:val="008F3952"/>
    <w:rsid w:val="008F4DA8"/>
    <w:rsid w:val="008F5902"/>
    <w:rsid w:val="008F6221"/>
    <w:rsid w:val="0090054C"/>
    <w:rsid w:val="009015C2"/>
    <w:rsid w:val="009032CD"/>
    <w:rsid w:val="00903F32"/>
    <w:rsid w:val="0090405B"/>
    <w:rsid w:val="009041DA"/>
    <w:rsid w:val="00906BF9"/>
    <w:rsid w:val="00910B1A"/>
    <w:rsid w:val="00910EE1"/>
    <w:rsid w:val="00911495"/>
    <w:rsid w:val="00912181"/>
    <w:rsid w:val="0091443E"/>
    <w:rsid w:val="009146A3"/>
    <w:rsid w:val="00917037"/>
    <w:rsid w:val="0091769D"/>
    <w:rsid w:val="00917DC5"/>
    <w:rsid w:val="00920E16"/>
    <w:rsid w:val="00921278"/>
    <w:rsid w:val="00923466"/>
    <w:rsid w:val="00926B95"/>
    <w:rsid w:val="00927700"/>
    <w:rsid w:val="00927D47"/>
    <w:rsid w:val="0093004F"/>
    <w:rsid w:val="009314A2"/>
    <w:rsid w:val="0093168A"/>
    <w:rsid w:val="009339B9"/>
    <w:rsid w:val="00934B8B"/>
    <w:rsid w:val="0093582A"/>
    <w:rsid w:val="0093641F"/>
    <w:rsid w:val="00936FCB"/>
    <w:rsid w:val="009379C8"/>
    <w:rsid w:val="00940252"/>
    <w:rsid w:val="00940C23"/>
    <w:rsid w:val="00940CC8"/>
    <w:rsid w:val="00941B62"/>
    <w:rsid w:val="0094409F"/>
    <w:rsid w:val="009458E7"/>
    <w:rsid w:val="00946ED0"/>
    <w:rsid w:val="00947D34"/>
    <w:rsid w:val="00950389"/>
    <w:rsid w:val="009532F6"/>
    <w:rsid w:val="009537E4"/>
    <w:rsid w:val="00955CD4"/>
    <w:rsid w:val="009566AD"/>
    <w:rsid w:val="00956855"/>
    <w:rsid w:val="00956FA9"/>
    <w:rsid w:val="00957DBF"/>
    <w:rsid w:val="00960A4F"/>
    <w:rsid w:val="00960A92"/>
    <w:rsid w:val="00961495"/>
    <w:rsid w:val="00962A30"/>
    <w:rsid w:val="00963DAF"/>
    <w:rsid w:val="009648BE"/>
    <w:rsid w:val="00964C69"/>
    <w:rsid w:val="00964FCF"/>
    <w:rsid w:val="00966697"/>
    <w:rsid w:val="0096684F"/>
    <w:rsid w:val="00966C62"/>
    <w:rsid w:val="00967240"/>
    <w:rsid w:val="00970481"/>
    <w:rsid w:val="0097187C"/>
    <w:rsid w:val="00973826"/>
    <w:rsid w:val="009744FE"/>
    <w:rsid w:val="009750DC"/>
    <w:rsid w:val="00976617"/>
    <w:rsid w:val="009806A2"/>
    <w:rsid w:val="0098146F"/>
    <w:rsid w:val="00983BE0"/>
    <w:rsid w:val="00984DA5"/>
    <w:rsid w:val="00985AA0"/>
    <w:rsid w:val="00986D83"/>
    <w:rsid w:val="00990699"/>
    <w:rsid w:val="009931E3"/>
    <w:rsid w:val="00993CFA"/>
    <w:rsid w:val="009942A1"/>
    <w:rsid w:val="00994717"/>
    <w:rsid w:val="00994737"/>
    <w:rsid w:val="0099696D"/>
    <w:rsid w:val="00997249"/>
    <w:rsid w:val="009A10A6"/>
    <w:rsid w:val="009A1469"/>
    <w:rsid w:val="009A195B"/>
    <w:rsid w:val="009A3DB9"/>
    <w:rsid w:val="009A40C7"/>
    <w:rsid w:val="009A59D1"/>
    <w:rsid w:val="009A685C"/>
    <w:rsid w:val="009A6C1D"/>
    <w:rsid w:val="009A6E50"/>
    <w:rsid w:val="009A70B9"/>
    <w:rsid w:val="009B10DF"/>
    <w:rsid w:val="009B1661"/>
    <w:rsid w:val="009B27A8"/>
    <w:rsid w:val="009B5673"/>
    <w:rsid w:val="009C032E"/>
    <w:rsid w:val="009C2081"/>
    <w:rsid w:val="009C3EF6"/>
    <w:rsid w:val="009C47CE"/>
    <w:rsid w:val="009C4E68"/>
    <w:rsid w:val="009C73C1"/>
    <w:rsid w:val="009D118B"/>
    <w:rsid w:val="009D1AB8"/>
    <w:rsid w:val="009D3064"/>
    <w:rsid w:val="009D306D"/>
    <w:rsid w:val="009D35D8"/>
    <w:rsid w:val="009D3C16"/>
    <w:rsid w:val="009D44DE"/>
    <w:rsid w:val="009D6A8F"/>
    <w:rsid w:val="009D7BDE"/>
    <w:rsid w:val="009E037B"/>
    <w:rsid w:val="009E10C3"/>
    <w:rsid w:val="009E11DE"/>
    <w:rsid w:val="009E1244"/>
    <w:rsid w:val="009E1CCE"/>
    <w:rsid w:val="009E1F85"/>
    <w:rsid w:val="009E2736"/>
    <w:rsid w:val="009E3C76"/>
    <w:rsid w:val="009E3D11"/>
    <w:rsid w:val="009E400B"/>
    <w:rsid w:val="009E563C"/>
    <w:rsid w:val="009E576E"/>
    <w:rsid w:val="009E5BC4"/>
    <w:rsid w:val="009E5C9D"/>
    <w:rsid w:val="009E6D13"/>
    <w:rsid w:val="009E7E57"/>
    <w:rsid w:val="009F0EB4"/>
    <w:rsid w:val="009F1895"/>
    <w:rsid w:val="009F1D5F"/>
    <w:rsid w:val="009F5B64"/>
    <w:rsid w:val="009F7984"/>
    <w:rsid w:val="00A000BA"/>
    <w:rsid w:val="00A004E7"/>
    <w:rsid w:val="00A00C48"/>
    <w:rsid w:val="00A01622"/>
    <w:rsid w:val="00A01722"/>
    <w:rsid w:val="00A01830"/>
    <w:rsid w:val="00A02598"/>
    <w:rsid w:val="00A02C9C"/>
    <w:rsid w:val="00A02CD9"/>
    <w:rsid w:val="00A0495F"/>
    <w:rsid w:val="00A04E17"/>
    <w:rsid w:val="00A05114"/>
    <w:rsid w:val="00A06149"/>
    <w:rsid w:val="00A06545"/>
    <w:rsid w:val="00A07B99"/>
    <w:rsid w:val="00A1056F"/>
    <w:rsid w:val="00A11736"/>
    <w:rsid w:val="00A1233A"/>
    <w:rsid w:val="00A138C0"/>
    <w:rsid w:val="00A13A30"/>
    <w:rsid w:val="00A16415"/>
    <w:rsid w:val="00A17017"/>
    <w:rsid w:val="00A21610"/>
    <w:rsid w:val="00A21E0C"/>
    <w:rsid w:val="00A22F60"/>
    <w:rsid w:val="00A24B20"/>
    <w:rsid w:val="00A2543A"/>
    <w:rsid w:val="00A275F6"/>
    <w:rsid w:val="00A302A7"/>
    <w:rsid w:val="00A3137D"/>
    <w:rsid w:val="00A31493"/>
    <w:rsid w:val="00A31F14"/>
    <w:rsid w:val="00A333A4"/>
    <w:rsid w:val="00A337B2"/>
    <w:rsid w:val="00A359CB"/>
    <w:rsid w:val="00A42719"/>
    <w:rsid w:val="00A4484A"/>
    <w:rsid w:val="00A4561D"/>
    <w:rsid w:val="00A46837"/>
    <w:rsid w:val="00A47193"/>
    <w:rsid w:val="00A50FD6"/>
    <w:rsid w:val="00A5262B"/>
    <w:rsid w:val="00A5332A"/>
    <w:rsid w:val="00A5391C"/>
    <w:rsid w:val="00A548D0"/>
    <w:rsid w:val="00A54965"/>
    <w:rsid w:val="00A55A3E"/>
    <w:rsid w:val="00A609F7"/>
    <w:rsid w:val="00A60AE3"/>
    <w:rsid w:val="00A61273"/>
    <w:rsid w:val="00A628DB"/>
    <w:rsid w:val="00A65705"/>
    <w:rsid w:val="00A663B3"/>
    <w:rsid w:val="00A66E91"/>
    <w:rsid w:val="00A66EFF"/>
    <w:rsid w:val="00A70FFE"/>
    <w:rsid w:val="00A72EF7"/>
    <w:rsid w:val="00A734E6"/>
    <w:rsid w:val="00A749B9"/>
    <w:rsid w:val="00A74EF1"/>
    <w:rsid w:val="00A76560"/>
    <w:rsid w:val="00A77404"/>
    <w:rsid w:val="00A779F5"/>
    <w:rsid w:val="00A77E3A"/>
    <w:rsid w:val="00A807ED"/>
    <w:rsid w:val="00A81852"/>
    <w:rsid w:val="00A82336"/>
    <w:rsid w:val="00A83FFB"/>
    <w:rsid w:val="00A8598E"/>
    <w:rsid w:val="00A9109F"/>
    <w:rsid w:val="00A914A9"/>
    <w:rsid w:val="00A9204E"/>
    <w:rsid w:val="00A92410"/>
    <w:rsid w:val="00A925D6"/>
    <w:rsid w:val="00A93149"/>
    <w:rsid w:val="00A9382B"/>
    <w:rsid w:val="00A95D7E"/>
    <w:rsid w:val="00A96523"/>
    <w:rsid w:val="00A96579"/>
    <w:rsid w:val="00A971D8"/>
    <w:rsid w:val="00AA0CCF"/>
    <w:rsid w:val="00AA1A5A"/>
    <w:rsid w:val="00AA1E8D"/>
    <w:rsid w:val="00AA22F7"/>
    <w:rsid w:val="00AA45C6"/>
    <w:rsid w:val="00AA61E9"/>
    <w:rsid w:val="00AA6CC3"/>
    <w:rsid w:val="00AA6F65"/>
    <w:rsid w:val="00AB3587"/>
    <w:rsid w:val="00AB3F96"/>
    <w:rsid w:val="00AB402D"/>
    <w:rsid w:val="00AB4E10"/>
    <w:rsid w:val="00AB51EE"/>
    <w:rsid w:val="00AB6EC6"/>
    <w:rsid w:val="00AC0091"/>
    <w:rsid w:val="00AC1073"/>
    <w:rsid w:val="00AC1147"/>
    <w:rsid w:val="00AC1676"/>
    <w:rsid w:val="00AC2927"/>
    <w:rsid w:val="00AC30FF"/>
    <w:rsid w:val="00AC4570"/>
    <w:rsid w:val="00AC4680"/>
    <w:rsid w:val="00AC53BC"/>
    <w:rsid w:val="00AC7943"/>
    <w:rsid w:val="00AC7B8F"/>
    <w:rsid w:val="00AD0465"/>
    <w:rsid w:val="00AD0D78"/>
    <w:rsid w:val="00AD1A24"/>
    <w:rsid w:val="00AD2077"/>
    <w:rsid w:val="00AD383D"/>
    <w:rsid w:val="00AD4DA3"/>
    <w:rsid w:val="00AD5DE9"/>
    <w:rsid w:val="00AD6AAE"/>
    <w:rsid w:val="00AD6EF6"/>
    <w:rsid w:val="00AD77BC"/>
    <w:rsid w:val="00AD78AF"/>
    <w:rsid w:val="00AD7CBA"/>
    <w:rsid w:val="00AE0078"/>
    <w:rsid w:val="00AE2061"/>
    <w:rsid w:val="00AE3402"/>
    <w:rsid w:val="00AE48A7"/>
    <w:rsid w:val="00AE55E4"/>
    <w:rsid w:val="00AE6143"/>
    <w:rsid w:val="00AE74E2"/>
    <w:rsid w:val="00AF12ED"/>
    <w:rsid w:val="00AF1465"/>
    <w:rsid w:val="00AF2137"/>
    <w:rsid w:val="00AF2B19"/>
    <w:rsid w:val="00AF306F"/>
    <w:rsid w:val="00AF32AA"/>
    <w:rsid w:val="00AF3EC7"/>
    <w:rsid w:val="00AF3F10"/>
    <w:rsid w:val="00AF4352"/>
    <w:rsid w:val="00AF4B83"/>
    <w:rsid w:val="00AF4B8D"/>
    <w:rsid w:val="00AF617C"/>
    <w:rsid w:val="00AF6D8A"/>
    <w:rsid w:val="00AF7AB4"/>
    <w:rsid w:val="00B0040E"/>
    <w:rsid w:val="00B004ED"/>
    <w:rsid w:val="00B006D1"/>
    <w:rsid w:val="00B01173"/>
    <w:rsid w:val="00B016FD"/>
    <w:rsid w:val="00B02604"/>
    <w:rsid w:val="00B0392F"/>
    <w:rsid w:val="00B05FC5"/>
    <w:rsid w:val="00B06301"/>
    <w:rsid w:val="00B069D1"/>
    <w:rsid w:val="00B07F7B"/>
    <w:rsid w:val="00B10997"/>
    <w:rsid w:val="00B10C74"/>
    <w:rsid w:val="00B112CD"/>
    <w:rsid w:val="00B124E2"/>
    <w:rsid w:val="00B12A44"/>
    <w:rsid w:val="00B13C38"/>
    <w:rsid w:val="00B148E9"/>
    <w:rsid w:val="00B159F0"/>
    <w:rsid w:val="00B15CDA"/>
    <w:rsid w:val="00B15E77"/>
    <w:rsid w:val="00B166C0"/>
    <w:rsid w:val="00B17725"/>
    <w:rsid w:val="00B17B52"/>
    <w:rsid w:val="00B20208"/>
    <w:rsid w:val="00B216BC"/>
    <w:rsid w:val="00B21722"/>
    <w:rsid w:val="00B23B5C"/>
    <w:rsid w:val="00B30F73"/>
    <w:rsid w:val="00B314B8"/>
    <w:rsid w:val="00B3202B"/>
    <w:rsid w:val="00B32B5A"/>
    <w:rsid w:val="00B340C1"/>
    <w:rsid w:val="00B347CD"/>
    <w:rsid w:val="00B34A83"/>
    <w:rsid w:val="00B3529D"/>
    <w:rsid w:val="00B4051F"/>
    <w:rsid w:val="00B41594"/>
    <w:rsid w:val="00B41C25"/>
    <w:rsid w:val="00B432F4"/>
    <w:rsid w:val="00B43532"/>
    <w:rsid w:val="00B43E51"/>
    <w:rsid w:val="00B44557"/>
    <w:rsid w:val="00B44D1F"/>
    <w:rsid w:val="00B45028"/>
    <w:rsid w:val="00B459F9"/>
    <w:rsid w:val="00B473B4"/>
    <w:rsid w:val="00B5199A"/>
    <w:rsid w:val="00B52266"/>
    <w:rsid w:val="00B53333"/>
    <w:rsid w:val="00B53F21"/>
    <w:rsid w:val="00B54ADB"/>
    <w:rsid w:val="00B54E43"/>
    <w:rsid w:val="00B60625"/>
    <w:rsid w:val="00B64BAC"/>
    <w:rsid w:val="00B6543F"/>
    <w:rsid w:val="00B656CA"/>
    <w:rsid w:val="00B65ED7"/>
    <w:rsid w:val="00B66E05"/>
    <w:rsid w:val="00B72C29"/>
    <w:rsid w:val="00B73697"/>
    <w:rsid w:val="00B73FC3"/>
    <w:rsid w:val="00B8003F"/>
    <w:rsid w:val="00B802D5"/>
    <w:rsid w:val="00B80332"/>
    <w:rsid w:val="00B8041E"/>
    <w:rsid w:val="00B80E07"/>
    <w:rsid w:val="00B810FA"/>
    <w:rsid w:val="00B8152D"/>
    <w:rsid w:val="00B815A6"/>
    <w:rsid w:val="00B82E59"/>
    <w:rsid w:val="00B830EC"/>
    <w:rsid w:val="00B83543"/>
    <w:rsid w:val="00B85B73"/>
    <w:rsid w:val="00B87213"/>
    <w:rsid w:val="00B9085C"/>
    <w:rsid w:val="00B90C5A"/>
    <w:rsid w:val="00B91306"/>
    <w:rsid w:val="00B91812"/>
    <w:rsid w:val="00B924A2"/>
    <w:rsid w:val="00B93099"/>
    <w:rsid w:val="00B93B63"/>
    <w:rsid w:val="00B94E53"/>
    <w:rsid w:val="00B96B7C"/>
    <w:rsid w:val="00B97D94"/>
    <w:rsid w:val="00BA00B6"/>
    <w:rsid w:val="00BA137F"/>
    <w:rsid w:val="00BA1862"/>
    <w:rsid w:val="00BA1AC9"/>
    <w:rsid w:val="00BA267D"/>
    <w:rsid w:val="00BA2E10"/>
    <w:rsid w:val="00BA364C"/>
    <w:rsid w:val="00BA41BE"/>
    <w:rsid w:val="00BA427E"/>
    <w:rsid w:val="00BA5063"/>
    <w:rsid w:val="00BB0151"/>
    <w:rsid w:val="00BB032C"/>
    <w:rsid w:val="00BB1DD1"/>
    <w:rsid w:val="00BB2A37"/>
    <w:rsid w:val="00BB3426"/>
    <w:rsid w:val="00BB3A0C"/>
    <w:rsid w:val="00BB42BB"/>
    <w:rsid w:val="00BB488F"/>
    <w:rsid w:val="00BB4DBB"/>
    <w:rsid w:val="00BB5583"/>
    <w:rsid w:val="00BB6240"/>
    <w:rsid w:val="00BC0098"/>
    <w:rsid w:val="00BC1B92"/>
    <w:rsid w:val="00BC3156"/>
    <w:rsid w:val="00BC3A38"/>
    <w:rsid w:val="00BC4F48"/>
    <w:rsid w:val="00BC62EB"/>
    <w:rsid w:val="00BC7473"/>
    <w:rsid w:val="00BC75EF"/>
    <w:rsid w:val="00BD0D3E"/>
    <w:rsid w:val="00BD1365"/>
    <w:rsid w:val="00BD1A53"/>
    <w:rsid w:val="00BD4E2B"/>
    <w:rsid w:val="00BD509B"/>
    <w:rsid w:val="00BD5166"/>
    <w:rsid w:val="00BD5A6C"/>
    <w:rsid w:val="00BD7BE6"/>
    <w:rsid w:val="00BE06B4"/>
    <w:rsid w:val="00BE14F5"/>
    <w:rsid w:val="00BE254B"/>
    <w:rsid w:val="00BE40C9"/>
    <w:rsid w:val="00BE673B"/>
    <w:rsid w:val="00BE77B1"/>
    <w:rsid w:val="00BE7840"/>
    <w:rsid w:val="00BF005B"/>
    <w:rsid w:val="00BF03CE"/>
    <w:rsid w:val="00BF0543"/>
    <w:rsid w:val="00BF0F33"/>
    <w:rsid w:val="00BF10CF"/>
    <w:rsid w:val="00BF2471"/>
    <w:rsid w:val="00BF24F7"/>
    <w:rsid w:val="00BF2E17"/>
    <w:rsid w:val="00BF2FCB"/>
    <w:rsid w:val="00BF30DC"/>
    <w:rsid w:val="00BF3221"/>
    <w:rsid w:val="00BF5B10"/>
    <w:rsid w:val="00BF6B81"/>
    <w:rsid w:val="00BF7061"/>
    <w:rsid w:val="00C007BA"/>
    <w:rsid w:val="00C01269"/>
    <w:rsid w:val="00C0249E"/>
    <w:rsid w:val="00C032F7"/>
    <w:rsid w:val="00C033E4"/>
    <w:rsid w:val="00C034A3"/>
    <w:rsid w:val="00C03C88"/>
    <w:rsid w:val="00C049AA"/>
    <w:rsid w:val="00C07E65"/>
    <w:rsid w:val="00C10D8B"/>
    <w:rsid w:val="00C13D42"/>
    <w:rsid w:val="00C13D6B"/>
    <w:rsid w:val="00C15421"/>
    <w:rsid w:val="00C1730B"/>
    <w:rsid w:val="00C17B90"/>
    <w:rsid w:val="00C17D0B"/>
    <w:rsid w:val="00C2113B"/>
    <w:rsid w:val="00C21573"/>
    <w:rsid w:val="00C21A24"/>
    <w:rsid w:val="00C22541"/>
    <w:rsid w:val="00C23E2E"/>
    <w:rsid w:val="00C26028"/>
    <w:rsid w:val="00C268FC"/>
    <w:rsid w:val="00C27A17"/>
    <w:rsid w:val="00C3042D"/>
    <w:rsid w:val="00C3084A"/>
    <w:rsid w:val="00C31199"/>
    <w:rsid w:val="00C3181F"/>
    <w:rsid w:val="00C33163"/>
    <w:rsid w:val="00C344BE"/>
    <w:rsid w:val="00C34BFB"/>
    <w:rsid w:val="00C35FAE"/>
    <w:rsid w:val="00C36FE1"/>
    <w:rsid w:val="00C40905"/>
    <w:rsid w:val="00C41279"/>
    <w:rsid w:val="00C42CF4"/>
    <w:rsid w:val="00C43CE9"/>
    <w:rsid w:val="00C44B50"/>
    <w:rsid w:val="00C45CB0"/>
    <w:rsid w:val="00C46E16"/>
    <w:rsid w:val="00C47BAE"/>
    <w:rsid w:val="00C51863"/>
    <w:rsid w:val="00C53057"/>
    <w:rsid w:val="00C530AE"/>
    <w:rsid w:val="00C530DC"/>
    <w:rsid w:val="00C53F8A"/>
    <w:rsid w:val="00C54652"/>
    <w:rsid w:val="00C600B1"/>
    <w:rsid w:val="00C63EAA"/>
    <w:rsid w:val="00C64A0E"/>
    <w:rsid w:val="00C65214"/>
    <w:rsid w:val="00C670C4"/>
    <w:rsid w:val="00C67E38"/>
    <w:rsid w:val="00C67F42"/>
    <w:rsid w:val="00C70062"/>
    <w:rsid w:val="00C71DEF"/>
    <w:rsid w:val="00C71EC9"/>
    <w:rsid w:val="00C73419"/>
    <w:rsid w:val="00C75C52"/>
    <w:rsid w:val="00C77341"/>
    <w:rsid w:val="00C77AB0"/>
    <w:rsid w:val="00C77D73"/>
    <w:rsid w:val="00C801D5"/>
    <w:rsid w:val="00C8086A"/>
    <w:rsid w:val="00C80DA4"/>
    <w:rsid w:val="00C827FF"/>
    <w:rsid w:val="00C8311C"/>
    <w:rsid w:val="00C831C9"/>
    <w:rsid w:val="00C84DA9"/>
    <w:rsid w:val="00C8586D"/>
    <w:rsid w:val="00C874DC"/>
    <w:rsid w:val="00C87B52"/>
    <w:rsid w:val="00C918D5"/>
    <w:rsid w:val="00C91D83"/>
    <w:rsid w:val="00C93C59"/>
    <w:rsid w:val="00C93E1C"/>
    <w:rsid w:val="00C94134"/>
    <w:rsid w:val="00C94A29"/>
    <w:rsid w:val="00C9543C"/>
    <w:rsid w:val="00C973EB"/>
    <w:rsid w:val="00C97993"/>
    <w:rsid w:val="00CA10CB"/>
    <w:rsid w:val="00CA1A3F"/>
    <w:rsid w:val="00CA396B"/>
    <w:rsid w:val="00CA39F3"/>
    <w:rsid w:val="00CA4887"/>
    <w:rsid w:val="00CA50BC"/>
    <w:rsid w:val="00CA5AB2"/>
    <w:rsid w:val="00CA668C"/>
    <w:rsid w:val="00CA6D30"/>
    <w:rsid w:val="00CB1DB8"/>
    <w:rsid w:val="00CB22A7"/>
    <w:rsid w:val="00CB2B9E"/>
    <w:rsid w:val="00CB477F"/>
    <w:rsid w:val="00CB6770"/>
    <w:rsid w:val="00CC0167"/>
    <w:rsid w:val="00CC076C"/>
    <w:rsid w:val="00CC0F69"/>
    <w:rsid w:val="00CC4A51"/>
    <w:rsid w:val="00CC4C27"/>
    <w:rsid w:val="00CC5553"/>
    <w:rsid w:val="00CC6BBA"/>
    <w:rsid w:val="00CC7036"/>
    <w:rsid w:val="00CC763D"/>
    <w:rsid w:val="00CC7D7E"/>
    <w:rsid w:val="00CD0DF1"/>
    <w:rsid w:val="00CD1AF2"/>
    <w:rsid w:val="00CD5F99"/>
    <w:rsid w:val="00CD6267"/>
    <w:rsid w:val="00CD68E2"/>
    <w:rsid w:val="00CD7C19"/>
    <w:rsid w:val="00CE057A"/>
    <w:rsid w:val="00CE2179"/>
    <w:rsid w:val="00CE3453"/>
    <w:rsid w:val="00CE3E0E"/>
    <w:rsid w:val="00CE6293"/>
    <w:rsid w:val="00CE6718"/>
    <w:rsid w:val="00CF1CAF"/>
    <w:rsid w:val="00CF2103"/>
    <w:rsid w:val="00CF3446"/>
    <w:rsid w:val="00CF37AB"/>
    <w:rsid w:val="00CF403A"/>
    <w:rsid w:val="00CF618B"/>
    <w:rsid w:val="00CF65B4"/>
    <w:rsid w:val="00CF7B0C"/>
    <w:rsid w:val="00D00B71"/>
    <w:rsid w:val="00D00E7C"/>
    <w:rsid w:val="00D0135B"/>
    <w:rsid w:val="00D013BA"/>
    <w:rsid w:val="00D0245D"/>
    <w:rsid w:val="00D027A4"/>
    <w:rsid w:val="00D03D27"/>
    <w:rsid w:val="00D03E4D"/>
    <w:rsid w:val="00D072BF"/>
    <w:rsid w:val="00D07C71"/>
    <w:rsid w:val="00D11400"/>
    <w:rsid w:val="00D13652"/>
    <w:rsid w:val="00D1474C"/>
    <w:rsid w:val="00D14B77"/>
    <w:rsid w:val="00D14E54"/>
    <w:rsid w:val="00D152AE"/>
    <w:rsid w:val="00D15C57"/>
    <w:rsid w:val="00D17D62"/>
    <w:rsid w:val="00D2117D"/>
    <w:rsid w:val="00D21814"/>
    <w:rsid w:val="00D21F38"/>
    <w:rsid w:val="00D235AB"/>
    <w:rsid w:val="00D23D32"/>
    <w:rsid w:val="00D2684E"/>
    <w:rsid w:val="00D27351"/>
    <w:rsid w:val="00D2788B"/>
    <w:rsid w:val="00D27F81"/>
    <w:rsid w:val="00D33D27"/>
    <w:rsid w:val="00D33D32"/>
    <w:rsid w:val="00D33E63"/>
    <w:rsid w:val="00D34E2F"/>
    <w:rsid w:val="00D3719D"/>
    <w:rsid w:val="00D3745E"/>
    <w:rsid w:val="00D403E2"/>
    <w:rsid w:val="00D40B9C"/>
    <w:rsid w:val="00D40F55"/>
    <w:rsid w:val="00D42BD8"/>
    <w:rsid w:val="00D42D7C"/>
    <w:rsid w:val="00D43793"/>
    <w:rsid w:val="00D45056"/>
    <w:rsid w:val="00D45775"/>
    <w:rsid w:val="00D45983"/>
    <w:rsid w:val="00D45D90"/>
    <w:rsid w:val="00D45F21"/>
    <w:rsid w:val="00D47A18"/>
    <w:rsid w:val="00D47D25"/>
    <w:rsid w:val="00D5067A"/>
    <w:rsid w:val="00D52E42"/>
    <w:rsid w:val="00D54568"/>
    <w:rsid w:val="00D550B3"/>
    <w:rsid w:val="00D57C37"/>
    <w:rsid w:val="00D603B1"/>
    <w:rsid w:val="00D61C97"/>
    <w:rsid w:val="00D62318"/>
    <w:rsid w:val="00D63A4D"/>
    <w:rsid w:val="00D63C07"/>
    <w:rsid w:val="00D63F2F"/>
    <w:rsid w:val="00D64C0F"/>
    <w:rsid w:val="00D65059"/>
    <w:rsid w:val="00D741D6"/>
    <w:rsid w:val="00D75851"/>
    <w:rsid w:val="00D75C89"/>
    <w:rsid w:val="00D76E52"/>
    <w:rsid w:val="00D77B5B"/>
    <w:rsid w:val="00D84399"/>
    <w:rsid w:val="00D863F5"/>
    <w:rsid w:val="00D868B5"/>
    <w:rsid w:val="00D86AE9"/>
    <w:rsid w:val="00D872CA"/>
    <w:rsid w:val="00D872DF"/>
    <w:rsid w:val="00D87390"/>
    <w:rsid w:val="00D87FC4"/>
    <w:rsid w:val="00D90A7E"/>
    <w:rsid w:val="00D91B62"/>
    <w:rsid w:val="00D929E6"/>
    <w:rsid w:val="00D9344B"/>
    <w:rsid w:val="00D9371E"/>
    <w:rsid w:val="00D94757"/>
    <w:rsid w:val="00D947EF"/>
    <w:rsid w:val="00D96699"/>
    <w:rsid w:val="00D96C8F"/>
    <w:rsid w:val="00D97C97"/>
    <w:rsid w:val="00DA04C3"/>
    <w:rsid w:val="00DA0641"/>
    <w:rsid w:val="00DA088E"/>
    <w:rsid w:val="00DA0A66"/>
    <w:rsid w:val="00DA1951"/>
    <w:rsid w:val="00DA1CBE"/>
    <w:rsid w:val="00DA45B6"/>
    <w:rsid w:val="00DA4936"/>
    <w:rsid w:val="00DA4995"/>
    <w:rsid w:val="00DA4F35"/>
    <w:rsid w:val="00DA619E"/>
    <w:rsid w:val="00DA6794"/>
    <w:rsid w:val="00DA7336"/>
    <w:rsid w:val="00DB06D4"/>
    <w:rsid w:val="00DB1525"/>
    <w:rsid w:val="00DB1AD6"/>
    <w:rsid w:val="00DB3E02"/>
    <w:rsid w:val="00DB403F"/>
    <w:rsid w:val="00DB46A3"/>
    <w:rsid w:val="00DB520F"/>
    <w:rsid w:val="00DB703B"/>
    <w:rsid w:val="00DC051E"/>
    <w:rsid w:val="00DC15CE"/>
    <w:rsid w:val="00DC1C61"/>
    <w:rsid w:val="00DC2665"/>
    <w:rsid w:val="00DC2786"/>
    <w:rsid w:val="00DC2AA9"/>
    <w:rsid w:val="00DC2B6D"/>
    <w:rsid w:val="00DC3EEE"/>
    <w:rsid w:val="00DC4CAB"/>
    <w:rsid w:val="00DC5226"/>
    <w:rsid w:val="00DC551B"/>
    <w:rsid w:val="00DC5DF9"/>
    <w:rsid w:val="00DC72A3"/>
    <w:rsid w:val="00DD1DA9"/>
    <w:rsid w:val="00DD1E03"/>
    <w:rsid w:val="00DD1FB6"/>
    <w:rsid w:val="00DD30D8"/>
    <w:rsid w:val="00DD3134"/>
    <w:rsid w:val="00DD3657"/>
    <w:rsid w:val="00DD5310"/>
    <w:rsid w:val="00DD5515"/>
    <w:rsid w:val="00DD5ACB"/>
    <w:rsid w:val="00DD5CAB"/>
    <w:rsid w:val="00DD7DC9"/>
    <w:rsid w:val="00DD7F80"/>
    <w:rsid w:val="00DE13DC"/>
    <w:rsid w:val="00DE17C4"/>
    <w:rsid w:val="00DE395A"/>
    <w:rsid w:val="00DE3B24"/>
    <w:rsid w:val="00DE3C9E"/>
    <w:rsid w:val="00DE468C"/>
    <w:rsid w:val="00DE4C4C"/>
    <w:rsid w:val="00DE5A7D"/>
    <w:rsid w:val="00DE64CE"/>
    <w:rsid w:val="00DE7D7D"/>
    <w:rsid w:val="00DF09CF"/>
    <w:rsid w:val="00DF0DF8"/>
    <w:rsid w:val="00DF16AF"/>
    <w:rsid w:val="00DF1934"/>
    <w:rsid w:val="00DF21A3"/>
    <w:rsid w:val="00DF22C8"/>
    <w:rsid w:val="00DF3956"/>
    <w:rsid w:val="00DF5904"/>
    <w:rsid w:val="00DF70A9"/>
    <w:rsid w:val="00DF7623"/>
    <w:rsid w:val="00DF7C40"/>
    <w:rsid w:val="00E00D76"/>
    <w:rsid w:val="00E0124F"/>
    <w:rsid w:val="00E01BF6"/>
    <w:rsid w:val="00E01F76"/>
    <w:rsid w:val="00E04397"/>
    <w:rsid w:val="00E044B2"/>
    <w:rsid w:val="00E04C24"/>
    <w:rsid w:val="00E0640A"/>
    <w:rsid w:val="00E06828"/>
    <w:rsid w:val="00E07919"/>
    <w:rsid w:val="00E11B56"/>
    <w:rsid w:val="00E139BF"/>
    <w:rsid w:val="00E13D11"/>
    <w:rsid w:val="00E146FF"/>
    <w:rsid w:val="00E14DDD"/>
    <w:rsid w:val="00E158CE"/>
    <w:rsid w:val="00E15EC4"/>
    <w:rsid w:val="00E171C6"/>
    <w:rsid w:val="00E231ED"/>
    <w:rsid w:val="00E23D7A"/>
    <w:rsid w:val="00E252E8"/>
    <w:rsid w:val="00E26B63"/>
    <w:rsid w:val="00E26BA5"/>
    <w:rsid w:val="00E27672"/>
    <w:rsid w:val="00E27D23"/>
    <w:rsid w:val="00E31559"/>
    <w:rsid w:val="00E31B51"/>
    <w:rsid w:val="00E31B7C"/>
    <w:rsid w:val="00E32AF0"/>
    <w:rsid w:val="00E32D60"/>
    <w:rsid w:val="00E33FE5"/>
    <w:rsid w:val="00E34219"/>
    <w:rsid w:val="00E3438F"/>
    <w:rsid w:val="00E34853"/>
    <w:rsid w:val="00E3633E"/>
    <w:rsid w:val="00E36D9B"/>
    <w:rsid w:val="00E36EC6"/>
    <w:rsid w:val="00E40AA8"/>
    <w:rsid w:val="00E41459"/>
    <w:rsid w:val="00E41536"/>
    <w:rsid w:val="00E41762"/>
    <w:rsid w:val="00E437A7"/>
    <w:rsid w:val="00E43AF9"/>
    <w:rsid w:val="00E442AB"/>
    <w:rsid w:val="00E44E2D"/>
    <w:rsid w:val="00E44F0F"/>
    <w:rsid w:val="00E4586E"/>
    <w:rsid w:val="00E5008B"/>
    <w:rsid w:val="00E51742"/>
    <w:rsid w:val="00E52173"/>
    <w:rsid w:val="00E528CE"/>
    <w:rsid w:val="00E529AE"/>
    <w:rsid w:val="00E531C6"/>
    <w:rsid w:val="00E53895"/>
    <w:rsid w:val="00E538DB"/>
    <w:rsid w:val="00E556A7"/>
    <w:rsid w:val="00E55728"/>
    <w:rsid w:val="00E56C27"/>
    <w:rsid w:val="00E57A42"/>
    <w:rsid w:val="00E57B1C"/>
    <w:rsid w:val="00E60803"/>
    <w:rsid w:val="00E6332C"/>
    <w:rsid w:val="00E63A6E"/>
    <w:rsid w:val="00E64D94"/>
    <w:rsid w:val="00E65A86"/>
    <w:rsid w:val="00E663FF"/>
    <w:rsid w:val="00E664F0"/>
    <w:rsid w:val="00E6689F"/>
    <w:rsid w:val="00E67B34"/>
    <w:rsid w:val="00E7020C"/>
    <w:rsid w:val="00E710AB"/>
    <w:rsid w:val="00E7233A"/>
    <w:rsid w:val="00E72B0E"/>
    <w:rsid w:val="00E74769"/>
    <w:rsid w:val="00E74F7D"/>
    <w:rsid w:val="00E75501"/>
    <w:rsid w:val="00E76183"/>
    <w:rsid w:val="00E802E8"/>
    <w:rsid w:val="00E805DE"/>
    <w:rsid w:val="00E806E2"/>
    <w:rsid w:val="00E80A12"/>
    <w:rsid w:val="00E80AE1"/>
    <w:rsid w:val="00E82474"/>
    <w:rsid w:val="00E82646"/>
    <w:rsid w:val="00E82B88"/>
    <w:rsid w:val="00E83005"/>
    <w:rsid w:val="00E836DE"/>
    <w:rsid w:val="00E84B20"/>
    <w:rsid w:val="00E84BF8"/>
    <w:rsid w:val="00E86FDC"/>
    <w:rsid w:val="00E870F4"/>
    <w:rsid w:val="00E87C7E"/>
    <w:rsid w:val="00E9083A"/>
    <w:rsid w:val="00E91224"/>
    <w:rsid w:val="00E91DE0"/>
    <w:rsid w:val="00E9472A"/>
    <w:rsid w:val="00E94D61"/>
    <w:rsid w:val="00E94E89"/>
    <w:rsid w:val="00E95659"/>
    <w:rsid w:val="00E96C60"/>
    <w:rsid w:val="00E96F9C"/>
    <w:rsid w:val="00E97EDF"/>
    <w:rsid w:val="00EA1890"/>
    <w:rsid w:val="00EA27EE"/>
    <w:rsid w:val="00EA3B66"/>
    <w:rsid w:val="00EA41EE"/>
    <w:rsid w:val="00EB0A4A"/>
    <w:rsid w:val="00EB25C6"/>
    <w:rsid w:val="00EB57A9"/>
    <w:rsid w:val="00EB5F01"/>
    <w:rsid w:val="00EC0A64"/>
    <w:rsid w:val="00EC12B6"/>
    <w:rsid w:val="00EC1BBB"/>
    <w:rsid w:val="00EC3279"/>
    <w:rsid w:val="00EC3AD9"/>
    <w:rsid w:val="00EC3C6C"/>
    <w:rsid w:val="00EC46A2"/>
    <w:rsid w:val="00EC4C2C"/>
    <w:rsid w:val="00EC5FBA"/>
    <w:rsid w:val="00ED2040"/>
    <w:rsid w:val="00ED240F"/>
    <w:rsid w:val="00ED275A"/>
    <w:rsid w:val="00ED47A7"/>
    <w:rsid w:val="00ED7F1D"/>
    <w:rsid w:val="00EE03E8"/>
    <w:rsid w:val="00EE1D6D"/>
    <w:rsid w:val="00EE25B8"/>
    <w:rsid w:val="00EE293F"/>
    <w:rsid w:val="00EE2D21"/>
    <w:rsid w:val="00EE3A77"/>
    <w:rsid w:val="00EE45BE"/>
    <w:rsid w:val="00EE4C1E"/>
    <w:rsid w:val="00EE50AF"/>
    <w:rsid w:val="00EE5322"/>
    <w:rsid w:val="00EE5B67"/>
    <w:rsid w:val="00EE6420"/>
    <w:rsid w:val="00EE6ECA"/>
    <w:rsid w:val="00EE74D5"/>
    <w:rsid w:val="00EF01DE"/>
    <w:rsid w:val="00EF03C8"/>
    <w:rsid w:val="00EF079A"/>
    <w:rsid w:val="00EF09AE"/>
    <w:rsid w:val="00EF19A3"/>
    <w:rsid w:val="00EF30BA"/>
    <w:rsid w:val="00EF69FE"/>
    <w:rsid w:val="00EF6FF8"/>
    <w:rsid w:val="00EF76C2"/>
    <w:rsid w:val="00EF791E"/>
    <w:rsid w:val="00EF7EFA"/>
    <w:rsid w:val="00F000F3"/>
    <w:rsid w:val="00F00866"/>
    <w:rsid w:val="00F00CFD"/>
    <w:rsid w:val="00F02853"/>
    <w:rsid w:val="00F03061"/>
    <w:rsid w:val="00F0473A"/>
    <w:rsid w:val="00F04C3A"/>
    <w:rsid w:val="00F05065"/>
    <w:rsid w:val="00F05389"/>
    <w:rsid w:val="00F05E76"/>
    <w:rsid w:val="00F11C08"/>
    <w:rsid w:val="00F1214C"/>
    <w:rsid w:val="00F12A81"/>
    <w:rsid w:val="00F142F3"/>
    <w:rsid w:val="00F14ED6"/>
    <w:rsid w:val="00F15C14"/>
    <w:rsid w:val="00F167BA"/>
    <w:rsid w:val="00F17C40"/>
    <w:rsid w:val="00F20C9A"/>
    <w:rsid w:val="00F221EF"/>
    <w:rsid w:val="00F245F0"/>
    <w:rsid w:val="00F24847"/>
    <w:rsid w:val="00F25A44"/>
    <w:rsid w:val="00F27C82"/>
    <w:rsid w:val="00F30930"/>
    <w:rsid w:val="00F30F6B"/>
    <w:rsid w:val="00F3187D"/>
    <w:rsid w:val="00F345E1"/>
    <w:rsid w:val="00F34ABA"/>
    <w:rsid w:val="00F361DA"/>
    <w:rsid w:val="00F36947"/>
    <w:rsid w:val="00F37029"/>
    <w:rsid w:val="00F415F5"/>
    <w:rsid w:val="00F41C08"/>
    <w:rsid w:val="00F41C70"/>
    <w:rsid w:val="00F44CB7"/>
    <w:rsid w:val="00F462E3"/>
    <w:rsid w:val="00F46899"/>
    <w:rsid w:val="00F50A10"/>
    <w:rsid w:val="00F51CF6"/>
    <w:rsid w:val="00F51DA2"/>
    <w:rsid w:val="00F527E8"/>
    <w:rsid w:val="00F5303F"/>
    <w:rsid w:val="00F5342A"/>
    <w:rsid w:val="00F53846"/>
    <w:rsid w:val="00F53847"/>
    <w:rsid w:val="00F53AE5"/>
    <w:rsid w:val="00F54A81"/>
    <w:rsid w:val="00F55712"/>
    <w:rsid w:val="00F5572F"/>
    <w:rsid w:val="00F55A8F"/>
    <w:rsid w:val="00F55FF0"/>
    <w:rsid w:val="00F56CD5"/>
    <w:rsid w:val="00F57CFF"/>
    <w:rsid w:val="00F60C9D"/>
    <w:rsid w:val="00F616A7"/>
    <w:rsid w:val="00F62D4A"/>
    <w:rsid w:val="00F657E6"/>
    <w:rsid w:val="00F66156"/>
    <w:rsid w:val="00F71E3D"/>
    <w:rsid w:val="00F752ED"/>
    <w:rsid w:val="00F75AD3"/>
    <w:rsid w:val="00F75B6C"/>
    <w:rsid w:val="00F77271"/>
    <w:rsid w:val="00F77CE2"/>
    <w:rsid w:val="00F814EB"/>
    <w:rsid w:val="00F823FC"/>
    <w:rsid w:val="00F83601"/>
    <w:rsid w:val="00F83761"/>
    <w:rsid w:val="00F85D9C"/>
    <w:rsid w:val="00F85E9B"/>
    <w:rsid w:val="00F85FDA"/>
    <w:rsid w:val="00F86946"/>
    <w:rsid w:val="00F874E4"/>
    <w:rsid w:val="00F932DD"/>
    <w:rsid w:val="00F93CE7"/>
    <w:rsid w:val="00F94950"/>
    <w:rsid w:val="00F959D4"/>
    <w:rsid w:val="00F964F9"/>
    <w:rsid w:val="00F97CD9"/>
    <w:rsid w:val="00FA01C2"/>
    <w:rsid w:val="00FA0298"/>
    <w:rsid w:val="00FA1BAF"/>
    <w:rsid w:val="00FA1DC0"/>
    <w:rsid w:val="00FA28BF"/>
    <w:rsid w:val="00FA2F9C"/>
    <w:rsid w:val="00FA342F"/>
    <w:rsid w:val="00FA374D"/>
    <w:rsid w:val="00FA397E"/>
    <w:rsid w:val="00FA578A"/>
    <w:rsid w:val="00FA5829"/>
    <w:rsid w:val="00FA5A8C"/>
    <w:rsid w:val="00FB0522"/>
    <w:rsid w:val="00FB1812"/>
    <w:rsid w:val="00FB1DA3"/>
    <w:rsid w:val="00FB4B7F"/>
    <w:rsid w:val="00FB4CB1"/>
    <w:rsid w:val="00FB55D0"/>
    <w:rsid w:val="00FB5772"/>
    <w:rsid w:val="00FB5BDE"/>
    <w:rsid w:val="00FB7CA0"/>
    <w:rsid w:val="00FC2429"/>
    <w:rsid w:val="00FC421A"/>
    <w:rsid w:val="00FC4558"/>
    <w:rsid w:val="00FC45C1"/>
    <w:rsid w:val="00FC4847"/>
    <w:rsid w:val="00FC77B4"/>
    <w:rsid w:val="00FD0F61"/>
    <w:rsid w:val="00FD2014"/>
    <w:rsid w:val="00FD21D4"/>
    <w:rsid w:val="00FD2749"/>
    <w:rsid w:val="00FD29FB"/>
    <w:rsid w:val="00FD3A64"/>
    <w:rsid w:val="00FD3A92"/>
    <w:rsid w:val="00FD515F"/>
    <w:rsid w:val="00FD64DF"/>
    <w:rsid w:val="00FD6688"/>
    <w:rsid w:val="00FD6FBF"/>
    <w:rsid w:val="00FD71FE"/>
    <w:rsid w:val="00FD7BEA"/>
    <w:rsid w:val="00FE16AE"/>
    <w:rsid w:val="00FE28E6"/>
    <w:rsid w:val="00FE334C"/>
    <w:rsid w:val="00FE41AE"/>
    <w:rsid w:val="00FE4B36"/>
    <w:rsid w:val="00FE516F"/>
    <w:rsid w:val="00FE5DA3"/>
    <w:rsid w:val="00FE6B61"/>
    <w:rsid w:val="00FE7DD1"/>
    <w:rsid w:val="00FF04E9"/>
    <w:rsid w:val="00FF0EBF"/>
    <w:rsid w:val="00FF1758"/>
    <w:rsid w:val="00FF1AD9"/>
    <w:rsid w:val="00FF2765"/>
    <w:rsid w:val="00FF3936"/>
    <w:rsid w:val="00FF4437"/>
    <w:rsid w:val="00FF69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C70008"/>
  <w15:chartTrackingRefBased/>
  <w15:docId w15:val="{8305C655-26E0-48BF-AAA6-07EA39DD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B5199A"/>
    <w:pPr>
      <w:keepNext/>
      <w:keepLines/>
      <w:spacing w:before="1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B5199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TOCHeading">
    <w:name w:val="TOC Heading"/>
    <w:basedOn w:val="Heading1"/>
    <w:next w:val="Normal"/>
    <w:uiPriority w:val="39"/>
    <w:unhideWhenUsed/>
    <w:qFormat/>
    <w:rsid w:val="002E7617"/>
    <w:pPr>
      <w:spacing w:line="259" w:lineRule="auto"/>
      <w:outlineLvl w:val="9"/>
    </w:pPr>
    <w:rPr>
      <w:color w:val="2E74B5" w:themeColor="accent1" w:themeShade="BF"/>
    </w:rPr>
  </w:style>
  <w:style w:type="paragraph" w:styleId="TOC1">
    <w:name w:val="toc 1"/>
    <w:basedOn w:val="Normal"/>
    <w:next w:val="Normal"/>
    <w:autoRedefine/>
    <w:uiPriority w:val="39"/>
    <w:unhideWhenUsed/>
    <w:rsid w:val="00132B9E"/>
    <w:pPr>
      <w:tabs>
        <w:tab w:val="right" w:leader="dot" w:pos="9350"/>
      </w:tabs>
      <w:spacing w:after="100"/>
    </w:pPr>
    <w:rPr>
      <w:noProof/>
    </w:rPr>
  </w:style>
  <w:style w:type="paragraph" w:styleId="ListParagraph">
    <w:name w:val="List Paragraph"/>
    <w:aliases w:val="Recommendation,List Paragraph1,List Paragraph11,#List Paragraph,Figure_name,Bullet- First level,Listenabsatz1,Bullet point,L,2nd Bullet point,Number,List Paragraph111,F5 List Paragraph,Dot pt,CV text,Table text,Medium Grid 1 - Accent 21,列"/>
    <w:basedOn w:val="Normal"/>
    <w:link w:val="ListParagraphChar"/>
    <w:uiPriority w:val="34"/>
    <w:unhideWhenUsed/>
    <w:qFormat/>
    <w:rsid w:val="000808AC"/>
    <w:pPr>
      <w:ind w:left="720"/>
      <w:contextualSpacing/>
    </w:pPr>
  </w:style>
  <w:style w:type="character" w:customStyle="1" w:styleId="UnresolvedMention1">
    <w:name w:val="Unresolved Mention1"/>
    <w:basedOn w:val="DefaultParagraphFont"/>
    <w:uiPriority w:val="99"/>
    <w:semiHidden/>
    <w:unhideWhenUsed/>
    <w:rsid w:val="00011988"/>
    <w:rPr>
      <w:color w:val="605E5C"/>
      <w:shd w:val="clear" w:color="auto" w:fill="E1DFDD"/>
    </w:rPr>
  </w:style>
  <w:style w:type="paragraph" w:styleId="TOC2">
    <w:name w:val="toc 2"/>
    <w:basedOn w:val="Normal"/>
    <w:next w:val="Normal"/>
    <w:autoRedefine/>
    <w:uiPriority w:val="39"/>
    <w:unhideWhenUsed/>
    <w:rsid w:val="00261105"/>
    <w:pPr>
      <w:spacing w:after="100"/>
      <w:ind w:left="220"/>
    </w:pPr>
  </w:style>
  <w:style w:type="table" w:styleId="TableGrid">
    <w:name w:val="Table Grid"/>
    <w:basedOn w:val="TableNormal"/>
    <w:uiPriority w:val="39"/>
    <w:rsid w:val="00673A38"/>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1C67"/>
    <w:pPr>
      <w:spacing w:before="100" w:beforeAutospacing="1" w:after="100" w:afterAutospacing="1"/>
    </w:pPr>
    <w:rPr>
      <w:rFonts w:ascii="Times New Roman" w:eastAsia="Times New Roman" w:hAnsi="Times New Roman" w:cs="Times New Roman"/>
      <w:sz w:val="24"/>
      <w:szCs w:val="24"/>
      <w:lang w:val="en-AU" w:eastAsia="en-AU"/>
    </w:rPr>
  </w:style>
  <w:style w:type="paragraph" w:styleId="TOC3">
    <w:name w:val="toc 3"/>
    <w:basedOn w:val="Normal"/>
    <w:next w:val="Normal"/>
    <w:autoRedefine/>
    <w:uiPriority w:val="39"/>
    <w:unhideWhenUsed/>
    <w:rsid w:val="005E1C91"/>
    <w:pPr>
      <w:spacing w:after="100"/>
      <w:ind w:left="440"/>
    </w:pPr>
  </w:style>
  <w:style w:type="paragraph" w:customStyle="1" w:styleId="EndNoteBibliography">
    <w:name w:val="EndNote Bibliography"/>
    <w:basedOn w:val="Normal"/>
    <w:link w:val="EndNoteBibliographyChar"/>
    <w:rsid w:val="001D5D4E"/>
    <w:pPr>
      <w:spacing w:after="160"/>
    </w:pPr>
    <w:rPr>
      <w:rFonts w:ascii="Calibri" w:hAnsi="Calibri" w:cs="Calibri"/>
      <w:noProof/>
    </w:rPr>
  </w:style>
  <w:style w:type="character" w:customStyle="1" w:styleId="EndNoteBibliographyChar">
    <w:name w:val="EndNote Bibliography Char"/>
    <w:basedOn w:val="DefaultParagraphFont"/>
    <w:link w:val="EndNoteBibliography"/>
    <w:rsid w:val="001D5D4E"/>
    <w:rPr>
      <w:rFonts w:ascii="Calibri" w:hAnsi="Calibri" w:cs="Calibri"/>
      <w:noProof/>
    </w:rPr>
  </w:style>
  <w:style w:type="paragraph" w:styleId="NoSpacing">
    <w:name w:val="No Spacing"/>
    <w:uiPriority w:val="1"/>
    <w:qFormat/>
    <w:rsid w:val="00984DA5"/>
    <w:rPr>
      <w:lang w:val="en-IE"/>
    </w:rPr>
  </w:style>
  <w:style w:type="paragraph" w:customStyle="1" w:styleId="xmsonormal">
    <w:name w:val="x_msonormal"/>
    <w:basedOn w:val="Normal"/>
    <w:rsid w:val="00984DA5"/>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ListParagraphChar">
    <w:name w:val="List Paragraph Char"/>
    <w:aliases w:val="Recommendation Char,List Paragraph1 Char,List Paragraph11 Char,#List Paragraph Char,Figure_name Char,Bullet- First level Char,Listenabsatz1 Char,Bullet point Char,L Char,2nd Bullet point Char,Number Char,List Paragraph111 Char,列 Char"/>
    <w:basedOn w:val="DefaultParagraphFont"/>
    <w:link w:val="ListParagraph"/>
    <w:uiPriority w:val="34"/>
    <w:qFormat/>
    <w:locked/>
    <w:rsid w:val="00B44557"/>
  </w:style>
  <w:style w:type="paragraph" w:styleId="TOC4">
    <w:name w:val="toc 4"/>
    <w:basedOn w:val="Normal"/>
    <w:next w:val="Normal"/>
    <w:autoRedefine/>
    <w:uiPriority w:val="39"/>
    <w:semiHidden/>
    <w:unhideWhenUsed/>
    <w:rsid w:val="00C07E65"/>
    <w:pPr>
      <w:spacing w:after="100"/>
      <w:ind w:left="660"/>
    </w:pPr>
  </w:style>
  <w:style w:type="table" w:styleId="LightShading-Accent4">
    <w:name w:val="Light Shading Accent 4"/>
    <w:basedOn w:val="TableNormal"/>
    <w:uiPriority w:val="60"/>
    <w:rsid w:val="00E3438F"/>
    <w:pPr>
      <w:keepLines/>
      <w:spacing w:after="80"/>
      <w:ind w:left="113" w:right="113"/>
    </w:pPr>
    <w:rPr>
      <w:rFonts w:ascii="Arial" w:eastAsiaTheme="minorEastAsia" w:hAnsi="Arial"/>
      <w:lang w:eastAsia="ja-JP"/>
    </w:rPr>
    <w:tblPr>
      <w:tblStyleRowBandSize w:val="1"/>
      <w:tblStyleColBandSize w:val="1"/>
      <w:tblBorders>
        <w:top w:val="single" w:sz="8" w:space="0" w:color="FFC000" w:themeColor="accent4"/>
        <w:bottom w:val="single" w:sz="8" w:space="0" w:color="FFC000"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B2976"/>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FEFC0"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ndNoteBibliographyTitle">
    <w:name w:val="EndNote Bibliography Title"/>
    <w:basedOn w:val="Normal"/>
    <w:link w:val="EndNoteBibliographyTitleChar"/>
    <w:rsid w:val="008D78D1"/>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D78D1"/>
    <w:rPr>
      <w:rFonts w:ascii="Calibri" w:hAnsi="Calibri" w:cs="Calibri"/>
      <w:noProof/>
    </w:rPr>
  </w:style>
  <w:style w:type="character" w:customStyle="1" w:styleId="UnresolvedMention2">
    <w:name w:val="Unresolved Mention2"/>
    <w:basedOn w:val="DefaultParagraphFont"/>
    <w:uiPriority w:val="99"/>
    <w:semiHidden/>
    <w:unhideWhenUsed/>
    <w:rsid w:val="008D78D1"/>
    <w:rPr>
      <w:color w:val="605E5C"/>
      <w:shd w:val="clear" w:color="auto" w:fill="E1DFDD"/>
    </w:rPr>
  </w:style>
  <w:style w:type="paragraph" w:styleId="Revision">
    <w:name w:val="Revision"/>
    <w:hidden/>
    <w:uiPriority w:val="99"/>
    <w:semiHidden/>
    <w:rsid w:val="00DD1DA9"/>
  </w:style>
  <w:style w:type="paragraph" w:customStyle="1" w:styleId="xxmsolistparagraph">
    <w:name w:val="x_xmsolistparagraph"/>
    <w:basedOn w:val="Normal"/>
    <w:rsid w:val="00F5342A"/>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UnresolvedMention3">
    <w:name w:val="Unresolved Mention3"/>
    <w:basedOn w:val="DefaultParagraphFont"/>
    <w:uiPriority w:val="99"/>
    <w:semiHidden/>
    <w:unhideWhenUsed/>
    <w:rsid w:val="0062163C"/>
    <w:rPr>
      <w:color w:val="605E5C"/>
      <w:shd w:val="clear" w:color="auto" w:fill="E1DFDD"/>
    </w:rPr>
  </w:style>
  <w:style w:type="paragraph" w:styleId="TableofFigures">
    <w:name w:val="table of figures"/>
    <w:basedOn w:val="Normal"/>
    <w:next w:val="Normal"/>
    <w:uiPriority w:val="99"/>
    <w:unhideWhenUsed/>
    <w:rsid w:val="00911495"/>
  </w:style>
  <w:style w:type="paragraph" w:customStyle="1" w:styleId="xxxmsonormal">
    <w:name w:val="x_x_x_msonormal"/>
    <w:basedOn w:val="Normal"/>
    <w:rsid w:val="00B06301"/>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UnresolvedMention4">
    <w:name w:val="Unresolved Mention4"/>
    <w:basedOn w:val="DefaultParagraphFont"/>
    <w:uiPriority w:val="99"/>
    <w:semiHidden/>
    <w:unhideWhenUsed/>
    <w:rsid w:val="00B17725"/>
    <w:rPr>
      <w:color w:val="605E5C"/>
      <w:shd w:val="clear" w:color="auto" w:fill="E1DFDD"/>
    </w:rPr>
  </w:style>
  <w:style w:type="character" w:styleId="FootnoteReference">
    <w:name w:val="footnote reference"/>
    <w:basedOn w:val="DefaultParagraphFont"/>
    <w:uiPriority w:val="99"/>
    <w:semiHidden/>
    <w:unhideWhenUsed/>
    <w:rsid w:val="00771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3962">
      <w:bodyDiv w:val="1"/>
      <w:marLeft w:val="0"/>
      <w:marRight w:val="0"/>
      <w:marTop w:val="0"/>
      <w:marBottom w:val="0"/>
      <w:divBdr>
        <w:top w:val="none" w:sz="0" w:space="0" w:color="auto"/>
        <w:left w:val="none" w:sz="0" w:space="0" w:color="auto"/>
        <w:bottom w:val="none" w:sz="0" w:space="0" w:color="auto"/>
        <w:right w:val="none" w:sz="0" w:space="0" w:color="auto"/>
      </w:divBdr>
      <w:divsChild>
        <w:div w:id="1012146619">
          <w:marLeft w:val="0"/>
          <w:marRight w:val="0"/>
          <w:marTop w:val="0"/>
          <w:marBottom w:val="0"/>
          <w:divBdr>
            <w:top w:val="none" w:sz="0" w:space="0" w:color="auto"/>
            <w:left w:val="none" w:sz="0" w:space="0" w:color="auto"/>
            <w:bottom w:val="none" w:sz="0" w:space="0" w:color="auto"/>
            <w:right w:val="none" w:sz="0" w:space="0" w:color="auto"/>
          </w:divBdr>
        </w:div>
      </w:divsChild>
    </w:div>
    <w:div w:id="240716769">
      <w:bodyDiv w:val="1"/>
      <w:marLeft w:val="0"/>
      <w:marRight w:val="0"/>
      <w:marTop w:val="0"/>
      <w:marBottom w:val="0"/>
      <w:divBdr>
        <w:top w:val="none" w:sz="0" w:space="0" w:color="auto"/>
        <w:left w:val="none" w:sz="0" w:space="0" w:color="auto"/>
        <w:bottom w:val="none" w:sz="0" w:space="0" w:color="auto"/>
        <w:right w:val="none" w:sz="0" w:space="0" w:color="auto"/>
      </w:divBdr>
      <w:divsChild>
        <w:div w:id="10381610">
          <w:marLeft w:val="878"/>
          <w:marRight w:val="0"/>
          <w:marTop w:val="115"/>
          <w:marBottom w:val="0"/>
          <w:divBdr>
            <w:top w:val="none" w:sz="0" w:space="0" w:color="auto"/>
            <w:left w:val="none" w:sz="0" w:space="0" w:color="auto"/>
            <w:bottom w:val="none" w:sz="0" w:space="0" w:color="auto"/>
            <w:right w:val="none" w:sz="0" w:space="0" w:color="auto"/>
          </w:divBdr>
        </w:div>
        <w:div w:id="343438843">
          <w:marLeft w:val="878"/>
          <w:marRight w:val="0"/>
          <w:marTop w:val="115"/>
          <w:marBottom w:val="0"/>
          <w:divBdr>
            <w:top w:val="none" w:sz="0" w:space="0" w:color="auto"/>
            <w:left w:val="none" w:sz="0" w:space="0" w:color="auto"/>
            <w:bottom w:val="none" w:sz="0" w:space="0" w:color="auto"/>
            <w:right w:val="none" w:sz="0" w:space="0" w:color="auto"/>
          </w:divBdr>
        </w:div>
        <w:div w:id="1155150446">
          <w:marLeft w:val="878"/>
          <w:marRight w:val="0"/>
          <w:marTop w:val="115"/>
          <w:marBottom w:val="0"/>
          <w:divBdr>
            <w:top w:val="none" w:sz="0" w:space="0" w:color="auto"/>
            <w:left w:val="none" w:sz="0" w:space="0" w:color="auto"/>
            <w:bottom w:val="none" w:sz="0" w:space="0" w:color="auto"/>
            <w:right w:val="none" w:sz="0" w:space="0" w:color="auto"/>
          </w:divBdr>
        </w:div>
        <w:div w:id="1309821426">
          <w:marLeft w:val="878"/>
          <w:marRight w:val="0"/>
          <w:marTop w:val="115"/>
          <w:marBottom w:val="0"/>
          <w:divBdr>
            <w:top w:val="none" w:sz="0" w:space="0" w:color="auto"/>
            <w:left w:val="none" w:sz="0" w:space="0" w:color="auto"/>
            <w:bottom w:val="none" w:sz="0" w:space="0" w:color="auto"/>
            <w:right w:val="none" w:sz="0" w:space="0" w:color="auto"/>
          </w:divBdr>
        </w:div>
        <w:div w:id="1458915394">
          <w:marLeft w:val="878"/>
          <w:marRight w:val="0"/>
          <w:marTop w:val="115"/>
          <w:marBottom w:val="0"/>
          <w:divBdr>
            <w:top w:val="none" w:sz="0" w:space="0" w:color="auto"/>
            <w:left w:val="none" w:sz="0" w:space="0" w:color="auto"/>
            <w:bottom w:val="none" w:sz="0" w:space="0" w:color="auto"/>
            <w:right w:val="none" w:sz="0" w:space="0" w:color="auto"/>
          </w:divBdr>
        </w:div>
        <w:div w:id="1488594361">
          <w:marLeft w:val="403"/>
          <w:marRight w:val="0"/>
          <w:marTop w:val="115"/>
          <w:marBottom w:val="0"/>
          <w:divBdr>
            <w:top w:val="none" w:sz="0" w:space="0" w:color="auto"/>
            <w:left w:val="none" w:sz="0" w:space="0" w:color="auto"/>
            <w:bottom w:val="none" w:sz="0" w:space="0" w:color="auto"/>
            <w:right w:val="none" w:sz="0" w:space="0" w:color="auto"/>
          </w:divBdr>
        </w:div>
        <w:div w:id="1589460843">
          <w:marLeft w:val="878"/>
          <w:marRight w:val="0"/>
          <w:marTop w:val="115"/>
          <w:marBottom w:val="0"/>
          <w:divBdr>
            <w:top w:val="none" w:sz="0" w:space="0" w:color="auto"/>
            <w:left w:val="none" w:sz="0" w:space="0" w:color="auto"/>
            <w:bottom w:val="none" w:sz="0" w:space="0" w:color="auto"/>
            <w:right w:val="none" w:sz="0" w:space="0" w:color="auto"/>
          </w:divBdr>
        </w:div>
        <w:div w:id="2076735729">
          <w:marLeft w:val="403"/>
          <w:marRight w:val="0"/>
          <w:marTop w:val="115"/>
          <w:marBottom w:val="0"/>
          <w:divBdr>
            <w:top w:val="none" w:sz="0" w:space="0" w:color="auto"/>
            <w:left w:val="none" w:sz="0" w:space="0" w:color="auto"/>
            <w:bottom w:val="none" w:sz="0" w:space="0" w:color="auto"/>
            <w:right w:val="none" w:sz="0" w:space="0" w:color="auto"/>
          </w:divBdr>
        </w:div>
      </w:divsChild>
    </w:div>
    <w:div w:id="316342553">
      <w:bodyDiv w:val="1"/>
      <w:marLeft w:val="0"/>
      <w:marRight w:val="0"/>
      <w:marTop w:val="0"/>
      <w:marBottom w:val="0"/>
      <w:divBdr>
        <w:top w:val="none" w:sz="0" w:space="0" w:color="auto"/>
        <w:left w:val="none" w:sz="0" w:space="0" w:color="auto"/>
        <w:bottom w:val="none" w:sz="0" w:space="0" w:color="auto"/>
        <w:right w:val="none" w:sz="0" w:space="0" w:color="auto"/>
      </w:divBdr>
    </w:div>
    <w:div w:id="448403012">
      <w:bodyDiv w:val="1"/>
      <w:marLeft w:val="0"/>
      <w:marRight w:val="0"/>
      <w:marTop w:val="0"/>
      <w:marBottom w:val="0"/>
      <w:divBdr>
        <w:top w:val="none" w:sz="0" w:space="0" w:color="auto"/>
        <w:left w:val="none" w:sz="0" w:space="0" w:color="auto"/>
        <w:bottom w:val="none" w:sz="0" w:space="0" w:color="auto"/>
        <w:right w:val="none" w:sz="0" w:space="0" w:color="auto"/>
      </w:divBdr>
    </w:div>
    <w:div w:id="466627287">
      <w:bodyDiv w:val="1"/>
      <w:marLeft w:val="0"/>
      <w:marRight w:val="0"/>
      <w:marTop w:val="0"/>
      <w:marBottom w:val="0"/>
      <w:divBdr>
        <w:top w:val="none" w:sz="0" w:space="0" w:color="auto"/>
        <w:left w:val="none" w:sz="0" w:space="0" w:color="auto"/>
        <w:bottom w:val="none" w:sz="0" w:space="0" w:color="auto"/>
        <w:right w:val="none" w:sz="0" w:space="0" w:color="auto"/>
      </w:divBdr>
      <w:divsChild>
        <w:div w:id="40594910">
          <w:marLeft w:val="878"/>
          <w:marRight w:val="0"/>
          <w:marTop w:val="115"/>
          <w:marBottom w:val="0"/>
          <w:divBdr>
            <w:top w:val="none" w:sz="0" w:space="0" w:color="auto"/>
            <w:left w:val="none" w:sz="0" w:space="0" w:color="auto"/>
            <w:bottom w:val="none" w:sz="0" w:space="0" w:color="auto"/>
            <w:right w:val="none" w:sz="0" w:space="0" w:color="auto"/>
          </w:divBdr>
        </w:div>
        <w:div w:id="752778678">
          <w:marLeft w:val="878"/>
          <w:marRight w:val="0"/>
          <w:marTop w:val="115"/>
          <w:marBottom w:val="0"/>
          <w:divBdr>
            <w:top w:val="none" w:sz="0" w:space="0" w:color="auto"/>
            <w:left w:val="none" w:sz="0" w:space="0" w:color="auto"/>
            <w:bottom w:val="none" w:sz="0" w:space="0" w:color="auto"/>
            <w:right w:val="none" w:sz="0" w:space="0" w:color="auto"/>
          </w:divBdr>
        </w:div>
        <w:div w:id="955058985">
          <w:marLeft w:val="878"/>
          <w:marRight w:val="0"/>
          <w:marTop w:val="115"/>
          <w:marBottom w:val="0"/>
          <w:divBdr>
            <w:top w:val="none" w:sz="0" w:space="0" w:color="auto"/>
            <w:left w:val="none" w:sz="0" w:space="0" w:color="auto"/>
            <w:bottom w:val="none" w:sz="0" w:space="0" w:color="auto"/>
            <w:right w:val="none" w:sz="0" w:space="0" w:color="auto"/>
          </w:divBdr>
        </w:div>
        <w:div w:id="1604995438">
          <w:marLeft w:val="1354"/>
          <w:marRight w:val="0"/>
          <w:marTop w:val="115"/>
          <w:marBottom w:val="0"/>
          <w:divBdr>
            <w:top w:val="none" w:sz="0" w:space="0" w:color="auto"/>
            <w:left w:val="none" w:sz="0" w:space="0" w:color="auto"/>
            <w:bottom w:val="none" w:sz="0" w:space="0" w:color="auto"/>
            <w:right w:val="none" w:sz="0" w:space="0" w:color="auto"/>
          </w:divBdr>
        </w:div>
        <w:div w:id="1756633650">
          <w:marLeft w:val="878"/>
          <w:marRight w:val="0"/>
          <w:marTop w:val="115"/>
          <w:marBottom w:val="0"/>
          <w:divBdr>
            <w:top w:val="none" w:sz="0" w:space="0" w:color="auto"/>
            <w:left w:val="none" w:sz="0" w:space="0" w:color="auto"/>
            <w:bottom w:val="none" w:sz="0" w:space="0" w:color="auto"/>
            <w:right w:val="none" w:sz="0" w:space="0" w:color="auto"/>
          </w:divBdr>
        </w:div>
        <w:div w:id="1813862247">
          <w:marLeft w:val="403"/>
          <w:marRight w:val="0"/>
          <w:marTop w:val="115"/>
          <w:marBottom w:val="0"/>
          <w:divBdr>
            <w:top w:val="none" w:sz="0" w:space="0" w:color="auto"/>
            <w:left w:val="none" w:sz="0" w:space="0" w:color="auto"/>
            <w:bottom w:val="none" w:sz="0" w:space="0" w:color="auto"/>
            <w:right w:val="none" w:sz="0" w:space="0" w:color="auto"/>
          </w:divBdr>
        </w:div>
        <w:div w:id="2036074875">
          <w:marLeft w:val="878"/>
          <w:marRight w:val="0"/>
          <w:marTop w:val="115"/>
          <w:marBottom w:val="0"/>
          <w:divBdr>
            <w:top w:val="none" w:sz="0" w:space="0" w:color="auto"/>
            <w:left w:val="none" w:sz="0" w:space="0" w:color="auto"/>
            <w:bottom w:val="none" w:sz="0" w:space="0" w:color="auto"/>
            <w:right w:val="none" w:sz="0" w:space="0" w:color="auto"/>
          </w:divBdr>
        </w:div>
        <w:div w:id="2084718683">
          <w:marLeft w:val="878"/>
          <w:marRight w:val="0"/>
          <w:marTop w:val="115"/>
          <w:marBottom w:val="0"/>
          <w:divBdr>
            <w:top w:val="none" w:sz="0" w:space="0" w:color="auto"/>
            <w:left w:val="none" w:sz="0" w:space="0" w:color="auto"/>
            <w:bottom w:val="none" w:sz="0" w:space="0" w:color="auto"/>
            <w:right w:val="none" w:sz="0" w:space="0" w:color="auto"/>
          </w:divBdr>
        </w:div>
      </w:divsChild>
    </w:div>
    <w:div w:id="726681130">
      <w:bodyDiv w:val="1"/>
      <w:marLeft w:val="0"/>
      <w:marRight w:val="0"/>
      <w:marTop w:val="0"/>
      <w:marBottom w:val="0"/>
      <w:divBdr>
        <w:top w:val="none" w:sz="0" w:space="0" w:color="auto"/>
        <w:left w:val="none" w:sz="0" w:space="0" w:color="auto"/>
        <w:bottom w:val="none" w:sz="0" w:space="0" w:color="auto"/>
        <w:right w:val="none" w:sz="0" w:space="0" w:color="auto"/>
      </w:divBdr>
    </w:div>
    <w:div w:id="768549022">
      <w:bodyDiv w:val="1"/>
      <w:marLeft w:val="0"/>
      <w:marRight w:val="0"/>
      <w:marTop w:val="0"/>
      <w:marBottom w:val="0"/>
      <w:divBdr>
        <w:top w:val="none" w:sz="0" w:space="0" w:color="auto"/>
        <w:left w:val="none" w:sz="0" w:space="0" w:color="auto"/>
        <w:bottom w:val="none" w:sz="0" w:space="0" w:color="auto"/>
        <w:right w:val="none" w:sz="0" w:space="0" w:color="auto"/>
      </w:divBdr>
    </w:div>
    <w:div w:id="850265812">
      <w:bodyDiv w:val="1"/>
      <w:marLeft w:val="0"/>
      <w:marRight w:val="0"/>
      <w:marTop w:val="0"/>
      <w:marBottom w:val="0"/>
      <w:divBdr>
        <w:top w:val="none" w:sz="0" w:space="0" w:color="auto"/>
        <w:left w:val="none" w:sz="0" w:space="0" w:color="auto"/>
        <w:bottom w:val="none" w:sz="0" w:space="0" w:color="auto"/>
        <w:right w:val="none" w:sz="0" w:space="0" w:color="auto"/>
      </w:divBdr>
    </w:div>
    <w:div w:id="862014771">
      <w:bodyDiv w:val="1"/>
      <w:marLeft w:val="0"/>
      <w:marRight w:val="0"/>
      <w:marTop w:val="0"/>
      <w:marBottom w:val="0"/>
      <w:divBdr>
        <w:top w:val="none" w:sz="0" w:space="0" w:color="auto"/>
        <w:left w:val="none" w:sz="0" w:space="0" w:color="auto"/>
        <w:bottom w:val="none" w:sz="0" w:space="0" w:color="auto"/>
        <w:right w:val="none" w:sz="0" w:space="0" w:color="auto"/>
      </w:divBdr>
    </w:div>
    <w:div w:id="898857544">
      <w:bodyDiv w:val="1"/>
      <w:marLeft w:val="0"/>
      <w:marRight w:val="0"/>
      <w:marTop w:val="0"/>
      <w:marBottom w:val="0"/>
      <w:divBdr>
        <w:top w:val="none" w:sz="0" w:space="0" w:color="auto"/>
        <w:left w:val="none" w:sz="0" w:space="0" w:color="auto"/>
        <w:bottom w:val="none" w:sz="0" w:space="0" w:color="auto"/>
        <w:right w:val="none" w:sz="0" w:space="0" w:color="auto"/>
      </w:divBdr>
    </w:div>
    <w:div w:id="961112680">
      <w:bodyDiv w:val="1"/>
      <w:marLeft w:val="0"/>
      <w:marRight w:val="0"/>
      <w:marTop w:val="0"/>
      <w:marBottom w:val="0"/>
      <w:divBdr>
        <w:top w:val="none" w:sz="0" w:space="0" w:color="auto"/>
        <w:left w:val="none" w:sz="0" w:space="0" w:color="auto"/>
        <w:bottom w:val="none" w:sz="0" w:space="0" w:color="auto"/>
        <w:right w:val="none" w:sz="0" w:space="0" w:color="auto"/>
      </w:divBdr>
      <w:divsChild>
        <w:div w:id="15154065">
          <w:marLeft w:val="1008"/>
          <w:marRight w:val="0"/>
          <w:marTop w:val="86"/>
          <w:marBottom w:val="0"/>
          <w:divBdr>
            <w:top w:val="none" w:sz="0" w:space="0" w:color="auto"/>
            <w:left w:val="none" w:sz="0" w:space="0" w:color="auto"/>
            <w:bottom w:val="none" w:sz="0" w:space="0" w:color="auto"/>
            <w:right w:val="none" w:sz="0" w:space="0" w:color="auto"/>
          </w:divBdr>
        </w:div>
        <w:div w:id="171452054">
          <w:marLeft w:val="1008"/>
          <w:marRight w:val="0"/>
          <w:marTop w:val="86"/>
          <w:marBottom w:val="0"/>
          <w:divBdr>
            <w:top w:val="none" w:sz="0" w:space="0" w:color="auto"/>
            <w:left w:val="none" w:sz="0" w:space="0" w:color="auto"/>
            <w:bottom w:val="none" w:sz="0" w:space="0" w:color="auto"/>
            <w:right w:val="none" w:sz="0" w:space="0" w:color="auto"/>
          </w:divBdr>
        </w:div>
        <w:div w:id="471335311">
          <w:marLeft w:val="547"/>
          <w:marRight w:val="0"/>
          <w:marTop w:val="86"/>
          <w:marBottom w:val="0"/>
          <w:divBdr>
            <w:top w:val="none" w:sz="0" w:space="0" w:color="auto"/>
            <w:left w:val="none" w:sz="0" w:space="0" w:color="auto"/>
            <w:bottom w:val="none" w:sz="0" w:space="0" w:color="auto"/>
            <w:right w:val="none" w:sz="0" w:space="0" w:color="auto"/>
          </w:divBdr>
        </w:div>
        <w:div w:id="506679473">
          <w:marLeft w:val="547"/>
          <w:marRight w:val="0"/>
          <w:marTop w:val="86"/>
          <w:marBottom w:val="0"/>
          <w:divBdr>
            <w:top w:val="none" w:sz="0" w:space="0" w:color="auto"/>
            <w:left w:val="none" w:sz="0" w:space="0" w:color="auto"/>
            <w:bottom w:val="none" w:sz="0" w:space="0" w:color="auto"/>
            <w:right w:val="none" w:sz="0" w:space="0" w:color="auto"/>
          </w:divBdr>
        </w:div>
        <w:div w:id="828865895">
          <w:marLeft w:val="547"/>
          <w:marRight w:val="0"/>
          <w:marTop w:val="86"/>
          <w:marBottom w:val="0"/>
          <w:divBdr>
            <w:top w:val="none" w:sz="0" w:space="0" w:color="auto"/>
            <w:left w:val="none" w:sz="0" w:space="0" w:color="auto"/>
            <w:bottom w:val="none" w:sz="0" w:space="0" w:color="auto"/>
            <w:right w:val="none" w:sz="0" w:space="0" w:color="auto"/>
          </w:divBdr>
        </w:div>
        <w:div w:id="855388657">
          <w:marLeft w:val="1008"/>
          <w:marRight w:val="0"/>
          <w:marTop w:val="86"/>
          <w:marBottom w:val="0"/>
          <w:divBdr>
            <w:top w:val="none" w:sz="0" w:space="0" w:color="auto"/>
            <w:left w:val="none" w:sz="0" w:space="0" w:color="auto"/>
            <w:bottom w:val="none" w:sz="0" w:space="0" w:color="auto"/>
            <w:right w:val="none" w:sz="0" w:space="0" w:color="auto"/>
          </w:divBdr>
        </w:div>
        <w:div w:id="861624744">
          <w:marLeft w:val="1008"/>
          <w:marRight w:val="0"/>
          <w:marTop w:val="86"/>
          <w:marBottom w:val="0"/>
          <w:divBdr>
            <w:top w:val="none" w:sz="0" w:space="0" w:color="auto"/>
            <w:left w:val="none" w:sz="0" w:space="0" w:color="auto"/>
            <w:bottom w:val="none" w:sz="0" w:space="0" w:color="auto"/>
            <w:right w:val="none" w:sz="0" w:space="0" w:color="auto"/>
          </w:divBdr>
        </w:div>
        <w:div w:id="975112242">
          <w:marLeft w:val="1008"/>
          <w:marRight w:val="0"/>
          <w:marTop w:val="86"/>
          <w:marBottom w:val="0"/>
          <w:divBdr>
            <w:top w:val="none" w:sz="0" w:space="0" w:color="auto"/>
            <w:left w:val="none" w:sz="0" w:space="0" w:color="auto"/>
            <w:bottom w:val="none" w:sz="0" w:space="0" w:color="auto"/>
            <w:right w:val="none" w:sz="0" w:space="0" w:color="auto"/>
          </w:divBdr>
        </w:div>
      </w:divsChild>
    </w:div>
    <w:div w:id="970523288">
      <w:bodyDiv w:val="1"/>
      <w:marLeft w:val="0"/>
      <w:marRight w:val="0"/>
      <w:marTop w:val="0"/>
      <w:marBottom w:val="0"/>
      <w:divBdr>
        <w:top w:val="none" w:sz="0" w:space="0" w:color="auto"/>
        <w:left w:val="none" w:sz="0" w:space="0" w:color="auto"/>
        <w:bottom w:val="none" w:sz="0" w:space="0" w:color="auto"/>
        <w:right w:val="none" w:sz="0" w:space="0" w:color="auto"/>
      </w:divBdr>
    </w:div>
    <w:div w:id="1129931217">
      <w:bodyDiv w:val="1"/>
      <w:marLeft w:val="0"/>
      <w:marRight w:val="0"/>
      <w:marTop w:val="0"/>
      <w:marBottom w:val="0"/>
      <w:divBdr>
        <w:top w:val="none" w:sz="0" w:space="0" w:color="auto"/>
        <w:left w:val="none" w:sz="0" w:space="0" w:color="auto"/>
        <w:bottom w:val="none" w:sz="0" w:space="0" w:color="auto"/>
        <w:right w:val="none" w:sz="0" w:space="0" w:color="auto"/>
      </w:divBdr>
    </w:div>
    <w:div w:id="1164929797">
      <w:bodyDiv w:val="1"/>
      <w:marLeft w:val="0"/>
      <w:marRight w:val="0"/>
      <w:marTop w:val="0"/>
      <w:marBottom w:val="0"/>
      <w:divBdr>
        <w:top w:val="none" w:sz="0" w:space="0" w:color="auto"/>
        <w:left w:val="none" w:sz="0" w:space="0" w:color="auto"/>
        <w:bottom w:val="none" w:sz="0" w:space="0" w:color="auto"/>
        <w:right w:val="none" w:sz="0" w:space="0" w:color="auto"/>
      </w:divBdr>
      <w:divsChild>
        <w:div w:id="214506403">
          <w:marLeft w:val="878"/>
          <w:marRight w:val="0"/>
          <w:marTop w:val="115"/>
          <w:marBottom w:val="0"/>
          <w:divBdr>
            <w:top w:val="none" w:sz="0" w:space="0" w:color="auto"/>
            <w:left w:val="none" w:sz="0" w:space="0" w:color="auto"/>
            <w:bottom w:val="none" w:sz="0" w:space="0" w:color="auto"/>
            <w:right w:val="none" w:sz="0" w:space="0" w:color="auto"/>
          </w:divBdr>
        </w:div>
        <w:div w:id="242181315">
          <w:marLeft w:val="878"/>
          <w:marRight w:val="0"/>
          <w:marTop w:val="115"/>
          <w:marBottom w:val="0"/>
          <w:divBdr>
            <w:top w:val="none" w:sz="0" w:space="0" w:color="auto"/>
            <w:left w:val="none" w:sz="0" w:space="0" w:color="auto"/>
            <w:bottom w:val="none" w:sz="0" w:space="0" w:color="auto"/>
            <w:right w:val="none" w:sz="0" w:space="0" w:color="auto"/>
          </w:divBdr>
        </w:div>
        <w:div w:id="416833364">
          <w:marLeft w:val="878"/>
          <w:marRight w:val="0"/>
          <w:marTop w:val="115"/>
          <w:marBottom w:val="0"/>
          <w:divBdr>
            <w:top w:val="none" w:sz="0" w:space="0" w:color="auto"/>
            <w:left w:val="none" w:sz="0" w:space="0" w:color="auto"/>
            <w:bottom w:val="none" w:sz="0" w:space="0" w:color="auto"/>
            <w:right w:val="none" w:sz="0" w:space="0" w:color="auto"/>
          </w:divBdr>
        </w:div>
        <w:div w:id="624581997">
          <w:marLeft w:val="878"/>
          <w:marRight w:val="0"/>
          <w:marTop w:val="115"/>
          <w:marBottom w:val="0"/>
          <w:divBdr>
            <w:top w:val="none" w:sz="0" w:space="0" w:color="auto"/>
            <w:left w:val="none" w:sz="0" w:space="0" w:color="auto"/>
            <w:bottom w:val="none" w:sz="0" w:space="0" w:color="auto"/>
            <w:right w:val="none" w:sz="0" w:space="0" w:color="auto"/>
          </w:divBdr>
        </w:div>
        <w:div w:id="1648506824">
          <w:marLeft w:val="403"/>
          <w:marRight w:val="0"/>
          <w:marTop w:val="115"/>
          <w:marBottom w:val="0"/>
          <w:divBdr>
            <w:top w:val="none" w:sz="0" w:space="0" w:color="auto"/>
            <w:left w:val="none" w:sz="0" w:space="0" w:color="auto"/>
            <w:bottom w:val="none" w:sz="0" w:space="0" w:color="auto"/>
            <w:right w:val="none" w:sz="0" w:space="0" w:color="auto"/>
          </w:divBdr>
        </w:div>
        <w:div w:id="1961959667">
          <w:marLeft w:val="403"/>
          <w:marRight w:val="0"/>
          <w:marTop w:val="115"/>
          <w:marBottom w:val="0"/>
          <w:divBdr>
            <w:top w:val="none" w:sz="0" w:space="0" w:color="auto"/>
            <w:left w:val="none" w:sz="0" w:space="0" w:color="auto"/>
            <w:bottom w:val="none" w:sz="0" w:space="0" w:color="auto"/>
            <w:right w:val="none" w:sz="0" w:space="0" w:color="auto"/>
          </w:divBdr>
        </w:div>
      </w:divsChild>
    </w:div>
    <w:div w:id="1259758102">
      <w:bodyDiv w:val="1"/>
      <w:marLeft w:val="0"/>
      <w:marRight w:val="0"/>
      <w:marTop w:val="0"/>
      <w:marBottom w:val="0"/>
      <w:divBdr>
        <w:top w:val="none" w:sz="0" w:space="0" w:color="auto"/>
        <w:left w:val="none" w:sz="0" w:space="0" w:color="auto"/>
        <w:bottom w:val="none" w:sz="0" w:space="0" w:color="auto"/>
        <w:right w:val="none" w:sz="0" w:space="0" w:color="auto"/>
      </w:divBdr>
    </w:div>
    <w:div w:id="1725057352">
      <w:bodyDiv w:val="1"/>
      <w:marLeft w:val="0"/>
      <w:marRight w:val="0"/>
      <w:marTop w:val="0"/>
      <w:marBottom w:val="0"/>
      <w:divBdr>
        <w:top w:val="none" w:sz="0" w:space="0" w:color="auto"/>
        <w:left w:val="none" w:sz="0" w:space="0" w:color="auto"/>
        <w:bottom w:val="none" w:sz="0" w:space="0" w:color="auto"/>
        <w:right w:val="none" w:sz="0" w:space="0" w:color="auto"/>
      </w:divBdr>
    </w:div>
    <w:div w:id="1727803007">
      <w:bodyDiv w:val="1"/>
      <w:marLeft w:val="0"/>
      <w:marRight w:val="0"/>
      <w:marTop w:val="0"/>
      <w:marBottom w:val="0"/>
      <w:divBdr>
        <w:top w:val="none" w:sz="0" w:space="0" w:color="auto"/>
        <w:left w:val="none" w:sz="0" w:space="0" w:color="auto"/>
        <w:bottom w:val="none" w:sz="0" w:space="0" w:color="auto"/>
        <w:right w:val="none" w:sz="0" w:space="0" w:color="auto"/>
      </w:divBdr>
    </w:div>
    <w:div w:id="1734353015">
      <w:bodyDiv w:val="1"/>
      <w:marLeft w:val="0"/>
      <w:marRight w:val="0"/>
      <w:marTop w:val="0"/>
      <w:marBottom w:val="0"/>
      <w:divBdr>
        <w:top w:val="none" w:sz="0" w:space="0" w:color="auto"/>
        <w:left w:val="none" w:sz="0" w:space="0" w:color="auto"/>
        <w:bottom w:val="none" w:sz="0" w:space="0" w:color="auto"/>
        <w:right w:val="none" w:sz="0" w:space="0" w:color="auto"/>
      </w:divBdr>
      <w:divsChild>
        <w:div w:id="387148490">
          <w:marLeft w:val="0"/>
          <w:marRight w:val="0"/>
          <w:marTop w:val="0"/>
          <w:marBottom w:val="0"/>
          <w:divBdr>
            <w:top w:val="none" w:sz="0" w:space="0" w:color="auto"/>
            <w:left w:val="none" w:sz="0" w:space="0" w:color="auto"/>
            <w:bottom w:val="none" w:sz="0" w:space="0" w:color="auto"/>
            <w:right w:val="none" w:sz="0" w:space="0" w:color="auto"/>
          </w:divBdr>
        </w:div>
      </w:divsChild>
    </w:div>
    <w:div w:id="1779714997">
      <w:bodyDiv w:val="1"/>
      <w:marLeft w:val="0"/>
      <w:marRight w:val="0"/>
      <w:marTop w:val="0"/>
      <w:marBottom w:val="0"/>
      <w:divBdr>
        <w:top w:val="none" w:sz="0" w:space="0" w:color="auto"/>
        <w:left w:val="none" w:sz="0" w:space="0" w:color="auto"/>
        <w:bottom w:val="none" w:sz="0" w:space="0" w:color="auto"/>
        <w:right w:val="none" w:sz="0" w:space="0" w:color="auto"/>
      </w:divBdr>
    </w:div>
    <w:div w:id="1900434846">
      <w:bodyDiv w:val="1"/>
      <w:marLeft w:val="0"/>
      <w:marRight w:val="0"/>
      <w:marTop w:val="0"/>
      <w:marBottom w:val="0"/>
      <w:divBdr>
        <w:top w:val="none" w:sz="0" w:space="0" w:color="auto"/>
        <w:left w:val="none" w:sz="0" w:space="0" w:color="auto"/>
        <w:bottom w:val="none" w:sz="0" w:space="0" w:color="auto"/>
        <w:right w:val="none" w:sz="0" w:space="0" w:color="auto"/>
      </w:divBdr>
      <w:divsChild>
        <w:div w:id="857156">
          <w:marLeft w:val="720"/>
          <w:marRight w:val="0"/>
          <w:marTop w:val="0"/>
          <w:marBottom w:val="160"/>
          <w:divBdr>
            <w:top w:val="none" w:sz="0" w:space="0" w:color="auto"/>
            <w:left w:val="none" w:sz="0" w:space="0" w:color="auto"/>
            <w:bottom w:val="none" w:sz="0" w:space="0" w:color="auto"/>
            <w:right w:val="none" w:sz="0" w:space="0" w:color="auto"/>
          </w:divBdr>
        </w:div>
        <w:div w:id="187137111">
          <w:marLeft w:val="720"/>
          <w:marRight w:val="0"/>
          <w:marTop w:val="0"/>
          <w:marBottom w:val="160"/>
          <w:divBdr>
            <w:top w:val="none" w:sz="0" w:space="0" w:color="auto"/>
            <w:left w:val="none" w:sz="0" w:space="0" w:color="auto"/>
            <w:bottom w:val="none" w:sz="0" w:space="0" w:color="auto"/>
            <w:right w:val="none" w:sz="0" w:space="0" w:color="auto"/>
          </w:divBdr>
        </w:div>
        <w:div w:id="290476188">
          <w:marLeft w:val="720"/>
          <w:marRight w:val="0"/>
          <w:marTop w:val="0"/>
          <w:marBottom w:val="160"/>
          <w:divBdr>
            <w:top w:val="none" w:sz="0" w:space="0" w:color="auto"/>
            <w:left w:val="none" w:sz="0" w:space="0" w:color="auto"/>
            <w:bottom w:val="none" w:sz="0" w:space="0" w:color="auto"/>
            <w:right w:val="none" w:sz="0" w:space="0" w:color="auto"/>
          </w:divBdr>
        </w:div>
      </w:divsChild>
    </w:div>
    <w:div w:id="20600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info@sharedlivesplus.org.uk" TargetMode="External"/><Relationship Id="rId21" Type="http://schemas.openxmlformats.org/officeDocument/2006/relationships/footer" Target="footer3.xml"/><Relationship Id="rId42" Type="http://schemas.openxmlformats.org/officeDocument/2006/relationships/footer" Target="footer13.xml"/><Relationship Id="rId63" Type="http://schemas.openxmlformats.org/officeDocument/2006/relationships/footer" Target="footer23.xml"/><Relationship Id="rId84" Type="http://schemas.openxmlformats.org/officeDocument/2006/relationships/hyperlink" Target="https://achieveaustralia.org.au/" TargetMode="External"/><Relationship Id="rId138" Type="http://schemas.openxmlformats.org/officeDocument/2006/relationships/hyperlink" Target="https://www.larche.org.au/" TargetMode="External"/><Relationship Id="rId159" Type="http://schemas.openxmlformats.org/officeDocument/2006/relationships/hyperlink" Target="https://disability.unimelb.edu.au/housing" TargetMode="External"/><Relationship Id="rId170" Type="http://schemas.openxmlformats.org/officeDocument/2006/relationships/image" Target="media/image12.wmf"/><Relationship Id="rId107" Type="http://schemas.openxmlformats.org/officeDocument/2006/relationships/hyperlink" Target="https://www.compasshousing.org/" TargetMode="External"/><Relationship Id="rId11" Type="http://schemas.openxmlformats.org/officeDocument/2006/relationships/image" Target="media/image1.jpeg"/><Relationship Id="rId32" Type="http://schemas.openxmlformats.org/officeDocument/2006/relationships/header" Target="header8.xml"/><Relationship Id="rId53" Type="http://schemas.openxmlformats.org/officeDocument/2006/relationships/footer" Target="footer18.xml"/><Relationship Id="rId74" Type="http://schemas.openxmlformats.org/officeDocument/2006/relationships/hyperlink" Target="https://www.un.org/development/desa/disabilities/convention-on-the-rights-of-persons-with-disabilities.html" TargetMode="External"/><Relationship Id="rId128" Type="http://schemas.openxmlformats.org/officeDocument/2006/relationships/hyperlink" Target="https://www.donaldbeasley.org.nz/" TargetMode="External"/><Relationship Id="rId149" Type="http://schemas.openxmlformats.org/officeDocument/2006/relationships/hyperlink" Target="mailto:property@inhousing.org.au" TargetMode="External"/><Relationship Id="rId5" Type="http://schemas.openxmlformats.org/officeDocument/2006/relationships/numbering" Target="numbering.xml"/><Relationship Id="rId95" Type="http://schemas.openxmlformats.org/officeDocument/2006/relationships/hyperlink" Target="https://www.qcoss.org.au/our-work/place-based-approaches/" TargetMode="External"/><Relationship Id="rId160" Type="http://schemas.openxmlformats.org/officeDocument/2006/relationships/hyperlink" Target="https://www.jchs.harvard.edu/sites/default/files/connery_disabilityhousing_april2016_v2.pdf" TargetMode="External"/><Relationship Id="rId22" Type="http://schemas.openxmlformats.org/officeDocument/2006/relationships/header" Target="header3.xml"/><Relationship Id="rId43" Type="http://schemas.openxmlformats.org/officeDocument/2006/relationships/header" Target="header13.xml"/><Relationship Id="rId64" Type="http://schemas.openxmlformats.org/officeDocument/2006/relationships/header" Target="header24.xml"/><Relationship Id="rId118" Type="http://schemas.openxmlformats.org/officeDocument/2006/relationships/hyperlink" Target="https://sharedlivesplus.org.uk/" TargetMode="External"/><Relationship Id="rId139" Type="http://schemas.openxmlformats.org/officeDocument/2006/relationships/hyperlink" Target="mailto:info@inclusivehousing.com.au" TargetMode="External"/><Relationship Id="rId85" Type="http://schemas.openxmlformats.org/officeDocument/2006/relationships/hyperlink" Target="https://northcott.com.au/" TargetMode="External"/><Relationship Id="rId150" Type="http://schemas.openxmlformats.org/officeDocument/2006/relationships/hyperlink" Target="https://inhousing.org.au/" TargetMode="External"/><Relationship Id="rId171" Type="http://schemas.openxmlformats.org/officeDocument/2006/relationships/image" Target="media/image13.wmf"/><Relationship Id="rId12" Type="http://schemas.openxmlformats.org/officeDocument/2006/relationships/image" Target="media/image2.jpeg"/><Relationship Id="rId33" Type="http://schemas.openxmlformats.org/officeDocument/2006/relationships/footer" Target="footer9.xml"/><Relationship Id="rId108" Type="http://schemas.openxmlformats.org/officeDocument/2006/relationships/hyperlink" Target="https://kirinari.com.au/" TargetMode="External"/><Relationship Id="rId129" Type="http://schemas.openxmlformats.org/officeDocument/2006/relationships/hyperlink" Target="https://www.donaldbeasley.org.nz/projects/" TargetMode="External"/><Relationship Id="rId54" Type="http://schemas.openxmlformats.org/officeDocument/2006/relationships/header" Target="header19.xml"/><Relationship Id="rId75" Type="http://schemas.openxmlformats.org/officeDocument/2006/relationships/header" Target="header28.xml"/><Relationship Id="rId96" Type="http://schemas.openxmlformats.org/officeDocument/2006/relationships/hyperlink" Target="https://www.ypinh.org.au/" TargetMode="External"/><Relationship Id="rId140" Type="http://schemas.openxmlformats.org/officeDocument/2006/relationships/hyperlink" Target="https://inclusivehousing.com.au/" TargetMode="External"/><Relationship Id="rId161" Type="http://schemas.openxmlformats.org/officeDocument/2006/relationships/hyperlink" Target="http://careandrepair-england.org.uk/wp-content/uploads/2014/12/Integration-Briefing-3-final.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4.xml"/><Relationship Id="rId28" Type="http://schemas.openxmlformats.org/officeDocument/2006/relationships/header" Target="header6.xml"/><Relationship Id="rId49" Type="http://schemas.openxmlformats.org/officeDocument/2006/relationships/footer" Target="footer16.xml"/><Relationship Id="rId114" Type="http://schemas.openxmlformats.org/officeDocument/2006/relationships/hyperlink" Target="https://www.lifestylesolutions.org.au/disability-services/accommodation/" TargetMode="External"/><Relationship Id="rId119" Type="http://schemas.openxmlformats.org/officeDocument/2006/relationships/hyperlink" Target="mailto:info@alderwoodlla.co.og" TargetMode="External"/><Relationship Id="rId44" Type="http://schemas.openxmlformats.org/officeDocument/2006/relationships/footer" Target="footer14.xml"/><Relationship Id="rId60" Type="http://schemas.openxmlformats.org/officeDocument/2006/relationships/header" Target="header22.xml"/><Relationship Id="rId65" Type="http://schemas.openxmlformats.org/officeDocument/2006/relationships/footer" Target="footer24.xml"/><Relationship Id="rId81" Type="http://schemas.openxmlformats.org/officeDocument/2006/relationships/hyperlink" Target="https://www.summerfoundation.org.au/our-focus/housing/housing-prototypes/abbotsford-housing-demonstration-project/" TargetMode="External"/><Relationship Id="rId86" Type="http://schemas.openxmlformats.org/officeDocument/2006/relationships/hyperlink" Target="https://www.housinghub.org.au/" TargetMode="External"/><Relationship Id="rId130" Type="http://schemas.openxmlformats.org/officeDocument/2006/relationships/hyperlink" Target="https://www.family-advocacy.com/" TargetMode="External"/><Relationship Id="rId135" Type="http://schemas.openxmlformats.org/officeDocument/2006/relationships/hyperlink" Target="https://valuedlives.org.au/" TargetMode="External"/><Relationship Id="rId151" Type="http://schemas.openxmlformats.org/officeDocument/2006/relationships/hyperlink" Target="https://www.humehousing.com.au/" TargetMode="External"/><Relationship Id="rId156" Type="http://schemas.openxmlformats.org/officeDocument/2006/relationships/hyperlink" Target="http://www.bridgescare.com.au/about-us/" TargetMode="External"/><Relationship Id="rId172" Type="http://schemas.openxmlformats.org/officeDocument/2006/relationships/image" Target="media/image14.wmf"/><Relationship Id="rId13" Type="http://schemas.openxmlformats.org/officeDocument/2006/relationships/hyperlink" Target="file:///R:/Secured/Policy_Advice_and_Research/4.%20Research%20%26%20Evaluation%20Branch/Research%20and%20Evaluation%20Branch/10.%20Targeted%20Research%20Program/Home%20and%20LO/Report/NDIA_report_final_11March2021-cover%20and%20disclaimer.docx" TargetMode="External"/><Relationship Id="rId18" Type="http://schemas.openxmlformats.org/officeDocument/2006/relationships/header" Target="header1.xml"/><Relationship Id="rId39" Type="http://schemas.openxmlformats.org/officeDocument/2006/relationships/header" Target="header11.xml"/><Relationship Id="rId109" Type="http://schemas.openxmlformats.org/officeDocument/2006/relationships/hyperlink" Target="https://kirinari.com.au/specialist-disability-accommodation/" TargetMode="External"/><Relationship Id="rId34" Type="http://schemas.openxmlformats.org/officeDocument/2006/relationships/header" Target="header9.xml"/><Relationship Id="rId50" Type="http://schemas.openxmlformats.org/officeDocument/2006/relationships/header" Target="header17.xml"/><Relationship Id="rId55" Type="http://schemas.openxmlformats.org/officeDocument/2006/relationships/footer" Target="footer19.xml"/><Relationship Id="rId76" Type="http://schemas.openxmlformats.org/officeDocument/2006/relationships/footer" Target="footer28.xml"/><Relationship Id="rId97" Type="http://schemas.openxmlformats.org/officeDocument/2006/relationships/hyperlink" Target="https://www.valid.org.au/" TargetMode="External"/><Relationship Id="rId104" Type="http://schemas.openxmlformats.org/officeDocument/2006/relationships/hyperlink" Target="https://www.bridgehousing.org.au/" TargetMode="External"/><Relationship Id="rId120" Type="http://schemas.openxmlformats.org/officeDocument/2006/relationships/hyperlink" Target="https://www.alderwoodlla.co.uk/our-locations/" TargetMode="External"/><Relationship Id="rId125" Type="http://schemas.openxmlformats.org/officeDocument/2006/relationships/hyperlink" Target="https://dccil.org/" TargetMode="External"/><Relationship Id="rId141" Type="http://schemas.openxmlformats.org/officeDocument/2006/relationships/hyperlink" Target="https://www.accorddisability.org.au/about-us/innovative-housing/" TargetMode="External"/><Relationship Id="rId146" Type="http://schemas.openxmlformats.org/officeDocument/2006/relationships/hyperlink" Target="https://www.afford.com.au/" TargetMode="External"/><Relationship Id="rId167" Type="http://schemas.openxmlformats.org/officeDocument/2006/relationships/image" Target="media/image9.tiff"/><Relationship Id="rId7" Type="http://schemas.openxmlformats.org/officeDocument/2006/relationships/settings" Target="settings.xml"/><Relationship Id="rId71" Type="http://schemas.openxmlformats.org/officeDocument/2006/relationships/footer" Target="footer27.xml"/><Relationship Id="rId92" Type="http://schemas.openxmlformats.org/officeDocument/2006/relationships/hyperlink" Target="https://teamdsc.com.au/home-living" TargetMode="External"/><Relationship Id="rId162" Type="http://schemas.openxmlformats.org/officeDocument/2006/relationships/image" Target="media/image4.tiff"/><Relationship Id="rId2" Type="http://schemas.openxmlformats.org/officeDocument/2006/relationships/customXml" Target="../customXml/item2.xml"/><Relationship Id="rId29" Type="http://schemas.openxmlformats.org/officeDocument/2006/relationships/footer" Target="footer7.xml"/><Relationship Id="rId24" Type="http://schemas.openxmlformats.org/officeDocument/2006/relationships/header" Target="header4.xml"/><Relationship Id="rId40" Type="http://schemas.openxmlformats.org/officeDocument/2006/relationships/footer" Target="footer12.xml"/><Relationship Id="rId45" Type="http://schemas.openxmlformats.org/officeDocument/2006/relationships/header" Target="header14.xml"/><Relationship Id="rId66" Type="http://schemas.openxmlformats.org/officeDocument/2006/relationships/header" Target="header25.xml"/><Relationship Id="rId87" Type="http://schemas.openxmlformats.org/officeDocument/2006/relationships/hyperlink" Target="https://www.challengecommunity.org.au/disability-services/" TargetMode="External"/><Relationship Id="rId110" Type="http://schemas.openxmlformats.org/officeDocument/2006/relationships/hyperlink" Target="https://chl.org.au/" TargetMode="External"/><Relationship Id="rId115" Type="http://schemas.openxmlformats.org/officeDocument/2006/relationships/hyperlink" Target="https://www.lifestylesolutions.org.au/" TargetMode="External"/><Relationship Id="rId131" Type="http://schemas.openxmlformats.org/officeDocument/2006/relationships/hyperlink" Target="https://www.belongingmatters.org/" TargetMode="External"/><Relationship Id="rId136" Type="http://schemas.openxmlformats.org/officeDocument/2006/relationships/hyperlink" Target="mailto:admin@purpleorange.org.au" TargetMode="External"/><Relationship Id="rId157" Type="http://schemas.openxmlformats.org/officeDocument/2006/relationships/hyperlink" Target="https://www.ric.org.au/my-own-home/" TargetMode="External"/><Relationship Id="rId61" Type="http://schemas.openxmlformats.org/officeDocument/2006/relationships/footer" Target="footer22.xml"/><Relationship Id="rId82" Type="http://schemas.openxmlformats.org/officeDocument/2006/relationships/hyperlink" Target="https://www.summerfoundation.org.au/our-focus/housing/housing-prototypes/hunter-housing-demonstration-project/" TargetMode="External"/><Relationship Id="rId152" Type="http://schemas.openxmlformats.org/officeDocument/2006/relationships/hyperlink" Target="mailto:admin@mccallgardens.org.au" TargetMode="External"/><Relationship Id="rId173" Type="http://schemas.openxmlformats.org/officeDocument/2006/relationships/header" Target="header30.xml"/><Relationship Id="rId19" Type="http://schemas.openxmlformats.org/officeDocument/2006/relationships/footer" Target="footer2.xml"/><Relationship Id="rId14" Type="http://schemas.openxmlformats.org/officeDocument/2006/relationships/hyperlink" Target="file:///R:/Secured/Policy_Advice_and_Research/4.%20Research%20%26%20Evaluation%20Branch/Research%20and%20Evaluation%20Branch/10.%20Targeted%20Research%20Program/Home%20and%20LO/Report/NDIA_report_final_11March2021-cover%20and%20disclaimer.docx" TargetMode="External"/><Relationship Id="rId30" Type="http://schemas.openxmlformats.org/officeDocument/2006/relationships/header" Target="header7.xml"/><Relationship Id="rId35" Type="http://schemas.openxmlformats.org/officeDocument/2006/relationships/footer" Target="footer10.xml"/><Relationship Id="rId56" Type="http://schemas.openxmlformats.org/officeDocument/2006/relationships/header" Target="header20.xml"/><Relationship Id="rId77" Type="http://schemas.openxmlformats.org/officeDocument/2006/relationships/header" Target="header29.xml"/><Relationship Id="rId100" Type="http://schemas.openxmlformats.org/officeDocument/2006/relationships/hyperlink" Target="https://www.sdahousinginvestments.com.au/" TargetMode="External"/><Relationship Id="rId105" Type="http://schemas.openxmlformats.org/officeDocument/2006/relationships/hyperlink" Target="https://www.linkhousing.org.au/" TargetMode="External"/><Relationship Id="rId126" Type="http://schemas.openxmlformats.org/officeDocument/2006/relationships/hyperlink" Target="https://independentfutures.com/" TargetMode="External"/><Relationship Id="rId147" Type="http://schemas.openxmlformats.org/officeDocument/2006/relationships/hyperlink" Target="https://enlivenhousing.com.au/home/" TargetMode="External"/><Relationship Id="rId168" Type="http://schemas.openxmlformats.org/officeDocument/2006/relationships/image" Target="media/image10.wmf"/><Relationship Id="rId8" Type="http://schemas.openxmlformats.org/officeDocument/2006/relationships/webSettings" Target="webSettings.xml"/><Relationship Id="rId51" Type="http://schemas.openxmlformats.org/officeDocument/2006/relationships/footer" Target="footer17.xml"/><Relationship Id="rId72" Type="http://schemas.openxmlformats.org/officeDocument/2006/relationships/hyperlink" Target="https://doi.org/10.3109/00048674.2011.559634" TargetMode="External"/><Relationship Id="rId93" Type="http://schemas.openxmlformats.org/officeDocument/2006/relationships/hyperlink" Target="https://mysupports.com.au/" TargetMode="External"/><Relationship Id="rId98" Type="http://schemas.openxmlformats.org/officeDocument/2006/relationships/hyperlink" Target="https://www.valid.org.au/valid-submission-regarding-supported-independent-living/" TargetMode="External"/><Relationship Id="rId121" Type="http://schemas.openxmlformats.org/officeDocument/2006/relationships/hyperlink" Target="mailto:info@communitycatalysts.co.uk" TargetMode="External"/><Relationship Id="rId142" Type="http://schemas.openxmlformats.org/officeDocument/2006/relationships/hyperlink" Target="https://www.dpn.com.au/casacapace" TargetMode="External"/><Relationship Id="rId163" Type="http://schemas.openxmlformats.org/officeDocument/2006/relationships/image" Target="media/image5.tiff"/><Relationship Id="rId3" Type="http://schemas.openxmlformats.org/officeDocument/2006/relationships/customXml" Target="../customXml/item3.xml"/><Relationship Id="rId25" Type="http://schemas.openxmlformats.org/officeDocument/2006/relationships/footer" Target="footer5.xml"/><Relationship Id="rId46" Type="http://schemas.openxmlformats.org/officeDocument/2006/relationships/header" Target="header15.xml"/><Relationship Id="rId67" Type="http://schemas.openxmlformats.org/officeDocument/2006/relationships/footer" Target="footer25.xml"/><Relationship Id="rId116" Type="http://schemas.openxmlformats.org/officeDocument/2006/relationships/hyperlink" Target="https://pwd.org.au/get-help/housing/disability-housing-information-line/" TargetMode="External"/><Relationship Id="rId137" Type="http://schemas.openxmlformats.org/officeDocument/2006/relationships/hyperlink" Target="https://www.purpleorange.org.au/" TargetMode="External"/><Relationship Id="rId158" Type="http://schemas.openxmlformats.org/officeDocument/2006/relationships/hyperlink" Target="https://www.irt.org.au/location/kemira-at-irt-kanahooka/" TargetMode="External"/><Relationship Id="rId20" Type="http://schemas.openxmlformats.org/officeDocument/2006/relationships/header" Target="header2.xml"/><Relationship Id="rId41" Type="http://schemas.openxmlformats.org/officeDocument/2006/relationships/header" Target="header12.xml"/><Relationship Id="rId62" Type="http://schemas.openxmlformats.org/officeDocument/2006/relationships/header" Target="header23.xml"/><Relationship Id="rId83" Type="http://schemas.openxmlformats.org/officeDocument/2006/relationships/hyperlink" Target="https://bluechp.com.au/" TargetMode="External"/><Relationship Id="rId88" Type="http://schemas.openxmlformats.org/officeDocument/2006/relationships/hyperlink" Target="https://www.sylvanvale.com.au/" TargetMode="External"/><Relationship Id="rId111" Type="http://schemas.openxmlformats.org/officeDocument/2006/relationships/hyperlink" Target="https://www.thc.org.au/" TargetMode="External"/><Relationship Id="rId132" Type="http://schemas.openxmlformats.org/officeDocument/2006/relationships/hyperlink" Target="https://imaginemore.org.au/contact/" TargetMode="External"/><Relationship Id="rId153" Type="http://schemas.openxmlformats.org/officeDocument/2006/relationships/hyperlink" Target="https://www.mccallgardens.org.au/" TargetMode="External"/><Relationship Id="rId174" Type="http://schemas.openxmlformats.org/officeDocument/2006/relationships/footer" Target="footer30.xml"/><Relationship Id="rId15" Type="http://schemas.openxmlformats.org/officeDocument/2006/relationships/hyperlink" Target="file:///R:/Secured/Policy_Advice_and_Research/4.%20Research%20%26%20Evaluation%20Branch/Research%20and%20Evaluation%20Branch/10.%20Targeted%20Research%20Program/Home%20and%20LO/Report/NDIA_report_final_11March2021-cover%20and%20disclaimer.docx" TargetMode="External"/><Relationship Id="rId36" Type="http://schemas.openxmlformats.org/officeDocument/2006/relationships/image" Target="media/image3.emf"/><Relationship Id="rId57" Type="http://schemas.openxmlformats.org/officeDocument/2006/relationships/footer" Target="footer20.xml"/><Relationship Id="rId106" Type="http://schemas.openxmlformats.org/officeDocument/2006/relationships/hyperlink" Target="https://www.linkhousing.org.au/apply/specialist-disability-housing/" TargetMode="External"/><Relationship Id="rId127" Type="http://schemas.openxmlformats.org/officeDocument/2006/relationships/hyperlink" Target="mailto:director@donaldbeasley.org.nz" TargetMode="External"/><Relationship Id="rId10" Type="http://schemas.openxmlformats.org/officeDocument/2006/relationships/endnotes" Target="endnotes.xml"/><Relationship Id="rId31" Type="http://schemas.openxmlformats.org/officeDocument/2006/relationships/footer" Target="footer8.xml"/><Relationship Id="rId52" Type="http://schemas.openxmlformats.org/officeDocument/2006/relationships/header" Target="header18.xml"/><Relationship Id="rId73" Type="http://schemas.openxmlformats.org/officeDocument/2006/relationships/hyperlink" Target="https://www.un.org/en/universal-declaration-human-rights/" TargetMode="External"/><Relationship Id="rId78" Type="http://schemas.openxmlformats.org/officeDocument/2006/relationships/footer" Target="footer29.xml"/><Relationship Id="rId94" Type="http://schemas.openxmlformats.org/officeDocument/2006/relationships/hyperlink" Target="https://www.qcoss.org.au/" TargetMode="External"/><Relationship Id="rId99" Type="http://schemas.openxmlformats.org/officeDocument/2006/relationships/hyperlink" Target="https://pwd.org.au/get-help/housing/disability-housing-advocacy-service/" TargetMode="External"/><Relationship Id="rId101" Type="http://schemas.openxmlformats.org/officeDocument/2006/relationships/hyperlink" Target="https://www.sdahousinginvestments.com.au/about-us" TargetMode="External"/><Relationship Id="rId122" Type="http://schemas.openxmlformats.org/officeDocument/2006/relationships/hyperlink" Target="https://www.communitycatalysts.co.uk/" TargetMode="External"/><Relationship Id="rId143" Type="http://schemas.openxmlformats.org/officeDocument/2006/relationships/hyperlink" Target="https://gonest.com.au/" TargetMode="External"/><Relationship Id="rId148" Type="http://schemas.openxmlformats.org/officeDocument/2006/relationships/hyperlink" Target="https://enlivenhousing.com.au/community/" TargetMode="External"/><Relationship Id="rId164" Type="http://schemas.openxmlformats.org/officeDocument/2006/relationships/image" Target="media/image6.tiff"/><Relationship Id="rId169"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eader" Target="header5.xml"/><Relationship Id="rId47" Type="http://schemas.openxmlformats.org/officeDocument/2006/relationships/footer" Target="footer15.xml"/><Relationship Id="rId68" Type="http://schemas.openxmlformats.org/officeDocument/2006/relationships/header" Target="header26.xml"/><Relationship Id="rId89" Type="http://schemas.openxmlformats.org/officeDocument/2006/relationships/hyperlink" Target="https://www.sylvanvale.com.au/supported-independent-living/" TargetMode="External"/><Relationship Id="rId112" Type="http://schemas.openxmlformats.org/officeDocument/2006/relationships/hyperlink" Target="https://www.aruma.com.au/" TargetMode="External"/><Relationship Id="rId133" Type="http://schemas.openxmlformats.org/officeDocument/2006/relationships/hyperlink" Target="https://imaginemore.org.au/" TargetMode="External"/><Relationship Id="rId154" Type="http://schemas.openxmlformats.org/officeDocument/2006/relationships/hyperlink" Target="mailto:contact@bridgescare.com.au" TargetMode="External"/><Relationship Id="rId175" Type="http://schemas.openxmlformats.org/officeDocument/2006/relationships/fontTable" Target="fontTable.xml"/><Relationship Id="rId16" Type="http://schemas.openxmlformats.org/officeDocument/2006/relationships/hyperlink" Target="file:///R:/Secured/Policy_Advice_and_Research/4.%20Research%20%26%20Evaluation%20Branch/Research%20and%20Evaluation%20Branch/10.%20Targeted%20Research%20Program/Home%20and%20LO/Report/NDIA_report_final_11March2021-cover%20and%20disclaimer.docx" TargetMode="External"/><Relationship Id="rId37" Type="http://schemas.openxmlformats.org/officeDocument/2006/relationships/header" Target="header10.xml"/><Relationship Id="rId58" Type="http://schemas.openxmlformats.org/officeDocument/2006/relationships/header" Target="header21.xml"/><Relationship Id="rId79" Type="http://schemas.openxmlformats.org/officeDocument/2006/relationships/hyperlink" Target="https://www.summerfoundation.org.au/" TargetMode="External"/><Relationship Id="rId102" Type="http://schemas.openxmlformats.org/officeDocument/2006/relationships/hyperlink" Target="https://www.sunnyfield.org.au/" TargetMode="External"/><Relationship Id="rId123" Type="http://schemas.openxmlformats.org/officeDocument/2006/relationships/hyperlink" Target="mailto:enquiries@keyring.org" TargetMode="External"/><Relationship Id="rId144" Type="http://schemas.openxmlformats.org/officeDocument/2006/relationships/hyperlink" Target="mailto:info@accessaccom.com.au" TargetMode="External"/><Relationship Id="rId90" Type="http://schemas.openxmlformats.org/officeDocument/2006/relationships/hyperlink" Target="https://www.gooddirections.com.au/index.php" TargetMode="External"/><Relationship Id="rId165" Type="http://schemas.openxmlformats.org/officeDocument/2006/relationships/image" Target="media/image7.tiff"/><Relationship Id="rId27" Type="http://schemas.openxmlformats.org/officeDocument/2006/relationships/footer" Target="footer6.xml"/><Relationship Id="rId48" Type="http://schemas.openxmlformats.org/officeDocument/2006/relationships/header" Target="header16.xml"/><Relationship Id="rId69" Type="http://schemas.openxmlformats.org/officeDocument/2006/relationships/footer" Target="footer26.xml"/><Relationship Id="rId113" Type="http://schemas.openxmlformats.org/officeDocument/2006/relationships/hyperlink" Target="https://unissondisability.org.au/" TargetMode="External"/><Relationship Id="rId134" Type="http://schemas.openxmlformats.org/officeDocument/2006/relationships/hyperlink" Target="mailto:info@valuedlives.org" TargetMode="External"/><Relationship Id="rId80" Type="http://schemas.openxmlformats.org/officeDocument/2006/relationships/hyperlink" Target="https://summerhousing.org.au/" TargetMode="External"/><Relationship Id="rId155" Type="http://schemas.openxmlformats.org/officeDocument/2006/relationships/hyperlink" Target="http://www.bridgescare.com.au/" TargetMode="External"/><Relationship Id="rId176" Type="http://schemas.openxmlformats.org/officeDocument/2006/relationships/theme" Target="theme/theme1.xml"/><Relationship Id="rId17" Type="http://schemas.openxmlformats.org/officeDocument/2006/relationships/footer" Target="footer1.xml"/><Relationship Id="rId38" Type="http://schemas.openxmlformats.org/officeDocument/2006/relationships/footer" Target="footer11.xml"/><Relationship Id="rId59" Type="http://schemas.openxmlformats.org/officeDocument/2006/relationships/footer" Target="footer21.xml"/><Relationship Id="rId103" Type="http://schemas.openxmlformats.org/officeDocument/2006/relationships/hyperlink" Target="https://www.sunnyfield.org.au/services/accommodation/" TargetMode="External"/><Relationship Id="rId124" Type="http://schemas.openxmlformats.org/officeDocument/2006/relationships/hyperlink" Target="https://www.keyring.org/" TargetMode="External"/><Relationship Id="rId70" Type="http://schemas.openxmlformats.org/officeDocument/2006/relationships/header" Target="header27.xml"/><Relationship Id="rId91" Type="http://schemas.openxmlformats.org/officeDocument/2006/relationships/hyperlink" Target="https://teamdsc.com.au/" TargetMode="External"/><Relationship Id="rId145" Type="http://schemas.openxmlformats.org/officeDocument/2006/relationships/hyperlink" Target="https://www.accessaccom.com.au/" TargetMode="External"/><Relationship Id="rId166" Type="http://schemas.openxmlformats.org/officeDocument/2006/relationships/image" Target="media/image8.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do4418\AppData\Local\Microsoft\Office\16.0\DTS\en-US%7bB9055204-66F1-43A1-8157-9628E38E5B63%7d\%7bE75AE4D4-E3EE-4F10-8911-47A6DC444FD8%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867BF1240E9B34FBD2436A6A957BFCB" ma:contentTypeVersion="13" ma:contentTypeDescription="Create a new document." ma:contentTypeScope="" ma:versionID="459bd651a52e6d385eda31a232182895">
  <xsd:schema xmlns:xsd="http://www.w3.org/2001/XMLSchema" xmlns:xs="http://www.w3.org/2001/XMLSchema" xmlns:p="http://schemas.microsoft.com/office/2006/metadata/properties" xmlns:ns2="435e86df-c255-4751-bd54-c43be1005d66" xmlns:ns3="9c6ebafc-08a2-4960-ae80-2e14f08d3e29" targetNamespace="http://schemas.microsoft.com/office/2006/metadata/properties" ma:root="true" ma:fieldsID="76a06869d68071b708f1fbc5183e4caf" ns2:_="" ns3:_="">
    <xsd:import namespace="435e86df-c255-4751-bd54-c43be1005d66"/>
    <xsd:import namespace="9c6ebafc-08a2-4960-ae80-2e14f08d3e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e86df-c255-4751-bd54-c43be1005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6ebafc-08a2-4960-ae80-2e14f08d3e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690c05c-5bd7-4d31-89f1-e6317acb985c"/>
    <ds:schemaRef ds:uri="http://www.w3.org/XML/1998/namespace"/>
    <ds:schemaRef ds:uri="http://purl.org/dc/dcmitype/"/>
  </ds:schemaRefs>
</ds:datastoreItem>
</file>

<file path=customXml/itemProps2.xml><?xml version="1.0" encoding="utf-8"?>
<ds:datastoreItem xmlns:ds="http://schemas.openxmlformats.org/officeDocument/2006/customXml" ds:itemID="{E0C19270-D196-44F0-87DD-44747E62930C}">
  <ds:schemaRefs>
    <ds:schemaRef ds:uri="http://schemas.microsoft.com/sharepoint/v3/contenttype/forms"/>
  </ds:schemaRefs>
</ds:datastoreItem>
</file>

<file path=customXml/itemProps3.xml><?xml version="1.0" encoding="utf-8"?>
<ds:datastoreItem xmlns:ds="http://schemas.openxmlformats.org/officeDocument/2006/customXml" ds:itemID="{26CBF67C-0003-4667-9C64-4FC63D96D884}">
  <ds:schemaRefs>
    <ds:schemaRef ds:uri="http://schemas.openxmlformats.org/officeDocument/2006/bibliography"/>
  </ds:schemaRefs>
</ds:datastoreItem>
</file>

<file path=customXml/itemProps4.xml><?xml version="1.0" encoding="utf-8"?>
<ds:datastoreItem xmlns:ds="http://schemas.openxmlformats.org/officeDocument/2006/customXml" ds:itemID="{625AB0B5-132E-4E0B-8667-E602BD17F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e86df-c255-4751-bd54-c43be1005d66"/>
    <ds:schemaRef ds:uri="9c6ebafc-08a2-4960-ae80-2e14f08d3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{E75AE4D4-E3EE-4F10-8911-47A6DC444FD8}tf02786999_win32.dotx</Template>
  <TotalTime>1</TotalTime>
  <Pages>226</Pages>
  <Words>52795</Words>
  <Characters>300934</Characters>
  <Application>Microsoft Office Word</Application>
  <DocSecurity>0</DocSecurity>
  <Lines>2507</Lines>
  <Paragraphs>706</Paragraphs>
  <ScaleCrop>false</ScaleCrop>
  <Company/>
  <LinksUpToDate>false</LinksUpToDate>
  <CharactersWithSpaces>353023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O'Donovan</dc:creator>
  <cp:keywords/>
  <dc:description/>
  <cp:lastModifiedBy>Morello, Renata</cp:lastModifiedBy>
  <cp:revision>2</cp:revision>
  <cp:lastPrinted>2021-03-11T02:57:00Z</cp:lastPrinted>
  <dcterms:created xsi:type="dcterms:W3CDTF">2021-11-29T23:09:00Z</dcterms:created>
  <dcterms:modified xsi:type="dcterms:W3CDTF">2021-11-29T23:09:00Z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0x0101007867BF1240E9B34FBD2436A6A957BFCB</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Order">
    <vt:r8>4241400</vt:r8>
  </property>
  <property fmtid="{D5CDD505-2E9C-101B-9397-08002B2CF9AE}" pid="9" name="MSIP_Label_ebd2ca97-e3ba-4a46-9402-9b88dc57bb70_Enabled">
    <vt:lpwstr>true</vt:lpwstr>
  </property>
  <property fmtid="{D5CDD505-2E9C-101B-9397-08002B2CF9AE}" pid="10" name="MSIP_Label_ebd2ca97-e3ba-4a46-9402-9b88dc57bb70_SetDate">
    <vt:lpwstr>2021-11-11T02:38:34Z</vt:lpwstr>
  </property>
  <property fmtid="{D5CDD505-2E9C-101B-9397-08002B2CF9AE}" pid="11" name="MSIP_Label_ebd2ca97-e3ba-4a46-9402-9b88dc57bb70_Method">
    <vt:lpwstr>Privileged</vt:lpwstr>
  </property>
  <property fmtid="{D5CDD505-2E9C-101B-9397-08002B2CF9AE}" pid="12" name="MSIP_Label_ebd2ca97-e3ba-4a46-9402-9b88dc57bb70_Name">
    <vt:lpwstr>UNOFFICIAL</vt:lpwstr>
  </property>
  <property fmtid="{D5CDD505-2E9C-101B-9397-08002B2CF9AE}" pid="13" name="MSIP_Label_ebd2ca97-e3ba-4a46-9402-9b88dc57bb70_SiteId">
    <vt:lpwstr>cd778b65-752d-454a-87cf-b9990fe58993</vt:lpwstr>
  </property>
  <property fmtid="{D5CDD505-2E9C-101B-9397-08002B2CF9AE}" pid="14" name="MSIP_Label_ebd2ca97-e3ba-4a46-9402-9b88dc57bb70_ActionId">
    <vt:lpwstr>7adb0a26-0981-4fd5-9da1-1bb03d378d5e</vt:lpwstr>
  </property>
  <property fmtid="{D5CDD505-2E9C-101B-9397-08002B2CF9AE}" pid="15" name="MSIP_Label_ebd2ca97-e3ba-4a46-9402-9b88dc57bb70_ContentBits">
    <vt:lpwstr>0</vt:lpwstr>
  </property>
</Properties>
</file>