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0117760"/>
        <w:docPartObj>
          <w:docPartGallery w:val="Cover Pages"/>
          <w:docPartUnique/>
        </w:docPartObj>
      </w:sdtPr>
      <w:sdtEndPr>
        <w:rPr>
          <w:rFonts w:ascii="Arial" w:hAnsi="Arial" w:cs="Arial"/>
          <w:color w:val="233C6F"/>
          <w:sz w:val="36"/>
          <w:szCs w:val="40"/>
          <w:lang w:bidi="en-US"/>
        </w:rPr>
      </w:sdtEndPr>
      <w:sdtContent>
        <w:p w14:paraId="771B6E0C" w14:textId="75EBEAA9" w:rsidR="007073A3" w:rsidRDefault="007073A3">
          <w:r>
            <w:rPr>
              <w:noProof/>
              <w:lang w:eastAsia="en-AU"/>
            </w:rPr>
            <mc:AlternateContent>
              <mc:Choice Requires="wpg">
                <w:drawing>
                  <wp:anchor distT="0" distB="0" distL="114300" distR="114300" simplePos="0" relativeHeight="251658240" behindDoc="1" locked="0" layoutInCell="1" allowOverlap="1" wp14:anchorId="7259C76E" wp14:editId="680CB860">
                    <wp:simplePos x="0" y="0"/>
                    <wp:positionH relativeFrom="page">
                      <wp:posOffset>448310</wp:posOffset>
                    </wp:positionH>
                    <wp:positionV relativeFrom="page">
                      <wp:posOffset>127607</wp:posOffset>
                    </wp:positionV>
                    <wp:extent cx="6864824" cy="10348546"/>
                    <wp:effectExtent l="0" t="0" r="0" b="2540"/>
                    <wp:wrapNone/>
                    <wp:docPr id="193" name="Group 31" descr="Evaluation of the Adult and Youth Through Care Programs, Keogh Bay People Pty Ltd, on behalf of the National Indigenous Australians Agency, February 2024." title="Front cover of document"/>
                    <wp:cNvGraphicFramePr/>
                    <a:graphic xmlns:a="http://schemas.openxmlformats.org/drawingml/2006/main">
                      <a:graphicData uri="http://schemas.microsoft.com/office/word/2010/wordprocessingGroup">
                        <wpg:wgp>
                          <wpg:cNvGrpSpPr/>
                          <wpg:grpSpPr>
                            <a:xfrm>
                              <a:off x="0" y="0"/>
                              <a:ext cx="6864824" cy="10348546"/>
                              <a:chOff x="0" y="0"/>
                              <a:chExt cx="6864824" cy="9106277"/>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77077"/>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5A4AE" w14:textId="5EA9EE8F" w:rsidR="009C42F3" w:rsidRPr="000805C5" w:rsidRDefault="009C42F3" w:rsidP="000805C5">
                                  <w:pPr>
                                    <w:pStyle w:val="NoSpacing"/>
                                    <w:jc w:val="center"/>
                                    <w:rPr>
                                      <w:sz w:val="44"/>
                                      <w:szCs w:val="44"/>
                                    </w:rPr>
                                  </w:pPr>
                                  <w:r w:rsidRPr="000805C5">
                                    <w:rPr>
                                      <w:sz w:val="52"/>
                                      <w:szCs w:val="52"/>
                                    </w:rPr>
                                    <w:t>Keogh Bay</w:t>
                                  </w:r>
                                  <w:r>
                                    <w:rPr>
                                      <w:sz w:val="52"/>
                                      <w:szCs w:val="52"/>
                                    </w:rPr>
                                    <w:t xml:space="preserve"> People Pty Ltd</w:t>
                                  </w:r>
                                </w:p>
                                <w:p w14:paraId="6992C6C0" w14:textId="58F4A5B9" w:rsidR="009C42F3" w:rsidRPr="000805C5" w:rsidRDefault="009C42F3" w:rsidP="000805C5">
                                  <w:pPr>
                                    <w:pStyle w:val="NoSpacing"/>
                                    <w:jc w:val="center"/>
                                    <w:rPr>
                                      <w:i/>
                                      <w:iCs/>
                                      <w:sz w:val="36"/>
                                      <w:szCs w:val="36"/>
                                    </w:rPr>
                                  </w:pPr>
                                  <w:r w:rsidRPr="000805C5">
                                    <w:rPr>
                                      <w:i/>
                                      <w:iCs/>
                                      <w:sz w:val="36"/>
                                      <w:szCs w:val="36"/>
                                    </w:rPr>
                                    <w:t>on behalf of the</w:t>
                                  </w:r>
                                </w:p>
                                <w:p w14:paraId="54E7F1D6" w14:textId="706B907C" w:rsidR="009C42F3" w:rsidRPr="000805C5" w:rsidRDefault="009C42F3" w:rsidP="000805C5">
                                  <w:pPr>
                                    <w:pStyle w:val="NoSpacing"/>
                                    <w:jc w:val="center"/>
                                    <w:rPr>
                                      <w:b/>
                                      <w:bCs/>
                                      <w:sz w:val="44"/>
                                      <w:szCs w:val="44"/>
                                    </w:rPr>
                                  </w:pPr>
                                  <w:r w:rsidRPr="000805C5">
                                    <w:rPr>
                                      <w:b/>
                                      <w:bCs/>
                                      <w:sz w:val="44"/>
                                      <w:szCs w:val="44"/>
                                    </w:rPr>
                                    <w:t>National Indigenous Australians Agency</w:t>
                                  </w:r>
                                </w:p>
                                <w:p w14:paraId="02BC0C73" w14:textId="179DEBAE" w:rsidR="009C42F3" w:rsidRDefault="009C42F3" w:rsidP="0095420C">
                                  <w:pPr>
                                    <w:pStyle w:val="NoSpacing"/>
                                    <w:jc w:val="center"/>
                                    <w:rPr>
                                      <w:sz w:val="48"/>
                                      <w:szCs w:val="48"/>
                                    </w:rPr>
                                  </w:pPr>
                                  <w:r>
                                    <w:rPr>
                                      <w:sz w:val="48"/>
                                      <w:szCs w:val="48"/>
                                    </w:rPr>
                                    <w:t xml:space="preserve"> February </w:t>
                                  </w:r>
                                  <w:r w:rsidRPr="000805C5">
                                    <w:rPr>
                                      <w:sz w:val="48"/>
                                      <w:szCs w:val="48"/>
                                    </w:rPr>
                                    <w:t>202</w:t>
                                  </w:r>
                                  <w:r>
                                    <w:rPr>
                                      <w:sz w:val="48"/>
                                      <w:szCs w:val="48"/>
                                    </w:rPr>
                                    <w:t>4</w:t>
                                  </w:r>
                                </w:p>
                                <w:p w14:paraId="4771906D" w14:textId="77777777" w:rsidR="009C42F3" w:rsidRDefault="009C42F3" w:rsidP="0095420C">
                                  <w:pPr>
                                    <w:pStyle w:val="NoSpacing"/>
                                    <w:jc w:val="center"/>
                                    <w:rPr>
                                      <w:sz w:val="48"/>
                                      <w:szCs w:val="48"/>
                                    </w:rPr>
                                  </w:pPr>
                                </w:p>
                                <w:p w14:paraId="2B146760" w14:textId="77777777" w:rsidR="009C42F3" w:rsidRDefault="009C42F3" w:rsidP="0095420C">
                                  <w:pPr>
                                    <w:pStyle w:val="NoSpacing"/>
                                    <w:jc w:val="center"/>
                                    <w:rPr>
                                      <w:sz w:val="48"/>
                                      <w:szCs w:val="48"/>
                                    </w:rPr>
                                  </w:pPr>
                                </w:p>
                                <w:p w14:paraId="39727B42" w14:textId="77777777" w:rsidR="009C42F3" w:rsidRDefault="009C42F3" w:rsidP="0095420C">
                                  <w:pPr>
                                    <w:pStyle w:val="NoSpacing"/>
                                    <w:jc w:val="center"/>
                                    <w:rPr>
                                      <w:sz w:val="48"/>
                                      <w:szCs w:val="48"/>
                                    </w:rPr>
                                  </w:pPr>
                                </w:p>
                                <w:p w14:paraId="37569DCA" w14:textId="61359EBC" w:rsidR="009C42F3" w:rsidRPr="0095420C" w:rsidRDefault="009C42F3" w:rsidP="0095420C">
                                  <w:pPr>
                                    <w:pStyle w:val="NoSpacing"/>
                                    <w:jc w:val="center"/>
                                    <w:rPr>
                                      <w:color w:val="FF0000"/>
                                      <w:sz w:val="52"/>
                                      <w:szCs w:val="52"/>
                                    </w:rPr>
                                  </w:pPr>
                                  <w:r w:rsidRPr="0095420C">
                                    <w:rPr>
                                      <w:color w:val="FF0000"/>
                                      <w:sz w:val="52"/>
                                      <w:szCs w:val="52"/>
                                    </w:rPr>
                                    <w:t xml:space="preserve"> </w:t>
                                  </w:r>
                                </w:p>
                                <w:p w14:paraId="61357BE0" w14:textId="0F8A4689" w:rsidR="009C42F3" w:rsidRDefault="009C42F3">
                                  <w:pPr>
                                    <w:pStyle w:val="NoSpacing"/>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E381C" w14:textId="79B186AD" w:rsidR="009C42F3" w:rsidRDefault="009C42F3">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Evaluation of the Adult &amp; Youth Through Care Programs</w:t>
                                  </w:r>
                                </w:p>
                                <w:p w14:paraId="6D25D9DA" w14:textId="4A0A6FFF" w:rsidR="009C42F3" w:rsidRDefault="009C42F3" w:rsidP="002370BF">
                                  <w:pPr>
                                    <w:pStyle w:val="NoSpacing"/>
                                    <w:rPr>
                                      <w:rFonts w:asciiTheme="majorHAnsi" w:eastAsiaTheme="majorEastAsia" w:hAnsiTheme="majorHAnsi" w:cstheme="majorBidi"/>
                                      <w:caps/>
                                      <w:color w:val="4F81BD"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xmlns:w16du="http://schemas.microsoft.com/office/word/2023/wordml/word16du">
                <w:pict>
                  <v:group w14:anchorId="7259C76E" id="Group 31" o:spid="_x0000_s1026" alt="Title: Front cover of document - Description: Evaluation of the Adult and Youth Through Care Programs, Keogh Bay People Pty Ltd, on behalf of the National Indigenous Australians Agency, February 2024." style="position:absolute;margin-left:35.3pt;margin-top:10.05pt;width:540.55pt;height:814.85pt;z-index:-251658240;mso-width-percent:882;mso-position-horizontal-relative:page;mso-position-vertical-relative:page;mso-width-percent:882" coordsize="68648,9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rect id="Rectangle 195" o:spid="_x0000_s1028" style="position:absolute;top:40770;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p w14:paraId="6265A4AE" w14:textId="5EA9EE8F" w:rsidR="009C42F3" w:rsidRPr="000805C5" w:rsidRDefault="009C42F3" w:rsidP="000805C5">
                            <w:pPr>
                              <w:pStyle w:val="NoSpacing"/>
                              <w:jc w:val="center"/>
                              <w:rPr>
                                <w:sz w:val="44"/>
                                <w:szCs w:val="44"/>
                              </w:rPr>
                            </w:pPr>
                            <w:r w:rsidRPr="000805C5">
                              <w:rPr>
                                <w:sz w:val="52"/>
                                <w:szCs w:val="52"/>
                              </w:rPr>
                              <w:t>Keogh Bay</w:t>
                            </w:r>
                            <w:r>
                              <w:rPr>
                                <w:sz w:val="52"/>
                                <w:szCs w:val="52"/>
                              </w:rPr>
                              <w:t xml:space="preserve"> People Pty Ltd</w:t>
                            </w:r>
                          </w:p>
                          <w:p w14:paraId="6992C6C0" w14:textId="58F4A5B9" w:rsidR="009C42F3" w:rsidRPr="000805C5" w:rsidRDefault="009C42F3" w:rsidP="000805C5">
                            <w:pPr>
                              <w:pStyle w:val="NoSpacing"/>
                              <w:jc w:val="center"/>
                              <w:rPr>
                                <w:i/>
                                <w:iCs/>
                                <w:sz w:val="36"/>
                                <w:szCs w:val="36"/>
                              </w:rPr>
                            </w:pPr>
                            <w:r w:rsidRPr="000805C5">
                              <w:rPr>
                                <w:i/>
                                <w:iCs/>
                                <w:sz w:val="36"/>
                                <w:szCs w:val="36"/>
                              </w:rPr>
                              <w:t>on behalf of the</w:t>
                            </w:r>
                          </w:p>
                          <w:p w14:paraId="54E7F1D6" w14:textId="706B907C" w:rsidR="009C42F3" w:rsidRPr="000805C5" w:rsidRDefault="009C42F3" w:rsidP="000805C5">
                            <w:pPr>
                              <w:pStyle w:val="NoSpacing"/>
                              <w:jc w:val="center"/>
                              <w:rPr>
                                <w:b/>
                                <w:bCs/>
                                <w:sz w:val="44"/>
                                <w:szCs w:val="44"/>
                              </w:rPr>
                            </w:pPr>
                            <w:r w:rsidRPr="000805C5">
                              <w:rPr>
                                <w:b/>
                                <w:bCs/>
                                <w:sz w:val="44"/>
                                <w:szCs w:val="44"/>
                              </w:rPr>
                              <w:t>National Indigenous Australians Agency</w:t>
                            </w:r>
                          </w:p>
                          <w:p w14:paraId="02BC0C73" w14:textId="179DEBAE" w:rsidR="009C42F3" w:rsidRDefault="009C42F3" w:rsidP="0095420C">
                            <w:pPr>
                              <w:pStyle w:val="NoSpacing"/>
                              <w:jc w:val="center"/>
                              <w:rPr>
                                <w:sz w:val="48"/>
                                <w:szCs w:val="48"/>
                              </w:rPr>
                            </w:pPr>
                            <w:r>
                              <w:rPr>
                                <w:sz w:val="48"/>
                                <w:szCs w:val="48"/>
                              </w:rPr>
                              <w:t xml:space="preserve"> February </w:t>
                            </w:r>
                            <w:r w:rsidRPr="000805C5">
                              <w:rPr>
                                <w:sz w:val="48"/>
                                <w:szCs w:val="48"/>
                              </w:rPr>
                              <w:t>202</w:t>
                            </w:r>
                            <w:r>
                              <w:rPr>
                                <w:sz w:val="48"/>
                                <w:szCs w:val="48"/>
                              </w:rPr>
                              <w:t>4</w:t>
                            </w:r>
                          </w:p>
                          <w:p w14:paraId="4771906D" w14:textId="77777777" w:rsidR="009C42F3" w:rsidRDefault="009C42F3" w:rsidP="0095420C">
                            <w:pPr>
                              <w:pStyle w:val="NoSpacing"/>
                              <w:jc w:val="center"/>
                              <w:rPr>
                                <w:sz w:val="48"/>
                                <w:szCs w:val="48"/>
                              </w:rPr>
                            </w:pPr>
                          </w:p>
                          <w:p w14:paraId="2B146760" w14:textId="77777777" w:rsidR="009C42F3" w:rsidRDefault="009C42F3" w:rsidP="0095420C">
                            <w:pPr>
                              <w:pStyle w:val="NoSpacing"/>
                              <w:jc w:val="center"/>
                              <w:rPr>
                                <w:sz w:val="48"/>
                                <w:szCs w:val="48"/>
                              </w:rPr>
                            </w:pPr>
                          </w:p>
                          <w:p w14:paraId="39727B42" w14:textId="77777777" w:rsidR="009C42F3" w:rsidRDefault="009C42F3" w:rsidP="0095420C">
                            <w:pPr>
                              <w:pStyle w:val="NoSpacing"/>
                              <w:jc w:val="center"/>
                              <w:rPr>
                                <w:sz w:val="48"/>
                                <w:szCs w:val="48"/>
                              </w:rPr>
                            </w:pPr>
                          </w:p>
                          <w:p w14:paraId="37569DCA" w14:textId="61359EBC" w:rsidR="009C42F3" w:rsidRPr="0095420C" w:rsidRDefault="009C42F3" w:rsidP="0095420C">
                            <w:pPr>
                              <w:pStyle w:val="NoSpacing"/>
                              <w:jc w:val="center"/>
                              <w:rPr>
                                <w:color w:val="FF0000"/>
                                <w:sz w:val="52"/>
                                <w:szCs w:val="52"/>
                              </w:rPr>
                            </w:pPr>
                            <w:r w:rsidRPr="0095420C">
                              <w:rPr>
                                <w:color w:val="FF0000"/>
                                <w:sz w:val="52"/>
                                <w:szCs w:val="52"/>
                              </w:rPr>
                              <w:t xml:space="preserve"> </w:t>
                            </w:r>
                          </w:p>
                          <w:p w14:paraId="61357BE0" w14:textId="0F8A4689" w:rsidR="009C42F3" w:rsidRDefault="009C42F3">
                            <w:pPr>
                              <w:pStyle w:val="NoSpacing"/>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5BDE381C" w14:textId="79B186AD" w:rsidR="009C42F3" w:rsidRDefault="009C42F3">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Evaluation of the Adult &amp; Youth Through Care Programs</w:t>
                            </w:r>
                          </w:p>
                          <w:p w14:paraId="6D25D9DA" w14:textId="4A0A6FFF" w:rsidR="009C42F3" w:rsidRDefault="009C42F3" w:rsidP="002370BF">
                            <w:pPr>
                              <w:pStyle w:val="NoSpacing"/>
                              <w:rPr>
                                <w:rFonts w:asciiTheme="majorHAnsi" w:eastAsiaTheme="majorEastAsia" w:hAnsiTheme="majorHAnsi" w:cstheme="majorBidi"/>
                                <w:caps/>
                                <w:color w:val="4F81BD" w:themeColor="accent1"/>
                                <w:sz w:val="72"/>
                                <w:szCs w:val="72"/>
                              </w:rPr>
                            </w:pPr>
                          </w:p>
                        </w:txbxContent>
                      </v:textbox>
                    </v:shape>
                    <w10:wrap anchorx="page" anchory="page"/>
                  </v:group>
                </w:pict>
              </mc:Fallback>
            </mc:AlternateContent>
          </w:r>
        </w:p>
        <w:p w14:paraId="5757CD32" w14:textId="77777777" w:rsidR="002370BF" w:rsidRDefault="002370BF">
          <w:pPr>
            <w:spacing w:after="200" w:line="276" w:lineRule="auto"/>
            <w:rPr>
              <w:rFonts w:ascii="Arial" w:hAnsi="Arial" w:cs="Arial"/>
              <w:color w:val="233C6F"/>
              <w:sz w:val="36"/>
              <w:szCs w:val="40"/>
              <w:lang w:bidi="en-US"/>
            </w:rPr>
          </w:pPr>
          <w:r>
            <w:rPr>
              <w:rFonts w:ascii="Arial" w:hAnsi="Arial" w:cs="Arial"/>
              <w:color w:val="233C6F"/>
              <w:sz w:val="36"/>
              <w:szCs w:val="40"/>
              <w:lang w:bidi="en-US"/>
            </w:rPr>
            <w:br w:type="page"/>
          </w:r>
        </w:p>
        <w:p w14:paraId="6BE21EB4" w14:textId="61FDAD56" w:rsidR="00F361A9" w:rsidRDefault="002370BF" w:rsidP="00F361A9">
          <w:pPr>
            <w:pStyle w:val="Heading1"/>
            <w:rPr>
              <w:rFonts w:cstheme="minorHAnsi"/>
              <w:lang w:val="en-MY" w:eastAsia="en-AU"/>
            </w:rPr>
          </w:pPr>
          <w:bookmarkStart w:id="0" w:name="_Toc150784175"/>
          <w:r w:rsidRPr="00F361A9">
            <w:rPr>
              <w:rFonts w:cstheme="minorHAnsi"/>
              <w:lang w:val="en-MY" w:eastAsia="en-AU"/>
            </w:rPr>
            <w:lastRenderedPageBreak/>
            <w:t>Acknowledgements</w:t>
          </w:r>
          <w:bookmarkEnd w:id="0"/>
        </w:p>
        <w:p w14:paraId="1390DBF5" w14:textId="77777777" w:rsidR="00F361A9" w:rsidRPr="00F361A9" w:rsidRDefault="00F361A9" w:rsidP="00F361A9">
          <w:pPr>
            <w:rPr>
              <w:lang w:val="en-MY" w:eastAsia="en-AU"/>
            </w:rPr>
          </w:pPr>
        </w:p>
        <w:p w14:paraId="4829FA7D" w14:textId="6FD18915" w:rsidR="00692C7A" w:rsidRPr="001D06A0" w:rsidRDefault="002370BF" w:rsidP="00F361A9">
          <w:pPr>
            <w:pStyle w:val="ABodyText"/>
            <w:rPr>
              <w:rFonts w:asciiTheme="minorHAnsi" w:hAnsiTheme="minorHAnsi"/>
              <w:sz w:val="24"/>
              <w:szCs w:val="24"/>
              <w:lang w:eastAsia="en-AU"/>
            </w:rPr>
          </w:pPr>
          <w:r w:rsidRPr="001D06A0">
            <w:rPr>
              <w:rFonts w:asciiTheme="minorHAnsi" w:hAnsiTheme="minorHAnsi"/>
              <w:sz w:val="24"/>
              <w:szCs w:val="24"/>
              <w:lang w:eastAsia="en-AU"/>
            </w:rPr>
            <w:t xml:space="preserve">In the spirit of reconciliation Keogh Bay People Pty Ltd </w:t>
          </w:r>
          <w:r w:rsidR="00BB6A57" w:rsidRPr="001D06A0">
            <w:rPr>
              <w:rFonts w:asciiTheme="minorHAnsi" w:hAnsiTheme="minorHAnsi"/>
              <w:sz w:val="24"/>
              <w:szCs w:val="24"/>
              <w:lang w:eastAsia="en-AU"/>
            </w:rPr>
            <w:t xml:space="preserve">(Keogh Bay) </w:t>
          </w:r>
          <w:r w:rsidRPr="001D06A0">
            <w:rPr>
              <w:rFonts w:asciiTheme="minorHAnsi" w:hAnsiTheme="minorHAnsi"/>
              <w:sz w:val="24"/>
              <w:szCs w:val="24"/>
              <w:lang w:eastAsia="en-AU"/>
            </w:rPr>
            <w:t xml:space="preserve">acknowledge the Traditional Custodians of country throughout Australia and their connections to land, </w:t>
          </w:r>
          <w:r w:rsidR="00551C11" w:rsidRPr="001D06A0">
            <w:rPr>
              <w:rFonts w:asciiTheme="minorHAnsi" w:hAnsiTheme="minorHAnsi"/>
              <w:sz w:val="24"/>
              <w:szCs w:val="24"/>
              <w:lang w:eastAsia="en-AU"/>
            </w:rPr>
            <w:t>sea,</w:t>
          </w:r>
          <w:r w:rsidRPr="001D06A0">
            <w:rPr>
              <w:rFonts w:asciiTheme="minorHAnsi" w:hAnsiTheme="minorHAnsi"/>
              <w:sz w:val="24"/>
              <w:szCs w:val="24"/>
              <w:lang w:eastAsia="en-AU"/>
            </w:rPr>
            <w:t xml:space="preserve"> and community. We pay our respect to Elders past and present</w:t>
          </w:r>
          <w:r w:rsidR="001D3FEE">
            <w:rPr>
              <w:rFonts w:asciiTheme="minorHAnsi" w:hAnsiTheme="minorHAnsi"/>
              <w:sz w:val="24"/>
              <w:szCs w:val="24"/>
              <w:lang w:eastAsia="en-AU"/>
            </w:rPr>
            <w:t xml:space="preserve"> </w:t>
          </w:r>
          <w:r w:rsidRPr="001D06A0">
            <w:rPr>
              <w:rFonts w:asciiTheme="minorHAnsi" w:hAnsiTheme="minorHAnsi"/>
              <w:sz w:val="24"/>
              <w:szCs w:val="24"/>
              <w:lang w:eastAsia="en-AU"/>
            </w:rPr>
            <w:t xml:space="preserve">and extend that respect to all Aboriginal and Torres Strait Islander peoples today. </w:t>
          </w:r>
        </w:p>
        <w:p w14:paraId="55373143" w14:textId="3A8388FA" w:rsidR="00692C7A" w:rsidRPr="001D06A0" w:rsidRDefault="002370BF" w:rsidP="00F361A9">
          <w:pPr>
            <w:pStyle w:val="ABodyText"/>
            <w:rPr>
              <w:rFonts w:asciiTheme="minorHAnsi" w:hAnsiTheme="minorHAnsi"/>
              <w:sz w:val="24"/>
              <w:szCs w:val="24"/>
              <w:lang w:eastAsia="en-AU"/>
            </w:rPr>
          </w:pPr>
          <w:r w:rsidRPr="001D06A0">
            <w:rPr>
              <w:rFonts w:asciiTheme="minorHAnsi" w:hAnsiTheme="minorHAnsi"/>
              <w:sz w:val="24"/>
              <w:szCs w:val="24"/>
              <w:lang w:eastAsia="en-AU"/>
            </w:rPr>
            <w:t>In particular, Keogh Bay pay</w:t>
          </w:r>
          <w:r w:rsidR="00BB6A57" w:rsidRPr="001D06A0">
            <w:rPr>
              <w:rFonts w:asciiTheme="minorHAnsi" w:hAnsiTheme="minorHAnsi"/>
              <w:sz w:val="24"/>
              <w:szCs w:val="24"/>
              <w:lang w:eastAsia="en-AU"/>
            </w:rPr>
            <w:t>s</w:t>
          </w:r>
          <w:r w:rsidRPr="001D06A0">
            <w:rPr>
              <w:rFonts w:asciiTheme="minorHAnsi" w:hAnsiTheme="minorHAnsi"/>
              <w:sz w:val="24"/>
              <w:szCs w:val="24"/>
              <w:lang w:eastAsia="en-AU"/>
            </w:rPr>
            <w:t xml:space="preserve"> respect to </w:t>
          </w:r>
          <w:r w:rsidR="00E8427D" w:rsidRPr="001D06A0">
            <w:rPr>
              <w:rFonts w:asciiTheme="minorHAnsi" w:hAnsiTheme="minorHAnsi"/>
              <w:sz w:val="24"/>
              <w:szCs w:val="24"/>
              <w:lang w:eastAsia="en-AU"/>
            </w:rPr>
            <w:t>the</w:t>
          </w:r>
          <w:r w:rsidR="00BB6A57" w:rsidRPr="001D06A0">
            <w:rPr>
              <w:rFonts w:asciiTheme="minorHAnsi" w:hAnsiTheme="minorHAnsi"/>
              <w:sz w:val="24"/>
              <w:szCs w:val="24"/>
              <w:lang w:eastAsia="en-AU"/>
            </w:rPr>
            <w:t xml:space="preserve"> Arrernte and Larrakia peoples of the Northern Territory</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the Whadjuk Nyoongar people of Western Australia</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the Kaurna people of South Australia</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the Tarkiner people of Tasmania</w:t>
          </w:r>
          <w:r w:rsidR="00820F2F" w:rsidRPr="001D06A0">
            <w:rPr>
              <w:rFonts w:asciiTheme="minorHAnsi" w:hAnsiTheme="minorHAnsi"/>
              <w:sz w:val="24"/>
              <w:szCs w:val="24"/>
              <w:lang w:eastAsia="en-AU"/>
            </w:rPr>
            <w:t xml:space="preserve">; </w:t>
          </w:r>
          <w:r w:rsidR="00BB6A57" w:rsidRPr="001D06A0">
            <w:rPr>
              <w:rFonts w:asciiTheme="minorHAnsi" w:hAnsiTheme="minorHAnsi"/>
              <w:sz w:val="24"/>
              <w:szCs w:val="24"/>
              <w:lang w:eastAsia="en-AU"/>
            </w:rPr>
            <w:t>the Wurundjeri Woi-wurrung and Bunurong Boon Wurrung peoples of Victoria</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the Darkinyung and Barkindji peoples of New South Wales</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and the Darumbal, Gimuy-walubarra Yidi, Wulgurukaba, Yunbenun, Bindal, Gugu Badhun</w:t>
          </w:r>
          <w:r w:rsidR="00820F2F" w:rsidRPr="001D06A0">
            <w:rPr>
              <w:rFonts w:asciiTheme="minorHAnsi" w:hAnsiTheme="minorHAnsi"/>
              <w:sz w:val="24"/>
              <w:szCs w:val="24"/>
              <w:lang w:eastAsia="en-AU"/>
            </w:rPr>
            <w:t xml:space="preserve">, </w:t>
          </w:r>
          <w:r w:rsidR="00BB6A57" w:rsidRPr="001D06A0">
            <w:rPr>
              <w:rFonts w:asciiTheme="minorHAnsi" w:hAnsiTheme="minorHAnsi"/>
              <w:sz w:val="24"/>
              <w:szCs w:val="24"/>
              <w:lang w:eastAsia="en-AU"/>
            </w:rPr>
            <w:t>Nywaigi, Jagera, Yuggera</w:t>
          </w:r>
          <w:r w:rsidR="00820F2F" w:rsidRPr="001D06A0">
            <w:rPr>
              <w:rFonts w:asciiTheme="minorHAnsi" w:hAnsiTheme="minorHAnsi"/>
              <w:sz w:val="24"/>
              <w:szCs w:val="24"/>
              <w:lang w:eastAsia="en-AU"/>
            </w:rPr>
            <w:t>,</w:t>
          </w:r>
          <w:r w:rsidR="00BB6A57" w:rsidRPr="001D06A0">
            <w:rPr>
              <w:rFonts w:asciiTheme="minorHAnsi" w:hAnsiTheme="minorHAnsi"/>
              <w:sz w:val="24"/>
              <w:szCs w:val="24"/>
              <w:lang w:eastAsia="en-AU"/>
            </w:rPr>
            <w:t xml:space="preserve"> Ugarapul</w:t>
          </w:r>
          <w:r w:rsidR="00820F2F" w:rsidRPr="001D06A0">
            <w:rPr>
              <w:rFonts w:asciiTheme="minorHAnsi" w:hAnsiTheme="minorHAnsi"/>
              <w:sz w:val="24"/>
              <w:szCs w:val="24"/>
              <w:lang w:eastAsia="en-AU"/>
            </w:rPr>
            <w:t xml:space="preserve">, Turrbal </w:t>
          </w:r>
          <w:r w:rsidR="00BB6A57" w:rsidRPr="001D06A0">
            <w:rPr>
              <w:rFonts w:asciiTheme="minorHAnsi" w:hAnsiTheme="minorHAnsi"/>
              <w:sz w:val="24"/>
              <w:szCs w:val="24"/>
              <w:lang w:eastAsia="en-AU"/>
            </w:rPr>
            <w:t>and Wakka Wakka peoples of Queensland.</w:t>
          </w:r>
          <w:r w:rsidR="00820F2F" w:rsidRPr="001D06A0">
            <w:rPr>
              <w:rFonts w:asciiTheme="minorHAnsi" w:hAnsiTheme="minorHAnsi"/>
              <w:sz w:val="24"/>
              <w:szCs w:val="24"/>
              <w:lang w:eastAsia="en-AU"/>
            </w:rPr>
            <w:t xml:space="preserve"> We acknowledge that it was on the lands of these peoples that this evaluation was conducted over the </w:t>
          </w:r>
          <w:r w:rsidR="00A6555D" w:rsidRPr="001D06A0">
            <w:rPr>
              <w:rFonts w:asciiTheme="minorHAnsi" w:hAnsiTheme="minorHAnsi"/>
              <w:sz w:val="24"/>
              <w:szCs w:val="24"/>
              <w:lang w:eastAsia="en-AU"/>
            </w:rPr>
            <w:t>twelve-month</w:t>
          </w:r>
          <w:r w:rsidR="00820F2F" w:rsidRPr="001D06A0">
            <w:rPr>
              <w:rFonts w:asciiTheme="minorHAnsi" w:hAnsiTheme="minorHAnsi"/>
              <w:sz w:val="24"/>
              <w:szCs w:val="24"/>
              <w:lang w:eastAsia="en-AU"/>
            </w:rPr>
            <w:t xml:space="preserve"> period from September 2022 to September 2023. </w:t>
          </w:r>
        </w:p>
        <w:p w14:paraId="77548639" w14:textId="5FDC3AD3" w:rsidR="00BB6A57" w:rsidRPr="001D06A0" w:rsidRDefault="000F3BE3" w:rsidP="00F361A9">
          <w:pPr>
            <w:pStyle w:val="ABodyText"/>
            <w:rPr>
              <w:rFonts w:asciiTheme="minorHAnsi" w:hAnsiTheme="minorHAnsi"/>
              <w:sz w:val="24"/>
              <w:szCs w:val="24"/>
              <w:lang w:eastAsia="en-AU"/>
            </w:rPr>
          </w:pPr>
          <w:r w:rsidRPr="001D06A0">
            <w:rPr>
              <w:rFonts w:asciiTheme="minorHAnsi" w:hAnsiTheme="minorHAnsi"/>
              <w:sz w:val="24"/>
              <w:szCs w:val="24"/>
              <w:lang w:eastAsia="en-AU"/>
            </w:rPr>
            <w:t xml:space="preserve">Sincere thanks </w:t>
          </w:r>
          <w:r w:rsidR="00A6555D" w:rsidRPr="001D06A0">
            <w:rPr>
              <w:rFonts w:asciiTheme="minorHAnsi" w:hAnsiTheme="minorHAnsi"/>
              <w:sz w:val="24"/>
              <w:szCs w:val="24"/>
              <w:lang w:eastAsia="en-AU"/>
            </w:rPr>
            <w:t>are</w:t>
          </w:r>
          <w:r w:rsidRPr="001D06A0">
            <w:rPr>
              <w:rFonts w:asciiTheme="minorHAnsi" w:hAnsiTheme="minorHAnsi"/>
              <w:sz w:val="24"/>
              <w:szCs w:val="24"/>
              <w:lang w:eastAsia="en-AU"/>
            </w:rPr>
            <w:t xml:space="preserve"> also given to the staff and clients of all through-care services who participated in the evaluation, and to the Justice Reintegration and Prevention Team with</w:t>
          </w:r>
          <w:r w:rsidR="004378E3" w:rsidRPr="001D06A0">
            <w:rPr>
              <w:rFonts w:asciiTheme="minorHAnsi" w:hAnsiTheme="minorHAnsi"/>
              <w:sz w:val="24"/>
              <w:szCs w:val="24"/>
              <w:lang w:eastAsia="en-AU"/>
            </w:rPr>
            <w:t>in</w:t>
          </w:r>
          <w:r w:rsidRPr="001D06A0">
            <w:rPr>
              <w:rFonts w:asciiTheme="minorHAnsi" w:hAnsiTheme="minorHAnsi"/>
              <w:sz w:val="24"/>
              <w:szCs w:val="24"/>
              <w:lang w:eastAsia="en-AU"/>
            </w:rPr>
            <w:t xml:space="preserve"> the National Indigenous Australians Agency (NIAA) who administer the adult and youth through-care programs.</w:t>
          </w:r>
          <w:r w:rsidR="004378E3" w:rsidRPr="001D06A0">
            <w:rPr>
              <w:rFonts w:asciiTheme="minorHAnsi" w:hAnsiTheme="minorHAnsi"/>
              <w:sz w:val="24"/>
              <w:szCs w:val="24"/>
              <w:lang w:eastAsia="en-AU"/>
            </w:rPr>
            <w:t xml:space="preserve"> Their cooperation, guidance and support throughout the evaluation was invaluable.</w:t>
          </w:r>
          <w:r w:rsidRPr="001D06A0">
            <w:rPr>
              <w:rFonts w:asciiTheme="minorHAnsi" w:hAnsiTheme="minorHAnsi"/>
              <w:sz w:val="24"/>
              <w:szCs w:val="24"/>
              <w:lang w:eastAsia="en-AU"/>
            </w:rPr>
            <w:t xml:space="preserve"> </w:t>
          </w:r>
        </w:p>
        <w:p w14:paraId="72925C15" w14:textId="73E37FB2" w:rsidR="006D23DD" w:rsidRDefault="006D23DD">
          <w:pPr>
            <w:spacing w:after="200" w:line="276" w:lineRule="auto"/>
            <w:rPr>
              <w:lang w:val="en-MY" w:eastAsia="en-AU"/>
            </w:rPr>
          </w:pPr>
          <w:r>
            <w:rPr>
              <w:lang w:val="en-MY" w:eastAsia="en-AU"/>
            </w:rPr>
            <w:br w:type="page"/>
          </w:r>
        </w:p>
        <w:p w14:paraId="0E8A1485" w14:textId="77777777" w:rsidR="006D23DD" w:rsidRPr="00F361A9" w:rsidRDefault="006D23DD" w:rsidP="00F361A9">
          <w:pPr>
            <w:pStyle w:val="Heading1"/>
            <w:rPr>
              <w:rFonts w:cstheme="minorHAnsi"/>
              <w:lang w:val="en-MY" w:eastAsia="en-AU"/>
            </w:rPr>
          </w:pPr>
          <w:bookmarkStart w:id="1" w:name="_Toc150784176"/>
          <w:r w:rsidRPr="00F361A9">
            <w:rPr>
              <w:rFonts w:cstheme="minorHAnsi"/>
              <w:lang w:val="en-MY" w:eastAsia="en-AU"/>
            </w:rPr>
            <w:lastRenderedPageBreak/>
            <w:t>List of Acronyms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list of acronymns"/>
            <w:tblDescription w:val="The table lists each acroynm and spells out the acronym in full alongside it. The table has 2 columns and 28 rows of acronyms listed."/>
          </w:tblPr>
          <w:tblGrid>
            <w:gridCol w:w="1763"/>
            <w:gridCol w:w="4624"/>
          </w:tblGrid>
          <w:tr w:rsidR="005E0840" w:rsidRPr="000F3BE3" w14:paraId="37442A79" w14:textId="77777777" w:rsidTr="00B7184E">
            <w:trPr>
              <w:tblHeader/>
            </w:trPr>
            <w:tc>
              <w:tcPr>
                <w:tcW w:w="1763" w:type="dxa"/>
                <w:vAlign w:val="center"/>
              </w:tcPr>
              <w:p w14:paraId="464CFA0E" w14:textId="79DA1066" w:rsidR="005E0840" w:rsidRPr="00F361A9" w:rsidRDefault="005E0840" w:rsidP="005E0840">
                <w:pPr>
                  <w:pStyle w:val="Heading4"/>
                  <w:ind w:left="681"/>
                  <w:rPr>
                    <w:lang w:eastAsia="en-AU"/>
                  </w:rPr>
                </w:pPr>
                <w:r>
                  <w:rPr>
                    <w:lang w:eastAsia="en-AU"/>
                  </w:rPr>
                  <w:t>ACROYNYM</w:t>
                </w:r>
              </w:p>
            </w:tc>
            <w:tc>
              <w:tcPr>
                <w:tcW w:w="4624" w:type="dxa"/>
                <w:vAlign w:val="center"/>
              </w:tcPr>
              <w:p w14:paraId="1221D710" w14:textId="63DD50D6" w:rsidR="005E0840" w:rsidRPr="00F361A9" w:rsidRDefault="005E0840" w:rsidP="005E0840">
                <w:pPr>
                  <w:pStyle w:val="Heading4"/>
                  <w:ind w:left="681"/>
                  <w:rPr>
                    <w:lang w:eastAsia="en-AU"/>
                  </w:rPr>
                </w:pPr>
                <w:r>
                  <w:rPr>
                    <w:lang w:eastAsia="en-AU"/>
                  </w:rPr>
                  <w:t>ACRONYM SPELT OUT</w:t>
                </w:r>
              </w:p>
            </w:tc>
          </w:tr>
          <w:tr w:rsidR="000854A1" w:rsidRPr="000F3BE3" w14:paraId="77FFA49C" w14:textId="77777777" w:rsidTr="00D71F2F">
            <w:tc>
              <w:tcPr>
                <w:tcW w:w="1763" w:type="dxa"/>
                <w:vAlign w:val="center"/>
              </w:tcPr>
              <w:p w14:paraId="6BC79C0A" w14:textId="7806E522" w:rsidR="000854A1" w:rsidRPr="00F361A9" w:rsidRDefault="000854A1"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ABS</w:t>
                </w:r>
              </w:p>
            </w:tc>
            <w:tc>
              <w:tcPr>
                <w:tcW w:w="4624" w:type="dxa"/>
                <w:vAlign w:val="center"/>
              </w:tcPr>
              <w:p w14:paraId="63BA2A8F" w14:textId="70494AC0" w:rsidR="000854A1" w:rsidRPr="00F361A9" w:rsidRDefault="000854A1"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Australian Bureau of Statistics</w:t>
                </w:r>
              </w:p>
            </w:tc>
          </w:tr>
          <w:tr w:rsidR="00B605E4" w:rsidRPr="000F3BE3" w14:paraId="7D909C26" w14:textId="77777777" w:rsidTr="00D71F2F">
            <w:tc>
              <w:tcPr>
                <w:tcW w:w="1763" w:type="dxa"/>
                <w:vAlign w:val="center"/>
              </w:tcPr>
              <w:p w14:paraId="6BE8348E" w14:textId="611C0477" w:rsidR="00B605E4" w:rsidRPr="00F361A9" w:rsidRDefault="00B605E4" w:rsidP="00F361A9">
                <w:pPr>
                  <w:pStyle w:val="ABodyText"/>
                  <w:spacing w:line="240" w:lineRule="auto"/>
                  <w:jc w:val="left"/>
                  <w:rPr>
                    <w:rFonts w:asciiTheme="minorHAnsi" w:hAnsiTheme="minorHAnsi"/>
                    <w:lang w:eastAsia="en-AU"/>
                  </w:rPr>
                </w:pPr>
                <w:r w:rsidRPr="001D06A0">
                  <w:rPr>
                    <w:rFonts w:asciiTheme="minorHAnsi" w:hAnsiTheme="minorHAnsi"/>
                    <w:lang w:val="en-MY" w:eastAsia="en-AU"/>
                  </w:rPr>
                  <w:t>ABT</w:t>
                </w:r>
              </w:p>
            </w:tc>
            <w:tc>
              <w:tcPr>
                <w:tcW w:w="4624" w:type="dxa"/>
                <w:vAlign w:val="center"/>
              </w:tcPr>
              <w:p w14:paraId="463515C2" w14:textId="530923E6" w:rsidR="00B605E4" w:rsidRPr="00F361A9" w:rsidRDefault="00B605E4" w:rsidP="00F361A9">
                <w:pPr>
                  <w:pStyle w:val="ABodyText"/>
                  <w:spacing w:line="240" w:lineRule="auto"/>
                  <w:jc w:val="left"/>
                  <w:rPr>
                    <w:rFonts w:asciiTheme="minorHAnsi" w:hAnsiTheme="minorHAnsi"/>
                    <w:lang w:eastAsia="en-AU"/>
                  </w:rPr>
                </w:pPr>
                <w:r>
                  <w:rPr>
                    <w:rFonts w:asciiTheme="minorHAnsi" w:hAnsiTheme="minorHAnsi"/>
                    <w:lang w:val="en-MY" w:eastAsia="en-AU"/>
                  </w:rPr>
                  <w:t xml:space="preserve">ABT </w:t>
                </w:r>
                <w:r w:rsidRPr="001D06A0">
                  <w:rPr>
                    <w:rFonts w:asciiTheme="minorHAnsi" w:hAnsiTheme="minorHAnsi"/>
                    <w:lang w:val="en-MY" w:eastAsia="en-AU"/>
                  </w:rPr>
                  <w:t>Associates Australia</w:t>
                </w:r>
              </w:p>
            </w:tc>
          </w:tr>
          <w:tr w:rsidR="006D23DD" w:rsidRPr="000F3BE3" w14:paraId="0170B54E" w14:textId="77777777" w:rsidTr="00D71F2F">
            <w:tc>
              <w:tcPr>
                <w:tcW w:w="1763" w:type="dxa"/>
                <w:vAlign w:val="center"/>
              </w:tcPr>
              <w:p w14:paraId="6241F586"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ACCO</w:t>
                </w:r>
              </w:p>
            </w:tc>
            <w:tc>
              <w:tcPr>
                <w:tcW w:w="4624" w:type="dxa"/>
                <w:vAlign w:val="center"/>
              </w:tcPr>
              <w:p w14:paraId="17751343"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Aboriginal Community Controlled Organisation</w:t>
                </w:r>
              </w:p>
            </w:tc>
          </w:tr>
          <w:tr w:rsidR="006D23DD" w:rsidRPr="000F3BE3" w14:paraId="57FBB3C1" w14:textId="77777777" w:rsidTr="00D71F2F">
            <w:tc>
              <w:tcPr>
                <w:tcW w:w="1763" w:type="dxa"/>
                <w:vAlign w:val="center"/>
              </w:tcPr>
              <w:p w14:paraId="5BE81B25"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AIATSIS</w:t>
                </w:r>
              </w:p>
            </w:tc>
            <w:tc>
              <w:tcPr>
                <w:tcW w:w="4624" w:type="dxa"/>
                <w:vAlign w:val="center"/>
              </w:tcPr>
              <w:p w14:paraId="726641EA"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Aboriginal and Torres Strait Islander Studies</w:t>
                </w:r>
              </w:p>
            </w:tc>
          </w:tr>
          <w:tr w:rsidR="00FD6971" w:rsidRPr="000F3BE3" w14:paraId="409C6DBE" w14:textId="77777777" w:rsidTr="00D71F2F">
            <w:tc>
              <w:tcPr>
                <w:tcW w:w="1763" w:type="dxa"/>
                <w:vAlign w:val="center"/>
              </w:tcPr>
              <w:p w14:paraId="6A42A281" w14:textId="16E72869" w:rsidR="00FD6971" w:rsidRPr="00F361A9" w:rsidRDefault="00FD6971" w:rsidP="00F361A9">
                <w:pPr>
                  <w:pStyle w:val="ABodyText"/>
                  <w:spacing w:line="240" w:lineRule="auto"/>
                  <w:jc w:val="left"/>
                  <w:rPr>
                    <w:rFonts w:asciiTheme="minorHAnsi" w:hAnsiTheme="minorHAnsi"/>
                    <w:lang w:eastAsia="en-AU"/>
                  </w:rPr>
                </w:pPr>
                <w:r w:rsidRPr="00FD6971">
                  <w:rPr>
                    <w:rFonts w:asciiTheme="minorHAnsi" w:hAnsiTheme="minorHAnsi"/>
                    <w:lang w:eastAsia="en-AU"/>
                  </w:rPr>
                  <w:t>AIHW</w:t>
                </w:r>
              </w:p>
            </w:tc>
            <w:tc>
              <w:tcPr>
                <w:tcW w:w="4624" w:type="dxa"/>
                <w:vAlign w:val="center"/>
              </w:tcPr>
              <w:p w14:paraId="196130DE" w14:textId="6EE9B58F" w:rsidR="00FD6971" w:rsidRPr="00F361A9" w:rsidRDefault="00FD6971" w:rsidP="00F361A9">
                <w:pPr>
                  <w:pStyle w:val="ABodyText"/>
                  <w:spacing w:line="240" w:lineRule="auto"/>
                  <w:jc w:val="left"/>
                  <w:rPr>
                    <w:rFonts w:asciiTheme="minorHAnsi" w:hAnsiTheme="minorHAnsi"/>
                    <w:lang w:eastAsia="en-AU"/>
                  </w:rPr>
                </w:pPr>
                <w:r w:rsidRPr="00FD6971">
                  <w:rPr>
                    <w:rFonts w:asciiTheme="minorHAnsi" w:hAnsiTheme="minorHAnsi"/>
                    <w:lang w:eastAsia="en-AU"/>
                  </w:rPr>
                  <w:t>Australian Institute of Health and Welfare</w:t>
                </w:r>
                <w:r>
                  <w:rPr>
                    <w:rFonts w:asciiTheme="minorHAnsi" w:hAnsiTheme="minorHAnsi"/>
                    <w:lang w:eastAsia="en-AU"/>
                  </w:rPr>
                  <w:t xml:space="preserve"> </w:t>
                </w:r>
              </w:p>
            </w:tc>
          </w:tr>
          <w:tr w:rsidR="006D23DD" w:rsidRPr="000F3BE3" w14:paraId="2F096B8D" w14:textId="77777777" w:rsidTr="00D71F2F">
            <w:tc>
              <w:tcPr>
                <w:tcW w:w="1763" w:type="dxa"/>
                <w:vAlign w:val="center"/>
              </w:tcPr>
              <w:p w14:paraId="6E2BD5CB"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ALRM</w:t>
                </w:r>
              </w:p>
            </w:tc>
            <w:tc>
              <w:tcPr>
                <w:tcW w:w="4624" w:type="dxa"/>
                <w:vAlign w:val="center"/>
              </w:tcPr>
              <w:p w14:paraId="22B5AF0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Aboriginal Legal Rights Movement</w:t>
                </w:r>
              </w:p>
            </w:tc>
          </w:tr>
          <w:tr w:rsidR="007B1453" w:rsidRPr="000F3BE3" w14:paraId="138E781B" w14:textId="77777777" w:rsidTr="00D71F2F">
            <w:tc>
              <w:tcPr>
                <w:tcW w:w="1763" w:type="dxa"/>
                <w:vAlign w:val="center"/>
              </w:tcPr>
              <w:p w14:paraId="62E40891" w14:textId="73F43459" w:rsidR="007B1453" w:rsidRPr="00F361A9" w:rsidRDefault="007B1453" w:rsidP="00F361A9">
                <w:pPr>
                  <w:pStyle w:val="ABodyText"/>
                  <w:spacing w:line="240" w:lineRule="auto"/>
                  <w:jc w:val="left"/>
                  <w:rPr>
                    <w:rFonts w:asciiTheme="minorHAnsi" w:hAnsiTheme="minorHAnsi"/>
                    <w:lang w:eastAsia="en-AU"/>
                  </w:rPr>
                </w:pPr>
                <w:r>
                  <w:rPr>
                    <w:rFonts w:asciiTheme="minorHAnsi" w:hAnsiTheme="minorHAnsi"/>
                    <w:lang w:eastAsia="en-AU"/>
                  </w:rPr>
                  <w:t>AoD</w:t>
                </w:r>
              </w:p>
            </w:tc>
            <w:tc>
              <w:tcPr>
                <w:tcW w:w="4624" w:type="dxa"/>
                <w:vAlign w:val="center"/>
              </w:tcPr>
              <w:p w14:paraId="612996E3" w14:textId="084B4F3A" w:rsidR="007B1453" w:rsidRPr="00F361A9" w:rsidRDefault="007B1453" w:rsidP="00F361A9">
                <w:pPr>
                  <w:pStyle w:val="ABodyText"/>
                  <w:spacing w:line="240" w:lineRule="auto"/>
                  <w:jc w:val="left"/>
                  <w:rPr>
                    <w:rFonts w:asciiTheme="minorHAnsi" w:hAnsiTheme="minorHAnsi"/>
                    <w:lang w:eastAsia="en-AU"/>
                  </w:rPr>
                </w:pPr>
                <w:r>
                  <w:rPr>
                    <w:rFonts w:asciiTheme="minorHAnsi" w:hAnsiTheme="minorHAnsi"/>
                    <w:lang w:eastAsia="en-AU"/>
                  </w:rPr>
                  <w:t>Alcohol and Other Drugs</w:t>
                </w:r>
              </w:p>
            </w:tc>
          </w:tr>
          <w:tr w:rsidR="006D23DD" w:rsidRPr="000F3BE3" w14:paraId="2766B9DB" w14:textId="77777777" w:rsidTr="00D71F2F">
            <w:tc>
              <w:tcPr>
                <w:tcW w:w="1763" w:type="dxa"/>
                <w:vAlign w:val="center"/>
              </w:tcPr>
              <w:p w14:paraId="176FD44C"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ATC</w:t>
                </w:r>
              </w:p>
            </w:tc>
            <w:tc>
              <w:tcPr>
                <w:tcW w:w="4624" w:type="dxa"/>
                <w:vAlign w:val="center"/>
              </w:tcPr>
              <w:p w14:paraId="38301371"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Adult Through Care</w:t>
                </w:r>
              </w:p>
            </w:tc>
          </w:tr>
          <w:tr w:rsidR="002D48B8" w:rsidRPr="000F3BE3" w14:paraId="224948E8" w14:textId="77777777" w:rsidTr="00D71F2F">
            <w:tc>
              <w:tcPr>
                <w:tcW w:w="1763" w:type="dxa"/>
                <w:vAlign w:val="center"/>
              </w:tcPr>
              <w:p w14:paraId="212A8011" w14:textId="18E96C55" w:rsidR="002D48B8" w:rsidRPr="00F361A9" w:rsidRDefault="002D48B8" w:rsidP="00F361A9">
                <w:pPr>
                  <w:pStyle w:val="ABodyText"/>
                  <w:spacing w:line="240" w:lineRule="auto"/>
                  <w:jc w:val="left"/>
                  <w:rPr>
                    <w:rFonts w:asciiTheme="minorHAnsi" w:hAnsiTheme="minorHAnsi"/>
                    <w:lang w:eastAsia="en-AU"/>
                  </w:rPr>
                </w:pPr>
                <w:r>
                  <w:rPr>
                    <w:rFonts w:asciiTheme="minorHAnsi" w:hAnsiTheme="minorHAnsi"/>
                    <w:lang w:val="en-MY" w:eastAsia="en-AU"/>
                  </w:rPr>
                  <w:t>ATSI</w:t>
                </w:r>
              </w:p>
            </w:tc>
            <w:tc>
              <w:tcPr>
                <w:tcW w:w="4624" w:type="dxa"/>
                <w:vAlign w:val="center"/>
              </w:tcPr>
              <w:p w14:paraId="767FDCDF" w14:textId="4DE9AEF3" w:rsidR="002D48B8" w:rsidRPr="00F361A9" w:rsidRDefault="002D48B8" w:rsidP="00F361A9">
                <w:pPr>
                  <w:pStyle w:val="ABodyText"/>
                  <w:spacing w:line="240" w:lineRule="auto"/>
                  <w:jc w:val="left"/>
                  <w:rPr>
                    <w:rFonts w:asciiTheme="minorHAnsi" w:hAnsiTheme="minorHAnsi"/>
                    <w:lang w:eastAsia="en-AU"/>
                  </w:rPr>
                </w:pPr>
                <w:r w:rsidRPr="003A08EB">
                  <w:rPr>
                    <w:rFonts w:asciiTheme="minorHAnsi" w:hAnsiTheme="minorHAnsi"/>
                    <w:lang w:val="en-MY" w:eastAsia="en-AU"/>
                  </w:rPr>
                  <w:t>Aboriginal and Torres Strait Islander</w:t>
                </w:r>
              </w:p>
            </w:tc>
          </w:tr>
          <w:tr w:rsidR="006D23DD" w:rsidRPr="000F3BE3" w14:paraId="342A7606" w14:textId="77777777" w:rsidTr="00D71F2F">
            <w:tc>
              <w:tcPr>
                <w:tcW w:w="1763" w:type="dxa"/>
                <w:vAlign w:val="center"/>
              </w:tcPr>
              <w:p w14:paraId="2AF4DE4D"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ATSILS</w:t>
                </w:r>
              </w:p>
            </w:tc>
            <w:tc>
              <w:tcPr>
                <w:tcW w:w="4624" w:type="dxa"/>
                <w:vAlign w:val="center"/>
              </w:tcPr>
              <w:p w14:paraId="0F00FE5A"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Aboriginal and Torres Strait Islander Legal Service</w:t>
                </w:r>
              </w:p>
            </w:tc>
          </w:tr>
          <w:tr w:rsidR="006D23DD" w:rsidRPr="000F3BE3" w14:paraId="76FF4A0D" w14:textId="77777777" w:rsidTr="00D71F2F">
            <w:tc>
              <w:tcPr>
                <w:tcW w:w="1763" w:type="dxa"/>
                <w:vAlign w:val="center"/>
              </w:tcPr>
              <w:p w14:paraId="5BFE87EA"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CHAC</w:t>
                </w:r>
              </w:p>
            </w:tc>
            <w:tc>
              <w:tcPr>
                <w:tcW w:w="4624" w:type="dxa"/>
                <w:vAlign w:val="center"/>
              </w:tcPr>
              <w:p w14:paraId="4EB0FDA4"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Circular Head Aboriginal Corporation</w:t>
                </w:r>
              </w:p>
            </w:tc>
          </w:tr>
          <w:tr w:rsidR="006D23DD" w:rsidRPr="000F3BE3" w14:paraId="42B1B21B" w14:textId="77777777" w:rsidTr="00D71F2F">
            <w:tc>
              <w:tcPr>
                <w:tcW w:w="1763" w:type="dxa"/>
                <w:vAlign w:val="center"/>
              </w:tcPr>
              <w:p w14:paraId="3AC8CDE2"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COAG</w:t>
                </w:r>
              </w:p>
            </w:tc>
            <w:tc>
              <w:tcPr>
                <w:tcW w:w="4624" w:type="dxa"/>
                <w:vAlign w:val="center"/>
              </w:tcPr>
              <w:p w14:paraId="448F2600"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Council of Australian Governments</w:t>
                </w:r>
              </w:p>
            </w:tc>
          </w:tr>
          <w:tr w:rsidR="006D23DD" w:rsidRPr="000F3BE3" w14:paraId="1CD16695" w14:textId="77777777" w:rsidTr="00D71F2F">
            <w:tc>
              <w:tcPr>
                <w:tcW w:w="1763" w:type="dxa"/>
                <w:vAlign w:val="center"/>
              </w:tcPr>
              <w:p w14:paraId="360A8310"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CRC</w:t>
                </w:r>
              </w:p>
            </w:tc>
            <w:tc>
              <w:tcPr>
                <w:tcW w:w="4624" w:type="dxa"/>
                <w:vAlign w:val="center"/>
              </w:tcPr>
              <w:p w14:paraId="4C52BAB4"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Community Restorative Centre</w:t>
                </w:r>
              </w:p>
            </w:tc>
          </w:tr>
          <w:tr w:rsidR="006D23DD" w:rsidRPr="000F3BE3" w14:paraId="6C58F166" w14:textId="77777777" w:rsidTr="00D71F2F">
            <w:tc>
              <w:tcPr>
                <w:tcW w:w="1763" w:type="dxa"/>
                <w:vAlign w:val="center"/>
              </w:tcPr>
              <w:p w14:paraId="285917C8"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EAG</w:t>
                </w:r>
              </w:p>
            </w:tc>
            <w:tc>
              <w:tcPr>
                <w:tcW w:w="4624" w:type="dxa"/>
                <w:vAlign w:val="center"/>
              </w:tcPr>
              <w:p w14:paraId="7CF2093A"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Evaluation Advisory Group</w:t>
                </w:r>
              </w:p>
            </w:tc>
          </w:tr>
          <w:tr w:rsidR="00B31419" w:rsidRPr="000F3BE3" w14:paraId="23774F2B" w14:textId="77777777" w:rsidTr="00D71F2F">
            <w:tc>
              <w:tcPr>
                <w:tcW w:w="1763" w:type="dxa"/>
                <w:vAlign w:val="center"/>
              </w:tcPr>
              <w:p w14:paraId="5C627BEB" w14:textId="39D05CEC" w:rsidR="00B31419" w:rsidRPr="00F361A9" w:rsidRDefault="00B31419" w:rsidP="00F361A9">
                <w:pPr>
                  <w:pStyle w:val="ABodyText"/>
                  <w:spacing w:line="240" w:lineRule="auto"/>
                  <w:jc w:val="left"/>
                  <w:rPr>
                    <w:rFonts w:asciiTheme="minorHAnsi" w:hAnsiTheme="minorHAnsi"/>
                    <w:lang w:eastAsia="en-AU"/>
                  </w:rPr>
                </w:pPr>
                <w:r>
                  <w:rPr>
                    <w:rFonts w:asciiTheme="minorHAnsi" w:hAnsiTheme="minorHAnsi"/>
                    <w:lang w:eastAsia="en-AU"/>
                  </w:rPr>
                  <w:t>FASD</w:t>
                </w:r>
              </w:p>
            </w:tc>
            <w:tc>
              <w:tcPr>
                <w:tcW w:w="4624" w:type="dxa"/>
                <w:vAlign w:val="center"/>
              </w:tcPr>
              <w:p w14:paraId="4938CF58" w14:textId="1A7E9553" w:rsidR="00B31419" w:rsidRPr="00F361A9" w:rsidRDefault="00B31419" w:rsidP="00F361A9">
                <w:pPr>
                  <w:pStyle w:val="ABodyText"/>
                  <w:spacing w:line="240" w:lineRule="auto"/>
                  <w:jc w:val="left"/>
                  <w:rPr>
                    <w:rFonts w:asciiTheme="minorHAnsi" w:hAnsiTheme="minorHAnsi"/>
                    <w:lang w:eastAsia="en-AU"/>
                  </w:rPr>
                </w:pPr>
                <w:r w:rsidRPr="00B31419">
                  <w:rPr>
                    <w:rFonts w:asciiTheme="minorHAnsi" w:hAnsiTheme="minorHAnsi"/>
                    <w:lang w:eastAsia="en-AU"/>
                  </w:rPr>
                  <w:t>Foetal Alcohol Spectrum Disorder</w:t>
                </w:r>
              </w:p>
            </w:tc>
          </w:tr>
          <w:tr w:rsidR="006D23DD" w:rsidRPr="000F3BE3" w14:paraId="61A53DA8" w14:textId="77777777" w:rsidTr="00D71F2F">
            <w:tc>
              <w:tcPr>
                <w:tcW w:w="1763" w:type="dxa"/>
                <w:vAlign w:val="center"/>
              </w:tcPr>
              <w:p w14:paraId="2B31D582"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IEC</w:t>
                </w:r>
              </w:p>
            </w:tc>
            <w:tc>
              <w:tcPr>
                <w:tcW w:w="4624" w:type="dxa"/>
                <w:vAlign w:val="center"/>
              </w:tcPr>
              <w:p w14:paraId="31D8B505"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Indigenous Evaluation Committee</w:t>
                </w:r>
              </w:p>
            </w:tc>
          </w:tr>
          <w:tr w:rsidR="006D23DD" w:rsidRPr="000F3BE3" w14:paraId="0956026A" w14:textId="77777777" w:rsidTr="00D71F2F">
            <w:tc>
              <w:tcPr>
                <w:tcW w:w="1763" w:type="dxa"/>
                <w:vAlign w:val="center"/>
              </w:tcPr>
              <w:p w14:paraId="1B3B42C1"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IAS</w:t>
                </w:r>
              </w:p>
            </w:tc>
            <w:tc>
              <w:tcPr>
                <w:tcW w:w="4624" w:type="dxa"/>
                <w:vAlign w:val="center"/>
              </w:tcPr>
              <w:p w14:paraId="4B7CAF18"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Indigenous Advancement Strategy</w:t>
                </w:r>
              </w:p>
            </w:tc>
          </w:tr>
          <w:tr w:rsidR="006D23DD" w:rsidRPr="000F3BE3" w14:paraId="778AE6E0" w14:textId="77777777" w:rsidTr="00D71F2F">
            <w:tc>
              <w:tcPr>
                <w:tcW w:w="1763" w:type="dxa"/>
                <w:vAlign w:val="center"/>
              </w:tcPr>
              <w:p w14:paraId="43A7560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MoU</w:t>
                </w:r>
              </w:p>
            </w:tc>
            <w:tc>
              <w:tcPr>
                <w:tcW w:w="4624" w:type="dxa"/>
                <w:vAlign w:val="center"/>
              </w:tcPr>
              <w:p w14:paraId="059D1DBF"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Memoranda of Understanding</w:t>
                </w:r>
              </w:p>
            </w:tc>
          </w:tr>
          <w:tr w:rsidR="006D23DD" w:rsidRPr="000F3BE3" w14:paraId="1FA41C99" w14:textId="77777777" w:rsidTr="00D71F2F">
            <w:tc>
              <w:tcPr>
                <w:tcW w:w="1763" w:type="dxa"/>
                <w:vAlign w:val="center"/>
              </w:tcPr>
              <w:p w14:paraId="26C80BF3"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NAAJA</w:t>
                </w:r>
              </w:p>
            </w:tc>
            <w:tc>
              <w:tcPr>
                <w:tcW w:w="4624" w:type="dxa"/>
                <w:vAlign w:val="center"/>
              </w:tcPr>
              <w:p w14:paraId="637F2465"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North Australian Aboriginal Justice Agency</w:t>
                </w:r>
              </w:p>
            </w:tc>
          </w:tr>
          <w:tr w:rsidR="008E29E0" w:rsidRPr="000F3BE3" w14:paraId="0024571B" w14:textId="77777777" w:rsidTr="00D71F2F">
            <w:tc>
              <w:tcPr>
                <w:tcW w:w="1763" w:type="dxa"/>
                <w:vAlign w:val="center"/>
              </w:tcPr>
              <w:p w14:paraId="7323B97F" w14:textId="01DFEC75" w:rsidR="008E29E0" w:rsidRPr="00F361A9" w:rsidRDefault="008E29E0" w:rsidP="00F361A9">
                <w:pPr>
                  <w:pStyle w:val="ABodyText"/>
                  <w:spacing w:line="240" w:lineRule="auto"/>
                  <w:jc w:val="left"/>
                  <w:rPr>
                    <w:rFonts w:asciiTheme="minorHAnsi" w:hAnsiTheme="minorHAnsi"/>
                    <w:lang w:eastAsia="en-AU"/>
                  </w:rPr>
                </w:pPr>
                <w:r w:rsidRPr="008E29E0">
                  <w:rPr>
                    <w:rFonts w:asciiTheme="minorHAnsi" w:hAnsiTheme="minorHAnsi"/>
                    <w:lang w:eastAsia="en-AU"/>
                  </w:rPr>
                  <w:t>NDIS</w:t>
                </w:r>
              </w:p>
            </w:tc>
            <w:tc>
              <w:tcPr>
                <w:tcW w:w="4624" w:type="dxa"/>
                <w:vAlign w:val="center"/>
              </w:tcPr>
              <w:p w14:paraId="3C901FE5" w14:textId="04E51348" w:rsidR="008E29E0" w:rsidRPr="00F361A9" w:rsidRDefault="008E29E0" w:rsidP="00F361A9">
                <w:pPr>
                  <w:pStyle w:val="ABodyText"/>
                  <w:spacing w:line="240" w:lineRule="auto"/>
                  <w:jc w:val="left"/>
                  <w:rPr>
                    <w:rFonts w:asciiTheme="minorHAnsi" w:hAnsiTheme="minorHAnsi"/>
                    <w:lang w:eastAsia="en-AU"/>
                  </w:rPr>
                </w:pPr>
                <w:r w:rsidRPr="008E29E0">
                  <w:rPr>
                    <w:rFonts w:asciiTheme="minorHAnsi" w:hAnsiTheme="minorHAnsi"/>
                    <w:lang w:eastAsia="en-AU"/>
                  </w:rPr>
                  <w:t xml:space="preserve">National Disability Insurance Scheme </w:t>
                </w:r>
              </w:p>
            </w:tc>
          </w:tr>
          <w:tr w:rsidR="006D23DD" w:rsidRPr="000F3BE3" w14:paraId="34623EE7" w14:textId="77777777" w:rsidTr="00D71F2F">
            <w:tc>
              <w:tcPr>
                <w:tcW w:w="1763" w:type="dxa"/>
                <w:vAlign w:val="center"/>
              </w:tcPr>
              <w:p w14:paraId="75E9CE41"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NIAA</w:t>
                </w:r>
              </w:p>
            </w:tc>
            <w:tc>
              <w:tcPr>
                <w:tcW w:w="4624" w:type="dxa"/>
                <w:vAlign w:val="center"/>
              </w:tcPr>
              <w:p w14:paraId="259A880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National Indigenous Australians Agency</w:t>
                </w:r>
              </w:p>
            </w:tc>
          </w:tr>
          <w:tr w:rsidR="006D23DD" w:rsidRPr="000F3BE3" w14:paraId="6EFBFE64" w14:textId="77777777" w:rsidTr="00D71F2F">
            <w:tc>
              <w:tcPr>
                <w:tcW w:w="1763" w:type="dxa"/>
                <w:vAlign w:val="center"/>
              </w:tcPr>
              <w:p w14:paraId="3813F823"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PR</w:t>
                </w:r>
              </w:p>
            </w:tc>
            <w:tc>
              <w:tcPr>
                <w:tcW w:w="4624" w:type="dxa"/>
                <w:vAlign w:val="center"/>
              </w:tcPr>
              <w:p w14:paraId="712336D8"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Performance Report</w:t>
                </w:r>
              </w:p>
            </w:tc>
          </w:tr>
          <w:tr w:rsidR="006D23DD" w:rsidRPr="000F3BE3" w14:paraId="7C219F7E" w14:textId="77777777" w:rsidTr="00D71F2F">
            <w:tc>
              <w:tcPr>
                <w:tcW w:w="1763" w:type="dxa"/>
                <w:vAlign w:val="center"/>
              </w:tcPr>
              <w:p w14:paraId="545B412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RYSS</w:t>
                </w:r>
              </w:p>
            </w:tc>
            <w:tc>
              <w:tcPr>
                <w:tcW w:w="4624" w:type="dxa"/>
                <w:vAlign w:val="center"/>
              </w:tcPr>
              <w:p w14:paraId="4BE06F7B"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Regional Youth Support Services</w:t>
                </w:r>
              </w:p>
            </w:tc>
          </w:tr>
          <w:tr w:rsidR="00900673" w:rsidRPr="000F3BE3" w14:paraId="5BF2E483" w14:textId="77777777" w:rsidTr="00D71F2F">
            <w:tc>
              <w:tcPr>
                <w:tcW w:w="1763" w:type="dxa"/>
                <w:vAlign w:val="center"/>
              </w:tcPr>
              <w:p w14:paraId="3E75C6EC" w14:textId="3E624D94" w:rsidR="00900673" w:rsidRPr="00F361A9" w:rsidRDefault="00900673" w:rsidP="00F361A9">
                <w:pPr>
                  <w:pStyle w:val="ABodyText"/>
                  <w:spacing w:line="240" w:lineRule="auto"/>
                  <w:jc w:val="left"/>
                  <w:rPr>
                    <w:rFonts w:asciiTheme="minorHAnsi" w:hAnsiTheme="minorHAnsi"/>
                    <w:lang w:eastAsia="en-AU"/>
                  </w:rPr>
                </w:pPr>
                <w:r>
                  <w:rPr>
                    <w:rFonts w:asciiTheme="minorHAnsi" w:hAnsiTheme="minorHAnsi"/>
                    <w:lang w:eastAsia="en-AU"/>
                  </w:rPr>
                  <w:t>ToC</w:t>
                </w:r>
              </w:p>
            </w:tc>
            <w:tc>
              <w:tcPr>
                <w:tcW w:w="4624" w:type="dxa"/>
                <w:vAlign w:val="center"/>
              </w:tcPr>
              <w:p w14:paraId="475D28CC" w14:textId="012F3A83" w:rsidR="00900673" w:rsidRPr="00F361A9" w:rsidRDefault="00900673" w:rsidP="00F361A9">
                <w:pPr>
                  <w:pStyle w:val="ABodyText"/>
                  <w:spacing w:line="240" w:lineRule="auto"/>
                  <w:jc w:val="left"/>
                  <w:rPr>
                    <w:rFonts w:asciiTheme="minorHAnsi" w:hAnsiTheme="minorHAnsi"/>
                    <w:lang w:eastAsia="en-AU"/>
                  </w:rPr>
                </w:pPr>
                <w:r>
                  <w:rPr>
                    <w:rFonts w:asciiTheme="minorHAnsi" w:hAnsiTheme="minorHAnsi"/>
                    <w:lang w:eastAsia="en-AU"/>
                  </w:rPr>
                  <w:t>Theory of Change</w:t>
                </w:r>
              </w:p>
            </w:tc>
          </w:tr>
          <w:tr w:rsidR="006D23DD" w:rsidRPr="000F3BE3" w14:paraId="2A976FD6" w14:textId="77777777" w:rsidTr="00D71F2F">
            <w:tc>
              <w:tcPr>
                <w:tcW w:w="1763" w:type="dxa"/>
                <w:vAlign w:val="center"/>
              </w:tcPr>
              <w:p w14:paraId="30F08E80"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VACCA</w:t>
                </w:r>
              </w:p>
            </w:tc>
            <w:tc>
              <w:tcPr>
                <w:tcW w:w="4624" w:type="dxa"/>
                <w:vAlign w:val="center"/>
              </w:tcPr>
              <w:p w14:paraId="1797835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Victorian Aboriginal Childcare Agency</w:t>
                </w:r>
              </w:p>
            </w:tc>
          </w:tr>
          <w:tr w:rsidR="00BF151B" w:rsidRPr="000F3BE3" w14:paraId="76251DC3" w14:textId="77777777" w:rsidTr="00D71F2F">
            <w:tc>
              <w:tcPr>
                <w:tcW w:w="1763" w:type="dxa"/>
                <w:vAlign w:val="center"/>
              </w:tcPr>
              <w:p w14:paraId="4C88208D" w14:textId="1460D77E" w:rsidR="00BF151B" w:rsidRPr="00F361A9" w:rsidRDefault="00BF151B" w:rsidP="00F361A9">
                <w:pPr>
                  <w:pStyle w:val="ABodyText"/>
                  <w:spacing w:line="240" w:lineRule="auto"/>
                  <w:jc w:val="left"/>
                  <w:rPr>
                    <w:rFonts w:asciiTheme="minorHAnsi" w:hAnsiTheme="minorHAnsi"/>
                    <w:lang w:eastAsia="en-AU"/>
                  </w:rPr>
                </w:pPr>
                <w:r>
                  <w:rPr>
                    <w:rFonts w:asciiTheme="minorHAnsi" w:hAnsiTheme="minorHAnsi"/>
                    <w:lang w:eastAsia="en-AU"/>
                  </w:rPr>
                  <w:t>WHO</w:t>
                </w:r>
              </w:p>
            </w:tc>
            <w:tc>
              <w:tcPr>
                <w:tcW w:w="4624" w:type="dxa"/>
                <w:vAlign w:val="center"/>
              </w:tcPr>
              <w:p w14:paraId="1D558D94" w14:textId="25CBD2B3" w:rsidR="00BF151B" w:rsidRPr="00F361A9" w:rsidRDefault="00BF151B" w:rsidP="00F361A9">
                <w:pPr>
                  <w:pStyle w:val="ABodyText"/>
                  <w:spacing w:line="240" w:lineRule="auto"/>
                  <w:jc w:val="left"/>
                  <w:rPr>
                    <w:rFonts w:asciiTheme="minorHAnsi" w:hAnsiTheme="minorHAnsi"/>
                    <w:lang w:eastAsia="en-AU"/>
                  </w:rPr>
                </w:pPr>
                <w:r w:rsidRPr="00BF151B">
                  <w:rPr>
                    <w:rFonts w:asciiTheme="minorHAnsi" w:hAnsiTheme="minorHAnsi"/>
                    <w:lang w:eastAsia="en-AU"/>
                  </w:rPr>
                  <w:t>World Health Organisation</w:t>
                </w:r>
              </w:p>
            </w:tc>
          </w:tr>
          <w:tr w:rsidR="006D23DD" w:rsidRPr="000F3BE3" w14:paraId="3002B7E3" w14:textId="77777777" w:rsidTr="00D71F2F">
            <w:tc>
              <w:tcPr>
                <w:tcW w:w="1763" w:type="dxa"/>
                <w:vAlign w:val="center"/>
              </w:tcPr>
              <w:p w14:paraId="0EAA318C"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YTC</w:t>
                </w:r>
              </w:p>
            </w:tc>
            <w:tc>
              <w:tcPr>
                <w:tcW w:w="4624" w:type="dxa"/>
                <w:vAlign w:val="center"/>
              </w:tcPr>
              <w:p w14:paraId="323B824E" w14:textId="77777777" w:rsidR="006D23DD" w:rsidRPr="00F361A9" w:rsidRDefault="006D23DD" w:rsidP="00F361A9">
                <w:pPr>
                  <w:pStyle w:val="ABodyText"/>
                  <w:spacing w:line="240" w:lineRule="auto"/>
                  <w:jc w:val="left"/>
                  <w:rPr>
                    <w:rFonts w:asciiTheme="minorHAnsi" w:hAnsiTheme="minorHAnsi"/>
                    <w:lang w:eastAsia="en-AU"/>
                  </w:rPr>
                </w:pPr>
                <w:r w:rsidRPr="00F361A9">
                  <w:rPr>
                    <w:rFonts w:asciiTheme="minorHAnsi" w:hAnsiTheme="minorHAnsi"/>
                    <w:lang w:eastAsia="en-AU"/>
                  </w:rPr>
                  <w:t>Youth Through Care</w:t>
                </w:r>
              </w:p>
            </w:tc>
          </w:tr>
        </w:tbl>
        <w:p w14:paraId="79A6C96B" w14:textId="77777777" w:rsidR="006D23DD" w:rsidRDefault="006D23DD" w:rsidP="002370BF">
          <w:pPr>
            <w:rPr>
              <w:lang w:val="en-MY" w:eastAsia="en-AU"/>
            </w:rPr>
          </w:pPr>
        </w:p>
        <w:p w14:paraId="354325FB" w14:textId="77777777" w:rsidR="00BB6A57" w:rsidRDefault="00BB6A57" w:rsidP="002370BF">
          <w:pPr>
            <w:rPr>
              <w:lang w:val="en-MY" w:eastAsia="en-AU"/>
            </w:rPr>
          </w:pPr>
        </w:p>
        <w:p w14:paraId="4A6C1164" w14:textId="77777777" w:rsidR="001D31E3" w:rsidRDefault="001D31E3">
          <w:pPr>
            <w:spacing w:after="200" w:line="276" w:lineRule="auto"/>
            <w:jc w:val="both"/>
            <w:rPr>
              <w:rFonts w:cstheme="minorHAnsi"/>
              <w:b/>
              <w:smallCaps/>
              <w:color w:val="365F91" w:themeColor="accent1" w:themeShade="BF"/>
              <w:spacing w:val="5"/>
              <w:sz w:val="44"/>
              <w:szCs w:val="32"/>
              <w:lang w:val="en-MY" w:eastAsia="en-AU"/>
            </w:rPr>
          </w:pPr>
          <w:bookmarkStart w:id="2" w:name="_Toc150784177"/>
          <w:r>
            <w:rPr>
              <w:rFonts w:cstheme="minorHAnsi"/>
              <w:lang w:val="en-MY" w:eastAsia="en-AU"/>
            </w:rPr>
            <w:br w:type="page"/>
          </w:r>
        </w:p>
        <w:p w14:paraId="49DAB273" w14:textId="0BC61DA6" w:rsidR="00F361A9" w:rsidRDefault="00F361A9" w:rsidP="00F361A9">
          <w:pPr>
            <w:pStyle w:val="Heading1"/>
            <w:rPr>
              <w:rFonts w:cstheme="minorHAnsi"/>
              <w:lang w:val="en-MY" w:eastAsia="en-AU"/>
            </w:rPr>
          </w:pPr>
          <w:r w:rsidRPr="00E1086D">
            <w:rPr>
              <w:rFonts w:cstheme="minorHAnsi"/>
              <w:lang w:val="en-MY" w:eastAsia="en-AU"/>
            </w:rPr>
            <w:t xml:space="preserve">List of </w:t>
          </w:r>
          <w:r w:rsidR="00F66F99" w:rsidRPr="00E1086D">
            <w:rPr>
              <w:rFonts w:cstheme="minorHAnsi"/>
              <w:lang w:val="en-MY" w:eastAsia="en-AU"/>
            </w:rPr>
            <w:t>T</w:t>
          </w:r>
          <w:r w:rsidRPr="00E1086D">
            <w:rPr>
              <w:rFonts w:cstheme="minorHAnsi"/>
              <w:lang w:val="en-MY" w:eastAsia="en-AU"/>
            </w:rPr>
            <w:t xml:space="preserve">ables and </w:t>
          </w:r>
          <w:r w:rsidR="00F66F99" w:rsidRPr="00E1086D">
            <w:rPr>
              <w:rFonts w:cstheme="minorHAnsi"/>
              <w:lang w:val="en-MY" w:eastAsia="en-AU"/>
            </w:rPr>
            <w:t>F</w:t>
          </w:r>
          <w:r w:rsidRPr="00E1086D">
            <w:rPr>
              <w:rFonts w:cstheme="minorHAnsi"/>
              <w:lang w:val="en-MY" w:eastAsia="en-AU"/>
            </w:rPr>
            <w:t>igures</w:t>
          </w:r>
          <w:bookmarkEnd w:id="2"/>
        </w:p>
        <w:p w14:paraId="503911E3" w14:textId="77777777" w:rsidR="00F66F99" w:rsidRPr="00F66F99" w:rsidRDefault="00F66F99" w:rsidP="00F66F99">
          <w:pPr>
            <w:rPr>
              <w:lang w:val="en-MY" w:eastAsia="en-AU"/>
            </w:rPr>
          </w:pPr>
        </w:p>
        <w:tbl>
          <w:tblPr>
            <w:tblStyle w:val="TableGrid"/>
            <w:tblW w:w="0" w:type="auto"/>
            <w:tblLook w:val="04A0" w:firstRow="1" w:lastRow="0" w:firstColumn="1" w:lastColumn="0" w:noHBand="0" w:noVBand="1"/>
            <w:tblCaption w:val="List of tables and figures"/>
            <w:tblDescription w:val="The table lists each table and figure in the document and the page number where it can be found within the document."/>
          </w:tblPr>
          <w:tblGrid>
            <w:gridCol w:w="4530"/>
            <w:gridCol w:w="1135"/>
          </w:tblGrid>
          <w:tr w:rsidR="00EE59B6" w:rsidRPr="00405506" w14:paraId="09DF30BD" w14:textId="77777777" w:rsidTr="00D71F2F">
            <w:trPr>
              <w:trHeight w:val="506"/>
              <w:tblHeader/>
            </w:trPr>
            <w:tc>
              <w:tcPr>
                <w:tcW w:w="4530" w:type="dxa"/>
                <w:vAlign w:val="center"/>
              </w:tcPr>
              <w:p w14:paraId="027D23EB" w14:textId="02DEE313" w:rsidR="00EE59B6" w:rsidRPr="00405506" w:rsidRDefault="00EE59B6" w:rsidP="00405506">
                <w:pPr>
                  <w:pStyle w:val="Heading4"/>
                  <w:spacing w:after="120"/>
                  <w:ind w:left="0" w:firstLine="0"/>
                  <w:rPr>
                    <w:b/>
                    <w:lang w:val="en-MY" w:eastAsia="en-AU"/>
                  </w:rPr>
                </w:pPr>
                <w:r w:rsidRPr="00405506">
                  <w:rPr>
                    <w:b/>
                    <w:lang w:val="en-MY" w:eastAsia="en-AU"/>
                  </w:rPr>
                  <w:t xml:space="preserve">Table </w:t>
                </w:r>
                <w:r w:rsidR="00455459" w:rsidRPr="00405506">
                  <w:rPr>
                    <w:b/>
                    <w:lang w:val="en-MY" w:eastAsia="en-AU"/>
                  </w:rPr>
                  <w:t>name</w:t>
                </w:r>
              </w:p>
            </w:tc>
            <w:tc>
              <w:tcPr>
                <w:tcW w:w="1135" w:type="dxa"/>
                <w:vAlign w:val="center"/>
              </w:tcPr>
              <w:p w14:paraId="15D790EA" w14:textId="1AE4116A" w:rsidR="00EE59B6" w:rsidRPr="00405506" w:rsidRDefault="00EE59B6" w:rsidP="00405506">
                <w:pPr>
                  <w:pStyle w:val="Heading4"/>
                  <w:spacing w:after="120"/>
                  <w:ind w:left="0" w:firstLine="0"/>
                  <w:rPr>
                    <w:b/>
                    <w:lang w:val="en-MY" w:eastAsia="en-AU"/>
                  </w:rPr>
                </w:pPr>
                <w:r w:rsidRPr="00405506">
                  <w:rPr>
                    <w:b/>
                    <w:lang w:val="en-MY" w:eastAsia="en-AU"/>
                  </w:rPr>
                  <w:t>page</w:t>
                </w:r>
              </w:p>
            </w:tc>
          </w:tr>
          <w:tr w:rsidR="00F361A9" w:rsidRPr="00790224" w14:paraId="7590D0EB" w14:textId="77777777" w:rsidTr="00D71F2F">
            <w:trPr>
              <w:trHeight w:val="506"/>
            </w:trPr>
            <w:tc>
              <w:tcPr>
                <w:tcW w:w="4530" w:type="dxa"/>
                <w:vAlign w:val="center"/>
              </w:tcPr>
              <w:p w14:paraId="65FCD21F" w14:textId="47350267" w:rsidR="00F361A9" w:rsidRPr="00E1086D" w:rsidRDefault="00790224" w:rsidP="00694565">
                <w:pPr>
                  <w:spacing w:after="200" w:line="276" w:lineRule="auto"/>
                  <w:rPr>
                    <w:sz w:val="20"/>
                    <w:szCs w:val="20"/>
                    <w:lang w:val="en-MY" w:eastAsia="en-AU"/>
                  </w:rPr>
                </w:pPr>
                <w:r w:rsidRPr="00E1086D">
                  <w:rPr>
                    <w:sz w:val="20"/>
                    <w:szCs w:val="20"/>
                    <w:lang w:val="en-MY" w:eastAsia="en-AU"/>
                  </w:rPr>
                  <w:t>Table 1 - ATC Program Service Providers, Delivery Sites and Count of Case Workers</w:t>
                </w:r>
              </w:p>
            </w:tc>
            <w:tc>
              <w:tcPr>
                <w:tcW w:w="1135" w:type="dxa"/>
                <w:vAlign w:val="center"/>
              </w:tcPr>
              <w:p w14:paraId="2F15E221" w14:textId="388D10E2" w:rsidR="00F361A9" w:rsidRPr="00E1086D" w:rsidRDefault="00790224" w:rsidP="00694565">
                <w:pPr>
                  <w:jc w:val="center"/>
                  <w:rPr>
                    <w:sz w:val="20"/>
                    <w:szCs w:val="20"/>
                    <w:lang w:val="en-MY" w:eastAsia="en-AU"/>
                  </w:rPr>
                </w:pPr>
                <w:r w:rsidRPr="00E1086D">
                  <w:rPr>
                    <w:sz w:val="20"/>
                    <w:szCs w:val="20"/>
                    <w:lang w:val="en-MY" w:eastAsia="en-AU"/>
                  </w:rPr>
                  <w:t>P.</w:t>
                </w:r>
                <w:r w:rsidR="004201C1">
                  <w:rPr>
                    <w:sz w:val="20"/>
                    <w:szCs w:val="20"/>
                    <w:lang w:val="en-MY" w:eastAsia="en-AU"/>
                  </w:rPr>
                  <w:t>8</w:t>
                </w:r>
              </w:p>
            </w:tc>
          </w:tr>
          <w:tr w:rsidR="00F361A9" w:rsidRPr="00790224" w14:paraId="1B22D00B" w14:textId="77777777" w:rsidTr="00D71F2F">
            <w:tc>
              <w:tcPr>
                <w:tcW w:w="4530" w:type="dxa"/>
                <w:vAlign w:val="center"/>
              </w:tcPr>
              <w:p w14:paraId="4FABCBC5" w14:textId="7C2C7DFD" w:rsidR="00F361A9" w:rsidRPr="00E1086D" w:rsidRDefault="00790224" w:rsidP="00694565">
                <w:pPr>
                  <w:spacing w:after="200" w:line="276" w:lineRule="auto"/>
                  <w:rPr>
                    <w:sz w:val="20"/>
                    <w:szCs w:val="20"/>
                    <w:lang w:val="en-MY" w:eastAsia="en-AU"/>
                  </w:rPr>
                </w:pPr>
                <w:r w:rsidRPr="00E1086D">
                  <w:rPr>
                    <w:sz w:val="20"/>
                    <w:szCs w:val="20"/>
                    <w:lang w:val="en-MY" w:eastAsia="en-AU"/>
                  </w:rPr>
                  <w:t>Table 2 – YTC Program Service Providers, Delivery Sites and Count of Case Workers</w:t>
                </w:r>
              </w:p>
            </w:tc>
            <w:tc>
              <w:tcPr>
                <w:tcW w:w="1135" w:type="dxa"/>
                <w:vAlign w:val="center"/>
              </w:tcPr>
              <w:p w14:paraId="0CB51CE9" w14:textId="663E1636" w:rsidR="00F361A9" w:rsidRPr="00E1086D" w:rsidRDefault="00922FA8" w:rsidP="00694565">
                <w:pPr>
                  <w:spacing w:after="200" w:line="276" w:lineRule="auto"/>
                  <w:jc w:val="center"/>
                  <w:rPr>
                    <w:sz w:val="20"/>
                    <w:szCs w:val="20"/>
                    <w:lang w:val="en-MY" w:eastAsia="en-AU"/>
                  </w:rPr>
                </w:pPr>
                <w:r w:rsidRPr="00E1086D">
                  <w:rPr>
                    <w:sz w:val="20"/>
                    <w:szCs w:val="20"/>
                    <w:lang w:val="en-MY" w:eastAsia="en-AU"/>
                  </w:rPr>
                  <w:t>P.1</w:t>
                </w:r>
                <w:r w:rsidR="004201C1">
                  <w:rPr>
                    <w:sz w:val="20"/>
                    <w:szCs w:val="20"/>
                    <w:lang w:val="en-MY" w:eastAsia="en-AU"/>
                  </w:rPr>
                  <w:t>4</w:t>
                </w:r>
              </w:p>
            </w:tc>
          </w:tr>
          <w:tr w:rsidR="002F11B0" w:rsidRPr="00790224" w14:paraId="2731907A" w14:textId="77777777" w:rsidTr="00D71F2F">
            <w:tc>
              <w:tcPr>
                <w:tcW w:w="4530" w:type="dxa"/>
                <w:vAlign w:val="center"/>
              </w:tcPr>
              <w:p w14:paraId="2496DFD7" w14:textId="08FCFD1C" w:rsidR="002F11B0" w:rsidRPr="00E1086D" w:rsidRDefault="00790224" w:rsidP="00694565">
                <w:pPr>
                  <w:spacing w:after="200" w:line="276" w:lineRule="auto"/>
                  <w:rPr>
                    <w:sz w:val="20"/>
                    <w:szCs w:val="20"/>
                    <w:lang w:val="en-MY" w:eastAsia="en-AU"/>
                  </w:rPr>
                </w:pPr>
                <w:r w:rsidRPr="00E1086D">
                  <w:rPr>
                    <w:sz w:val="20"/>
                    <w:szCs w:val="20"/>
                    <w:lang w:val="en-MY" w:eastAsia="en-AU"/>
                  </w:rPr>
                  <w:t>Table 3 – Evaluation Research Activity Data</w:t>
                </w:r>
              </w:p>
            </w:tc>
            <w:tc>
              <w:tcPr>
                <w:tcW w:w="1135" w:type="dxa"/>
                <w:vAlign w:val="center"/>
              </w:tcPr>
              <w:p w14:paraId="4B1607AF" w14:textId="1845E198" w:rsidR="002F11B0" w:rsidRPr="00E1086D" w:rsidRDefault="002F11B0" w:rsidP="00694565">
                <w:pPr>
                  <w:spacing w:after="200" w:line="276" w:lineRule="auto"/>
                  <w:jc w:val="center"/>
                  <w:rPr>
                    <w:sz w:val="20"/>
                    <w:szCs w:val="20"/>
                    <w:lang w:val="en-MY" w:eastAsia="en-AU"/>
                  </w:rPr>
                </w:pPr>
                <w:r w:rsidRPr="00E1086D">
                  <w:rPr>
                    <w:sz w:val="20"/>
                    <w:szCs w:val="20"/>
                    <w:lang w:val="en-MY" w:eastAsia="en-AU"/>
                  </w:rPr>
                  <w:t>P.3</w:t>
                </w:r>
                <w:r w:rsidR="004201C1">
                  <w:rPr>
                    <w:sz w:val="20"/>
                    <w:szCs w:val="20"/>
                    <w:lang w:val="en-MY" w:eastAsia="en-AU"/>
                  </w:rPr>
                  <w:t>0</w:t>
                </w:r>
              </w:p>
            </w:tc>
          </w:tr>
          <w:tr w:rsidR="00F361A9" w:rsidRPr="00790224" w14:paraId="1BDD263A" w14:textId="77777777" w:rsidTr="00D71F2F">
            <w:tc>
              <w:tcPr>
                <w:tcW w:w="4530" w:type="dxa"/>
                <w:vAlign w:val="center"/>
              </w:tcPr>
              <w:p w14:paraId="2193EEB8" w14:textId="42F9C1B2" w:rsidR="00F361A9" w:rsidRPr="00E1086D" w:rsidRDefault="00790224" w:rsidP="00694565">
                <w:pPr>
                  <w:spacing w:after="200" w:line="276" w:lineRule="auto"/>
                  <w:rPr>
                    <w:sz w:val="20"/>
                    <w:szCs w:val="20"/>
                    <w:lang w:val="en-MY" w:eastAsia="en-AU"/>
                  </w:rPr>
                </w:pPr>
                <w:r w:rsidRPr="00E1086D">
                  <w:rPr>
                    <w:sz w:val="20"/>
                    <w:szCs w:val="20"/>
                    <w:lang w:val="en-MY" w:eastAsia="en-AU"/>
                  </w:rPr>
                  <w:t>Table 4 - ATC and YTC Program Workforce Data (Indigeneity of Staff) by Service Provider</w:t>
                </w:r>
              </w:p>
            </w:tc>
            <w:tc>
              <w:tcPr>
                <w:tcW w:w="1135" w:type="dxa"/>
                <w:vAlign w:val="center"/>
              </w:tcPr>
              <w:p w14:paraId="4339CF94" w14:textId="32E3ED89" w:rsidR="00F361A9" w:rsidRPr="00E1086D" w:rsidRDefault="002F11B0" w:rsidP="00694565">
                <w:pPr>
                  <w:spacing w:after="200" w:line="276" w:lineRule="auto"/>
                  <w:jc w:val="center"/>
                  <w:rPr>
                    <w:sz w:val="20"/>
                    <w:szCs w:val="20"/>
                    <w:lang w:val="en-MY" w:eastAsia="en-AU"/>
                  </w:rPr>
                </w:pPr>
                <w:r w:rsidRPr="00E1086D">
                  <w:rPr>
                    <w:sz w:val="20"/>
                    <w:szCs w:val="20"/>
                    <w:lang w:val="en-MY" w:eastAsia="en-AU"/>
                  </w:rPr>
                  <w:t>P.</w:t>
                </w:r>
                <w:r w:rsidR="00E1086D" w:rsidRPr="00E1086D">
                  <w:rPr>
                    <w:sz w:val="20"/>
                    <w:szCs w:val="20"/>
                    <w:lang w:val="en-MY" w:eastAsia="en-AU"/>
                  </w:rPr>
                  <w:t>4</w:t>
                </w:r>
                <w:r w:rsidR="00BC7517">
                  <w:rPr>
                    <w:sz w:val="20"/>
                    <w:szCs w:val="20"/>
                    <w:lang w:val="en-MY" w:eastAsia="en-AU"/>
                  </w:rPr>
                  <w:t>3</w:t>
                </w:r>
              </w:p>
            </w:tc>
          </w:tr>
          <w:tr w:rsidR="00F361A9" w:rsidRPr="00790224" w14:paraId="47F4417A" w14:textId="77777777" w:rsidTr="00D71F2F">
            <w:tc>
              <w:tcPr>
                <w:tcW w:w="4530" w:type="dxa"/>
                <w:vAlign w:val="center"/>
              </w:tcPr>
              <w:p w14:paraId="0E104129" w14:textId="7DE38E9F" w:rsidR="00F361A9" w:rsidRPr="00E1086D" w:rsidRDefault="00790224" w:rsidP="00694565">
                <w:pPr>
                  <w:spacing w:after="200" w:line="276" w:lineRule="auto"/>
                  <w:rPr>
                    <w:sz w:val="20"/>
                    <w:szCs w:val="20"/>
                    <w:lang w:val="en-MY" w:eastAsia="en-AU"/>
                  </w:rPr>
                </w:pPr>
                <w:r w:rsidRPr="00E1086D">
                  <w:rPr>
                    <w:sz w:val="20"/>
                    <w:szCs w:val="20"/>
                    <w:lang w:val="en-MY" w:eastAsia="en-AU"/>
                  </w:rPr>
                  <w:t>Table 5 – Average Number of Active Clients by Service Provider</w:t>
                </w:r>
              </w:p>
            </w:tc>
            <w:tc>
              <w:tcPr>
                <w:tcW w:w="1135" w:type="dxa"/>
                <w:vAlign w:val="center"/>
              </w:tcPr>
              <w:p w14:paraId="20A07D51" w14:textId="63CDE396" w:rsidR="00F361A9" w:rsidRPr="00E1086D" w:rsidRDefault="00EB627C" w:rsidP="00694565">
                <w:pPr>
                  <w:spacing w:after="200" w:line="276" w:lineRule="auto"/>
                  <w:jc w:val="center"/>
                  <w:rPr>
                    <w:sz w:val="20"/>
                    <w:szCs w:val="20"/>
                    <w:lang w:val="en-MY" w:eastAsia="en-AU"/>
                  </w:rPr>
                </w:pPr>
                <w:r w:rsidRPr="00E1086D">
                  <w:rPr>
                    <w:sz w:val="20"/>
                    <w:szCs w:val="20"/>
                    <w:lang w:val="en-MY" w:eastAsia="en-AU"/>
                  </w:rPr>
                  <w:t>P.</w:t>
                </w:r>
                <w:r w:rsidR="003F48BD">
                  <w:rPr>
                    <w:sz w:val="20"/>
                    <w:szCs w:val="20"/>
                    <w:lang w:val="en-MY" w:eastAsia="en-AU"/>
                  </w:rPr>
                  <w:t>59</w:t>
                </w:r>
              </w:p>
            </w:tc>
          </w:tr>
          <w:tr w:rsidR="00F361A9" w:rsidRPr="00790224" w14:paraId="5486875F" w14:textId="77777777" w:rsidTr="00D71F2F">
            <w:tc>
              <w:tcPr>
                <w:tcW w:w="4530" w:type="dxa"/>
                <w:vAlign w:val="center"/>
              </w:tcPr>
              <w:p w14:paraId="0080AFE1" w14:textId="3D81BB81" w:rsidR="00F361A9" w:rsidRPr="00E1086D" w:rsidRDefault="00790224" w:rsidP="00694565">
                <w:pPr>
                  <w:spacing w:after="200" w:line="276" w:lineRule="auto"/>
                  <w:rPr>
                    <w:sz w:val="20"/>
                    <w:szCs w:val="20"/>
                    <w:lang w:val="en-MY" w:eastAsia="en-AU"/>
                  </w:rPr>
                </w:pPr>
                <w:r w:rsidRPr="00E1086D">
                  <w:rPr>
                    <w:sz w:val="20"/>
                    <w:szCs w:val="20"/>
                    <w:lang w:val="en-MY" w:eastAsia="en-AU"/>
                  </w:rPr>
                  <w:t>Table 6 – Number of New and Returning Clients by Service Provider</w:t>
                </w:r>
              </w:p>
            </w:tc>
            <w:tc>
              <w:tcPr>
                <w:tcW w:w="1135" w:type="dxa"/>
                <w:vAlign w:val="center"/>
              </w:tcPr>
              <w:p w14:paraId="63E7F3F2" w14:textId="746256F9" w:rsidR="00F361A9" w:rsidRPr="00E1086D" w:rsidRDefault="00897757" w:rsidP="00694565">
                <w:pPr>
                  <w:spacing w:after="200" w:line="276" w:lineRule="auto"/>
                  <w:jc w:val="center"/>
                  <w:rPr>
                    <w:sz w:val="20"/>
                    <w:szCs w:val="20"/>
                    <w:lang w:val="en-MY" w:eastAsia="en-AU"/>
                  </w:rPr>
                </w:pPr>
                <w:r w:rsidRPr="00E1086D">
                  <w:rPr>
                    <w:sz w:val="20"/>
                    <w:szCs w:val="20"/>
                    <w:lang w:val="en-MY" w:eastAsia="en-AU"/>
                  </w:rPr>
                  <w:t>P.6</w:t>
                </w:r>
                <w:r w:rsidR="003F48BD">
                  <w:rPr>
                    <w:sz w:val="20"/>
                    <w:szCs w:val="20"/>
                    <w:lang w:val="en-MY" w:eastAsia="en-AU"/>
                  </w:rPr>
                  <w:t>1</w:t>
                </w:r>
              </w:p>
            </w:tc>
          </w:tr>
          <w:tr w:rsidR="00F361A9" w:rsidRPr="00790224" w14:paraId="6E650251" w14:textId="77777777" w:rsidTr="00D71F2F">
            <w:tc>
              <w:tcPr>
                <w:tcW w:w="4530" w:type="dxa"/>
                <w:vAlign w:val="center"/>
              </w:tcPr>
              <w:p w14:paraId="48042180" w14:textId="41814D4E" w:rsidR="00F361A9" w:rsidRPr="00E1086D" w:rsidRDefault="00790224" w:rsidP="00694565">
                <w:pPr>
                  <w:spacing w:after="200" w:line="276" w:lineRule="auto"/>
                  <w:rPr>
                    <w:sz w:val="20"/>
                    <w:szCs w:val="20"/>
                    <w:lang w:val="en-MY" w:eastAsia="en-AU"/>
                  </w:rPr>
                </w:pPr>
                <w:r w:rsidRPr="00E1086D">
                  <w:rPr>
                    <w:sz w:val="20"/>
                    <w:szCs w:val="20"/>
                    <w:lang w:val="en-MY" w:eastAsia="en-AU"/>
                  </w:rPr>
                  <w:t>Table 7 - Number and Proportion of Referred Youth Clients Not Supported by Reason Type</w:t>
                </w:r>
              </w:p>
            </w:tc>
            <w:tc>
              <w:tcPr>
                <w:tcW w:w="1135" w:type="dxa"/>
                <w:vAlign w:val="center"/>
              </w:tcPr>
              <w:p w14:paraId="61860B1B" w14:textId="1706D1E8" w:rsidR="00F361A9" w:rsidRPr="00E1086D" w:rsidRDefault="00897757" w:rsidP="00694565">
                <w:pPr>
                  <w:spacing w:after="200" w:line="276" w:lineRule="auto"/>
                  <w:jc w:val="center"/>
                  <w:rPr>
                    <w:sz w:val="20"/>
                    <w:szCs w:val="20"/>
                    <w:lang w:val="en-MY" w:eastAsia="en-AU"/>
                  </w:rPr>
                </w:pPr>
                <w:r w:rsidRPr="00E1086D">
                  <w:rPr>
                    <w:sz w:val="20"/>
                    <w:szCs w:val="20"/>
                    <w:lang w:val="en-MY" w:eastAsia="en-AU"/>
                  </w:rPr>
                  <w:t>P.6</w:t>
                </w:r>
                <w:r w:rsidR="003F48BD">
                  <w:rPr>
                    <w:sz w:val="20"/>
                    <w:szCs w:val="20"/>
                    <w:lang w:val="en-MY" w:eastAsia="en-AU"/>
                  </w:rPr>
                  <w:t>2</w:t>
                </w:r>
              </w:p>
            </w:tc>
          </w:tr>
          <w:tr w:rsidR="00897757" w:rsidRPr="00790224" w14:paraId="51B14033" w14:textId="77777777" w:rsidTr="00D71F2F">
            <w:tc>
              <w:tcPr>
                <w:tcW w:w="4530" w:type="dxa"/>
                <w:vAlign w:val="center"/>
              </w:tcPr>
              <w:p w14:paraId="06E3F99C" w14:textId="533128EB" w:rsidR="00897757" w:rsidRPr="00E1086D" w:rsidRDefault="00790224" w:rsidP="00694565">
                <w:pPr>
                  <w:spacing w:after="200" w:line="276" w:lineRule="auto"/>
                  <w:rPr>
                    <w:sz w:val="20"/>
                    <w:szCs w:val="20"/>
                    <w:lang w:val="en-MY" w:eastAsia="en-AU"/>
                  </w:rPr>
                </w:pPr>
                <w:r w:rsidRPr="00E1086D">
                  <w:rPr>
                    <w:sz w:val="20"/>
                    <w:szCs w:val="20"/>
                    <w:lang w:val="en-MY" w:eastAsia="en-AU"/>
                  </w:rPr>
                  <w:t>Table 8 – Proportion of Post-release Clients Achieving Outcomes</w:t>
                </w:r>
              </w:p>
            </w:tc>
            <w:tc>
              <w:tcPr>
                <w:tcW w:w="1135" w:type="dxa"/>
                <w:vAlign w:val="center"/>
              </w:tcPr>
              <w:p w14:paraId="72EB8DF1" w14:textId="6F244B7F" w:rsidR="00897757" w:rsidRPr="00E1086D" w:rsidRDefault="00E1086D" w:rsidP="00694565">
                <w:pPr>
                  <w:spacing w:after="200" w:line="276" w:lineRule="auto"/>
                  <w:jc w:val="center"/>
                  <w:rPr>
                    <w:sz w:val="20"/>
                    <w:szCs w:val="20"/>
                    <w:lang w:val="en-MY" w:eastAsia="en-AU"/>
                  </w:rPr>
                </w:pPr>
                <w:r w:rsidRPr="00E1086D">
                  <w:rPr>
                    <w:sz w:val="20"/>
                    <w:szCs w:val="20"/>
                    <w:lang w:val="en-MY" w:eastAsia="en-AU"/>
                  </w:rPr>
                  <w:t>P.</w:t>
                </w:r>
                <w:r w:rsidR="003F48BD">
                  <w:rPr>
                    <w:sz w:val="20"/>
                    <w:szCs w:val="20"/>
                    <w:lang w:val="en-MY" w:eastAsia="en-AU"/>
                  </w:rPr>
                  <w:t>69</w:t>
                </w:r>
              </w:p>
            </w:tc>
          </w:tr>
          <w:tr w:rsidR="00107B21" w:rsidRPr="00790224" w14:paraId="410BAC14" w14:textId="77777777" w:rsidTr="00D71F2F">
            <w:tc>
              <w:tcPr>
                <w:tcW w:w="4530" w:type="dxa"/>
                <w:vAlign w:val="center"/>
              </w:tcPr>
              <w:p w14:paraId="14EF14E2" w14:textId="1D67A9B3" w:rsidR="00107B21" w:rsidRPr="00E1086D" w:rsidRDefault="00790224" w:rsidP="00694565">
                <w:pPr>
                  <w:spacing w:after="200" w:line="276" w:lineRule="auto"/>
                  <w:rPr>
                    <w:sz w:val="20"/>
                    <w:szCs w:val="20"/>
                    <w:lang w:val="en-MY" w:eastAsia="en-AU"/>
                  </w:rPr>
                </w:pPr>
                <w:r w:rsidRPr="00E1086D">
                  <w:rPr>
                    <w:sz w:val="20"/>
                    <w:szCs w:val="20"/>
                    <w:lang w:val="en-MY" w:eastAsia="en-AU"/>
                  </w:rPr>
                  <w:t>Table 9 – Data Relating to Charges, Convictions, Administrative Breaches/Offences for ATC Clients</w:t>
                </w:r>
              </w:p>
            </w:tc>
            <w:tc>
              <w:tcPr>
                <w:tcW w:w="1135" w:type="dxa"/>
                <w:vAlign w:val="center"/>
              </w:tcPr>
              <w:p w14:paraId="3300CED6" w14:textId="3A9128F0" w:rsidR="00107B21" w:rsidRPr="00E1086D" w:rsidRDefault="00E1086D" w:rsidP="00694565">
                <w:pPr>
                  <w:spacing w:after="200" w:line="276" w:lineRule="auto"/>
                  <w:jc w:val="center"/>
                  <w:rPr>
                    <w:sz w:val="20"/>
                    <w:szCs w:val="20"/>
                    <w:lang w:val="en-MY" w:eastAsia="en-AU"/>
                  </w:rPr>
                </w:pPr>
                <w:r w:rsidRPr="00E1086D">
                  <w:rPr>
                    <w:sz w:val="20"/>
                    <w:szCs w:val="20"/>
                    <w:lang w:val="en-MY" w:eastAsia="en-AU"/>
                  </w:rPr>
                  <w:t>P.7</w:t>
                </w:r>
                <w:r w:rsidR="003F48BD">
                  <w:rPr>
                    <w:sz w:val="20"/>
                    <w:szCs w:val="20"/>
                    <w:lang w:val="en-MY" w:eastAsia="en-AU"/>
                  </w:rPr>
                  <w:t>2</w:t>
                </w:r>
              </w:p>
            </w:tc>
          </w:tr>
          <w:tr w:rsidR="00107B21" w:rsidRPr="00790224" w14:paraId="6B5207A5" w14:textId="77777777" w:rsidTr="00D71F2F">
            <w:tc>
              <w:tcPr>
                <w:tcW w:w="4530" w:type="dxa"/>
                <w:vAlign w:val="center"/>
              </w:tcPr>
              <w:p w14:paraId="54B68425" w14:textId="23DCCCBD" w:rsidR="00107B21" w:rsidRPr="00E1086D" w:rsidRDefault="00790224" w:rsidP="00694565">
                <w:pPr>
                  <w:spacing w:after="200" w:line="276" w:lineRule="auto"/>
                  <w:rPr>
                    <w:sz w:val="20"/>
                    <w:szCs w:val="20"/>
                    <w:lang w:val="en-MY" w:eastAsia="en-AU"/>
                  </w:rPr>
                </w:pPr>
                <w:r w:rsidRPr="00E1086D">
                  <w:rPr>
                    <w:sz w:val="20"/>
                    <w:szCs w:val="20"/>
                    <w:lang w:val="en-MY" w:eastAsia="en-AU"/>
                  </w:rPr>
                  <w:t>Table 10 – Data Relating to Charges, Convictions, Administrative Breaches/Offences for YTC Clients</w:t>
                </w:r>
              </w:p>
            </w:tc>
            <w:tc>
              <w:tcPr>
                <w:tcW w:w="1135" w:type="dxa"/>
                <w:vAlign w:val="center"/>
              </w:tcPr>
              <w:p w14:paraId="78F85E99" w14:textId="3B24BE23" w:rsidR="00107B21" w:rsidRPr="00E1086D" w:rsidRDefault="00E1086D" w:rsidP="00694565">
                <w:pPr>
                  <w:spacing w:after="200" w:line="276" w:lineRule="auto"/>
                  <w:jc w:val="center"/>
                  <w:rPr>
                    <w:sz w:val="20"/>
                    <w:szCs w:val="20"/>
                    <w:lang w:val="en-MY" w:eastAsia="en-AU"/>
                  </w:rPr>
                </w:pPr>
                <w:r w:rsidRPr="00E1086D">
                  <w:rPr>
                    <w:sz w:val="20"/>
                    <w:szCs w:val="20"/>
                    <w:lang w:val="en-MY" w:eastAsia="en-AU"/>
                  </w:rPr>
                  <w:t>P.7</w:t>
                </w:r>
                <w:r w:rsidR="003F48BD">
                  <w:rPr>
                    <w:sz w:val="20"/>
                    <w:szCs w:val="20"/>
                    <w:lang w:val="en-MY" w:eastAsia="en-AU"/>
                  </w:rPr>
                  <w:t>4</w:t>
                </w:r>
              </w:p>
            </w:tc>
          </w:tr>
          <w:tr w:rsidR="00F361A9" w:rsidRPr="00790224" w14:paraId="27A57324" w14:textId="77777777" w:rsidTr="00D71F2F">
            <w:tc>
              <w:tcPr>
                <w:tcW w:w="4530" w:type="dxa"/>
                <w:vAlign w:val="center"/>
              </w:tcPr>
              <w:p w14:paraId="3416D2C4" w14:textId="4E2EE08E" w:rsidR="00F361A9" w:rsidRPr="00E1086D" w:rsidRDefault="00922FA8" w:rsidP="00694565">
                <w:pPr>
                  <w:spacing w:after="200" w:line="276" w:lineRule="auto"/>
                  <w:rPr>
                    <w:sz w:val="20"/>
                    <w:szCs w:val="20"/>
                    <w:lang w:val="en-MY" w:eastAsia="en-AU"/>
                  </w:rPr>
                </w:pPr>
                <w:r w:rsidRPr="00E1086D">
                  <w:rPr>
                    <w:sz w:val="20"/>
                    <w:szCs w:val="20"/>
                    <w:lang w:val="en-MY" w:eastAsia="en-AU"/>
                  </w:rPr>
                  <w:t>F</w:t>
                </w:r>
                <w:r w:rsidR="002F11B0" w:rsidRPr="00E1086D">
                  <w:rPr>
                    <w:sz w:val="20"/>
                    <w:szCs w:val="20"/>
                    <w:lang w:val="en-MY" w:eastAsia="en-AU"/>
                  </w:rPr>
                  <w:t xml:space="preserve">igure 1 </w:t>
                </w:r>
                <w:r w:rsidRPr="00E1086D">
                  <w:rPr>
                    <w:sz w:val="20"/>
                    <w:szCs w:val="20"/>
                    <w:lang w:val="en-MY" w:eastAsia="en-AU"/>
                  </w:rPr>
                  <w:t>– ATC M</w:t>
                </w:r>
                <w:r w:rsidR="002F11B0" w:rsidRPr="00E1086D">
                  <w:rPr>
                    <w:sz w:val="20"/>
                    <w:szCs w:val="20"/>
                    <w:lang w:val="en-MY" w:eastAsia="en-AU"/>
                  </w:rPr>
                  <w:t xml:space="preserve">odel </w:t>
                </w:r>
                <w:r w:rsidRPr="00E1086D">
                  <w:rPr>
                    <w:sz w:val="20"/>
                    <w:szCs w:val="20"/>
                    <w:lang w:val="en-MY" w:eastAsia="en-AU"/>
                  </w:rPr>
                  <w:t>I</w:t>
                </w:r>
                <w:r w:rsidR="002F11B0" w:rsidRPr="00E1086D">
                  <w:rPr>
                    <w:sz w:val="20"/>
                    <w:szCs w:val="20"/>
                    <w:lang w:val="en-MY" w:eastAsia="en-AU"/>
                  </w:rPr>
                  <w:t xml:space="preserve">mplementation </w:t>
                </w:r>
                <w:r w:rsidRPr="00E1086D">
                  <w:rPr>
                    <w:sz w:val="20"/>
                    <w:szCs w:val="20"/>
                    <w:lang w:val="en-MY" w:eastAsia="en-AU"/>
                  </w:rPr>
                  <w:t>F</w:t>
                </w:r>
                <w:r w:rsidR="002F11B0" w:rsidRPr="00E1086D">
                  <w:rPr>
                    <w:sz w:val="20"/>
                    <w:szCs w:val="20"/>
                    <w:lang w:val="en-MY" w:eastAsia="en-AU"/>
                  </w:rPr>
                  <w:t>ramework</w:t>
                </w:r>
              </w:p>
            </w:tc>
            <w:tc>
              <w:tcPr>
                <w:tcW w:w="1135" w:type="dxa"/>
                <w:vAlign w:val="center"/>
              </w:tcPr>
              <w:p w14:paraId="6AA06DE9" w14:textId="5344C3FC" w:rsidR="00F361A9" w:rsidRPr="00E1086D" w:rsidRDefault="00922FA8" w:rsidP="00694565">
                <w:pPr>
                  <w:spacing w:after="200" w:line="276" w:lineRule="auto"/>
                  <w:jc w:val="center"/>
                  <w:rPr>
                    <w:sz w:val="20"/>
                    <w:szCs w:val="20"/>
                    <w:lang w:val="en-MY" w:eastAsia="en-AU"/>
                  </w:rPr>
                </w:pPr>
                <w:r w:rsidRPr="00E1086D">
                  <w:rPr>
                    <w:sz w:val="20"/>
                    <w:szCs w:val="20"/>
                    <w:lang w:val="en-MY" w:eastAsia="en-AU"/>
                  </w:rPr>
                  <w:t>P.</w:t>
                </w:r>
                <w:r w:rsidR="004201C1">
                  <w:rPr>
                    <w:sz w:val="20"/>
                    <w:szCs w:val="20"/>
                    <w:lang w:val="en-MY" w:eastAsia="en-AU"/>
                  </w:rPr>
                  <w:t>9</w:t>
                </w:r>
              </w:p>
            </w:tc>
          </w:tr>
          <w:tr w:rsidR="00F361A9" w:rsidRPr="00790224" w14:paraId="63CB799F" w14:textId="77777777" w:rsidTr="00D71F2F">
            <w:trPr>
              <w:trHeight w:val="56"/>
            </w:trPr>
            <w:tc>
              <w:tcPr>
                <w:tcW w:w="4530" w:type="dxa"/>
                <w:vAlign w:val="center"/>
              </w:tcPr>
              <w:p w14:paraId="113EEA59" w14:textId="3EC3FEE4" w:rsidR="00F361A9" w:rsidRPr="00E1086D" w:rsidRDefault="00922FA8" w:rsidP="00694565">
                <w:pPr>
                  <w:spacing w:after="200" w:line="276" w:lineRule="auto"/>
                  <w:rPr>
                    <w:sz w:val="20"/>
                    <w:szCs w:val="20"/>
                    <w:lang w:val="en-MY" w:eastAsia="en-AU"/>
                  </w:rPr>
                </w:pPr>
                <w:r w:rsidRPr="00E1086D">
                  <w:rPr>
                    <w:sz w:val="20"/>
                    <w:szCs w:val="20"/>
                    <w:lang w:val="en-MY" w:eastAsia="en-AU"/>
                  </w:rPr>
                  <w:t>F</w:t>
                </w:r>
                <w:r w:rsidR="002F11B0" w:rsidRPr="00E1086D">
                  <w:rPr>
                    <w:sz w:val="20"/>
                    <w:szCs w:val="20"/>
                    <w:lang w:val="en-MY" w:eastAsia="en-AU"/>
                  </w:rPr>
                  <w:t xml:space="preserve">igure 2 </w:t>
                </w:r>
                <w:r w:rsidRPr="00E1086D">
                  <w:rPr>
                    <w:sz w:val="20"/>
                    <w:szCs w:val="20"/>
                    <w:lang w:val="en-MY" w:eastAsia="en-AU"/>
                  </w:rPr>
                  <w:t>–</w:t>
                </w:r>
                <w:r w:rsidR="002F11B0" w:rsidRPr="00E1086D">
                  <w:rPr>
                    <w:sz w:val="20"/>
                    <w:szCs w:val="20"/>
                    <w:lang w:val="en-MY" w:eastAsia="en-AU"/>
                  </w:rPr>
                  <w:t xml:space="preserve"> </w:t>
                </w:r>
                <w:r w:rsidRPr="00E1086D">
                  <w:rPr>
                    <w:sz w:val="20"/>
                    <w:szCs w:val="20"/>
                    <w:lang w:val="en-MY" w:eastAsia="en-AU"/>
                  </w:rPr>
                  <w:t>ATC M</w:t>
                </w:r>
                <w:r w:rsidR="002F11B0" w:rsidRPr="00E1086D">
                  <w:rPr>
                    <w:sz w:val="20"/>
                    <w:szCs w:val="20"/>
                    <w:lang w:val="en-MY" w:eastAsia="en-AU"/>
                  </w:rPr>
                  <w:t xml:space="preserve">odel </w:t>
                </w:r>
                <w:r w:rsidRPr="00E1086D">
                  <w:rPr>
                    <w:sz w:val="20"/>
                    <w:szCs w:val="20"/>
                    <w:lang w:val="en-MY" w:eastAsia="en-AU"/>
                  </w:rPr>
                  <w:t>P</w:t>
                </w:r>
                <w:r w:rsidR="002F11B0" w:rsidRPr="00E1086D">
                  <w:rPr>
                    <w:sz w:val="20"/>
                    <w:szCs w:val="20"/>
                    <w:lang w:val="en-MY" w:eastAsia="en-AU"/>
                  </w:rPr>
                  <w:t xml:space="preserve">rogram </w:t>
                </w:r>
                <w:r w:rsidRPr="00E1086D">
                  <w:rPr>
                    <w:sz w:val="20"/>
                    <w:szCs w:val="20"/>
                    <w:lang w:val="en-MY" w:eastAsia="en-AU"/>
                  </w:rPr>
                  <w:t>L</w:t>
                </w:r>
                <w:r w:rsidR="002F11B0" w:rsidRPr="00E1086D">
                  <w:rPr>
                    <w:sz w:val="20"/>
                    <w:szCs w:val="20"/>
                    <w:lang w:val="en-MY" w:eastAsia="en-AU"/>
                  </w:rPr>
                  <w:t>ogic</w:t>
                </w:r>
              </w:p>
            </w:tc>
            <w:tc>
              <w:tcPr>
                <w:tcW w:w="1135" w:type="dxa"/>
                <w:vAlign w:val="center"/>
              </w:tcPr>
              <w:p w14:paraId="35B109A3" w14:textId="22EE9E0F" w:rsidR="00F361A9" w:rsidRPr="00E1086D" w:rsidRDefault="00922FA8" w:rsidP="00694565">
                <w:pPr>
                  <w:spacing w:after="200" w:line="276" w:lineRule="auto"/>
                  <w:jc w:val="center"/>
                  <w:rPr>
                    <w:sz w:val="20"/>
                    <w:szCs w:val="20"/>
                    <w:lang w:val="en-MY" w:eastAsia="en-AU"/>
                  </w:rPr>
                </w:pPr>
                <w:r w:rsidRPr="00E1086D">
                  <w:rPr>
                    <w:sz w:val="20"/>
                    <w:szCs w:val="20"/>
                    <w:lang w:val="en-MY" w:eastAsia="en-AU"/>
                  </w:rPr>
                  <w:t>P.1</w:t>
                </w:r>
                <w:r w:rsidR="004201C1">
                  <w:rPr>
                    <w:sz w:val="20"/>
                    <w:szCs w:val="20"/>
                    <w:lang w:val="en-MY" w:eastAsia="en-AU"/>
                  </w:rPr>
                  <w:t>3</w:t>
                </w:r>
              </w:p>
            </w:tc>
          </w:tr>
          <w:tr w:rsidR="00991631" w:rsidRPr="00790224" w14:paraId="7CA78AF8" w14:textId="77777777" w:rsidTr="00D71F2F">
            <w:trPr>
              <w:trHeight w:val="56"/>
            </w:trPr>
            <w:tc>
              <w:tcPr>
                <w:tcW w:w="4530" w:type="dxa"/>
                <w:vAlign w:val="center"/>
              </w:tcPr>
              <w:p w14:paraId="5EF4074C" w14:textId="11F9B5D4" w:rsidR="00991631" w:rsidRPr="00E1086D" w:rsidRDefault="00991631" w:rsidP="00694565">
                <w:pPr>
                  <w:spacing w:after="200" w:line="276" w:lineRule="auto"/>
                  <w:rPr>
                    <w:sz w:val="20"/>
                    <w:szCs w:val="20"/>
                    <w:lang w:val="en-MY" w:eastAsia="en-AU"/>
                  </w:rPr>
                </w:pPr>
                <w:r w:rsidRPr="00E1086D">
                  <w:rPr>
                    <w:sz w:val="20"/>
                    <w:szCs w:val="20"/>
                    <w:lang w:val="en-MY" w:eastAsia="en-AU"/>
                  </w:rPr>
                  <w:t>F</w:t>
                </w:r>
                <w:r w:rsidR="002F11B0" w:rsidRPr="00E1086D">
                  <w:rPr>
                    <w:sz w:val="20"/>
                    <w:szCs w:val="20"/>
                    <w:lang w:val="en-MY" w:eastAsia="en-AU"/>
                  </w:rPr>
                  <w:t xml:space="preserve">igure </w:t>
                </w:r>
                <w:r w:rsidRPr="00E1086D">
                  <w:rPr>
                    <w:sz w:val="20"/>
                    <w:szCs w:val="20"/>
                    <w:lang w:val="en-MY" w:eastAsia="en-AU"/>
                  </w:rPr>
                  <w:t>3 – YTC M</w:t>
                </w:r>
                <w:r w:rsidR="002F11B0" w:rsidRPr="00E1086D">
                  <w:rPr>
                    <w:sz w:val="20"/>
                    <w:szCs w:val="20"/>
                    <w:lang w:val="en-MY" w:eastAsia="en-AU"/>
                  </w:rPr>
                  <w:t>odel Implementation Framework</w:t>
                </w:r>
              </w:p>
            </w:tc>
            <w:tc>
              <w:tcPr>
                <w:tcW w:w="1135" w:type="dxa"/>
                <w:vAlign w:val="center"/>
              </w:tcPr>
              <w:p w14:paraId="52C8CE84" w14:textId="259DBED3" w:rsidR="00991631" w:rsidRPr="00E1086D" w:rsidRDefault="00991631" w:rsidP="00694565">
                <w:pPr>
                  <w:spacing w:after="200" w:line="276" w:lineRule="auto"/>
                  <w:jc w:val="center"/>
                  <w:rPr>
                    <w:sz w:val="20"/>
                    <w:szCs w:val="20"/>
                    <w:lang w:val="en-MY" w:eastAsia="en-AU"/>
                  </w:rPr>
                </w:pPr>
                <w:r w:rsidRPr="00E1086D">
                  <w:rPr>
                    <w:sz w:val="20"/>
                    <w:szCs w:val="20"/>
                    <w:lang w:val="en-MY" w:eastAsia="en-AU"/>
                  </w:rPr>
                  <w:t>P.1</w:t>
                </w:r>
                <w:r w:rsidR="004201C1">
                  <w:rPr>
                    <w:sz w:val="20"/>
                    <w:szCs w:val="20"/>
                    <w:lang w:val="en-MY" w:eastAsia="en-AU"/>
                  </w:rPr>
                  <w:t>7</w:t>
                </w:r>
              </w:p>
            </w:tc>
          </w:tr>
          <w:tr w:rsidR="00991631" w:rsidRPr="00790224" w14:paraId="67942FF9" w14:textId="77777777" w:rsidTr="00D71F2F">
            <w:trPr>
              <w:trHeight w:val="56"/>
            </w:trPr>
            <w:tc>
              <w:tcPr>
                <w:tcW w:w="4530" w:type="dxa"/>
                <w:vAlign w:val="center"/>
              </w:tcPr>
              <w:p w14:paraId="64EA1FAB" w14:textId="4531CCA8" w:rsidR="00991631" w:rsidRPr="00E1086D" w:rsidRDefault="00991631" w:rsidP="00694565">
                <w:pPr>
                  <w:spacing w:after="200" w:line="276" w:lineRule="auto"/>
                  <w:rPr>
                    <w:sz w:val="20"/>
                    <w:szCs w:val="20"/>
                    <w:lang w:val="en-MY" w:eastAsia="en-AU"/>
                  </w:rPr>
                </w:pPr>
                <w:r w:rsidRPr="00E1086D">
                  <w:rPr>
                    <w:sz w:val="20"/>
                    <w:szCs w:val="20"/>
                    <w:lang w:val="en-MY" w:eastAsia="en-AU"/>
                  </w:rPr>
                  <w:t>F</w:t>
                </w:r>
                <w:r w:rsidR="002F11B0" w:rsidRPr="00E1086D">
                  <w:rPr>
                    <w:sz w:val="20"/>
                    <w:szCs w:val="20"/>
                    <w:lang w:val="en-MY" w:eastAsia="en-AU"/>
                  </w:rPr>
                  <w:t xml:space="preserve">igure </w:t>
                </w:r>
                <w:r w:rsidRPr="00E1086D">
                  <w:rPr>
                    <w:sz w:val="20"/>
                    <w:szCs w:val="20"/>
                    <w:lang w:val="en-MY" w:eastAsia="en-AU"/>
                  </w:rPr>
                  <w:t xml:space="preserve">4 –YTC </w:t>
                </w:r>
                <w:r w:rsidR="002F11B0" w:rsidRPr="00E1086D">
                  <w:rPr>
                    <w:sz w:val="20"/>
                    <w:szCs w:val="20"/>
                    <w:lang w:val="en-MY" w:eastAsia="en-AU"/>
                  </w:rPr>
                  <w:t>Model Program Logic</w:t>
                </w:r>
              </w:p>
            </w:tc>
            <w:tc>
              <w:tcPr>
                <w:tcW w:w="1135" w:type="dxa"/>
                <w:vAlign w:val="center"/>
              </w:tcPr>
              <w:p w14:paraId="04CDD5EA" w14:textId="542ED9D5" w:rsidR="00991631" w:rsidRPr="00E1086D" w:rsidRDefault="00991631" w:rsidP="00694565">
                <w:pPr>
                  <w:spacing w:after="200" w:line="276" w:lineRule="auto"/>
                  <w:jc w:val="center"/>
                  <w:rPr>
                    <w:sz w:val="20"/>
                    <w:szCs w:val="20"/>
                    <w:lang w:val="en-MY" w:eastAsia="en-AU"/>
                  </w:rPr>
                </w:pPr>
                <w:r w:rsidRPr="00E1086D">
                  <w:rPr>
                    <w:sz w:val="20"/>
                    <w:szCs w:val="20"/>
                    <w:lang w:val="en-MY" w:eastAsia="en-AU"/>
                  </w:rPr>
                  <w:t>P.1</w:t>
                </w:r>
                <w:r w:rsidR="004201C1">
                  <w:rPr>
                    <w:sz w:val="20"/>
                    <w:szCs w:val="20"/>
                    <w:lang w:val="en-MY" w:eastAsia="en-AU"/>
                  </w:rPr>
                  <w:t>8</w:t>
                </w:r>
              </w:p>
            </w:tc>
          </w:tr>
          <w:tr w:rsidR="002F11B0" w:rsidRPr="00790224" w14:paraId="337B5A97" w14:textId="77777777" w:rsidTr="00D71F2F">
            <w:trPr>
              <w:trHeight w:val="56"/>
            </w:trPr>
            <w:tc>
              <w:tcPr>
                <w:tcW w:w="4530" w:type="dxa"/>
                <w:vAlign w:val="center"/>
              </w:tcPr>
              <w:p w14:paraId="4F0329F0" w14:textId="0FF4B096" w:rsidR="002F11B0" w:rsidRPr="00E1086D" w:rsidRDefault="00790224" w:rsidP="00694565">
                <w:pPr>
                  <w:spacing w:after="200" w:line="276" w:lineRule="auto"/>
                  <w:rPr>
                    <w:sz w:val="20"/>
                    <w:szCs w:val="20"/>
                    <w:lang w:val="en-MY" w:eastAsia="en-AU"/>
                  </w:rPr>
                </w:pPr>
                <w:r w:rsidRPr="00E1086D">
                  <w:rPr>
                    <w:sz w:val="20"/>
                    <w:szCs w:val="20"/>
                    <w:lang w:val="en-MY" w:eastAsia="en-AU"/>
                  </w:rPr>
                  <w:t>Figure 5 – Number and Proportion of Adult Case Closures by Reason Type</w:t>
                </w:r>
              </w:p>
            </w:tc>
            <w:tc>
              <w:tcPr>
                <w:tcW w:w="1135" w:type="dxa"/>
                <w:vAlign w:val="center"/>
              </w:tcPr>
              <w:p w14:paraId="476CC982" w14:textId="312FEE44" w:rsidR="002F11B0" w:rsidRPr="00E1086D" w:rsidRDefault="002F11B0" w:rsidP="00694565">
                <w:pPr>
                  <w:spacing w:after="200" w:line="276" w:lineRule="auto"/>
                  <w:jc w:val="center"/>
                  <w:rPr>
                    <w:sz w:val="20"/>
                    <w:szCs w:val="20"/>
                    <w:lang w:val="en-MY" w:eastAsia="en-AU"/>
                  </w:rPr>
                </w:pPr>
                <w:r w:rsidRPr="00E1086D">
                  <w:rPr>
                    <w:sz w:val="20"/>
                    <w:szCs w:val="20"/>
                    <w:lang w:val="en-MY" w:eastAsia="en-AU"/>
                  </w:rPr>
                  <w:t>P.</w:t>
                </w:r>
                <w:r w:rsidR="00715006">
                  <w:rPr>
                    <w:sz w:val="20"/>
                    <w:szCs w:val="20"/>
                    <w:lang w:val="en-MY" w:eastAsia="en-AU"/>
                  </w:rPr>
                  <w:t>7</w:t>
                </w:r>
                <w:r w:rsidR="00B260E7">
                  <w:rPr>
                    <w:sz w:val="20"/>
                    <w:szCs w:val="20"/>
                    <w:lang w:val="en-MY" w:eastAsia="en-AU"/>
                  </w:rPr>
                  <w:t>0</w:t>
                </w:r>
              </w:p>
            </w:tc>
          </w:tr>
          <w:tr w:rsidR="00EB627C" w:rsidRPr="00790224" w14:paraId="2B0DF96E" w14:textId="77777777" w:rsidTr="00D71F2F">
            <w:trPr>
              <w:trHeight w:val="56"/>
            </w:trPr>
            <w:tc>
              <w:tcPr>
                <w:tcW w:w="4530" w:type="dxa"/>
                <w:vAlign w:val="center"/>
              </w:tcPr>
              <w:p w14:paraId="3CEB262E" w14:textId="586FD76D" w:rsidR="00EB627C" w:rsidRPr="00E1086D" w:rsidRDefault="00790224" w:rsidP="00694565">
                <w:pPr>
                  <w:spacing w:after="200" w:line="276" w:lineRule="auto"/>
                  <w:rPr>
                    <w:sz w:val="20"/>
                    <w:szCs w:val="20"/>
                    <w:lang w:val="en-MY" w:eastAsia="en-AU"/>
                  </w:rPr>
                </w:pPr>
                <w:r w:rsidRPr="00E1086D">
                  <w:rPr>
                    <w:sz w:val="20"/>
                    <w:szCs w:val="20"/>
                    <w:lang w:val="en-MY" w:eastAsia="en-AU"/>
                  </w:rPr>
                  <w:t>Figure 6 – Number and Proportion of Youth Case Closures by Reason Type</w:t>
                </w:r>
              </w:p>
            </w:tc>
            <w:tc>
              <w:tcPr>
                <w:tcW w:w="1135" w:type="dxa"/>
                <w:vAlign w:val="center"/>
              </w:tcPr>
              <w:p w14:paraId="242498FD" w14:textId="6ECD6344" w:rsidR="00EB627C" w:rsidRPr="00E1086D" w:rsidRDefault="00EB627C" w:rsidP="00694565">
                <w:pPr>
                  <w:spacing w:after="200" w:line="276" w:lineRule="auto"/>
                  <w:jc w:val="center"/>
                  <w:rPr>
                    <w:sz w:val="20"/>
                    <w:szCs w:val="20"/>
                    <w:lang w:val="en-MY" w:eastAsia="en-AU"/>
                  </w:rPr>
                </w:pPr>
                <w:r w:rsidRPr="00E1086D">
                  <w:rPr>
                    <w:sz w:val="20"/>
                    <w:szCs w:val="20"/>
                    <w:lang w:val="en-MY" w:eastAsia="en-AU"/>
                  </w:rPr>
                  <w:t>P.</w:t>
                </w:r>
                <w:r w:rsidR="00715006">
                  <w:rPr>
                    <w:sz w:val="20"/>
                    <w:szCs w:val="20"/>
                    <w:lang w:val="en-MY" w:eastAsia="en-AU"/>
                  </w:rPr>
                  <w:t>7</w:t>
                </w:r>
                <w:r w:rsidR="00B260E7">
                  <w:rPr>
                    <w:sz w:val="20"/>
                    <w:szCs w:val="20"/>
                    <w:lang w:val="en-MY" w:eastAsia="en-AU"/>
                  </w:rPr>
                  <w:t>1</w:t>
                </w:r>
              </w:p>
            </w:tc>
          </w:tr>
        </w:tbl>
        <w:p w14:paraId="1005A693" w14:textId="77777777" w:rsidR="00F361A9" w:rsidRPr="000F3BE3" w:rsidRDefault="00F361A9" w:rsidP="00F361A9">
          <w:pPr>
            <w:rPr>
              <w:lang w:val="en-MY" w:eastAsia="en-AU"/>
            </w:rPr>
          </w:pPr>
        </w:p>
        <w:p w14:paraId="4A9518DF" w14:textId="057F1693" w:rsidR="007073A3" w:rsidRDefault="007073A3">
          <w:pPr>
            <w:spacing w:after="200" w:line="276" w:lineRule="auto"/>
            <w:rPr>
              <w:rFonts w:ascii="Arial" w:hAnsi="Arial" w:cs="Arial"/>
              <w:b/>
              <w:smallCaps/>
              <w:color w:val="233C6F"/>
              <w:spacing w:val="5"/>
              <w:sz w:val="36"/>
              <w:szCs w:val="40"/>
              <w:lang w:bidi="en-US"/>
            </w:rPr>
          </w:pPr>
          <w:r>
            <w:rPr>
              <w:rFonts w:ascii="Arial" w:hAnsi="Arial" w:cs="Arial"/>
              <w:color w:val="233C6F"/>
              <w:sz w:val="36"/>
              <w:szCs w:val="40"/>
              <w:lang w:bidi="en-US"/>
            </w:rPr>
            <w:br w:type="page"/>
          </w:r>
        </w:p>
      </w:sdtContent>
    </w:sdt>
    <w:sdt>
      <w:sdtPr>
        <w:rPr>
          <w:rFonts w:asciiTheme="minorHAnsi" w:hAnsiTheme="minorHAnsi" w:cstheme="minorBidi"/>
          <w:b w:val="0"/>
          <w:smallCaps w:val="0"/>
          <w:color w:val="auto"/>
          <w:spacing w:val="0"/>
          <w:sz w:val="22"/>
          <w:szCs w:val="20"/>
          <w:lang w:bidi="ar-SA"/>
        </w:rPr>
        <w:id w:val="-6760802"/>
        <w:docPartObj>
          <w:docPartGallery w:val="Table of Contents"/>
          <w:docPartUnique/>
        </w:docPartObj>
      </w:sdtPr>
      <w:sdtEndPr>
        <w:rPr>
          <w:bCs/>
          <w:noProof/>
          <w:sz w:val="20"/>
          <w:szCs w:val="22"/>
        </w:rPr>
      </w:sdtEndPr>
      <w:sdtContent>
        <w:p w14:paraId="5115C75E" w14:textId="71D1727B" w:rsidR="007073A3" w:rsidRPr="009F4E9D" w:rsidRDefault="007073A3" w:rsidP="007073A3">
          <w:pPr>
            <w:pStyle w:val="HEADINGS"/>
          </w:pPr>
          <w:r w:rsidRPr="009F4E9D">
            <w:t>C</w:t>
          </w:r>
          <w:r w:rsidR="00F66F99">
            <w:t>ontents</w:t>
          </w:r>
          <w:r w:rsidRPr="009F4E9D">
            <w:tab/>
          </w:r>
        </w:p>
        <w:p w14:paraId="79F82232" w14:textId="3D49C613" w:rsidR="00496FE4" w:rsidRDefault="007073A3">
          <w:pPr>
            <w:pStyle w:val="TOC1"/>
            <w:rPr>
              <w:rFonts w:eastAsiaTheme="minorEastAsia"/>
              <w:noProof/>
              <w:sz w:val="24"/>
              <w:szCs w:val="24"/>
              <w:lang w:eastAsia="en-GB"/>
            </w:rPr>
          </w:pPr>
          <w:r>
            <w:rPr>
              <w:rFonts w:ascii="Arial" w:hAnsi="Arial" w:cs="Arial"/>
              <w:sz w:val="20"/>
            </w:rPr>
            <w:fldChar w:fldCharType="begin"/>
          </w:r>
          <w:r>
            <w:rPr>
              <w:rFonts w:ascii="Arial" w:hAnsi="Arial" w:cs="Arial"/>
              <w:sz w:val="20"/>
            </w:rPr>
            <w:instrText xml:space="preserve"> TOC \o "1-2" \h \z \u </w:instrText>
          </w:r>
          <w:r>
            <w:rPr>
              <w:rFonts w:ascii="Arial" w:hAnsi="Arial" w:cs="Arial"/>
              <w:sz w:val="20"/>
            </w:rPr>
            <w:fldChar w:fldCharType="separate"/>
          </w:r>
          <w:hyperlink w:anchor="_Toc150784175" w:history="1">
            <w:r w:rsidR="00496FE4" w:rsidRPr="0087677C">
              <w:rPr>
                <w:rStyle w:val="Hyperlink"/>
                <w:rFonts w:cstheme="minorHAnsi"/>
                <w:noProof/>
                <w:lang w:val="en-MY" w:eastAsia="en-AU"/>
              </w:rPr>
              <w:t>Acknowledgements</w:t>
            </w:r>
            <w:r w:rsidR="00496FE4">
              <w:rPr>
                <w:noProof/>
                <w:webHidden/>
              </w:rPr>
              <w:tab/>
            </w:r>
            <w:r w:rsidR="00496FE4">
              <w:rPr>
                <w:noProof/>
                <w:webHidden/>
              </w:rPr>
              <w:fldChar w:fldCharType="begin"/>
            </w:r>
            <w:r w:rsidR="00496FE4">
              <w:rPr>
                <w:noProof/>
                <w:webHidden/>
              </w:rPr>
              <w:instrText xml:space="preserve"> PAGEREF _Toc150784175 \h </w:instrText>
            </w:r>
            <w:r w:rsidR="00496FE4">
              <w:rPr>
                <w:noProof/>
                <w:webHidden/>
              </w:rPr>
            </w:r>
            <w:r w:rsidR="00496FE4">
              <w:rPr>
                <w:noProof/>
                <w:webHidden/>
              </w:rPr>
              <w:fldChar w:fldCharType="separate"/>
            </w:r>
            <w:r w:rsidR="00B005C7">
              <w:rPr>
                <w:noProof/>
                <w:webHidden/>
              </w:rPr>
              <w:t>i</w:t>
            </w:r>
            <w:r w:rsidR="00496FE4">
              <w:rPr>
                <w:noProof/>
                <w:webHidden/>
              </w:rPr>
              <w:fldChar w:fldCharType="end"/>
            </w:r>
          </w:hyperlink>
        </w:p>
        <w:p w14:paraId="3F44E148" w14:textId="0EFC72F7" w:rsidR="00496FE4" w:rsidRDefault="00570CF5">
          <w:pPr>
            <w:pStyle w:val="TOC1"/>
            <w:rPr>
              <w:rFonts w:eastAsiaTheme="minorEastAsia"/>
              <w:noProof/>
              <w:sz w:val="24"/>
              <w:szCs w:val="24"/>
              <w:lang w:eastAsia="en-GB"/>
            </w:rPr>
          </w:pPr>
          <w:hyperlink w:anchor="_Toc150784176" w:history="1">
            <w:r w:rsidR="00496FE4" w:rsidRPr="0087677C">
              <w:rPr>
                <w:rStyle w:val="Hyperlink"/>
                <w:rFonts w:cstheme="minorHAnsi"/>
                <w:noProof/>
                <w:lang w:val="en-MY" w:eastAsia="en-AU"/>
              </w:rPr>
              <w:t>List of Acronyms</w:t>
            </w:r>
            <w:r w:rsidR="00496FE4">
              <w:rPr>
                <w:noProof/>
                <w:webHidden/>
              </w:rPr>
              <w:tab/>
            </w:r>
            <w:r w:rsidR="00496FE4">
              <w:rPr>
                <w:noProof/>
                <w:webHidden/>
              </w:rPr>
              <w:fldChar w:fldCharType="begin"/>
            </w:r>
            <w:r w:rsidR="00496FE4">
              <w:rPr>
                <w:noProof/>
                <w:webHidden/>
              </w:rPr>
              <w:instrText xml:space="preserve"> PAGEREF _Toc150784176 \h </w:instrText>
            </w:r>
            <w:r w:rsidR="00496FE4">
              <w:rPr>
                <w:noProof/>
                <w:webHidden/>
              </w:rPr>
            </w:r>
            <w:r w:rsidR="00496FE4">
              <w:rPr>
                <w:noProof/>
                <w:webHidden/>
              </w:rPr>
              <w:fldChar w:fldCharType="separate"/>
            </w:r>
            <w:r w:rsidR="00B005C7">
              <w:rPr>
                <w:noProof/>
                <w:webHidden/>
              </w:rPr>
              <w:t>ii</w:t>
            </w:r>
            <w:r w:rsidR="00496FE4">
              <w:rPr>
                <w:noProof/>
                <w:webHidden/>
              </w:rPr>
              <w:fldChar w:fldCharType="end"/>
            </w:r>
          </w:hyperlink>
        </w:p>
        <w:p w14:paraId="5083706E" w14:textId="1EF2279C" w:rsidR="00496FE4" w:rsidRDefault="00570CF5">
          <w:pPr>
            <w:pStyle w:val="TOC1"/>
            <w:rPr>
              <w:rFonts w:eastAsiaTheme="minorEastAsia"/>
              <w:noProof/>
              <w:sz w:val="24"/>
              <w:szCs w:val="24"/>
              <w:lang w:eastAsia="en-GB"/>
            </w:rPr>
          </w:pPr>
          <w:hyperlink w:anchor="_Toc150784177" w:history="1">
            <w:r w:rsidR="00496FE4" w:rsidRPr="0087677C">
              <w:rPr>
                <w:rStyle w:val="Hyperlink"/>
                <w:rFonts w:cstheme="minorHAnsi"/>
                <w:noProof/>
                <w:lang w:val="en-MY" w:eastAsia="en-AU"/>
              </w:rPr>
              <w:t>List of Tables and Figures</w:t>
            </w:r>
            <w:r w:rsidR="00496FE4">
              <w:rPr>
                <w:noProof/>
                <w:webHidden/>
              </w:rPr>
              <w:tab/>
            </w:r>
            <w:r w:rsidR="00496FE4">
              <w:rPr>
                <w:noProof/>
                <w:webHidden/>
              </w:rPr>
              <w:fldChar w:fldCharType="begin"/>
            </w:r>
            <w:r w:rsidR="00496FE4">
              <w:rPr>
                <w:noProof/>
                <w:webHidden/>
              </w:rPr>
              <w:instrText xml:space="preserve"> PAGEREF _Toc150784177 \h </w:instrText>
            </w:r>
            <w:r w:rsidR="00496FE4">
              <w:rPr>
                <w:noProof/>
                <w:webHidden/>
              </w:rPr>
            </w:r>
            <w:r w:rsidR="00496FE4">
              <w:rPr>
                <w:noProof/>
                <w:webHidden/>
              </w:rPr>
              <w:fldChar w:fldCharType="separate"/>
            </w:r>
            <w:r w:rsidR="00B005C7">
              <w:rPr>
                <w:noProof/>
                <w:webHidden/>
              </w:rPr>
              <w:t>iii</w:t>
            </w:r>
            <w:r w:rsidR="00496FE4">
              <w:rPr>
                <w:noProof/>
                <w:webHidden/>
              </w:rPr>
              <w:fldChar w:fldCharType="end"/>
            </w:r>
          </w:hyperlink>
        </w:p>
        <w:p w14:paraId="5D7D0DAA" w14:textId="24648087" w:rsidR="00496FE4" w:rsidRDefault="00570CF5">
          <w:pPr>
            <w:pStyle w:val="TOC1"/>
            <w:rPr>
              <w:rFonts w:eastAsiaTheme="minorEastAsia"/>
              <w:noProof/>
              <w:sz w:val="24"/>
              <w:szCs w:val="24"/>
              <w:lang w:eastAsia="en-GB"/>
            </w:rPr>
          </w:pPr>
          <w:hyperlink w:anchor="_Toc150784178" w:history="1">
            <w:r w:rsidR="00496FE4" w:rsidRPr="0087677C">
              <w:rPr>
                <w:rStyle w:val="Hyperlink"/>
                <w:rFonts w:cstheme="minorHAnsi"/>
                <w:noProof/>
              </w:rPr>
              <w:t>Executive Summary</w:t>
            </w:r>
            <w:r w:rsidR="00496FE4">
              <w:rPr>
                <w:noProof/>
                <w:webHidden/>
              </w:rPr>
              <w:tab/>
            </w:r>
            <w:r w:rsidR="00496FE4">
              <w:rPr>
                <w:noProof/>
                <w:webHidden/>
              </w:rPr>
              <w:fldChar w:fldCharType="begin"/>
            </w:r>
            <w:r w:rsidR="00496FE4">
              <w:rPr>
                <w:noProof/>
                <w:webHidden/>
              </w:rPr>
              <w:instrText xml:space="preserve"> PAGEREF _Toc150784178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21822D91" w14:textId="607CD110" w:rsidR="00496FE4" w:rsidRDefault="00570CF5">
          <w:pPr>
            <w:pStyle w:val="TOC2"/>
            <w:rPr>
              <w:rFonts w:eastAsiaTheme="minorEastAsia"/>
              <w:noProof/>
              <w:sz w:val="24"/>
              <w:szCs w:val="24"/>
              <w:lang w:eastAsia="en-GB"/>
            </w:rPr>
          </w:pPr>
          <w:hyperlink w:anchor="_Toc150784179" w:history="1">
            <w:r w:rsidR="00496FE4" w:rsidRPr="0087677C">
              <w:rPr>
                <w:rStyle w:val="Hyperlink"/>
                <w:rFonts w:cstheme="minorHAnsi"/>
                <w:noProof/>
                <w:lang w:val="en-MY" w:eastAsia="en-AU"/>
              </w:rPr>
              <w:t>Evaluation Purpose</w:t>
            </w:r>
            <w:r w:rsidR="00496FE4">
              <w:rPr>
                <w:noProof/>
                <w:webHidden/>
              </w:rPr>
              <w:tab/>
            </w:r>
            <w:r w:rsidR="00496FE4">
              <w:rPr>
                <w:noProof/>
                <w:webHidden/>
              </w:rPr>
              <w:fldChar w:fldCharType="begin"/>
            </w:r>
            <w:r w:rsidR="00496FE4">
              <w:rPr>
                <w:noProof/>
                <w:webHidden/>
              </w:rPr>
              <w:instrText xml:space="preserve"> PAGEREF _Toc150784179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1A1AE25A" w14:textId="056B7F79" w:rsidR="00496FE4" w:rsidRDefault="00570CF5">
          <w:pPr>
            <w:pStyle w:val="TOC2"/>
            <w:rPr>
              <w:rFonts w:eastAsiaTheme="minorEastAsia"/>
              <w:noProof/>
              <w:sz w:val="24"/>
              <w:szCs w:val="24"/>
              <w:lang w:eastAsia="en-GB"/>
            </w:rPr>
          </w:pPr>
          <w:hyperlink w:anchor="_Toc150784180" w:history="1">
            <w:r w:rsidR="00496FE4" w:rsidRPr="0087677C">
              <w:rPr>
                <w:rStyle w:val="Hyperlink"/>
                <w:rFonts w:cstheme="minorHAnsi"/>
                <w:noProof/>
                <w:lang w:val="en-MY"/>
              </w:rPr>
              <w:t>Evaluation Objectives</w:t>
            </w:r>
            <w:r w:rsidR="00496FE4">
              <w:rPr>
                <w:noProof/>
                <w:webHidden/>
              </w:rPr>
              <w:tab/>
            </w:r>
            <w:r w:rsidR="00496FE4">
              <w:rPr>
                <w:noProof/>
                <w:webHidden/>
              </w:rPr>
              <w:fldChar w:fldCharType="begin"/>
            </w:r>
            <w:r w:rsidR="00496FE4">
              <w:rPr>
                <w:noProof/>
                <w:webHidden/>
              </w:rPr>
              <w:instrText xml:space="preserve"> PAGEREF _Toc150784180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146A65E6" w14:textId="02A4FB31" w:rsidR="00496FE4" w:rsidRDefault="00570CF5">
          <w:pPr>
            <w:pStyle w:val="TOC2"/>
            <w:rPr>
              <w:rFonts w:eastAsiaTheme="minorEastAsia"/>
              <w:noProof/>
              <w:sz w:val="24"/>
              <w:szCs w:val="24"/>
              <w:lang w:eastAsia="en-GB"/>
            </w:rPr>
          </w:pPr>
          <w:hyperlink w:anchor="_Toc150784181" w:history="1">
            <w:r w:rsidR="00496FE4" w:rsidRPr="0087677C">
              <w:rPr>
                <w:rStyle w:val="Hyperlink"/>
                <w:rFonts w:cstheme="minorHAnsi"/>
                <w:noProof/>
                <w:lang w:val="en-MY"/>
              </w:rPr>
              <w:t>Evaluation Research Questions</w:t>
            </w:r>
            <w:r w:rsidR="00496FE4">
              <w:rPr>
                <w:noProof/>
                <w:webHidden/>
              </w:rPr>
              <w:tab/>
            </w:r>
            <w:r w:rsidR="00496FE4">
              <w:rPr>
                <w:noProof/>
                <w:webHidden/>
              </w:rPr>
              <w:fldChar w:fldCharType="begin"/>
            </w:r>
            <w:r w:rsidR="00496FE4">
              <w:rPr>
                <w:noProof/>
                <w:webHidden/>
              </w:rPr>
              <w:instrText xml:space="preserve"> PAGEREF _Toc150784181 \h </w:instrText>
            </w:r>
            <w:r w:rsidR="00496FE4">
              <w:rPr>
                <w:noProof/>
                <w:webHidden/>
              </w:rPr>
            </w:r>
            <w:r w:rsidR="00496FE4">
              <w:rPr>
                <w:noProof/>
                <w:webHidden/>
              </w:rPr>
              <w:fldChar w:fldCharType="separate"/>
            </w:r>
            <w:r w:rsidR="00B005C7">
              <w:rPr>
                <w:noProof/>
                <w:webHidden/>
              </w:rPr>
              <w:t>2</w:t>
            </w:r>
            <w:r w:rsidR="00496FE4">
              <w:rPr>
                <w:noProof/>
                <w:webHidden/>
              </w:rPr>
              <w:fldChar w:fldCharType="end"/>
            </w:r>
          </w:hyperlink>
        </w:p>
        <w:p w14:paraId="50D3DBCE" w14:textId="09C19696" w:rsidR="00496FE4" w:rsidRDefault="00570CF5">
          <w:pPr>
            <w:pStyle w:val="TOC2"/>
            <w:rPr>
              <w:rFonts w:eastAsiaTheme="minorEastAsia"/>
              <w:noProof/>
              <w:sz w:val="24"/>
              <w:szCs w:val="24"/>
              <w:lang w:eastAsia="en-GB"/>
            </w:rPr>
          </w:pPr>
          <w:hyperlink w:anchor="_Toc150784182" w:history="1">
            <w:r w:rsidR="00496FE4" w:rsidRPr="0087677C">
              <w:rPr>
                <w:rStyle w:val="Hyperlink"/>
                <w:rFonts w:cstheme="minorHAnsi"/>
                <w:noProof/>
                <w:lang w:val="en-MY"/>
              </w:rPr>
              <w:t>Evaluation Scope</w:t>
            </w:r>
            <w:r w:rsidR="00496FE4">
              <w:rPr>
                <w:noProof/>
                <w:webHidden/>
              </w:rPr>
              <w:tab/>
            </w:r>
            <w:r w:rsidR="00496FE4">
              <w:rPr>
                <w:noProof/>
                <w:webHidden/>
              </w:rPr>
              <w:fldChar w:fldCharType="begin"/>
            </w:r>
            <w:r w:rsidR="00496FE4">
              <w:rPr>
                <w:noProof/>
                <w:webHidden/>
              </w:rPr>
              <w:instrText xml:space="preserve"> PAGEREF _Toc150784182 \h </w:instrText>
            </w:r>
            <w:r w:rsidR="00496FE4">
              <w:rPr>
                <w:noProof/>
                <w:webHidden/>
              </w:rPr>
            </w:r>
            <w:r w:rsidR="00496FE4">
              <w:rPr>
                <w:noProof/>
                <w:webHidden/>
              </w:rPr>
              <w:fldChar w:fldCharType="separate"/>
            </w:r>
            <w:r w:rsidR="00B005C7">
              <w:rPr>
                <w:noProof/>
                <w:webHidden/>
              </w:rPr>
              <w:t>3</w:t>
            </w:r>
            <w:r w:rsidR="00496FE4">
              <w:rPr>
                <w:noProof/>
                <w:webHidden/>
              </w:rPr>
              <w:fldChar w:fldCharType="end"/>
            </w:r>
          </w:hyperlink>
        </w:p>
        <w:p w14:paraId="6AA450F7" w14:textId="45F06BBD" w:rsidR="00496FE4" w:rsidRDefault="00570CF5">
          <w:pPr>
            <w:pStyle w:val="TOC2"/>
            <w:rPr>
              <w:rFonts w:eastAsiaTheme="minorEastAsia"/>
              <w:noProof/>
              <w:sz w:val="24"/>
              <w:szCs w:val="24"/>
              <w:lang w:eastAsia="en-GB"/>
            </w:rPr>
          </w:pPr>
          <w:hyperlink w:anchor="_Toc150784183" w:history="1">
            <w:r w:rsidR="00496FE4" w:rsidRPr="0087677C">
              <w:rPr>
                <w:rStyle w:val="Hyperlink"/>
                <w:rFonts w:cstheme="minorHAnsi"/>
                <w:noProof/>
                <w:lang w:val="en-MY" w:eastAsia="en-AU"/>
              </w:rPr>
              <w:t>Evaluation Findings</w:t>
            </w:r>
            <w:r w:rsidR="00496FE4">
              <w:rPr>
                <w:noProof/>
                <w:webHidden/>
              </w:rPr>
              <w:tab/>
            </w:r>
            <w:r w:rsidR="00496FE4">
              <w:rPr>
                <w:noProof/>
                <w:webHidden/>
              </w:rPr>
              <w:fldChar w:fldCharType="begin"/>
            </w:r>
            <w:r w:rsidR="00496FE4">
              <w:rPr>
                <w:noProof/>
                <w:webHidden/>
              </w:rPr>
              <w:instrText xml:space="preserve"> PAGEREF _Toc150784183 \h </w:instrText>
            </w:r>
            <w:r w:rsidR="00496FE4">
              <w:rPr>
                <w:noProof/>
                <w:webHidden/>
              </w:rPr>
            </w:r>
            <w:r w:rsidR="00496FE4">
              <w:rPr>
                <w:noProof/>
                <w:webHidden/>
              </w:rPr>
              <w:fldChar w:fldCharType="separate"/>
            </w:r>
            <w:r w:rsidR="00B005C7">
              <w:rPr>
                <w:noProof/>
                <w:webHidden/>
              </w:rPr>
              <w:t>4</w:t>
            </w:r>
            <w:r w:rsidR="00496FE4">
              <w:rPr>
                <w:noProof/>
                <w:webHidden/>
              </w:rPr>
              <w:fldChar w:fldCharType="end"/>
            </w:r>
          </w:hyperlink>
        </w:p>
        <w:p w14:paraId="3CC2F97C" w14:textId="41940A30" w:rsidR="00496FE4" w:rsidRDefault="00570CF5">
          <w:pPr>
            <w:pStyle w:val="TOC2"/>
            <w:rPr>
              <w:rFonts w:eastAsiaTheme="minorEastAsia"/>
              <w:noProof/>
              <w:sz w:val="24"/>
              <w:szCs w:val="24"/>
              <w:lang w:eastAsia="en-GB"/>
            </w:rPr>
          </w:pPr>
          <w:hyperlink w:anchor="_Toc150784184" w:history="1">
            <w:r w:rsidR="00496FE4" w:rsidRPr="0087677C">
              <w:rPr>
                <w:rStyle w:val="Hyperlink"/>
                <w:rFonts w:cstheme="minorHAnsi"/>
                <w:noProof/>
                <w:lang w:val="en-MY" w:eastAsia="en-AU"/>
              </w:rPr>
              <w:t>Recommendations</w:t>
            </w:r>
            <w:r w:rsidR="00496FE4">
              <w:rPr>
                <w:noProof/>
                <w:webHidden/>
              </w:rPr>
              <w:tab/>
            </w:r>
            <w:r w:rsidR="00496FE4">
              <w:rPr>
                <w:noProof/>
                <w:webHidden/>
              </w:rPr>
              <w:fldChar w:fldCharType="begin"/>
            </w:r>
            <w:r w:rsidR="00496FE4">
              <w:rPr>
                <w:noProof/>
                <w:webHidden/>
              </w:rPr>
              <w:instrText xml:space="preserve"> PAGEREF _Toc150784184 \h </w:instrText>
            </w:r>
            <w:r w:rsidR="00496FE4">
              <w:rPr>
                <w:noProof/>
                <w:webHidden/>
              </w:rPr>
            </w:r>
            <w:r w:rsidR="00496FE4">
              <w:rPr>
                <w:noProof/>
                <w:webHidden/>
              </w:rPr>
              <w:fldChar w:fldCharType="separate"/>
            </w:r>
            <w:r w:rsidR="00B005C7">
              <w:rPr>
                <w:noProof/>
                <w:webHidden/>
              </w:rPr>
              <w:t>10</w:t>
            </w:r>
            <w:r w:rsidR="00496FE4">
              <w:rPr>
                <w:noProof/>
                <w:webHidden/>
              </w:rPr>
              <w:fldChar w:fldCharType="end"/>
            </w:r>
          </w:hyperlink>
        </w:p>
        <w:p w14:paraId="1EE9D727" w14:textId="10E5DEE9" w:rsidR="00496FE4" w:rsidRDefault="00570CF5">
          <w:pPr>
            <w:pStyle w:val="TOC1"/>
            <w:rPr>
              <w:rFonts w:eastAsiaTheme="minorEastAsia"/>
              <w:noProof/>
              <w:sz w:val="24"/>
              <w:szCs w:val="24"/>
              <w:lang w:eastAsia="en-GB"/>
            </w:rPr>
          </w:pPr>
          <w:hyperlink w:anchor="_Toc150784185" w:history="1">
            <w:r w:rsidR="00496FE4" w:rsidRPr="0087677C">
              <w:rPr>
                <w:rStyle w:val="Hyperlink"/>
                <w:rFonts w:cstheme="minorHAnsi"/>
                <w:noProof/>
              </w:rPr>
              <w:t>Introduction</w:t>
            </w:r>
            <w:r w:rsidR="00496FE4">
              <w:rPr>
                <w:noProof/>
                <w:webHidden/>
              </w:rPr>
              <w:tab/>
            </w:r>
            <w:r w:rsidR="00496FE4">
              <w:rPr>
                <w:noProof/>
                <w:webHidden/>
              </w:rPr>
              <w:fldChar w:fldCharType="begin"/>
            </w:r>
            <w:r w:rsidR="00496FE4">
              <w:rPr>
                <w:noProof/>
                <w:webHidden/>
              </w:rPr>
              <w:instrText xml:space="preserve"> PAGEREF _Toc150784185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0BEFA320" w14:textId="4BCC05D9" w:rsidR="00496FE4" w:rsidRDefault="00570CF5">
          <w:pPr>
            <w:pStyle w:val="TOC2"/>
            <w:rPr>
              <w:rFonts w:eastAsiaTheme="minorEastAsia"/>
              <w:noProof/>
              <w:sz w:val="24"/>
              <w:szCs w:val="24"/>
              <w:lang w:eastAsia="en-GB"/>
            </w:rPr>
          </w:pPr>
          <w:hyperlink w:anchor="_Toc150784186" w:history="1">
            <w:r w:rsidR="00496FE4" w:rsidRPr="0087677C">
              <w:rPr>
                <w:rStyle w:val="Hyperlink"/>
                <w:rFonts w:cstheme="minorHAnsi"/>
                <w:noProof/>
                <w:lang w:val="en-MY" w:eastAsia="en-AU"/>
              </w:rPr>
              <w:t>IAS Funded Through Care Programs</w:t>
            </w:r>
            <w:r w:rsidR="00496FE4">
              <w:rPr>
                <w:noProof/>
                <w:webHidden/>
              </w:rPr>
              <w:tab/>
            </w:r>
            <w:r w:rsidR="00496FE4">
              <w:rPr>
                <w:noProof/>
                <w:webHidden/>
              </w:rPr>
              <w:fldChar w:fldCharType="begin"/>
            </w:r>
            <w:r w:rsidR="00496FE4">
              <w:rPr>
                <w:noProof/>
                <w:webHidden/>
              </w:rPr>
              <w:instrText xml:space="preserve"> PAGEREF _Toc150784186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0351BFB2" w14:textId="31A1AD93" w:rsidR="00496FE4" w:rsidRDefault="00570CF5">
          <w:pPr>
            <w:pStyle w:val="TOC2"/>
            <w:rPr>
              <w:rFonts w:eastAsiaTheme="minorEastAsia"/>
              <w:noProof/>
              <w:sz w:val="24"/>
              <w:szCs w:val="24"/>
              <w:lang w:eastAsia="en-GB"/>
            </w:rPr>
          </w:pPr>
          <w:hyperlink w:anchor="_Toc150784187" w:history="1">
            <w:r w:rsidR="00496FE4" w:rsidRPr="0087677C">
              <w:rPr>
                <w:rStyle w:val="Hyperlink"/>
                <w:rFonts w:cstheme="minorHAnsi"/>
                <w:noProof/>
                <w:lang w:val="en-MY" w:eastAsia="en-AU"/>
              </w:rPr>
              <w:t>Evaluation Purpose</w:t>
            </w:r>
            <w:r w:rsidR="00496FE4">
              <w:rPr>
                <w:noProof/>
                <w:webHidden/>
              </w:rPr>
              <w:tab/>
            </w:r>
            <w:r w:rsidR="00496FE4">
              <w:rPr>
                <w:noProof/>
                <w:webHidden/>
              </w:rPr>
              <w:fldChar w:fldCharType="begin"/>
            </w:r>
            <w:r w:rsidR="00496FE4">
              <w:rPr>
                <w:noProof/>
                <w:webHidden/>
              </w:rPr>
              <w:instrText xml:space="preserve"> PAGEREF _Toc150784187 \h </w:instrText>
            </w:r>
            <w:r w:rsidR="00496FE4">
              <w:rPr>
                <w:noProof/>
                <w:webHidden/>
              </w:rPr>
            </w:r>
            <w:r w:rsidR="00496FE4">
              <w:rPr>
                <w:noProof/>
                <w:webHidden/>
              </w:rPr>
              <w:fldChar w:fldCharType="separate"/>
            </w:r>
            <w:r w:rsidR="00B005C7">
              <w:rPr>
                <w:noProof/>
                <w:webHidden/>
              </w:rPr>
              <w:t>1</w:t>
            </w:r>
            <w:r w:rsidR="00496FE4">
              <w:rPr>
                <w:noProof/>
                <w:webHidden/>
              </w:rPr>
              <w:fldChar w:fldCharType="end"/>
            </w:r>
          </w:hyperlink>
        </w:p>
        <w:p w14:paraId="7233C490" w14:textId="76D49947" w:rsidR="00496FE4" w:rsidRDefault="00570CF5">
          <w:pPr>
            <w:pStyle w:val="TOC2"/>
            <w:rPr>
              <w:rFonts w:eastAsiaTheme="minorEastAsia"/>
              <w:noProof/>
              <w:sz w:val="24"/>
              <w:szCs w:val="24"/>
              <w:lang w:eastAsia="en-GB"/>
            </w:rPr>
          </w:pPr>
          <w:hyperlink w:anchor="_Toc150784188" w:history="1">
            <w:r w:rsidR="00496FE4" w:rsidRPr="0087677C">
              <w:rPr>
                <w:rStyle w:val="Hyperlink"/>
                <w:rFonts w:cstheme="minorHAnsi"/>
                <w:noProof/>
                <w:lang w:val="en-MY"/>
              </w:rPr>
              <w:t>Evaluation Objectives</w:t>
            </w:r>
            <w:r w:rsidR="00496FE4">
              <w:rPr>
                <w:noProof/>
                <w:webHidden/>
              </w:rPr>
              <w:tab/>
            </w:r>
            <w:r w:rsidR="00496FE4">
              <w:rPr>
                <w:noProof/>
                <w:webHidden/>
              </w:rPr>
              <w:fldChar w:fldCharType="begin"/>
            </w:r>
            <w:r w:rsidR="00496FE4">
              <w:rPr>
                <w:noProof/>
                <w:webHidden/>
              </w:rPr>
              <w:instrText xml:space="preserve"> PAGEREF _Toc150784188 \h </w:instrText>
            </w:r>
            <w:r w:rsidR="00496FE4">
              <w:rPr>
                <w:noProof/>
                <w:webHidden/>
              </w:rPr>
            </w:r>
            <w:r w:rsidR="00496FE4">
              <w:rPr>
                <w:noProof/>
                <w:webHidden/>
              </w:rPr>
              <w:fldChar w:fldCharType="separate"/>
            </w:r>
            <w:r w:rsidR="00B005C7">
              <w:rPr>
                <w:noProof/>
                <w:webHidden/>
              </w:rPr>
              <w:t>2</w:t>
            </w:r>
            <w:r w:rsidR="00496FE4">
              <w:rPr>
                <w:noProof/>
                <w:webHidden/>
              </w:rPr>
              <w:fldChar w:fldCharType="end"/>
            </w:r>
          </w:hyperlink>
        </w:p>
        <w:p w14:paraId="4708AB4C" w14:textId="3010ACAF" w:rsidR="00496FE4" w:rsidRDefault="00570CF5">
          <w:pPr>
            <w:pStyle w:val="TOC2"/>
            <w:rPr>
              <w:rFonts w:eastAsiaTheme="minorEastAsia"/>
              <w:noProof/>
              <w:sz w:val="24"/>
              <w:szCs w:val="24"/>
              <w:lang w:eastAsia="en-GB"/>
            </w:rPr>
          </w:pPr>
          <w:hyperlink w:anchor="_Toc150784189" w:history="1">
            <w:r w:rsidR="00496FE4" w:rsidRPr="0087677C">
              <w:rPr>
                <w:rStyle w:val="Hyperlink"/>
                <w:rFonts w:cstheme="minorHAnsi"/>
                <w:noProof/>
                <w:lang w:val="en-MY"/>
              </w:rPr>
              <w:t>Evaluation Research Questions</w:t>
            </w:r>
            <w:r w:rsidR="00496FE4">
              <w:rPr>
                <w:noProof/>
                <w:webHidden/>
              </w:rPr>
              <w:tab/>
            </w:r>
            <w:r w:rsidR="00496FE4">
              <w:rPr>
                <w:noProof/>
                <w:webHidden/>
              </w:rPr>
              <w:fldChar w:fldCharType="begin"/>
            </w:r>
            <w:r w:rsidR="00496FE4">
              <w:rPr>
                <w:noProof/>
                <w:webHidden/>
              </w:rPr>
              <w:instrText xml:space="preserve"> PAGEREF _Toc150784189 \h </w:instrText>
            </w:r>
            <w:r w:rsidR="00496FE4">
              <w:rPr>
                <w:noProof/>
                <w:webHidden/>
              </w:rPr>
            </w:r>
            <w:r w:rsidR="00496FE4">
              <w:rPr>
                <w:noProof/>
                <w:webHidden/>
              </w:rPr>
              <w:fldChar w:fldCharType="separate"/>
            </w:r>
            <w:r w:rsidR="00B005C7">
              <w:rPr>
                <w:noProof/>
                <w:webHidden/>
              </w:rPr>
              <w:t>3</w:t>
            </w:r>
            <w:r w:rsidR="00496FE4">
              <w:rPr>
                <w:noProof/>
                <w:webHidden/>
              </w:rPr>
              <w:fldChar w:fldCharType="end"/>
            </w:r>
          </w:hyperlink>
        </w:p>
        <w:p w14:paraId="32A04B11" w14:textId="0DB35CB6" w:rsidR="00496FE4" w:rsidRDefault="00570CF5">
          <w:pPr>
            <w:pStyle w:val="TOC2"/>
            <w:rPr>
              <w:rFonts w:eastAsiaTheme="minorEastAsia"/>
              <w:noProof/>
              <w:sz w:val="24"/>
              <w:szCs w:val="24"/>
              <w:lang w:eastAsia="en-GB"/>
            </w:rPr>
          </w:pPr>
          <w:hyperlink w:anchor="_Toc150784190" w:history="1">
            <w:r w:rsidR="00496FE4" w:rsidRPr="0087677C">
              <w:rPr>
                <w:rStyle w:val="Hyperlink"/>
                <w:rFonts w:cstheme="minorHAnsi"/>
                <w:noProof/>
                <w:lang w:val="en-MY"/>
              </w:rPr>
              <w:t>Evaluation Scope</w:t>
            </w:r>
            <w:r w:rsidR="00496FE4">
              <w:rPr>
                <w:noProof/>
                <w:webHidden/>
              </w:rPr>
              <w:tab/>
            </w:r>
            <w:r w:rsidR="00496FE4">
              <w:rPr>
                <w:noProof/>
                <w:webHidden/>
              </w:rPr>
              <w:fldChar w:fldCharType="begin"/>
            </w:r>
            <w:r w:rsidR="00496FE4">
              <w:rPr>
                <w:noProof/>
                <w:webHidden/>
              </w:rPr>
              <w:instrText xml:space="preserve"> PAGEREF _Toc150784190 \h </w:instrText>
            </w:r>
            <w:r w:rsidR="00496FE4">
              <w:rPr>
                <w:noProof/>
                <w:webHidden/>
              </w:rPr>
            </w:r>
            <w:r w:rsidR="00496FE4">
              <w:rPr>
                <w:noProof/>
                <w:webHidden/>
              </w:rPr>
              <w:fldChar w:fldCharType="separate"/>
            </w:r>
            <w:r w:rsidR="00B005C7">
              <w:rPr>
                <w:noProof/>
                <w:webHidden/>
              </w:rPr>
              <w:t>4</w:t>
            </w:r>
            <w:r w:rsidR="00496FE4">
              <w:rPr>
                <w:noProof/>
                <w:webHidden/>
              </w:rPr>
              <w:fldChar w:fldCharType="end"/>
            </w:r>
          </w:hyperlink>
        </w:p>
        <w:p w14:paraId="4A6C9774" w14:textId="1D21CCA4" w:rsidR="00496FE4" w:rsidRDefault="00570CF5">
          <w:pPr>
            <w:pStyle w:val="TOC2"/>
            <w:rPr>
              <w:rFonts w:eastAsiaTheme="minorEastAsia"/>
              <w:noProof/>
              <w:sz w:val="24"/>
              <w:szCs w:val="24"/>
              <w:lang w:eastAsia="en-GB"/>
            </w:rPr>
          </w:pPr>
          <w:hyperlink w:anchor="_Toc150784191" w:history="1">
            <w:r w:rsidR="00496FE4" w:rsidRPr="0087677C">
              <w:rPr>
                <w:rStyle w:val="Hyperlink"/>
                <w:rFonts w:cstheme="minorHAnsi"/>
                <w:noProof/>
                <w:lang w:val="en-MY"/>
              </w:rPr>
              <w:t>Remainder of This Report</w:t>
            </w:r>
            <w:r w:rsidR="00496FE4">
              <w:rPr>
                <w:noProof/>
                <w:webHidden/>
              </w:rPr>
              <w:tab/>
            </w:r>
            <w:r w:rsidR="00496FE4">
              <w:rPr>
                <w:noProof/>
                <w:webHidden/>
              </w:rPr>
              <w:fldChar w:fldCharType="begin"/>
            </w:r>
            <w:r w:rsidR="00496FE4">
              <w:rPr>
                <w:noProof/>
                <w:webHidden/>
              </w:rPr>
              <w:instrText xml:space="preserve"> PAGEREF _Toc150784191 \h </w:instrText>
            </w:r>
            <w:r w:rsidR="00496FE4">
              <w:rPr>
                <w:noProof/>
                <w:webHidden/>
              </w:rPr>
            </w:r>
            <w:r w:rsidR="00496FE4">
              <w:rPr>
                <w:noProof/>
                <w:webHidden/>
              </w:rPr>
              <w:fldChar w:fldCharType="separate"/>
            </w:r>
            <w:r w:rsidR="00B005C7">
              <w:rPr>
                <w:noProof/>
                <w:webHidden/>
              </w:rPr>
              <w:t>5</w:t>
            </w:r>
            <w:r w:rsidR="00496FE4">
              <w:rPr>
                <w:noProof/>
                <w:webHidden/>
              </w:rPr>
              <w:fldChar w:fldCharType="end"/>
            </w:r>
          </w:hyperlink>
        </w:p>
        <w:p w14:paraId="42FB1388" w14:textId="52324DF4" w:rsidR="00496FE4" w:rsidRDefault="00570CF5">
          <w:pPr>
            <w:pStyle w:val="TOC1"/>
            <w:rPr>
              <w:rFonts w:eastAsiaTheme="minorEastAsia"/>
              <w:noProof/>
              <w:sz w:val="24"/>
              <w:szCs w:val="24"/>
              <w:lang w:eastAsia="en-GB"/>
            </w:rPr>
          </w:pPr>
          <w:hyperlink w:anchor="_Toc150784192" w:history="1">
            <w:r w:rsidR="00496FE4" w:rsidRPr="0087677C">
              <w:rPr>
                <w:rStyle w:val="Hyperlink"/>
                <w:rFonts w:cstheme="minorHAnsi"/>
                <w:noProof/>
              </w:rPr>
              <w:t>Program Background</w:t>
            </w:r>
            <w:r w:rsidR="00496FE4">
              <w:rPr>
                <w:noProof/>
                <w:webHidden/>
              </w:rPr>
              <w:tab/>
            </w:r>
            <w:r w:rsidR="00496FE4">
              <w:rPr>
                <w:noProof/>
                <w:webHidden/>
              </w:rPr>
              <w:fldChar w:fldCharType="begin"/>
            </w:r>
            <w:r w:rsidR="00496FE4">
              <w:rPr>
                <w:noProof/>
                <w:webHidden/>
              </w:rPr>
              <w:instrText xml:space="preserve"> PAGEREF _Toc150784192 \h </w:instrText>
            </w:r>
            <w:r w:rsidR="00496FE4">
              <w:rPr>
                <w:noProof/>
                <w:webHidden/>
              </w:rPr>
            </w:r>
            <w:r w:rsidR="00496FE4">
              <w:rPr>
                <w:noProof/>
                <w:webHidden/>
              </w:rPr>
              <w:fldChar w:fldCharType="separate"/>
            </w:r>
            <w:r w:rsidR="00B005C7">
              <w:rPr>
                <w:noProof/>
                <w:webHidden/>
              </w:rPr>
              <w:t>6</w:t>
            </w:r>
            <w:r w:rsidR="00496FE4">
              <w:rPr>
                <w:noProof/>
                <w:webHidden/>
              </w:rPr>
              <w:fldChar w:fldCharType="end"/>
            </w:r>
          </w:hyperlink>
        </w:p>
        <w:p w14:paraId="352932CE" w14:textId="55E85B32" w:rsidR="00496FE4" w:rsidRDefault="00570CF5">
          <w:pPr>
            <w:pStyle w:val="TOC2"/>
            <w:rPr>
              <w:rFonts w:eastAsiaTheme="minorEastAsia"/>
              <w:noProof/>
              <w:sz w:val="24"/>
              <w:szCs w:val="24"/>
              <w:lang w:eastAsia="en-GB"/>
            </w:rPr>
          </w:pPr>
          <w:hyperlink w:anchor="_Toc150784193" w:history="1">
            <w:r w:rsidR="00496FE4" w:rsidRPr="0087677C">
              <w:rPr>
                <w:rStyle w:val="Hyperlink"/>
                <w:rFonts w:cstheme="minorHAnsi"/>
                <w:noProof/>
                <w:lang w:val="en-MY"/>
              </w:rPr>
              <w:t>Overview</w:t>
            </w:r>
            <w:r w:rsidR="00496FE4">
              <w:rPr>
                <w:noProof/>
                <w:webHidden/>
              </w:rPr>
              <w:tab/>
            </w:r>
            <w:r w:rsidR="00496FE4">
              <w:rPr>
                <w:noProof/>
                <w:webHidden/>
              </w:rPr>
              <w:fldChar w:fldCharType="begin"/>
            </w:r>
            <w:r w:rsidR="00496FE4">
              <w:rPr>
                <w:noProof/>
                <w:webHidden/>
              </w:rPr>
              <w:instrText xml:space="preserve"> PAGEREF _Toc150784193 \h </w:instrText>
            </w:r>
            <w:r w:rsidR="00496FE4">
              <w:rPr>
                <w:noProof/>
                <w:webHidden/>
              </w:rPr>
            </w:r>
            <w:r w:rsidR="00496FE4">
              <w:rPr>
                <w:noProof/>
                <w:webHidden/>
              </w:rPr>
              <w:fldChar w:fldCharType="separate"/>
            </w:r>
            <w:r w:rsidR="00B005C7">
              <w:rPr>
                <w:noProof/>
                <w:webHidden/>
              </w:rPr>
              <w:t>6</w:t>
            </w:r>
            <w:r w:rsidR="00496FE4">
              <w:rPr>
                <w:noProof/>
                <w:webHidden/>
              </w:rPr>
              <w:fldChar w:fldCharType="end"/>
            </w:r>
          </w:hyperlink>
        </w:p>
        <w:p w14:paraId="088EDFFB" w14:textId="3F349C8A" w:rsidR="00496FE4" w:rsidRDefault="00570CF5">
          <w:pPr>
            <w:pStyle w:val="TOC2"/>
            <w:rPr>
              <w:rFonts w:eastAsiaTheme="minorEastAsia"/>
              <w:noProof/>
              <w:sz w:val="24"/>
              <w:szCs w:val="24"/>
              <w:lang w:eastAsia="en-GB"/>
            </w:rPr>
          </w:pPr>
          <w:hyperlink w:anchor="_Toc150784194" w:history="1">
            <w:r w:rsidR="00496FE4" w:rsidRPr="0087677C">
              <w:rPr>
                <w:rStyle w:val="Hyperlink"/>
                <w:rFonts w:cstheme="minorHAnsi"/>
                <w:noProof/>
                <w:lang w:val="en-MY"/>
              </w:rPr>
              <w:t>Adult Through Care Program</w:t>
            </w:r>
            <w:r w:rsidR="00496FE4">
              <w:rPr>
                <w:noProof/>
                <w:webHidden/>
              </w:rPr>
              <w:tab/>
            </w:r>
            <w:r w:rsidR="00496FE4">
              <w:rPr>
                <w:noProof/>
                <w:webHidden/>
              </w:rPr>
              <w:fldChar w:fldCharType="begin"/>
            </w:r>
            <w:r w:rsidR="00496FE4">
              <w:rPr>
                <w:noProof/>
                <w:webHidden/>
              </w:rPr>
              <w:instrText xml:space="preserve"> PAGEREF _Toc150784194 \h </w:instrText>
            </w:r>
            <w:r w:rsidR="00496FE4">
              <w:rPr>
                <w:noProof/>
                <w:webHidden/>
              </w:rPr>
            </w:r>
            <w:r w:rsidR="00496FE4">
              <w:rPr>
                <w:noProof/>
                <w:webHidden/>
              </w:rPr>
              <w:fldChar w:fldCharType="separate"/>
            </w:r>
            <w:r w:rsidR="00B005C7">
              <w:rPr>
                <w:noProof/>
                <w:webHidden/>
              </w:rPr>
              <w:t>6</w:t>
            </w:r>
            <w:r w:rsidR="00496FE4">
              <w:rPr>
                <w:noProof/>
                <w:webHidden/>
              </w:rPr>
              <w:fldChar w:fldCharType="end"/>
            </w:r>
          </w:hyperlink>
        </w:p>
        <w:p w14:paraId="6C335D2C" w14:textId="0EA0401D" w:rsidR="00496FE4" w:rsidRDefault="00570CF5">
          <w:pPr>
            <w:pStyle w:val="TOC2"/>
            <w:rPr>
              <w:rFonts w:eastAsiaTheme="minorEastAsia"/>
              <w:noProof/>
              <w:sz w:val="24"/>
              <w:szCs w:val="24"/>
              <w:lang w:eastAsia="en-GB"/>
            </w:rPr>
          </w:pPr>
          <w:hyperlink w:anchor="_Toc150784195" w:history="1">
            <w:r w:rsidR="00496FE4" w:rsidRPr="0087677C">
              <w:rPr>
                <w:rStyle w:val="Hyperlink"/>
                <w:rFonts w:cstheme="minorHAnsi"/>
                <w:noProof/>
                <w:lang w:val="en-MY"/>
              </w:rPr>
              <w:t>Youth Through Care Program</w:t>
            </w:r>
            <w:r w:rsidR="00496FE4">
              <w:rPr>
                <w:noProof/>
                <w:webHidden/>
              </w:rPr>
              <w:tab/>
            </w:r>
            <w:r w:rsidR="00496FE4">
              <w:rPr>
                <w:noProof/>
                <w:webHidden/>
              </w:rPr>
              <w:fldChar w:fldCharType="begin"/>
            </w:r>
            <w:r w:rsidR="00496FE4">
              <w:rPr>
                <w:noProof/>
                <w:webHidden/>
              </w:rPr>
              <w:instrText xml:space="preserve"> PAGEREF _Toc150784195 \h </w:instrText>
            </w:r>
            <w:r w:rsidR="00496FE4">
              <w:rPr>
                <w:noProof/>
                <w:webHidden/>
              </w:rPr>
            </w:r>
            <w:r w:rsidR="00496FE4">
              <w:rPr>
                <w:noProof/>
                <w:webHidden/>
              </w:rPr>
              <w:fldChar w:fldCharType="separate"/>
            </w:r>
            <w:r w:rsidR="00B005C7">
              <w:rPr>
                <w:noProof/>
                <w:webHidden/>
              </w:rPr>
              <w:t>14</w:t>
            </w:r>
            <w:r w:rsidR="00496FE4">
              <w:rPr>
                <w:noProof/>
                <w:webHidden/>
              </w:rPr>
              <w:fldChar w:fldCharType="end"/>
            </w:r>
          </w:hyperlink>
        </w:p>
        <w:p w14:paraId="098A5BA5" w14:textId="1E24DFD4" w:rsidR="00496FE4" w:rsidRDefault="00570CF5">
          <w:pPr>
            <w:pStyle w:val="TOC2"/>
            <w:rPr>
              <w:rFonts w:eastAsiaTheme="minorEastAsia"/>
              <w:noProof/>
              <w:sz w:val="24"/>
              <w:szCs w:val="24"/>
              <w:lang w:eastAsia="en-GB"/>
            </w:rPr>
          </w:pPr>
          <w:hyperlink w:anchor="_Toc150784196" w:history="1">
            <w:r w:rsidR="00496FE4" w:rsidRPr="0087677C">
              <w:rPr>
                <w:rStyle w:val="Hyperlink"/>
                <w:rFonts w:cstheme="minorHAnsi"/>
                <w:noProof/>
                <w:lang w:val="en-MY"/>
              </w:rPr>
              <w:t>Literature Review and Analysis</w:t>
            </w:r>
            <w:r w:rsidR="00496FE4">
              <w:rPr>
                <w:noProof/>
                <w:webHidden/>
              </w:rPr>
              <w:tab/>
            </w:r>
            <w:r w:rsidR="00496FE4">
              <w:rPr>
                <w:noProof/>
                <w:webHidden/>
              </w:rPr>
              <w:fldChar w:fldCharType="begin"/>
            </w:r>
            <w:r w:rsidR="00496FE4">
              <w:rPr>
                <w:noProof/>
                <w:webHidden/>
              </w:rPr>
              <w:instrText xml:space="preserve"> PAGEREF _Toc150784196 \h </w:instrText>
            </w:r>
            <w:r w:rsidR="00496FE4">
              <w:rPr>
                <w:noProof/>
                <w:webHidden/>
              </w:rPr>
            </w:r>
            <w:r w:rsidR="00496FE4">
              <w:rPr>
                <w:noProof/>
                <w:webHidden/>
              </w:rPr>
              <w:fldChar w:fldCharType="separate"/>
            </w:r>
            <w:r w:rsidR="00B005C7">
              <w:rPr>
                <w:noProof/>
                <w:webHidden/>
              </w:rPr>
              <w:t>18</w:t>
            </w:r>
            <w:r w:rsidR="00496FE4">
              <w:rPr>
                <w:noProof/>
                <w:webHidden/>
              </w:rPr>
              <w:fldChar w:fldCharType="end"/>
            </w:r>
          </w:hyperlink>
        </w:p>
        <w:p w14:paraId="1BEA89C2" w14:textId="6A5238BF" w:rsidR="00496FE4" w:rsidRDefault="00570CF5">
          <w:pPr>
            <w:pStyle w:val="TOC1"/>
            <w:rPr>
              <w:rFonts w:eastAsiaTheme="minorEastAsia"/>
              <w:noProof/>
              <w:sz w:val="24"/>
              <w:szCs w:val="24"/>
              <w:lang w:eastAsia="en-GB"/>
            </w:rPr>
          </w:pPr>
          <w:hyperlink w:anchor="_Toc150784197" w:history="1">
            <w:r w:rsidR="00496FE4" w:rsidRPr="0087677C">
              <w:rPr>
                <w:rStyle w:val="Hyperlink"/>
                <w:rFonts w:cstheme="minorHAnsi"/>
                <w:noProof/>
              </w:rPr>
              <w:t>Evaluation Methodology</w:t>
            </w:r>
            <w:r w:rsidR="00496FE4">
              <w:rPr>
                <w:noProof/>
                <w:webHidden/>
              </w:rPr>
              <w:tab/>
            </w:r>
            <w:r w:rsidR="00496FE4">
              <w:rPr>
                <w:noProof/>
                <w:webHidden/>
              </w:rPr>
              <w:fldChar w:fldCharType="begin"/>
            </w:r>
            <w:r w:rsidR="00496FE4">
              <w:rPr>
                <w:noProof/>
                <w:webHidden/>
              </w:rPr>
              <w:instrText xml:space="preserve"> PAGEREF _Toc150784197 \h </w:instrText>
            </w:r>
            <w:r w:rsidR="00496FE4">
              <w:rPr>
                <w:noProof/>
                <w:webHidden/>
              </w:rPr>
            </w:r>
            <w:r w:rsidR="00496FE4">
              <w:rPr>
                <w:noProof/>
                <w:webHidden/>
              </w:rPr>
              <w:fldChar w:fldCharType="separate"/>
            </w:r>
            <w:r w:rsidR="00B005C7">
              <w:rPr>
                <w:noProof/>
                <w:webHidden/>
              </w:rPr>
              <w:t>26</w:t>
            </w:r>
            <w:r w:rsidR="00496FE4">
              <w:rPr>
                <w:noProof/>
                <w:webHidden/>
              </w:rPr>
              <w:fldChar w:fldCharType="end"/>
            </w:r>
          </w:hyperlink>
        </w:p>
        <w:p w14:paraId="0FB38F87" w14:textId="6DE41335" w:rsidR="00496FE4" w:rsidRDefault="00570CF5">
          <w:pPr>
            <w:pStyle w:val="TOC2"/>
            <w:rPr>
              <w:rFonts w:eastAsiaTheme="minorEastAsia"/>
              <w:noProof/>
              <w:sz w:val="24"/>
              <w:szCs w:val="24"/>
              <w:lang w:eastAsia="en-GB"/>
            </w:rPr>
          </w:pPr>
          <w:hyperlink w:anchor="_Toc150784198" w:history="1">
            <w:r w:rsidR="00496FE4" w:rsidRPr="0087677C">
              <w:rPr>
                <w:rStyle w:val="Hyperlink"/>
                <w:rFonts w:cstheme="minorHAnsi"/>
                <w:noProof/>
                <w:lang w:val="en-MY" w:eastAsia="en-AU"/>
              </w:rPr>
              <w:t>Evaluation Approach</w:t>
            </w:r>
            <w:r w:rsidR="00496FE4">
              <w:rPr>
                <w:noProof/>
                <w:webHidden/>
              </w:rPr>
              <w:tab/>
            </w:r>
            <w:r w:rsidR="00496FE4">
              <w:rPr>
                <w:noProof/>
                <w:webHidden/>
              </w:rPr>
              <w:fldChar w:fldCharType="begin"/>
            </w:r>
            <w:r w:rsidR="00496FE4">
              <w:rPr>
                <w:noProof/>
                <w:webHidden/>
              </w:rPr>
              <w:instrText xml:space="preserve"> PAGEREF _Toc150784198 \h </w:instrText>
            </w:r>
            <w:r w:rsidR="00496FE4">
              <w:rPr>
                <w:noProof/>
                <w:webHidden/>
              </w:rPr>
            </w:r>
            <w:r w:rsidR="00496FE4">
              <w:rPr>
                <w:noProof/>
                <w:webHidden/>
              </w:rPr>
              <w:fldChar w:fldCharType="separate"/>
            </w:r>
            <w:r w:rsidR="00B005C7">
              <w:rPr>
                <w:noProof/>
                <w:webHidden/>
              </w:rPr>
              <w:t>26</w:t>
            </w:r>
            <w:r w:rsidR="00496FE4">
              <w:rPr>
                <w:noProof/>
                <w:webHidden/>
              </w:rPr>
              <w:fldChar w:fldCharType="end"/>
            </w:r>
          </w:hyperlink>
        </w:p>
        <w:p w14:paraId="7695DC6C" w14:textId="75EC784A" w:rsidR="00496FE4" w:rsidRDefault="00570CF5">
          <w:pPr>
            <w:pStyle w:val="TOC2"/>
            <w:rPr>
              <w:rFonts w:eastAsiaTheme="minorEastAsia"/>
              <w:noProof/>
              <w:sz w:val="24"/>
              <w:szCs w:val="24"/>
              <w:lang w:eastAsia="en-GB"/>
            </w:rPr>
          </w:pPr>
          <w:hyperlink w:anchor="_Toc150784199" w:history="1">
            <w:r w:rsidR="00496FE4" w:rsidRPr="0087677C">
              <w:rPr>
                <w:rStyle w:val="Hyperlink"/>
                <w:rFonts w:cstheme="minorHAnsi"/>
                <w:noProof/>
                <w:lang w:val="en-MY" w:eastAsia="en-AU"/>
              </w:rPr>
              <w:t>Evaluation Activities</w:t>
            </w:r>
            <w:r w:rsidR="00496FE4">
              <w:rPr>
                <w:noProof/>
                <w:webHidden/>
              </w:rPr>
              <w:tab/>
            </w:r>
            <w:r w:rsidR="00496FE4">
              <w:rPr>
                <w:noProof/>
                <w:webHidden/>
              </w:rPr>
              <w:fldChar w:fldCharType="begin"/>
            </w:r>
            <w:r w:rsidR="00496FE4">
              <w:rPr>
                <w:noProof/>
                <w:webHidden/>
              </w:rPr>
              <w:instrText xml:space="preserve"> PAGEREF _Toc150784199 \h </w:instrText>
            </w:r>
            <w:r w:rsidR="00496FE4">
              <w:rPr>
                <w:noProof/>
                <w:webHidden/>
              </w:rPr>
            </w:r>
            <w:r w:rsidR="00496FE4">
              <w:rPr>
                <w:noProof/>
                <w:webHidden/>
              </w:rPr>
              <w:fldChar w:fldCharType="separate"/>
            </w:r>
            <w:r w:rsidR="00B005C7">
              <w:rPr>
                <w:noProof/>
                <w:webHidden/>
              </w:rPr>
              <w:t>29</w:t>
            </w:r>
            <w:r w:rsidR="00496FE4">
              <w:rPr>
                <w:noProof/>
                <w:webHidden/>
              </w:rPr>
              <w:fldChar w:fldCharType="end"/>
            </w:r>
          </w:hyperlink>
        </w:p>
        <w:p w14:paraId="6E3605C8" w14:textId="3337004D" w:rsidR="00496FE4" w:rsidRDefault="00570CF5">
          <w:pPr>
            <w:pStyle w:val="TOC1"/>
            <w:rPr>
              <w:rFonts w:eastAsiaTheme="minorEastAsia"/>
              <w:noProof/>
              <w:sz w:val="24"/>
              <w:szCs w:val="24"/>
              <w:lang w:eastAsia="en-GB"/>
            </w:rPr>
          </w:pPr>
          <w:hyperlink w:anchor="_Toc150784200" w:history="1">
            <w:r w:rsidR="00496FE4" w:rsidRPr="0087677C">
              <w:rPr>
                <w:rStyle w:val="Hyperlink"/>
                <w:rFonts w:cstheme="minorHAnsi"/>
                <w:noProof/>
              </w:rPr>
              <w:t>Evaluation Findings</w:t>
            </w:r>
            <w:r w:rsidR="00496FE4">
              <w:rPr>
                <w:noProof/>
                <w:webHidden/>
              </w:rPr>
              <w:tab/>
            </w:r>
            <w:r w:rsidR="00496FE4">
              <w:rPr>
                <w:noProof/>
                <w:webHidden/>
              </w:rPr>
              <w:fldChar w:fldCharType="begin"/>
            </w:r>
            <w:r w:rsidR="00496FE4">
              <w:rPr>
                <w:noProof/>
                <w:webHidden/>
              </w:rPr>
              <w:instrText xml:space="preserve"> PAGEREF _Toc150784200 \h </w:instrText>
            </w:r>
            <w:r w:rsidR="00496FE4">
              <w:rPr>
                <w:noProof/>
                <w:webHidden/>
              </w:rPr>
            </w:r>
            <w:r w:rsidR="00496FE4">
              <w:rPr>
                <w:noProof/>
                <w:webHidden/>
              </w:rPr>
              <w:fldChar w:fldCharType="separate"/>
            </w:r>
            <w:r w:rsidR="00B005C7">
              <w:rPr>
                <w:noProof/>
                <w:webHidden/>
              </w:rPr>
              <w:t>35</w:t>
            </w:r>
            <w:r w:rsidR="00496FE4">
              <w:rPr>
                <w:noProof/>
                <w:webHidden/>
              </w:rPr>
              <w:fldChar w:fldCharType="end"/>
            </w:r>
          </w:hyperlink>
        </w:p>
        <w:p w14:paraId="2988AEBC" w14:textId="794F4FE5" w:rsidR="00496FE4" w:rsidRDefault="00570CF5">
          <w:pPr>
            <w:pStyle w:val="TOC2"/>
            <w:rPr>
              <w:rFonts w:eastAsiaTheme="minorEastAsia"/>
              <w:noProof/>
              <w:sz w:val="24"/>
              <w:szCs w:val="24"/>
              <w:lang w:eastAsia="en-GB"/>
            </w:rPr>
          </w:pPr>
          <w:hyperlink w:anchor="_Toc150784201" w:history="1">
            <w:r w:rsidR="00496FE4" w:rsidRPr="0087677C">
              <w:rPr>
                <w:rStyle w:val="Hyperlink"/>
                <w:rFonts w:cstheme="minorHAnsi"/>
                <w:noProof/>
                <w:lang w:val="en-MY" w:eastAsia="en-AU"/>
              </w:rPr>
              <w:t>1.</w:t>
            </w:r>
            <w:r w:rsidR="00496FE4">
              <w:rPr>
                <w:rFonts w:eastAsiaTheme="minorEastAsia"/>
                <w:noProof/>
                <w:sz w:val="24"/>
                <w:szCs w:val="24"/>
                <w:lang w:eastAsia="en-GB"/>
              </w:rPr>
              <w:tab/>
            </w:r>
            <w:r w:rsidR="00496FE4" w:rsidRPr="0087677C">
              <w:rPr>
                <w:rStyle w:val="Hyperlink"/>
                <w:rFonts w:cstheme="minorHAnsi"/>
                <w:noProof/>
                <w:lang w:val="en-MY" w:eastAsia="en-AU"/>
              </w:rPr>
              <w:t>Design Appropriateness</w:t>
            </w:r>
            <w:r w:rsidR="00496FE4">
              <w:rPr>
                <w:noProof/>
                <w:webHidden/>
              </w:rPr>
              <w:tab/>
            </w:r>
            <w:r w:rsidR="00496FE4">
              <w:rPr>
                <w:noProof/>
                <w:webHidden/>
              </w:rPr>
              <w:fldChar w:fldCharType="begin"/>
            </w:r>
            <w:r w:rsidR="00496FE4">
              <w:rPr>
                <w:noProof/>
                <w:webHidden/>
              </w:rPr>
              <w:instrText xml:space="preserve"> PAGEREF _Toc150784201 \h </w:instrText>
            </w:r>
            <w:r w:rsidR="00496FE4">
              <w:rPr>
                <w:noProof/>
                <w:webHidden/>
              </w:rPr>
            </w:r>
            <w:r w:rsidR="00496FE4">
              <w:rPr>
                <w:noProof/>
                <w:webHidden/>
              </w:rPr>
              <w:fldChar w:fldCharType="separate"/>
            </w:r>
            <w:r w:rsidR="00B005C7">
              <w:rPr>
                <w:noProof/>
                <w:webHidden/>
              </w:rPr>
              <w:t>35</w:t>
            </w:r>
            <w:r w:rsidR="00496FE4">
              <w:rPr>
                <w:noProof/>
                <w:webHidden/>
              </w:rPr>
              <w:fldChar w:fldCharType="end"/>
            </w:r>
          </w:hyperlink>
        </w:p>
        <w:p w14:paraId="7BA43D7B" w14:textId="5B8BD7CD" w:rsidR="00496FE4" w:rsidRDefault="00570CF5">
          <w:pPr>
            <w:pStyle w:val="TOC2"/>
            <w:rPr>
              <w:rFonts w:eastAsiaTheme="minorEastAsia"/>
              <w:noProof/>
              <w:sz w:val="24"/>
              <w:szCs w:val="24"/>
              <w:lang w:eastAsia="en-GB"/>
            </w:rPr>
          </w:pPr>
          <w:hyperlink w:anchor="_Toc150784202" w:history="1">
            <w:r w:rsidR="00496FE4" w:rsidRPr="0087677C">
              <w:rPr>
                <w:rStyle w:val="Hyperlink"/>
                <w:rFonts w:cstheme="minorHAnsi"/>
                <w:noProof/>
                <w:lang w:val="en-MY" w:eastAsia="en-AU"/>
              </w:rPr>
              <w:t>2.</w:t>
            </w:r>
            <w:r w:rsidR="00496FE4">
              <w:rPr>
                <w:rFonts w:eastAsiaTheme="minorEastAsia"/>
                <w:noProof/>
                <w:sz w:val="24"/>
                <w:szCs w:val="24"/>
                <w:lang w:eastAsia="en-GB"/>
              </w:rPr>
              <w:tab/>
            </w:r>
            <w:r w:rsidR="00496FE4" w:rsidRPr="0087677C">
              <w:rPr>
                <w:rStyle w:val="Hyperlink"/>
                <w:rFonts w:cstheme="minorHAnsi"/>
                <w:noProof/>
                <w:lang w:val="en-MY" w:eastAsia="en-AU"/>
              </w:rPr>
              <w:t>Service Collaboration</w:t>
            </w:r>
            <w:r w:rsidR="00496FE4">
              <w:rPr>
                <w:noProof/>
                <w:webHidden/>
              </w:rPr>
              <w:tab/>
            </w:r>
            <w:r w:rsidR="00496FE4">
              <w:rPr>
                <w:noProof/>
                <w:webHidden/>
              </w:rPr>
              <w:fldChar w:fldCharType="begin"/>
            </w:r>
            <w:r w:rsidR="00496FE4">
              <w:rPr>
                <w:noProof/>
                <w:webHidden/>
              </w:rPr>
              <w:instrText xml:space="preserve"> PAGEREF _Toc150784202 \h </w:instrText>
            </w:r>
            <w:r w:rsidR="00496FE4">
              <w:rPr>
                <w:noProof/>
                <w:webHidden/>
              </w:rPr>
            </w:r>
            <w:r w:rsidR="00496FE4">
              <w:rPr>
                <w:noProof/>
                <w:webHidden/>
              </w:rPr>
              <w:fldChar w:fldCharType="separate"/>
            </w:r>
            <w:r w:rsidR="00B005C7">
              <w:rPr>
                <w:noProof/>
                <w:webHidden/>
              </w:rPr>
              <w:t>43</w:t>
            </w:r>
            <w:r w:rsidR="00496FE4">
              <w:rPr>
                <w:noProof/>
                <w:webHidden/>
              </w:rPr>
              <w:fldChar w:fldCharType="end"/>
            </w:r>
          </w:hyperlink>
        </w:p>
        <w:p w14:paraId="66D79A0F" w14:textId="010B335E" w:rsidR="00496FE4" w:rsidRDefault="00570CF5">
          <w:pPr>
            <w:pStyle w:val="TOC2"/>
            <w:rPr>
              <w:rFonts w:eastAsiaTheme="minorEastAsia"/>
              <w:noProof/>
              <w:sz w:val="24"/>
              <w:szCs w:val="24"/>
              <w:lang w:eastAsia="en-GB"/>
            </w:rPr>
          </w:pPr>
          <w:hyperlink w:anchor="_Toc150784203" w:history="1">
            <w:r w:rsidR="00496FE4" w:rsidRPr="0087677C">
              <w:rPr>
                <w:rStyle w:val="Hyperlink"/>
                <w:rFonts w:cstheme="minorHAnsi"/>
                <w:noProof/>
                <w:lang w:val="en-MY" w:eastAsia="en-AU"/>
              </w:rPr>
              <w:t>3.</w:t>
            </w:r>
            <w:r w:rsidR="00496FE4">
              <w:rPr>
                <w:rFonts w:eastAsiaTheme="minorEastAsia"/>
                <w:noProof/>
                <w:sz w:val="24"/>
                <w:szCs w:val="24"/>
                <w:lang w:eastAsia="en-GB"/>
              </w:rPr>
              <w:tab/>
            </w:r>
            <w:r w:rsidR="00496FE4" w:rsidRPr="0087677C">
              <w:rPr>
                <w:rStyle w:val="Hyperlink"/>
                <w:rFonts w:cstheme="minorHAnsi"/>
                <w:noProof/>
                <w:lang w:val="en-MY" w:eastAsia="en-AU"/>
              </w:rPr>
              <w:t>Quality of Delivery</w:t>
            </w:r>
            <w:r w:rsidR="00496FE4">
              <w:rPr>
                <w:noProof/>
                <w:webHidden/>
              </w:rPr>
              <w:tab/>
            </w:r>
            <w:r w:rsidR="00496FE4">
              <w:rPr>
                <w:noProof/>
                <w:webHidden/>
              </w:rPr>
              <w:fldChar w:fldCharType="begin"/>
            </w:r>
            <w:r w:rsidR="00496FE4">
              <w:rPr>
                <w:noProof/>
                <w:webHidden/>
              </w:rPr>
              <w:instrText xml:space="preserve"> PAGEREF _Toc150784203 \h </w:instrText>
            </w:r>
            <w:r w:rsidR="00496FE4">
              <w:rPr>
                <w:noProof/>
                <w:webHidden/>
              </w:rPr>
            </w:r>
            <w:r w:rsidR="00496FE4">
              <w:rPr>
                <w:noProof/>
                <w:webHidden/>
              </w:rPr>
              <w:fldChar w:fldCharType="separate"/>
            </w:r>
            <w:r w:rsidR="00B005C7">
              <w:rPr>
                <w:noProof/>
                <w:webHidden/>
              </w:rPr>
              <w:t>46</w:t>
            </w:r>
            <w:r w:rsidR="00496FE4">
              <w:rPr>
                <w:noProof/>
                <w:webHidden/>
              </w:rPr>
              <w:fldChar w:fldCharType="end"/>
            </w:r>
          </w:hyperlink>
        </w:p>
        <w:p w14:paraId="783E0D62" w14:textId="28692257" w:rsidR="00496FE4" w:rsidRDefault="00570CF5">
          <w:pPr>
            <w:pStyle w:val="TOC2"/>
            <w:rPr>
              <w:rFonts w:eastAsiaTheme="minorEastAsia"/>
              <w:noProof/>
              <w:sz w:val="24"/>
              <w:szCs w:val="24"/>
              <w:lang w:eastAsia="en-GB"/>
            </w:rPr>
          </w:pPr>
          <w:hyperlink w:anchor="_Toc150784204" w:history="1">
            <w:r w:rsidR="00496FE4" w:rsidRPr="0087677C">
              <w:rPr>
                <w:rStyle w:val="Hyperlink"/>
                <w:rFonts w:cstheme="minorHAnsi"/>
                <w:noProof/>
                <w:lang w:val="en-MY" w:eastAsia="en-AU"/>
              </w:rPr>
              <w:t>4.</w:t>
            </w:r>
            <w:r w:rsidR="00496FE4">
              <w:rPr>
                <w:rFonts w:eastAsiaTheme="minorEastAsia"/>
                <w:noProof/>
                <w:sz w:val="24"/>
                <w:szCs w:val="24"/>
                <w:lang w:eastAsia="en-GB"/>
              </w:rPr>
              <w:tab/>
            </w:r>
            <w:r w:rsidR="00496FE4" w:rsidRPr="0087677C">
              <w:rPr>
                <w:rStyle w:val="Hyperlink"/>
                <w:rFonts w:cstheme="minorHAnsi"/>
                <w:noProof/>
                <w:lang w:val="en-MY" w:eastAsia="en-AU"/>
              </w:rPr>
              <w:t>Resource Use</w:t>
            </w:r>
            <w:r w:rsidR="00496FE4">
              <w:rPr>
                <w:noProof/>
                <w:webHidden/>
              </w:rPr>
              <w:tab/>
            </w:r>
            <w:r w:rsidR="00496FE4">
              <w:rPr>
                <w:noProof/>
                <w:webHidden/>
              </w:rPr>
              <w:fldChar w:fldCharType="begin"/>
            </w:r>
            <w:r w:rsidR="00496FE4">
              <w:rPr>
                <w:noProof/>
                <w:webHidden/>
              </w:rPr>
              <w:instrText xml:space="preserve"> PAGEREF _Toc150784204 \h </w:instrText>
            </w:r>
            <w:r w:rsidR="00496FE4">
              <w:rPr>
                <w:noProof/>
                <w:webHidden/>
              </w:rPr>
            </w:r>
            <w:r w:rsidR="00496FE4">
              <w:rPr>
                <w:noProof/>
                <w:webHidden/>
              </w:rPr>
              <w:fldChar w:fldCharType="separate"/>
            </w:r>
            <w:r w:rsidR="00B005C7">
              <w:rPr>
                <w:noProof/>
                <w:webHidden/>
              </w:rPr>
              <w:t>56</w:t>
            </w:r>
            <w:r w:rsidR="00496FE4">
              <w:rPr>
                <w:noProof/>
                <w:webHidden/>
              </w:rPr>
              <w:fldChar w:fldCharType="end"/>
            </w:r>
          </w:hyperlink>
        </w:p>
        <w:p w14:paraId="7F9463EE" w14:textId="0C57FCEA" w:rsidR="00496FE4" w:rsidRDefault="00570CF5">
          <w:pPr>
            <w:pStyle w:val="TOC2"/>
            <w:rPr>
              <w:rFonts w:eastAsiaTheme="minorEastAsia"/>
              <w:noProof/>
              <w:sz w:val="24"/>
              <w:szCs w:val="24"/>
              <w:lang w:eastAsia="en-GB"/>
            </w:rPr>
          </w:pPr>
          <w:hyperlink w:anchor="_Toc150784205" w:history="1">
            <w:r w:rsidR="00496FE4" w:rsidRPr="0087677C">
              <w:rPr>
                <w:rStyle w:val="Hyperlink"/>
                <w:rFonts w:cstheme="minorHAnsi"/>
                <w:noProof/>
                <w:lang w:val="en-MY" w:eastAsia="en-AU"/>
              </w:rPr>
              <w:t>5.</w:t>
            </w:r>
            <w:r w:rsidR="00496FE4">
              <w:rPr>
                <w:rFonts w:eastAsiaTheme="minorEastAsia"/>
                <w:noProof/>
                <w:sz w:val="24"/>
                <w:szCs w:val="24"/>
                <w:lang w:eastAsia="en-GB"/>
              </w:rPr>
              <w:tab/>
            </w:r>
            <w:r w:rsidR="00496FE4" w:rsidRPr="0087677C">
              <w:rPr>
                <w:rStyle w:val="Hyperlink"/>
                <w:rFonts w:cstheme="minorHAnsi"/>
                <w:noProof/>
                <w:lang w:val="en-MY" w:eastAsia="en-AU"/>
              </w:rPr>
              <w:t>Making Improvements</w:t>
            </w:r>
            <w:r w:rsidR="00496FE4">
              <w:rPr>
                <w:noProof/>
                <w:webHidden/>
              </w:rPr>
              <w:tab/>
            </w:r>
            <w:r w:rsidR="00496FE4">
              <w:rPr>
                <w:noProof/>
                <w:webHidden/>
              </w:rPr>
              <w:fldChar w:fldCharType="begin"/>
            </w:r>
            <w:r w:rsidR="00496FE4">
              <w:rPr>
                <w:noProof/>
                <w:webHidden/>
              </w:rPr>
              <w:instrText xml:space="preserve"> PAGEREF _Toc150784205 \h </w:instrText>
            </w:r>
            <w:r w:rsidR="00496FE4">
              <w:rPr>
                <w:noProof/>
                <w:webHidden/>
              </w:rPr>
            </w:r>
            <w:r w:rsidR="00496FE4">
              <w:rPr>
                <w:noProof/>
                <w:webHidden/>
              </w:rPr>
              <w:fldChar w:fldCharType="separate"/>
            </w:r>
            <w:r w:rsidR="00B005C7">
              <w:rPr>
                <w:noProof/>
                <w:webHidden/>
              </w:rPr>
              <w:t>62</w:t>
            </w:r>
            <w:r w:rsidR="00496FE4">
              <w:rPr>
                <w:noProof/>
                <w:webHidden/>
              </w:rPr>
              <w:fldChar w:fldCharType="end"/>
            </w:r>
          </w:hyperlink>
        </w:p>
        <w:p w14:paraId="7ACAA0E9" w14:textId="3834FEAE" w:rsidR="00496FE4" w:rsidRDefault="00570CF5">
          <w:pPr>
            <w:pStyle w:val="TOC2"/>
            <w:rPr>
              <w:rFonts w:eastAsiaTheme="minorEastAsia"/>
              <w:noProof/>
              <w:sz w:val="24"/>
              <w:szCs w:val="24"/>
              <w:lang w:eastAsia="en-GB"/>
            </w:rPr>
          </w:pPr>
          <w:hyperlink w:anchor="_Toc150784206" w:history="1">
            <w:r w:rsidR="00496FE4" w:rsidRPr="0087677C">
              <w:rPr>
                <w:rStyle w:val="Hyperlink"/>
                <w:rFonts w:cstheme="minorHAnsi"/>
                <w:noProof/>
                <w:lang w:val="en-MY" w:eastAsia="en-AU"/>
              </w:rPr>
              <w:t>6.</w:t>
            </w:r>
            <w:r w:rsidR="00496FE4">
              <w:rPr>
                <w:rFonts w:eastAsiaTheme="minorEastAsia"/>
                <w:noProof/>
                <w:sz w:val="24"/>
                <w:szCs w:val="24"/>
                <w:lang w:eastAsia="en-GB"/>
              </w:rPr>
              <w:tab/>
            </w:r>
            <w:r w:rsidR="00496FE4" w:rsidRPr="0087677C">
              <w:rPr>
                <w:rStyle w:val="Hyperlink"/>
                <w:rFonts w:cstheme="minorHAnsi"/>
                <w:noProof/>
                <w:lang w:val="en-MY" w:eastAsia="en-AU"/>
              </w:rPr>
              <w:t>Achieving Outcomes</w:t>
            </w:r>
            <w:r w:rsidR="00496FE4">
              <w:rPr>
                <w:noProof/>
                <w:webHidden/>
              </w:rPr>
              <w:tab/>
            </w:r>
            <w:r w:rsidR="00496FE4">
              <w:rPr>
                <w:noProof/>
                <w:webHidden/>
              </w:rPr>
              <w:fldChar w:fldCharType="begin"/>
            </w:r>
            <w:r w:rsidR="00496FE4">
              <w:rPr>
                <w:noProof/>
                <w:webHidden/>
              </w:rPr>
              <w:instrText xml:space="preserve"> PAGEREF _Toc150784206 \h </w:instrText>
            </w:r>
            <w:r w:rsidR="00496FE4">
              <w:rPr>
                <w:noProof/>
                <w:webHidden/>
              </w:rPr>
            </w:r>
            <w:r w:rsidR="00496FE4">
              <w:rPr>
                <w:noProof/>
                <w:webHidden/>
              </w:rPr>
              <w:fldChar w:fldCharType="separate"/>
            </w:r>
            <w:r w:rsidR="00B005C7">
              <w:rPr>
                <w:noProof/>
                <w:webHidden/>
              </w:rPr>
              <w:t>65</w:t>
            </w:r>
            <w:r w:rsidR="00496FE4">
              <w:rPr>
                <w:noProof/>
                <w:webHidden/>
              </w:rPr>
              <w:fldChar w:fldCharType="end"/>
            </w:r>
          </w:hyperlink>
        </w:p>
        <w:p w14:paraId="4A8C09CC" w14:textId="4529FCC6" w:rsidR="00496FE4" w:rsidRDefault="00570CF5">
          <w:pPr>
            <w:pStyle w:val="TOC2"/>
            <w:rPr>
              <w:rFonts w:eastAsiaTheme="minorEastAsia"/>
              <w:noProof/>
              <w:sz w:val="24"/>
              <w:szCs w:val="24"/>
              <w:lang w:eastAsia="en-GB"/>
            </w:rPr>
          </w:pPr>
          <w:hyperlink w:anchor="_Toc150784207" w:history="1">
            <w:r w:rsidR="00496FE4" w:rsidRPr="0087677C">
              <w:rPr>
                <w:rStyle w:val="Hyperlink"/>
                <w:rFonts w:cstheme="minorHAnsi"/>
                <w:noProof/>
                <w:lang w:val="en-MY" w:eastAsia="en-AU"/>
              </w:rPr>
              <w:t>7.</w:t>
            </w:r>
            <w:r w:rsidR="00496FE4">
              <w:rPr>
                <w:rFonts w:eastAsiaTheme="minorEastAsia"/>
                <w:noProof/>
                <w:sz w:val="24"/>
                <w:szCs w:val="24"/>
                <w:lang w:eastAsia="en-GB"/>
              </w:rPr>
              <w:tab/>
            </w:r>
            <w:r w:rsidR="00496FE4" w:rsidRPr="0087677C">
              <w:rPr>
                <w:rStyle w:val="Hyperlink"/>
                <w:rFonts w:cstheme="minorHAnsi"/>
                <w:noProof/>
                <w:lang w:val="en-MY" w:eastAsia="en-AU"/>
              </w:rPr>
              <w:t>Unintended Consequences</w:t>
            </w:r>
            <w:r w:rsidR="00496FE4">
              <w:rPr>
                <w:noProof/>
                <w:webHidden/>
              </w:rPr>
              <w:tab/>
            </w:r>
            <w:r w:rsidR="00496FE4">
              <w:rPr>
                <w:noProof/>
                <w:webHidden/>
              </w:rPr>
              <w:fldChar w:fldCharType="begin"/>
            </w:r>
            <w:r w:rsidR="00496FE4">
              <w:rPr>
                <w:noProof/>
                <w:webHidden/>
              </w:rPr>
              <w:instrText xml:space="preserve"> PAGEREF _Toc150784207 \h </w:instrText>
            </w:r>
            <w:r w:rsidR="00496FE4">
              <w:rPr>
                <w:noProof/>
                <w:webHidden/>
              </w:rPr>
            </w:r>
            <w:r w:rsidR="00496FE4">
              <w:rPr>
                <w:noProof/>
                <w:webHidden/>
              </w:rPr>
              <w:fldChar w:fldCharType="separate"/>
            </w:r>
            <w:r w:rsidR="00B005C7">
              <w:rPr>
                <w:noProof/>
                <w:webHidden/>
              </w:rPr>
              <w:t>74</w:t>
            </w:r>
            <w:r w:rsidR="00496FE4">
              <w:rPr>
                <w:noProof/>
                <w:webHidden/>
              </w:rPr>
              <w:fldChar w:fldCharType="end"/>
            </w:r>
          </w:hyperlink>
        </w:p>
        <w:p w14:paraId="7960BA63" w14:textId="23E06052" w:rsidR="00496FE4" w:rsidRDefault="00570CF5">
          <w:pPr>
            <w:pStyle w:val="TOC2"/>
            <w:rPr>
              <w:rFonts w:eastAsiaTheme="minorEastAsia"/>
              <w:noProof/>
              <w:sz w:val="24"/>
              <w:szCs w:val="24"/>
              <w:lang w:eastAsia="en-GB"/>
            </w:rPr>
          </w:pPr>
          <w:hyperlink w:anchor="_Toc150784208" w:history="1">
            <w:r w:rsidR="00496FE4" w:rsidRPr="0087677C">
              <w:rPr>
                <w:rStyle w:val="Hyperlink"/>
                <w:rFonts w:cstheme="minorHAnsi"/>
                <w:noProof/>
                <w:lang w:val="en-MY" w:eastAsia="en-AU"/>
              </w:rPr>
              <w:t>8.</w:t>
            </w:r>
            <w:r w:rsidR="00496FE4">
              <w:rPr>
                <w:rFonts w:eastAsiaTheme="minorEastAsia"/>
                <w:noProof/>
                <w:sz w:val="24"/>
                <w:szCs w:val="24"/>
                <w:lang w:eastAsia="en-GB"/>
              </w:rPr>
              <w:tab/>
            </w:r>
            <w:r w:rsidR="00496FE4" w:rsidRPr="0087677C">
              <w:rPr>
                <w:rStyle w:val="Hyperlink"/>
                <w:rFonts w:cstheme="minorHAnsi"/>
                <w:noProof/>
                <w:lang w:val="en-MY" w:eastAsia="en-AU"/>
              </w:rPr>
              <w:t>Data Requirements</w:t>
            </w:r>
            <w:r w:rsidR="00496FE4">
              <w:rPr>
                <w:noProof/>
                <w:webHidden/>
              </w:rPr>
              <w:tab/>
            </w:r>
            <w:r w:rsidR="00496FE4">
              <w:rPr>
                <w:noProof/>
                <w:webHidden/>
              </w:rPr>
              <w:fldChar w:fldCharType="begin"/>
            </w:r>
            <w:r w:rsidR="00496FE4">
              <w:rPr>
                <w:noProof/>
                <w:webHidden/>
              </w:rPr>
              <w:instrText xml:space="preserve"> PAGEREF _Toc150784208 \h </w:instrText>
            </w:r>
            <w:r w:rsidR="00496FE4">
              <w:rPr>
                <w:noProof/>
                <w:webHidden/>
              </w:rPr>
            </w:r>
            <w:r w:rsidR="00496FE4">
              <w:rPr>
                <w:noProof/>
                <w:webHidden/>
              </w:rPr>
              <w:fldChar w:fldCharType="separate"/>
            </w:r>
            <w:r w:rsidR="00B005C7">
              <w:rPr>
                <w:noProof/>
                <w:webHidden/>
              </w:rPr>
              <w:t>75</w:t>
            </w:r>
            <w:r w:rsidR="00496FE4">
              <w:rPr>
                <w:noProof/>
                <w:webHidden/>
              </w:rPr>
              <w:fldChar w:fldCharType="end"/>
            </w:r>
          </w:hyperlink>
        </w:p>
        <w:p w14:paraId="0EDB5BA8" w14:textId="53591C28" w:rsidR="00496FE4" w:rsidRDefault="00570CF5">
          <w:pPr>
            <w:pStyle w:val="TOC1"/>
            <w:rPr>
              <w:rFonts w:eastAsiaTheme="minorEastAsia"/>
              <w:noProof/>
              <w:sz w:val="24"/>
              <w:szCs w:val="24"/>
              <w:lang w:eastAsia="en-GB"/>
            </w:rPr>
          </w:pPr>
          <w:hyperlink w:anchor="_Toc150784209" w:history="1">
            <w:r w:rsidR="00496FE4" w:rsidRPr="0087677C">
              <w:rPr>
                <w:rStyle w:val="Hyperlink"/>
                <w:rFonts w:cstheme="minorHAnsi"/>
                <w:noProof/>
              </w:rPr>
              <w:t>Conclusions and Recommendations</w:t>
            </w:r>
            <w:r w:rsidR="00496FE4">
              <w:rPr>
                <w:noProof/>
                <w:webHidden/>
              </w:rPr>
              <w:tab/>
            </w:r>
            <w:r w:rsidR="00496FE4">
              <w:rPr>
                <w:noProof/>
                <w:webHidden/>
              </w:rPr>
              <w:fldChar w:fldCharType="begin"/>
            </w:r>
            <w:r w:rsidR="00496FE4">
              <w:rPr>
                <w:noProof/>
                <w:webHidden/>
              </w:rPr>
              <w:instrText xml:space="preserve"> PAGEREF _Toc150784209 \h </w:instrText>
            </w:r>
            <w:r w:rsidR="00496FE4">
              <w:rPr>
                <w:noProof/>
                <w:webHidden/>
              </w:rPr>
            </w:r>
            <w:r w:rsidR="00496FE4">
              <w:rPr>
                <w:noProof/>
                <w:webHidden/>
              </w:rPr>
              <w:fldChar w:fldCharType="separate"/>
            </w:r>
            <w:r w:rsidR="00B005C7">
              <w:rPr>
                <w:noProof/>
                <w:webHidden/>
              </w:rPr>
              <w:t>79</w:t>
            </w:r>
            <w:r w:rsidR="00496FE4">
              <w:rPr>
                <w:noProof/>
                <w:webHidden/>
              </w:rPr>
              <w:fldChar w:fldCharType="end"/>
            </w:r>
          </w:hyperlink>
        </w:p>
        <w:p w14:paraId="105800E5" w14:textId="6A375273" w:rsidR="00496FE4" w:rsidRDefault="00570CF5">
          <w:pPr>
            <w:pStyle w:val="TOC2"/>
            <w:rPr>
              <w:rFonts w:eastAsiaTheme="minorEastAsia"/>
              <w:noProof/>
              <w:sz w:val="24"/>
              <w:szCs w:val="24"/>
              <w:lang w:eastAsia="en-GB"/>
            </w:rPr>
          </w:pPr>
          <w:hyperlink w:anchor="_Toc150784210" w:history="1">
            <w:r w:rsidR="00496FE4" w:rsidRPr="0087677C">
              <w:rPr>
                <w:rStyle w:val="Hyperlink"/>
                <w:rFonts w:cstheme="minorHAnsi"/>
                <w:noProof/>
                <w:lang w:val="en-MY" w:eastAsia="en-AU"/>
              </w:rPr>
              <w:t>Recommendations</w:t>
            </w:r>
            <w:r w:rsidR="00496FE4">
              <w:rPr>
                <w:noProof/>
                <w:webHidden/>
              </w:rPr>
              <w:tab/>
            </w:r>
            <w:r w:rsidR="00496FE4">
              <w:rPr>
                <w:noProof/>
                <w:webHidden/>
              </w:rPr>
              <w:fldChar w:fldCharType="begin"/>
            </w:r>
            <w:r w:rsidR="00496FE4">
              <w:rPr>
                <w:noProof/>
                <w:webHidden/>
              </w:rPr>
              <w:instrText xml:space="preserve"> PAGEREF _Toc150784210 \h </w:instrText>
            </w:r>
            <w:r w:rsidR="00496FE4">
              <w:rPr>
                <w:noProof/>
                <w:webHidden/>
              </w:rPr>
            </w:r>
            <w:r w:rsidR="00496FE4">
              <w:rPr>
                <w:noProof/>
                <w:webHidden/>
              </w:rPr>
              <w:fldChar w:fldCharType="separate"/>
            </w:r>
            <w:r w:rsidR="00B005C7">
              <w:rPr>
                <w:noProof/>
                <w:webHidden/>
              </w:rPr>
              <w:t>85</w:t>
            </w:r>
            <w:r w:rsidR="00496FE4">
              <w:rPr>
                <w:noProof/>
                <w:webHidden/>
              </w:rPr>
              <w:fldChar w:fldCharType="end"/>
            </w:r>
          </w:hyperlink>
        </w:p>
        <w:p w14:paraId="1B2701E6" w14:textId="2E770684" w:rsidR="00496FE4" w:rsidRDefault="00570CF5">
          <w:pPr>
            <w:pStyle w:val="TOC1"/>
            <w:rPr>
              <w:rFonts w:eastAsiaTheme="minorEastAsia"/>
              <w:noProof/>
              <w:sz w:val="24"/>
              <w:szCs w:val="24"/>
              <w:lang w:eastAsia="en-GB"/>
            </w:rPr>
          </w:pPr>
          <w:hyperlink w:anchor="_Toc150784211" w:history="1">
            <w:r w:rsidR="00496FE4" w:rsidRPr="0087677C">
              <w:rPr>
                <w:rStyle w:val="Hyperlink"/>
                <w:rFonts w:cstheme="minorHAnsi"/>
                <w:noProof/>
              </w:rPr>
              <w:t>References</w:t>
            </w:r>
            <w:r w:rsidR="00496FE4">
              <w:rPr>
                <w:noProof/>
                <w:webHidden/>
              </w:rPr>
              <w:tab/>
            </w:r>
            <w:r w:rsidR="00496FE4">
              <w:rPr>
                <w:noProof/>
                <w:webHidden/>
              </w:rPr>
              <w:fldChar w:fldCharType="begin"/>
            </w:r>
            <w:r w:rsidR="00496FE4">
              <w:rPr>
                <w:noProof/>
                <w:webHidden/>
              </w:rPr>
              <w:instrText xml:space="preserve"> PAGEREF _Toc150784211 \h </w:instrText>
            </w:r>
            <w:r w:rsidR="00496FE4">
              <w:rPr>
                <w:noProof/>
                <w:webHidden/>
              </w:rPr>
            </w:r>
            <w:r w:rsidR="00496FE4">
              <w:rPr>
                <w:noProof/>
                <w:webHidden/>
              </w:rPr>
              <w:fldChar w:fldCharType="separate"/>
            </w:r>
            <w:r w:rsidR="00B005C7">
              <w:rPr>
                <w:noProof/>
                <w:webHidden/>
              </w:rPr>
              <w:t>90</w:t>
            </w:r>
            <w:r w:rsidR="00496FE4">
              <w:rPr>
                <w:noProof/>
                <w:webHidden/>
              </w:rPr>
              <w:fldChar w:fldCharType="end"/>
            </w:r>
          </w:hyperlink>
        </w:p>
        <w:p w14:paraId="42808A94" w14:textId="6B6CEC4C" w:rsidR="00496FE4" w:rsidRDefault="00570CF5">
          <w:pPr>
            <w:pStyle w:val="TOC1"/>
            <w:rPr>
              <w:rFonts w:eastAsiaTheme="minorEastAsia"/>
              <w:noProof/>
              <w:sz w:val="24"/>
              <w:szCs w:val="24"/>
              <w:lang w:eastAsia="en-GB"/>
            </w:rPr>
          </w:pPr>
          <w:hyperlink w:anchor="_Toc150784212" w:history="1">
            <w:r w:rsidR="00496FE4" w:rsidRPr="0087677C">
              <w:rPr>
                <w:rStyle w:val="Hyperlink"/>
                <w:rFonts w:cstheme="minorHAnsi"/>
                <w:noProof/>
              </w:rPr>
              <w:t xml:space="preserve">APPENDIX A: </w:t>
            </w:r>
            <w:r w:rsidR="00496FE4" w:rsidRPr="0087677C">
              <w:rPr>
                <w:rStyle w:val="Hyperlink"/>
                <w:rFonts w:cstheme="minorHAnsi"/>
                <w:noProof/>
                <w:lang w:val="en-MY" w:eastAsia="en-AU"/>
              </w:rPr>
              <w:t>Evaluation Data Matrix</w:t>
            </w:r>
            <w:r w:rsidR="00496FE4">
              <w:rPr>
                <w:noProof/>
                <w:webHidden/>
              </w:rPr>
              <w:tab/>
            </w:r>
            <w:r w:rsidR="00496FE4">
              <w:rPr>
                <w:noProof/>
                <w:webHidden/>
              </w:rPr>
              <w:fldChar w:fldCharType="begin"/>
            </w:r>
            <w:r w:rsidR="00496FE4">
              <w:rPr>
                <w:noProof/>
                <w:webHidden/>
              </w:rPr>
              <w:instrText xml:space="preserve"> PAGEREF _Toc150784212 \h </w:instrText>
            </w:r>
            <w:r w:rsidR="00496FE4">
              <w:rPr>
                <w:noProof/>
                <w:webHidden/>
              </w:rPr>
            </w:r>
            <w:r w:rsidR="00496FE4">
              <w:rPr>
                <w:noProof/>
                <w:webHidden/>
              </w:rPr>
              <w:fldChar w:fldCharType="separate"/>
            </w:r>
            <w:r w:rsidR="00B005C7">
              <w:rPr>
                <w:noProof/>
                <w:webHidden/>
              </w:rPr>
              <w:t>93</w:t>
            </w:r>
            <w:r w:rsidR="00496FE4">
              <w:rPr>
                <w:noProof/>
                <w:webHidden/>
              </w:rPr>
              <w:fldChar w:fldCharType="end"/>
            </w:r>
          </w:hyperlink>
        </w:p>
        <w:p w14:paraId="5851282E" w14:textId="4B2CB442" w:rsidR="00496FE4" w:rsidRDefault="00570CF5">
          <w:pPr>
            <w:pStyle w:val="TOC1"/>
            <w:rPr>
              <w:rFonts w:eastAsiaTheme="minorEastAsia"/>
              <w:noProof/>
              <w:sz w:val="24"/>
              <w:szCs w:val="24"/>
              <w:lang w:eastAsia="en-GB"/>
            </w:rPr>
          </w:pPr>
          <w:hyperlink w:anchor="_Toc150784213" w:history="1">
            <w:r w:rsidR="00496FE4" w:rsidRPr="0087677C">
              <w:rPr>
                <w:rStyle w:val="Hyperlink"/>
                <w:rFonts w:cstheme="minorHAnsi"/>
                <w:noProof/>
              </w:rPr>
              <w:t xml:space="preserve">APPENDIX B: </w:t>
            </w:r>
            <w:r w:rsidR="00496FE4" w:rsidRPr="0087677C">
              <w:rPr>
                <w:rStyle w:val="Hyperlink"/>
                <w:rFonts w:cstheme="minorHAnsi"/>
                <w:noProof/>
                <w:lang w:val="en-MY" w:eastAsia="en-AU"/>
              </w:rPr>
              <w:t>Data Collection Instruments</w:t>
            </w:r>
            <w:r w:rsidR="00496FE4">
              <w:rPr>
                <w:noProof/>
                <w:webHidden/>
              </w:rPr>
              <w:tab/>
            </w:r>
            <w:r w:rsidR="00496FE4">
              <w:rPr>
                <w:noProof/>
                <w:webHidden/>
              </w:rPr>
              <w:fldChar w:fldCharType="begin"/>
            </w:r>
            <w:r w:rsidR="00496FE4">
              <w:rPr>
                <w:noProof/>
                <w:webHidden/>
              </w:rPr>
              <w:instrText xml:space="preserve"> PAGEREF _Toc150784213 \h </w:instrText>
            </w:r>
            <w:r w:rsidR="00496FE4">
              <w:rPr>
                <w:noProof/>
                <w:webHidden/>
              </w:rPr>
            </w:r>
            <w:r w:rsidR="00496FE4">
              <w:rPr>
                <w:noProof/>
                <w:webHidden/>
              </w:rPr>
              <w:fldChar w:fldCharType="separate"/>
            </w:r>
            <w:r w:rsidR="00B005C7">
              <w:rPr>
                <w:noProof/>
                <w:webHidden/>
              </w:rPr>
              <w:t>102</w:t>
            </w:r>
            <w:r w:rsidR="00496FE4">
              <w:rPr>
                <w:noProof/>
                <w:webHidden/>
              </w:rPr>
              <w:fldChar w:fldCharType="end"/>
            </w:r>
          </w:hyperlink>
        </w:p>
        <w:p w14:paraId="3C7F5370" w14:textId="33333C13" w:rsidR="00496FE4" w:rsidRDefault="00570CF5">
          <w:pPr>
            <w:pStyle w:val="TOC2"/>
            <w:rPr>
              <w:rFonts w:eastAsiaTheme="minorEastAsia"/>
              <w:noProof/>
              <w:sz w:val="24"/>
              <w:szCs w:val="24"/>
              <w:lang w:eastAsia="en-GB"/>
            </w:rPr>
          </w:pPr>
          <w:hyperlink w:anchor="_Toc150784214" w:history="1">
            <w:r w:rsidR="00496FE4" w:rsidRPr="0087677C">
              <w:rPr>
                <w:rStyle w:val="Hyperlink"/>
                <w:noProof/>
                <w:lang w:bidi="en-US"/>
              </w:rPr>
              <w:t>Semi-structured Interview with Case Workers</w:t>
            </w:r>
            <w:r w:rsidR="00496FE4">
              <w:rPr>
                <w:noProof/>
                <w:webHidden/>
              </w:rPr>
              <w:tab/>
            </w:r>
            <w:r w:rsidR="00496FE4">
              <w:rPr>
                <w:noProof/>
                <w:webHidden/>
              </w:rPr>
              <w:fldChar w:fldCharType="begin"/>
            </w:r>
            <w:r w:rsidR="00496FE4">
              <w:rPr>
                <w:noProof/>
                <w:webHidden/>
              </w:rPr>
              <w:instrText xml:space="preserve"> PAGEREF _Toc150784214 \h </w:instrText>
            </w:r>
            <w:r w:rsidR="00496FE4">
              <w:rPr>
                <w:noProof/>
                <w:webHidden/>
              </w:rPr>
            </w:r>
            <w:r w:rsidR="00496FE4">
              <w:rPr>
                <w:noProof/>
                <w:webHidden/>
              </w:rPr>
              <w:fldChar w:fldCharType="separate"/>
            </w:r>
            <w:r w:rsidR="00B005C7">
              <w:rPr>
                <w:noProof/>
                <w:webHidden/>
              </w:rPr>
              <w:t>102</w:t>
            </w:r>
            <w:r w:rsidR="00496FE4">
              <w:rPr>
                <w:noProof/>
                <w:webHidden/>
              </w:rPr>
              <w:fldChar w:fldCharType="end"/>
            </w:r>
          </w:hyperlink>
        </w:p>
        <w:p w14:paraId="7BB0CAA6" w14:textId="2AAF6BC8" w:rsidR="00496FE4" w:rsidRDefault="00570CF5">
          <w:pPr>
            <w:pStyle w:val="TOC2"/>
            <w:rPr>
              <w:rFonts w:eastAsiaTheme="minorEastAsia"/>
              <w:noProof/>
              <w:sz w:val="24"/>
              <w:szCs w:val="24"/>
              <w:lang w:eastAsia="en-GB"/>
            </w:rPr>
          </w:pPr>
          <w:hyperlink w:anchor="_Toc150784215" w:history="1">
            <w:r w:rsidR="00496FE4" w:rsidRPr="0087677C">
              <w:rPr>
                <w:rStyle w:val="Hyperlink"/>
                <w:noProof/>
              </w:rPr>
              <w:t>Semi-structured Interview with Managers and Data Administrators</w:t>
            </w:r>
            <w:r w:rsidR="00496FE4">
              <w:rPr>
                <w:noProof/>
                <w:webHidden/>
              </w:rPr>
              <w:tab/>
            </w:r>
            <w:r w:rsidR="00496FE4">
              <w:rPr>
                <w:noProof/>
                <w:webHidden/>
              </w:rPr>
              <w:fldChar w:fldCharType="begin"/>
            </w:r>
            <w:r w:rsidR="00496FE4">
              <w:rPr>
                <w:noProof/>
                <w:webHidden/>
              </w:rPr>
              <w:instrText xml:space="preserve"> PAGEREF _Toc150784215 \h </w:instrText>
            </w:r>
            <w:r w:rsidR="00496FE4">
              <w:rPr>
                <w:noProof/>
                <w:webHidden/>
              </w:rPr>
            </w:r>
            <w:r w:rsidR="00496FE4">
              <w:rPr>
                <w:noProof/>
                <w:webHidden/>
              </w:rPr>
              <w:fldChar w:fldCharType="separate"/>
            </w:r>
            <w:r w:rsidR="00B005C7">
              <w:rPr>
                <w:noProof/>
                <w:webHidden/>
              </w:rPr>
              <w:t>103</w:t>
            </w:r>
            <w:r w:rsidR="00496FE4">
              <w:rPr>
                <w:noProof/>
                <w:webHidden/>
              </w:rPr>
              <w:fldChar w:fldCharType="end"/>
            </w:r>
          </w:hyperlink>
        </w:p>
        <w:p w14:paraId="485B2FC6" w14:textId="3CA6C5CF" w:rsidR="00496FE4" w:rsidRDefault="00570CF5">
          <w:pPr>
            <w:pStyle w:val="TOC2"/>
            <w:rPr>
              <w:rFonts w:eastAsiaTheme="minorEastAsia"/>
              <w:noProof/>
              <w:sz w:val="24"/>
              <w:szCs w:val="24"/>
              <w:lang w:eastAsia="en-GB"/>
            </w:rPr>
          </w:pPr>
          <w:hyperlink w:anchor="_Toc150784216" w:history="1">
            <w:r w:rsidR="00496FE4" w:rsidRPr="0087677C">
              <w:rPr>
                <w:rStyle w:val="Hyperlink"/>
                <w:noProof/>
              </w:rPr>
              <w:t>Semi-structured Interview with Corrective Services</w:t>
            </w:r>
            <w:r w:rsidR="00496FE4">
              <w:rPr>
                <w:noProof/>
                <w:webHidden/>
              </w:rPr>
              <w:tab/>
            </w:r>
            <w:r w:rsidR="00496FE4">
              <w:rPr>
                <w:noProof/>
                <w:webHidden/>
              </w:rPr>
              <w:fldChar w:fldCharType="begin"/>
            </w:r>
            <w:r w:rsidR="00496FE4">
              <w:rPr>
                <w:noProof/>
                <w:webHidden/>
              </w:rPr>
              <w:instrText xml:space="preserve"> PAGEREF _Toc150784216 \h </w:instrText>
            </w:r>
            <w:r w:rsidR="00496FE4">
              <w:rPr>
                <w:noProof/>
                <w:webHidden/>
              </w:rPr>
            </w:r>
            <w:r w:rsidR="00496FE4">
              <w:rPr>
                <w:noProof/>
                <w:webHidden/>
              </w:rPr>
              <w:fldChar w:fldCharType="separate"/>
            </w:r>
            <w:r w:rsidR="00B005C7">
              <w:rPr>
                <w:noProof/>
                <w:webHidden/>
              </w:rPr>
              <w:t>105</w:t>
            </w:r>
            <w:r w:rsidR="00496FE4">
              <w:rPr>
                <w:noProof/>
                <w:webHidden/>
              </w:rPr>
              <w:fldChar w:fldCharType="end"/>
            </w:r>
          </w:hyperlink>
        </w:p>
        <w:p w14:paraId="6D44A74D" w14:textId="4FEB5DD3" w:rsidR="00496FE4" w:rsidRDefault="00570CF5">
          <w:pPr>
            <w:pStyle w:val="TOC2"/>
            <w:rPr>
              <w:rFonts w:eastAsiaTheme="minorEastAsia"/>
              <w:noProof/>
              <w:sz w:val="24"/>
              <w:szCs w:val="24"/>
              <w:lang w:eastAsia="en-GB"/>
            </w:rPr>
          </w:pPr>
          <w:hyperlink w:anchor="_Toc150784217" w:history="1">
            <w:r w:rsidR="00496FE4" w:rsidRPr="0087677C">
              <w:rPr>
                <w:rStyle w:val="Hyperlink"/>
                <w:noProof/>
              </w:rPr>
              <w:t>Semi-structured Interview with Clients and Family</w:t>
            </w:r>
            <w:r w:rsidR="00496FE4">
              <w:rPr>
                <w:noProof/>
                <w:webHidden/>
              </w:rPr>
              <w:tab/>
            </w:r>
            <w:r w:rsidR="00496FE4">
              <w:rPr>
                <w:noProof/>
                <w:webHidden/>
              </w:rPr>
              <w:fldChar w:fldCharType="begin"/>
            </w:r>
            <w:r w:rsidR="00496FE4">
              <w:rPr>
                <w:noProof/>
                <w:webHidden/>
              </w:rPr>
              <w:instrText xml:space="preserve"> PAGEREF _Toc150784217 \h </w:instrText>
            </w:r>
            <w:r w:rsidR="00496FE4">
              <w:rPr>
                <w:noProof/>
                <w:webHidden/>
              </w:rPr>
            </w:r>
            <w:r w:rsidR="00496FE4">
              <w:rPr>
                <w:noProof/>
                <w:webHidden/>
              </w:rPr>
              <w:fldChar w:fldCharType="separate"/>
            </w:r>
            <w:r w:rsidR="00B005C7">
              <w:rPr>
                <w:noProof/>
                <w:webHidden/>
              </w:rPr>
              <w:t>106</w:t>
            </w:r>
            <w:r w:rsidR="00496FE4">
              <w:rPr>
                <w:noProof/>
                <w:webHidden/>
              </w:rPr>
              <w:fldChar w:fldCharType="end"/>
            </w:r>
          </w:hyperlink>
        </w:p>
        <w:p w14:paraId="7DD33625" w14:textId="04143589" w:rsidR="00496FE4" w:rsidRDefault="00570CF5">
          <w:pPr>
            <w:pStyle w:val="TOC2"/>
            <w:rPr>
              <w:rFonts w:eastAsiaTheme="minorEastAsia"/>
              <w:noProof/>
              <w:sz w:val="24"/>
              <w:szCs w:val="24"/>
              <w:lang w:eastAsia="en-GB"/>
            </w:rPr>
          </w:pPr>
          <w:hyperlink w:anchor="_Toc150784218" w:history="1">
            <w:r w:rsidR="00496FE4" w:rsidRPr="0087677C">
              <w:rPr>
                <w:rStyle w:val="Hyperlink"/>
                <w:noProof/>
              </w:rPr>
              <w:t>External Service Provider Survey</w:t>
            </w:r>
            <w:r w:rsidR="00496FE4">
              <w:rPr>
                <w:noProof/>
                <w:webHidden/>
              </w:rPr>
              <w:tab/>
            </w:r>
            <w:r w:rsidR="00496FE4">
              <w:rPr>
                <w:noProof/>
                <w:webHidden/>
              </w:rPr>
              <w:fldChar w:fldCharType="begin"/>
            </w:r>
            <w:r w:rsidR="00496FE4">
              <w:rPr>
                <w:noProof/>
                <w:webHidden/>
              </w:rPr>
              <w:instrText xml:space="preserve"> PAGEREF _Toc150784218 \h </w:instrText>
            </w:r>
            <w:r w:rsidR="00496FE4">
              <w:rPr>
                <w:noProof/>
                <w:webHidden/>
              </w:rPr>
            </w:r>
            <w:r w:rsidR="00496FE4">
              <w:rPr>
                <w:noProof/>
                <w:webHidden/>
              </w:rPr>
              <w:fldChar w:fldCharType="separate"/>
            </w:r>
            <w:r w:rsidR="00B005C7">
              <w:rPr>
                <w:noProof/>
                <w:webHidden/>
              </w:rPr>
              <w:t>108</w:t>
            </w:r>
            <w:r w:rsidR="00496FE4">
              <w:rPr>
                <w:noProof/>
                <w:webHidden/>
              </w:rPr>
              <w:fldChar w:fldCharType="end"/>
            </w:r>
          </w:hyperlink>
        </w:p>
        <w:p w14:paraId="3CB65022" w14:textId="2AD12F57" w:rsidR="0022592D" w:rsidRDefault="007073A3" w:rsidP="0022592D">
          <w:pPr>
            <w:rPr>
              <w:bCs/>
              <w:noProof/>
              <w:sz w:val="20"/>
            </w:rPr>
          </w:pPr>
          <w:r>
            <w:rPr>
              <w:rFonts w:ascii="Arial" w:hAnsi="Arial" w:cs="Arial"/>
              <w:sz w:val="20"/>
            </w:rPr>
            <w:fldChar w:fldCharType="end"/>
          </w:r>
        </w:p>
      </w:sdtContent>
    </w:sdt>
    <w:p w14:paraId="325D89C9" w14:textId="77777777" w:rsidR="00790224" w:rsidRDefault="00790224">
      <w:pPr>
        <w:spacing w:after="200" w:line="276" w:lineRule="auto"/>
        <w:jc w:val="both"/>
        <w:rPr>
          <w:rFonts w:cstheme="minorHAnsi"/>
          <w:b/>
          <w:smallCaps/>
          <w:color w:val="365F91" w:themeColor="accent1" w:themeShade="BF"/>
          <w:spacing w:val="5"/>
          <w:sz w:val="44"/>
          <w:szCs w:val="32"/>
        </w:rPr>
      </w:pPr>
      <w:r>
        <w:rPr>
          <w:rFonts w:cstheme="minorHAnsi"/>
        </w:rPr>
        <w:br w:type="page"/>
      </w:r>
    </w:p>
    <w:p w14:paraId="024DD392" w14:textId="77777777" w:rsidR="00A64217" w:rsidRDefault="00A64217" w:rsidP="00F361A9">
      <w:pPr>
        <w:pStyle w:val="Heading1"/>
        <w:rPr>
          <w:rFonts w:cstheme="minorHAnsi"/>
        </w:rPr>
        <w:sectPr w:rsidR="00A64217" w:rsidSect="00A04873">
          <w:headerReference w:type="default" r:id="rId9"/>
          <w:footerReference w:type="even" r:id="rId10"/>
          <w:footerReference w:type="default" r:id="rId11"/>
          <w:footerReference w:type="first" r:id="rId12"/>
          <w:pgSz w:w="11906" w:h="16838"/>
          <w:pgMar w:top="851" w:right="1418" w:bottom="1701" w:left="1418" w:header="1531" w:footer="737" w:gutter="0"/>
          <w:pgNumType w:fmt="lowerRoman" w:start="0"/>
          <w:cols w:space="720"/>
          <w:docGrid w:linePitch="326"/>
        </w:sectPr>
      </w:pPr>
    </w:p>
    <w:p w14:paraId="6C774D60" w14:textId="77777777" w:rsidR="002757CB" w:rsidRDefault="00371D15" w:rsidP="00F361A9">
      <w:pPr>
        <w:pStyle w:val="Heading1"/>
        <w:rPr>
          <w:rFonts w:cstheme="minorHAnsi"/>
        </w:rPr>
      </w:pPr>
      <w:bookmarkStart w:id="3" w:name="_Toc150784178"/>
      <w:r w:rsidRPr="00F361A9">
        <w:rPr>
          <w:rFonts w:cstheme="minorHAnsi"/>
        </w:rPr>
        <w:t>Executive Summary</w:t>
      </w:r>
      <w:bookmarkEnd w:id="3"/>
    </w:p>
    <w:p w14:paraId="7E51B309" w14:textId="2B5CF7F0" w:rsidR="00B605E4" w:rsidRDefault="007643EC" w:rsidP="00B605E4">
      <w:pPr>
        <w:jc w:val="both"/>
        <w:rPr>
          <w:rFonts w:cstheme="minorHAnsi"/>
          <w:lang w:val="en-MY" w:eastAsia="en-AU"/>
        </w:rPr>
      </w:pPr>
      <w:r w:rsidRPr="001D06A0">
        <w:rPr>
          <w:rFonts w:cstheme="minorHAnsi"/>
        </w:rPr>
        <w:t>This Report has been prepared by Keogh Bay People (Keogh Bay)</w:t>
      </w:r>
      <w:r w:rsidRPr="001D06A0">
        <w:rPr>
          <w:rFonts w:cstheme="minorHAnsi"/>
          <w:i/>
        </w:rPr>
        <w:t xml:space="preserve"> </w:t>
      </w:r>
      <w:r w:rsidRPr="001D06A0">
        <w:rPr>
          <w:rFonts w:cstheme="minorHAnsi"/>
        </w:rPr>
        <w:t>on behalf of the National Indigenous Australians Agency (NIAA)</w:t>
      </w:r>
      <w:r w:rsidRPr="001D06A0">
        <w:rPr>
          <w:rFonts w:cstheme="minorHAnsi"/>
          <w:lang w:val="en-MY" w:eastAsia="en-AU"/>
        </w:rPr>
        <w:t>. It pr</w:t>
      </w:r>
      <w:r>
        <w:rPr>
          <w:rFonts w:cstheme="minorHAnsi"/>
          <w:lang w:val="en-MY" w:eastAsia="en-AU"/>
        </w:rPr>
        <w:t>ese</w:t>
      </w:r>
      <w:r w:rsidR="00D6194D">
        <w:rPr>
          <w:rFonts w:cstheme="minorHAnsi"/>
          <w:lang w:val="en-MY" w:eastAsia="en-AU"/>
        </w:rPr>
        <w:t>n</w:t>
      </w:r>
      <w:r>
        <w:rPr>
          <w:rFonts w:cstheme="minorHAnsi"/>
          <w:lang w:val="en-MY" w:eastAsia="en-AU"/>
        </w:rPr>
        <w:t xml:space="preserve">ts the findings of an evaluation </w:t>
      </w:r>
      <w:r w:rsidRPr="001D06A0">
        <w:rPr>
          <w:rFonts w:cstheme="minorHAnsi"/>
          <w:lang w:val="en-MY" w:eastAsia="en-AU"/>
        </w:rPr>
        <w:t xml:space="preserve">of Indigenous Advancement Strategy (IAS) funded </w:t>
      </w:r>
      <w:r w:rsidR="001D3FEE">
        <w:rPr>
          <w:rFonts w:cstheme="minorHAnsi"/>
          <w:lang w:val="en-MY" w:eastAsia="en-AU"/>
        </w:rPr>
        <w:t>a</w:t>
      </w:r>
      <w:r w:rsidRPr="001D06A0">
        <w:rPr>
          <w:rFonts w:cstheme="minorHAnsi"/>
          <w:lang w:val="en-MY" w:eastAsia="en-AU"/>
        </w:rPr>
        <w:t xml:space="preserve">dult and </w:t>
      </w:r>
      <w:r w:rsidR="001D3FEE">
        <w:rPr>
          <w:rFonts w:cstheme="minorHAnsi"/>
          <w:lang w:val="en-MY" w:eastAsia="en-AU"/>
        </w:rPr>
        <w:t>y</w:t>
      </w:r>
      <w:r w:rsidRPr="001D06A0">
        <w:rPr>
          <w:rFonts w:cstheme="minorHAnsi"/>
          <w:lang w:val="en-MY" w:eastAsia="en-AU"/>
        </w:rPr>
        <w:t xml:space="preserve">outh </w:t>
      </w:r>
      <w:r w:rsidR="001D3FEE">
        <w:rPr>
          <w:rFonts w:cstheme="minorHAnsi"/>
          <w:lang w:val="en-MY" w:eastAsia="en-AU"/>
        </w:rPr>
        <w:t>t</w:t>
      </w:r>
      <w:r w:rsidRPr="001D06A0">
        <w:rPr>
          <w:rFonts w:cstheme="minorHAnsi"/>
          <w:lang w:val="en-MY" w:eastAsia="en-AU"/>
        </w:rPr>
        <w:t>hrough</w:t>
      </w:r>
      <w:r w:rsidR="001D3FEE">
        <w:rPr>
          <w:rFonts w:cstheme="minorHAnsi"/>
          <w:lang w:val="en-MY" w:eastAsia="en-AU"/>
        </w:rPr>
        <w:t>-c</w:t>
      </w:r>
      <w:r w:rsidRPr="001D06A0">
        <w:rPr>
          <w:rFonts w:cstheme="minorHAnsi"/>
          <w:lang w:val="en-MY" w:eastAsia="en-AU"/>
        </w:rPr>
        <w:t>are programs</w:t>
      </w:r>
      <w:r w:rsidR="00B605E4">
        <w:rPr>
          <w:rFonts w:cstheme="minorHAnsi"/>
          <w:lang w:val="en-MY" w:eastAsia="en-AU"/>
        </w:rPr>
        <w:t>, developed i</w:t>
      </w:r>
      <w:r w:rsidR="00B605E4" w:rsidRPr="001D06A0">
        <w:rPr>
          <w:rFonts w:cstheme="minorHAnsi"/>
          <w:lang w:val="en-MY" w:eastAsia="en-AU"/>
        </w:rPr>
        <w:t>n 2017</w:t>
      </w:r>
      <w:r w:rsidR="00B605E4">
        <w:rPr>
          <w:rFonts w:cstheme="minorHAnsi"/>
          <w:lang w:val="en-MY" w:eastAsia="en-AU"/>
        </w:rPr>
        <w:t xml:space="preserve"> as part of a sector wide co-design process led by </w:t>
      </w:r>
      <w:r w:rsidR="00B605E4" w:rsidRPr="001D06A0">
        <w:rPr>
          <w:rFonts w:cstheme="minorHAnsi"/>
          <w:lang w:val="en-MY" w:eastAsia="en-AU"/>
        </w:rPr>
        <w:t>consultants ABT Associates Australia</w:t>
      </w:r>
      <w:r w:rsidR="00B605E4">
        <w:rPr>
          <w:rFonts w:cstheme="minorHAnsi"/>
          <w:lang w:val="en-MY" w:eastAsia="en-AU"/>
        </w:rPr>
        <w:t xml:space="preserve"> (ABT)</w:t>
      </w:r>
      <w:r w:rsidR="00B605E4" w:rsidRPr="001D06A0">
        <w:rPr>
          <w:rFonts w:cstheme="minorHAnsi"/>
          <w:lang w:val="en-MY" w:eastAsia="en-AU"/>
        </w:rPr>
        <w:t xml:space="preserve"> </w:t>
      </w:r>
      <w:r w:rsidR="00B605E4">
        <w:rPr>
          <w:rFonts w:cstheme="minorHAnsi"/>
          <w:lang w:val="en-MY" w:eastAsia="en-AU"/>
        </w:rPr>
        <w:t xml:space="preserve">in </w:t>
      </w:r>
      <w:r w:rsidR="00B605E4" w:rsidRPr="001D06A0">
        <w:rPr>
          <w:rFonts w:cstheme="minorHAnsi"/>
          <w:lang w:val="en-MY" w:eastAsia="en-AU"/>
        </w:rPr>
        <w:t xml:space="preserve">response to the Council of Australian Governments (COAG) </w:t>
      </w:r>
      <w:r w:rsidR="00B605E4" w:rsidRPr="001D3FEE">
        <w:rPr>
          <w:rFonts w:cstheme="minorHAnsi"/>
          <w:i/>
          <w:iCs/>
          <w:lang w:val="en-MY" w:eastAsia="en-AU"/>
        </w:rPr>
        <w:t>Prison to Work</w:t>
      </w:r>
      <w:r w:rsidR="00B605E4" w:rsidRPr="001D06A0">
        <w:rPr>
          <w:rFonts w:cstheme="minorHAnsi"/>
          <w:lang w:val="en-MY" w:eastAsia="en-AU"/>
        </w:rPr>
        <w:t xml:space="preserve"> Report (2016)</w:t>
      </w:r>
      <w:r w:rsidR="00B605E4">
        <w:rPr>
          <w:rFonts w:cstheme="minorHAnsi"/>
          <w:lang w:val="en-MY" w:eastAsia="en-AU"/>
        </w:rPr>
        <w:t>.</w:t>
      </w:r>
    </w:p>
    <w:p w14:paraId="607B895E" w14:textId="77777777" w:rsidR="00B605E4" w:rsidRDefault="00B605E4" w:rsidP="00B605E4">
      <w:pPr>
        <w:jc w:val="both"/>
        <w:rPr>
          <w:rFonts w:cstheme="minorHAnsi"/>
          <w:lang w:val="en-MY" w:eastAsia="en-AU"/>
        </w:rPr>
      </w:pPr>
    </w:p>
    <w:p w14:paraId="59C1C683" w14:textId="5750C0B3" w:rsidR="007643EC" w:rsidRDefault="00B605E4" w:rsidP="007643EC">
      <w:pPr>
        <w:jc w:val="both"/>
        <w:rPr>
          <w:rFonts w:cstheme="minorHAnsi"/>
          <w:lang w:val="en-MY" w:eastAsia="en-AU"/>
        </w:rPr>
      </w:pPr>
      <w:r w:rsidRPr="00942664">
        <w:rPr>
          <w:rFonts w:cstheme="minorHAnsi"/>
          <w:lang w:val="en-MY" w:eastAsia="en-AU"/>
        </w:rPr>
        <w:t>Through-care programs provide continuity of care for client</w:t>
      </w:r>
      <w:r w:rsidR="001D3FEE">
        <w:rPr>
          <w:rFonts w:cstheme="minorHAnsi"/>
          <w:lang w:val="en-MY" w:eastAsia="en-AU"/>
        </w:rPr>
        <w:t>s</w:t>
      </w:r>
      <w:r w:rsidR="00E823CD">
        <w:rPr>
          <w:rFonts w:cstheme="minorHAnsi"/>
          <w:lang w:val="en-MY" w:eastAsia="en-AU"/>
        </w:rPr>
        <w:t xml:space="preserve">, </w:t>
      </w:r>
      <w:r w:rsidRPr="00942664">
        <w:rPr>
          <w:rFonts w:cstheme="minorHAnsi"/>
          <w:lang w:val="en-MY" w:eastAsia="en-AU"/>
        </w:rPr>
        <w:t>prior to release and following their time spent in prison or detention, with the common element across all through-care models being individualised case management.</w:t>
      </w:r>
      <w:r>
        <w:rPr>
          <w:rStyle w:val="FootnoteReference"/>
          <w:rFonts w:cstheme="minorHAnsi"/>
          <w:lang w:val="en-MY" w:eastAsia="en-AU"/>
        </w:rPr>
        <w:footnoteReference w:id="2"/>
      </w:r>
      <w:r>
        <w:rPr>
          <w:rFonts w:cstheme="minorHAnsi"/>
          <w:lang w:val="en-MY" w:eastAsia="en-AU"/>
        </w:rPr>
        <w:t xml:space="preserve"> </w:t>
      </w:r>
      <w:r w:rsidRPr="00A909AF">
        <w:rPr>
          <w:rFonts w:cstheme="minorHAnsi"/>
          <w:lang w:val="en-MY" w:eastAsia="en-AU"/>
        </w:rPr>
        <w:t xml:space="preserve">The </w:t>
      </w:r>
      <w:r w:rsidR="000824A9">
        <w:rPr>
          <w:rFonts w:cstheme="minorHAnsi"/>
          <w:lang w:val="en-MY" w:eastAsia="en-AU"/>
        </w:rPr>
        <w:t>A</w:t>
      </w:r>
      <w:r w:rsidR="00934A29">
        <w:rPr>
          <w:rFonts w:cstheme="minorHAnsi"/>
          <w:lang w:val="en-MY" w:eastAsia="en-AU"/>
        </w:rPr>
        <w:t xml:space="preserve">dult </w:t>
      </w:r>
      <w:r w:rsidRPr="00A909AF">
        <w:rPr>
          <w:rFonts w:cstheme="minorHAnsi"/>
          <w:lang w:val="en-MY" w:eastAsia="en-AU"/>
        </w:rPr>
        <w:t>T</w:t>
      </w:r>
      <w:r w:rsidR="00934A29">
        <w:rPr>
          <w:rFonts w:cstheme="minorHAnsi"/>
          <w:lang w:val="en-MY" w:eastAsia="en-AU"/>
        </w:rPr>
        <w:t xml:space="preserve">hrough </w:t>
      </w:r>
      <w:r w:rsidRPr="00A909AF">
        <w:rPr>
          <w:rFonts w:cstheme="minorHAnsi"/>
          <w:lang w:val="en-MY" w:eastAsia="en-AU"/>
        </w:rPr>
        <w:t>C</w:t>
      </w:r>
      <w:r w:rsidR="00934A29">
        <w:rPr>
          <w:rFonts w:cstheme="minorHAnsi"/>
          <w:lang w:val="en-MY" w:eastAsia="en-AU"/>
        </w:rPr>
        <w:t>are</w:t>
      </w:r>
      <w:r w:rsidRPr="00A909AF">
        <w:rPr>
          <w:rFonts w:cstheme="minorHAnsi"/>
          <w:lang w:val="en-MY" w:eastAsia="en-AU"/>
        </w:rPr>
        <w:t xml:space="preserve"> </w:t>
      </w:r>
      <w:r w:rsidR="00934A29">
        <w:rPr>
          <w:rFonts w:cstheme="minorHAnsi"/>
          <w:lang w:val="en-MY" w:eastAsia="en-AU"/>
        </w:rPr>
        <w:t xml:space="preserve">(ATC) </w:t>
      </w:r>
      <w:r w:rsidRPr="00A909AF">
        <w:rPr>
          <w:rFonts w:cstheme="minorHAnsi"/>
          <w:lang w:val="en-MY" w:eastAsia="en-AU"/>
        </w:rPr>
        <w:t xml:space="preserve">and </w:t>
      </w:r>
      <w:r w:rsidR="00934A29">
        <w:rPr>
          <w:rFonts w:cstheme="minorHAnsi"/>
          <w:lang w:val="en-MY" w:eastAsia="en-AU"/>
        </w:rPr>
        <w:t>Youth Through Care (</w:t>
      </w:r>
      <w:r w:rsidRPr="00A909AF">
        <w:rPr>
          <w:rFonts w:cstheme="minorHAnsi"/>
          <w:lang w:val="en-MY" w:eastAsia="en-AU"/>
        </w:rPr>
        <w:t>YTC</w:t>
      </w:r>
      <w:r w:rsidR="00934A29">
        <w:rPr>
          <w:rFonts w:cstheme="minorHAnsi"/>
          <w:lang w:val="en-MY" w:eastAsia="en-AU"/>
        </w:rPr>
        <w:t>)</w:t>
      </w:r>
      <w:r w:rsidRPr="00A909AF">
        <w:rPr>
          <w:rFonts w:cstheme="minorHAnsi"/>
          <w:lang w:val="en-MY" w:eastAsia="en-AU"/>
        </w:rPr>
        <w:t xml:space="preserve"> model</w:t>
      </w:r>
      <w:r>
        <w:rPr>
          <w:rFonts w:cstheme="minorHAnsi"/>
          <w:lang w:val="en-MY" w:eastAsia="en-AU"/>
        </w:rPr>
        <w:t xml:space="preserve">s developed by ABT </w:t>
      </w:r>
      <w:r w:rsidRPr="00A909AF">
        <w:rPr>
          <w:rFonts w:cstheme="minorHAnsi"/>
          <w:lang w:val="en-MY" w:eastAsia="en-AU"/>
        </w:rPr>
        <w:t>aim to provide a holistic, culturally-informed and trauma-informed, intensive case management approach</w:t>
      </w:r>
      <w:r w:rsidR="00E823CD">
        <w:rPr>
          <w:rFonts w:cstheme="minorHAnsi"/>
          <w:lang w:val="en-MY" w:eastAsia="en-AU"/>
        </w:rPr>
        <w:t xml:space="preserve"> specific to incarcerated Indigenous people</w:t>
      </w:r>
      <w:r w:rsidRPr="00A909AF">
        <w:rPr>
          <w:rFonts w:cstheme="minorHAnsi"/>
          <w:lang w:val="en-MY" w:eastAsia="en-AU"/>
        </w:rPr>
        <w:t xml:space="preserve">. The services are </w:t>
      </w:r>
      <w:r>
        <w:rPr>
          <w:rFonts w:cstheme="minorHAnsi"/>
          <w:lang w:val="en-MY" w:eastAsia="en-AU"/>
        </w:rPr>
        <w:t xml:space="preserve">intended to be </w:t>
      </w:r>
      <w:r w:rsidRPr="00A909AF">
        <w:rPr>
          <w:rFonts w:cstheme="minorHAnsi"/>
          <w:lang w:val="en-MY" w:eastAsia="en-AU"/>
        </w:rPr>
        <w:t xml:space="preserve">delivered to eligible clients </w:t>
      </w:r>
      <w:r w:rsidR="00E823CD">
        <w:rPr>
          <w:rFonts w:cstheme="minorHAnsi"/>
          <w:lang w:val="en-MY" w:eastAsia="en-AU"/>
        </w:rPr>
        <w:t xml:space="preserve">on a voluntary basis </w:t>
      </w:r>
      <w:r w:rsidRPr="00A909AF">
        <w:rPr>
          <w:rFonts w:cstheme="minorHAnsi"/>
          <w:lang w:val="en-MY" w:eastAsia="en-AU"/>
        </w:rPr>
        <w:t>six months prior to their release from prison or detention, when release plans addressing individual risks, needs and goals are prepared. Post-release, case workers intensively support clients to implement their plans and monitor progress</w:t>
      </w:r>
      <w:r>
        <w:rPr>
          <w:rFonts w:cstheme="minorHAnsi"/>
          <w:lang w:val="en-MY" w:eastAsia="en-AU"/>
        </w:rPr>
        <w:t>.</w:t>
      </w:r>
      <w:r w:rsidR="007643EC" w:rsidRPr="001D06A0">
        <w:rPr>
          <w:rFonts w:cstheme="minorHAnsi"/>
          <w:lang w:val="en-MY" w:eastAsia="en-AU"/>
        </w:rPr>
        <w:t xml:space="preserve"> </w:t>
      </w:r>
    </w:p>
    <w:p w14:paraId="595B6348" w14:textId="2A4206F4" w:rsidR="007643EC" w:rsidRDefault="007643EC" w:rsidP="007643EC">
      <w:pPr>
        <w:pStyle w:val="Heading2"/>
        <w:rPr>
          <w:rFonts w:cstheme="minorHAnsi"/>
          <w:lang w:val="en-MY" w:eastAsia="en-AU"/>
        </w:rPr>
      </w:pPr>
      <w:bookmarkStart w:id="4" w:name="_Toc150784179"/>
      <w:r w:rsidRPr="008719B9">
        <w:rPr>
          <w:rFonts w:cstheme="minorHAnsi"/>
          <w:lang w:val="en-MY" w:eastAsia="en-AU"/>
        </w:rPr>
        <w:t>Evaluation Purpose</w:t>
      </w:r>
      <w:bookmarkEnd w:id="4"/>
    </w:p>
    <w:p w14:paraId="14C66ABB" w14:textId="77777777" w:rsidR="006C6960" w:rsidRDefault="007643EC" w:rsidP="001D3FEE">
      <w:pPr>
        <w:jc w:val="both"/>
        <w:rPr>
          <w:rFonts w:cstheme="minorHAnsi"/>
          <w:lang w:val="en-MY" w:eastAsia="en-AU"/>
        </w:rPr>
      </w:pPr>
      <w:r w:rsidRPr="00CB26A4">
        <w:rPr>
          <w:rFonts w:cstheme="minorHAnsi"/>
          <w:lang w:val="en-MY" w:eastAsia="en-AU"/>
        </w:rPr>
        <w:t xml:space="preserve">In July 2022, NIAA released an Approach to Market (ATM) for services </w:t>
      </w:r>
      <w:r>
        <w:rPr>
          <w:rFonts w:cstheme="minorHAnsi"/>
          <w:lang w:val="en-MY" w:eastAsia="en-AU"/>
        </w:rPr>
        <w:t xml:space="preserve">to evaluate the ATC and YTC programs, </w:t>
      </w:r>
      <w:r w:rsidRPr="00CB26A4">
        <w:rPr>
          <w:rFonts w:cstheme="minorHAnsi"/>
          <w:lang w:val="en-MY" w:eastAsia="en-AU"/>
        </w:rPr>
        <w:t xml:space="preserve">with the intention </w:t>
      </w:r>
      <w:r w:rsidR="001D3FEE">
        <w:rPr>
          <w:rFonts w:cstheme="minorHAnsi"/>
          <w:lang w:val="en-MY" w:eastAsia="en-AU"/>
        </w:rPr>
        <w:t xml:space="preserve">to </w:t>
      </w:r>
      <w:r w:rsidRPr="00CB26A4">
        <w:rPr>
          <w:rFonts w:cstheme="minorHAnsi"/>
          <w:lang w:val="en-MY" w:eastAsia="en-AU"/>
        </w:rPr>
        <w:t xml:space="preserve">assess the extent to which the </w:t>
      </w:r>
      <w:r>
        <w:rPr>
          <w:rFonts w:cstheme="minorHAnsi"/>
          <w:lang w:val="en-MY" w:eastAsia="en-AU"/>
        </w:rPr>
        <w:t xml:space="preserve">two </w:t>
      </w:r>
      <w:r w:rsidRPr="00CB26A4">
        <w:rPr>
          <w:rFonts w:cstheme="minorHAnsi"/>
          <w:lang w:val="en-MY" w:eastAsia="en-AU"/>
        </w:rPr>
        <w:t>programs contribute to overarching Closing the Gap targets.</w:t>
      </w:r>
      <w:r>
        <w:rPr>
          <w:rFonts w:cstheme="minorHAnsi"/>
          <w:lang w:val="en-MY" w:eastAsia="en-AU"/>
        </w:rPr>
        <w:t xml:space="preserve"> </w:t>
      </w:r>
      <w:r w:rsidRPr="00EB4FA0">
        <w:rPr>
          <w:rFonts w:cstheme="minorHAnsi"/>
          <w:lang w:val="en-MY" w:eastAsia="en-AU"/>
        </w:rPr>
        <w:t xml:space="preserve">The evaluation </w:t>
      </w:r>
      <w:r w:rsidR="001D3FEE">
        <w:rPr>
          <w:rFonts w:cstheme="minorHAnsi"/>
          <w:lang w:val="en-MY" w:eastAsia="en-AU"/>
        </w:rPr>
        <w:t xml:space="preserve">is </w:t>
      </w:r>
      <w:r w:rsidRPr="00EB4FA0">
        <w:rPr>
          <w:rFonts w:cstheme="minorHAnsi"/>
          <w:lang w:val="en-MY" w:eastAsia="en-AU"/>
        </w:rPr>
        <w:t xml:space="preserve">also </w:t>
      </w:r>
      <w:r w:rsidR="001D3FEE">
        <w:rPr>
          <w:rFonts w:cstheme="minorHAnsi"/>
          <w:lang w:val="en-MY" w:eastAsia="en-AU"/>
        </w:rPr>
        <w:t xml:space="preserve">aligned with </w:t>
      </w:r>
      <w:r w:rsidRPr="00EB4FA0">
        <w:rPr>
          <w:rFonts w:cstheme="minorHAnsi"/>
          <w:lang w:val="en-MY" w:eastAsia="en-AU"/>
        </w:rPr>
        <w:t>Closing the Gap Priority Reform Two (Building the Community-Controlled Sector)</w:t>
      </w:r>
      <w:r w:rsidR="006C6960">
        <w:rPr>
          <w:rFonts w:cstheme="minorHAnsi"/>
          <w:lang w:val="en-MY" w:eastAsia="en-AU"/>
        </w:rPr>
        <w:t xml:space="preserve"> and seeks</w:t>
      </w:r>
      <w:r w:rsidR="000824A9">
        <w:rPr>
          <w:rFonts w:cstheme="minorHAnsi"/>
          <w:lang w:val="en-MY" w:eastAsia="en-AU"/>
        </w:rPr>
        <w:t xml:space="preserve"> to</w:t>
      </w:r>
      <w:r w:rsidRPr="00EB4FA0">
        <w:rPr>
          <w:rFonts w:cstheme="minorHAnsi"/>
          <w:lang w:val="en-MY" w:eastAsia="en-AU"/>
        </w:rPr>
        <w:t xml:space="preserve"> assess both the quality of the service models de</w:t>
      </w:r>
      <w:r w:rsidR="004415C2">
        <w:rPr>
          <w:rFonts w:cstheme="minorHAnsi"/>
          <w:lang w:val="en-MY" w:eastAsia="en-AU"/>
        </w:rPr>
        <w:t>livered</w:t>
      </w:r>
      <w:r w:rsidR="006C6960">
        <w:rPr>
          <w:rFonts w:cstheme="minorHAnsi"/>
          <w:lang w:val="en-MY" w:eastAsia="en-AU"/>
        </w:rPr>
        <w:t xml:space="preserve">, </w:t>
      </w:r>
      <w:r w:rsidRPr="00EB4FA0">
        <w:rPr>
          <w:rFonts w:cstheme="minorHAnsi"/>
          <w:lang w:val="en-MY" w:eastAsia="en-AU"/>
        </w:rPr>
        <w:t>and the extent to which implementation has been Indigenous-led.</w:t>
      </w:r>
      <w:r w:rsidR="00A169E3">
        <w:rPr>
          <w:rFonts w:cstheme="minorHAnsi"/>
          <w:lang w:val="en-MY" w:eastAsia="en-AU"/>
        </w:rPr>
        <w:t xml:space="preserve"> </w:t>
      </w:r>
    </w:p>
    <w:p w14:paraId="6529EB2B" w14:textId="77777777" w:rsidR="006C6960" w:rsidRDefault="006C6960" w:rsidP="001D3FEE">
      <w:pPr>
        <w:jc w:val="both"/>
        <w:rPr>
          <w:rFonts w:cstheme="minorHAnsi"/>
          <w:lang w:val="en-MY" w:eastAsia="en-AU"/>
        </w:rPr>
      </w:pPr>
    </w:p>
    <w:p w14:paraId="433D93B9" w14:textId="1AF93318" w:rsidR="001D3FEE" w:rsidRDefault="007643EC" w:rsidP="001D3FEE">
      <w:pPr>
        <w:jc w:val="both"/>
        <w:rPr>
          <w:rFonts w:cstheme="minorHAnsi"/>
          <w:lang w:val="en-MY" w:eastAsia="en-AU"/>
        </w:rPr>
      </w:pPr>
      <w:r w:rsidRPr="00EB4FA0">
        <w:rPr>
          <w:rFonts w:cstheme="minorHAnsi"/>
          <w:lang w:val="en-MY" w:eastAsia="en-AU"/>
        </w:rPr>
        <w:t>It is anticipated that th</w:t>
      </w:r>
      <w:r>
        <w:rPr>
          <w:rFonts w:cstheme="minorHAnsi"/>
          <w:lang w:val="en-MY" w:eastAsia="en-AU"/>
        </w:rPr>
        <w:t>is</w:t>
      </w:r>
      <w:r w:rsidRPr="00EB4FA0">
        <w:rPr>
          <w:rFonts w:cstheme="minorHAnsi"/>
          <w:lang w:val="en-MY" w:eastAsia="en-AU"/>
        </w:rPr>
        <w:t xml:space="preserve"> evaluation report will inform </w:t>
      </w:r>
      <w:r w:rsidR="004415C2" w:rsidRPr="00EB4FA0">
        <w:rPr>
          <w:rFonts w:cstheme="minorHAnsi"/>
          <w:lang w:val="en-MY" w:eastAsia="en-AU"/>
        </w:rPr>
        <w:t>enhancements to service delivery by participating service providers</w:t>
      </w:r>
      <w:r w:rsidR="004415C2">
        <w:rPr>
          <w:rFonts w:cstheme="minorHAnsi"/>
          <w:lang w:val="en-MY" w:eastAsia="en-AU"/>
        </w:rPr>
        <w:t xml:space="preserve">, </w:t>
      </w:r>
      <w:r w:rsidR="004415C2" w:rsidRPr="00EB4FA0">
        <w:rPr>
          <w:rFonts w:cstheme="minorHAnsi"/>
          <w:lang w:val="en-MY" w:eastAsia="en-AU"/>
        </w:rPr>
        <w:t xml:space="preserve">as well as possible </w:t>
      </w:r>
      <w:r w:rsidRPr="00EB4FA0">
        <w:rPr>
          <w:rFonts w:cstheme="minorHAnsi"/>
          <w:lang w:val="en-MY" w:eastAsia="en-AU"/>
        </w:rPr>
        <w:t xml:space="preserve">future investments by the Australian </w:t>
      </w:r>
      <w:r>
        <w:rPr>
          <w:rFonts w:cstheme="minorHAnsi"/>
          <w:lang w:val="en-MY" w:eastAsia="en-AU"/>
        </w:rPr>
        <w:t>G</w:t>
      </w:r>
      <w:r w:rsidRPr="00EB4FA0">
        <w:rPr>
          <w:rFonts w:cstheme="minorHAnsi"/>
          <w:lang w:val="en-MY" w:eastAsia="en-AU"/>
        </w:rPr>
        <w:t>overnment in the two programs.</w:t>
      </w:r>
      <w:r>
        <w:rPr>
          <w:rFonts w:cstheme="minorHAnsi"/>
          <w:lang w:val="en-MY" w:eastAsia="en-AU"/>
        </w:rPr>
        <w:t xml:space="preserve"> </w:t>
      </w:r>
      <w:r w:rsidRPr="008614B1">
        <w:rPr>
          <w:rFonts w:cstheme="minorHAnsi"/>
          <w:lang w:val="en-MY" w:eastAsia="en-AU"/>
        </w:rPr>
        <w:t>Dissemination of the evaluation findings will be undertaken by NIAA for the benefit of stakeholders including the Australian Government, State and Territory Governments, academia, through-care service providers and A</w:t>
      </w:r>
      <w:r>
        <w:rPr>
          <w:rFonts w:cstheme="minorHAnsi"/>
          <w:lang w:val="en-MY" w:eastAsia="en-AU"/>
        </w:rPr>
        <w:t xml:space="preserve">boriginal </w:t>
      </w:r>
      <w:r w:rsidRPr="008614B1">
        <w:rPr>
          <w:rFonts w:cstheme="minorHAnsi"/>
          <w:lang w:val="en-MY" w:eastAsia="en-AU"/>
        </w:rPr>
        <w:t>C</w:t>
      </w:r>
      <w:r>
        <w:rPr>
          <w:rFonts w:cstheme="minorHAnsi"/>
          <w:lang w:val="en-MY" w:eastAsia="en-AU"/>
        </w:rPr>
        <w:t>ommunity Controlled Organisations (ACCOs)</w:t>
      </w:r>
      <w:r w:rsidRPr="008614B1">
        <w:rPr>
          <w:rFonts w:cstheme="minorHAnsi"/>
          <w:lang w:val="en-MY" w:eastAsia="en-AU"/>
        </w:rPr>
        <w:t>.</w:t>
      </w:r>
    </w:p>
    <w:p w14:paraId="6F58351D" w14:textId="31A2360E" w:rsidR="007643EC" w:rsidRPr="008719B9" w:rsidRDefault="007643EC" w:rsidP="007643EC">
      <w:pPr>
        <w:pStyle w:val="Heading2"/>
        <w:rPr>
          <w:rFonts w:cstheme="minorHAnsi"/>
          <w:lang w:val="en-MY"/>
        </w:rPr>
      </w:pPr>
      <w:bookmarkStart w:id="5" w:name="_Toc150784180"/>
      <w:r w:rsidRPr="008719B9">
        <w:rPr>
          <w:rFonts w:cstheme="minorHAnsi"/>
          <w:lang w:val="en-MY"/>
        </w:rPr>
        <w:t>Evaluation Objectives</w:t>
      </w:r>
      <w:bookmarkEnd w:id="5"/>
      <w:r w:rsidRPr="008719B9">
        <w:rPr>
          <w:rFonts w:cstheme="minorHAnsi"/>
          <w:lang w:val="en-MY"/>
        </w:rPr>
        <w:t xml:space="preserve"> </w:t>
      </w:r>
    </w:p>
    <w:p w14:paraId="2FA11241" w14:textId="22167473" w:rsidR="007643EC" w:rsidRDefault="007643EC" w:rsidP="007643EC">
      <w:pPr>
        <w:jc w:val="both"/>
        <w:rPr>
          <w:rFonts w:cstheme="minorHAnsi"/>
          <w:lang w:val="en-MY" w:eastAsia="en-AU"/>
        </w:rPr>
      </w:pPr>
      <w:r w:rsidRPr="006B455E">
        <w:rPr>
          <w:rFonts w:cstheme="minorHAnsi"/>
          <w:lang w:val="en-MY" w:eastAsia="en-AU"/>
        </w:rPr>
        <w:t>A set of specific evaluation objectives were defined by NIAA for inclusion in the evaluation’s</w:t>
      </w:r>
      <w:r>
        <w:rPr>
          <w:rFonts w:cstheme="minorHAnsi"/>
          <w:lang w:val="en-MY" w:eastAsia="en-AU"/>
        </w:rPr>
        <w:t xml:space="preserve"> terms of reference,</w:t>
      </w:r>
      <w:r>
        <w:rPr>
          <w:rStyle w:val="FootnoteReference"/>
          <w:lang w:val="en-MY" w:eastAsia="en-AU"/>
        </w:rPr>
        <w:footnoteReference w:id="3"/>
      </w:r>
      <w:r>
        <w:rPr>
          <w:rFonts w:cstheme="minorHAnsi"/>
          <w:lang w:val="en-MY" w:eastAsia="en-AU"/>
        </w:rPr>
        <w:t xml:space="preserve"> </w:t>
      </w:r>
      <w:r w:rsidR="001D3FEE">
        <w:rPr>
          <w:rFonts w:cstheme="minorHAnsi"/>
          <w:lang w:val="en-MY" w:eastAsia="en-AU"/>
        </w:rPr>
        <w:t xml:space="preserve">and </w:t>
      </w:r>
      <w:r>
        <w:rPr>
          <w:rFonts w:cstheme="minorHAnsi"/>
          <w:lang w:val="en-MY" w:eastAsia="en-AU"/>
        </w:rPr>
        <w:t>which</w:t>
      </w:r>
      <w:r>
        <w:rPr>
          <w:lang w:val="en-MY" w:eastAsia="en-AU"/>
        </w:rPr>
        <w:t xml:space="preserve"> </w:t>
      </w:r>
      <w:r w:rsidRPr="006B455E">
        <w:rPr>
          <w:rFonts w:cstheme="minorHAnsi"/>
          <w:lang w:val="en-MY" w:eastAsia="en-AU"/>
        </w:rPr>
        <w:t xml:space="preserve">can be summarised </w:t>
      </w:r>
      <w:r w:rsidR="001D3FEE">
        <w:rPr>
          <w:rFonts w:cstheme="minorHAnsi"/>
          <w:lang w:val="en-MY" w:eastAsia="en-AU"/>
        </w:rPr>
        <w:t>as follows</w:t>
      </w:r>
      <w:r w:rsidRPr="006B455E">
        <w:rPr>
          <w:rFonts w:cstheme="minorHAnsi"/>
          <w:lang w:val="en-MY" w:eastAsia="en-AU"/>
        </w:rPr>
        <w:t>:</w:t>
      </w:r>
    </w:p>
    <w:p w14:paraId="51461277" w14:textId="77777777" w:rsidR="007643EC" w:rsidRPr="006B455E" w:rsidRDefault="007643EC" w:rsidP="007643EC">
      <w:pPr>
        <w:jc w:val="both"/>
        <w:rPr>
          <w:rFonts w:cstheme="minorHAnsi"/>
          <w:lang w:val="en-MY" w:eastAsia="en-AU"/>
        </w:rPr>
      </w:pPr>
    </w:p>
    <w:p w14:paraId="7F20BAD1" w14:textId="6677AAC1" w:rsidR="007643EC" w:rsidRDefault="007643EC" w:rsidP="00B77817">
      <w:pPr>
        <w:pStyle w:val="ListParagraph"/>
        <w:numPr>
          <w:ilvl w:val="0"/>
          <w:numId w:val="51"/>
        </w:numPr>
        <w:jc w:val="both"/>
        <w:rPr>
          <w:rFonts w:cstheme="minorHAnsi"/>
          <w:lang w:val="en-MY" w:eastAsia="en-AU"/>
        </w:rPr>
      </w:pPr>
      <w:r w:rsidRPr="00BA79E1">
        <w:rPr>
          <w:rFonts w:cstheme="minorHAnsi"/>
          <w:lang w:val="en-MY" w:eastAsia="en-AU"/>
        </w:rPr>
        <w:t>To assess whether the current design and implementation of the ATC and YTC models is operating as intended, to effectively support clients with their re</w:t>
      </w:r>
      <w:r w:rsidR="001D3FEE">
        <w:rPr>
          <w:rFonts w:cstheme="minorHAnsi"/>
          <w:lang w:val="en-MY" w:eastAsia="en-AU"/>
        </w:rPr>
        <w:t>-</w:t>
      </w:r>
      <w:r w:rsidRPr="00BA79E1">
        <w:rPr>
          <w:rFonts w:cstheme="minorHAnsi"/>
          <w:lang w:val="en-MY" w:eastAsia="en-AU"/>
        </w:rPr>
        <w:t>integration journey in partnership with family and kin, and other supportive stakeholders.</w:t>
      </w:r>
    </w:p>
    <w:p w14:paraId="277F2D93" w14:textId="77777777" w:rsidR="00724A23" w:rsidRPr="00A169E3" w:rsidRDefault="00724A23" w:rsidP="00724A23">
      <w:pPr>
        <w:pStyle w:val="ListParagraph"/>
        <w:jc w:val="both"/>
        <w:rPr>
          <w:rFonts w:cstheme="minorHAnsi"/>
          <w:lang w:val="en-MY" w:eastAsia="en-AU"/>
        </w:rPr>
      </w:pPr>
    </w:p>
    <w:p w14:paraId="4CE3089A" w14:textId="137DB901" w:rsidR="007643EC" w:rsidRDefault="007643EC" w:rsidP="00B77817">
      <w:pPr>
        <w:pStyle w:val="ListParagraph"/>
        <w:numPr>
          <w:ilvl w:val="0"/>
          <w:numId w:val="51"/>
        </w:numPr>
        <w:jc w:val="both"/>
        <w:rPr>
          <w:rFonts w:cstheme="minorHAnsi"/>
          <w:lang w:val="en-MY" w:eastAsia="en-AU"/>
        </w:rPr>
      </w:pPr>
      <w:r w:rsidRPr="00BA79E1">
        <w:rPr>
          <w:rFonts w:cstheme="minorHAnsi"/>
          <w:lang w:val="en-MY" w:eastAsia="en-AU"/>
        </w:rPr>
        <w:t>To assess whether the ATC and YTC models, as currently implemented, have improved outcomes for clients, which are likely to reduce repeated offending and recidivism.</w:t>
      </w:r>
    </w:p>
    <w:p w14:paraId="1BB74B2B" w14:textId="77777777" w:rsidR="00724A23" w:rsidRPr="00724A23" w:rsidRDefault="00724A23" w:rsidP="00724A23">
      <w:pPr>
        <w:jc w:val="both"/>
        <w:rPr>
          <w:rFonts w:cstheme="minorHAnsi"/>
          <w:lang w:val="en-MY" w:eastAsia="en-AU"/>
        </w:rPr>
      </w:pPr>
    </w:p>
    <w:p w14:paraId="3CCDD81C" w14:textId="77777777" w:rsidR="007643EC" w:rsidRDefault="007643EC" w:rsidP="00B77817">
      <w:pPr>
        <w:pStyle w:val="ListParagraph"/>
        <w:numPr>
          <w:ilvl w:val="0"/>
          <w:numId w:val="51"/>
        </w:numPr>
        <w:jc w:val="both"/>
        <w:rPr>
          <w:rFonts w:cstheme="minorHAnsi"/>
          <w:lang w:val="en-MY" w:eastAsia="en-AU"/>
        </w:rPr>
      </w:pPr>
      <w:r w:rsidRPr="00BA79E1">
        <w:rPr>
          <w:rFonts w:cstheme="minorHAnsi"/>
          <w:lang w:val="en-MY" w:eastAsia="en-AU"/>
        </w:rPr>
        <w:t>To undertake associated research and analysis to inform program model frameworks and how the programs can be improved, considering those elements of service delivery that work, implementation challenges and gaps, and those elements that require further strengthening.</w:t>
      </w:r>
    </w:p>
    <w:p w14:paraId="3FE86DAF" w14:textId="77777777" w:rsidR="007643EC" w:rsidRDefault="007643EC" w:rsidP="007643EC">
      <w:pPr>
        <w:jc w:val="both"/>
        <w:rPr>
          <w:rFonts w:cstheme="minorHAnsi"/>
          <w:lang w:val="en-MY" w:eastAsia="en-AU"/>
        </w:rPr>
      </w:pPr>
    </w:p>
    <w:p w14:paraId="52C49F4D" w14:textId="79B71436" w:rsidR="007643EC" w:rsidRPr="006B455E" w:rsidRDefault="007643EC" w:rsidP="007643EC">
      <w:pPr>
        <w:jc w:val="both"/>
        <w:rPr>
          <w:rFonts w:cstheme="minorHAnsi"/>
          <w:lang w:val="en-MY" w:eastAsia="en-AU"/>
        </w:rPr>
      </w:pPr>
      <w:r w:rsidRPr="00BA79E1">
        <w:rPr>
          <w:rFonts w:cstheme="minorHAnsi"/>
          <w:lang w:val="en-MY" w:eastAsia="en-AU"/>
        </w:rPr>
        <w:t xml:space="preserve">These </w:t>
      </w:r>
      <w:r>
        <w:rPr>
          <w:rFonts w:cstheme="minorHAnsi"/>
          <w:lang w:val="en-MY" w:eastAsia="en-AU"/>
        </w:rPr>
        <w:t>objectives cons</w:t>
      </w:r>
      <w:r w:rsidR="00A169E3">
        <w:rPr>
          <w:rFonts w:cstheme="minorHAnsi"/>
          <w:lang w:val="en-MY" w:eastAsia="en-AU"/>
        </w:rPr>
        <w:t>titute a</w:t>
      </w:r>
      <w:r>
        <w:rPr>
          <w:rFonts w:cstheme="minorHAnsi"/>
          <w:lang w:val="en-MY" w:eastAsia="en-AU"/>
        </w:rPr>
        <w:t xml:space="preserve"> </w:t>
      </w:r>
      <w:r w:rsidRPr="00BA79E1">
        <w:rPr>
          <w:rFonts w:cstheme="minorHAnsi"/>
          <w:lang w:val="en-MY" w:eastAsia="en-AU"/>
        </w:rPr>
        <w:t xml:space="preserve">formative assessment of </w:t>
      </w:r>
      <w:r>
        <w:rPr>
          <w:rFonts w:cstheme="minorHAnsi"/>
          <w:lang w:val="en-MY" w:eastAsia="en-AU"/>
        </w:rPr>
        <w:t xml:space="preserve">IAS funded </w:t>
      </w:r>
      <w:r w:rsidRPr="00BA79E1">
        <w:rPr>
          <w:rFonts w:cstheme="minorHAnsi"/>
          <w:lang w:val="en-MY" w:eastAsia="en-AU"/>
        </w:rPr>
        <w:t>through-care services in the early life-cycle</w:t>
      </w:r>
      <w:r>
        <w:rPr>
          <w:rFonts w:cstheme="minorHAnsi"/>
          <w:lang w:val="en-MY" w:eastAsia="en-AU"/>
        </w:rPr>
        <w:t>s</w:t>
      </w:r>
      <w:r w:rsidRPr="00BA79E1">
        <w:rPr>
          <w:rFonts w:cstheme="minorHAnsi"/>
          <w:lang w:val="en-MY" w:eastAsia="en-AU"/>
        </w:rPr>
        <w:t xml:space="preserve"> of the program</w:t>
      </w:r>
      <w:r>
        <w:rPr>
          <w:rFonts w:cstheme="minorHAnsi"/>
          <w:lang w:val="en-MY" w:eastAsia="en-AU"/>
        </w:rPr>
        <w:t>s</w:t>
      </w:r>
      <w:r w:rsidRPr="00BA79E1">
        <w:rPr>
          <w:rFonts w:cstheme="minorHAnsi"/>
          <w:lang w:val="en-MY" w:eastAsia="en-AU"/>
        </w:rPr>
        <w:t xml:space="preserve">, with an emphasis on process – </w:t>
      </w:r>
      <w:r w:rsidRPr="00934A29">
        <w:rPr>
          <w:rFonts w:cstheme="minorHAnsi"/>
          <w:i/>
          <w:iCs/>
          <w:lang w:val="en-MY" w:eastAsia="en-AU"/>
        </w:rPr>
        <w:t>over, but not to the exclusion of</w:t>
      </w:r>
      <w:r w:rsidRPr="00BA79E1">
        <w:rPr>
          <w:rFonts w:cstheme="minorHAnsi"/>
          <w:lang w:val="en-MY" w:eastAsia="en-AU"/>
        </w:rPr>
        <w:t xml:space="preserve"> - outcomes.</w:t>
      </w:r>
      <w:r>
        <w:rPr>
          <w:rFonts w:cstheme="minorHAnsi"/>
          <w:lang w:val="en-MY" w:eastAsia="en-AU"/>
        </w:rPr>
        <w:t xml:space="preserve"> </w:t>
      </w:r>
    </w:p>
    <w:p w14:paraId="5C2026CF" w14:textId="77777777" w:rsidR="007643EC" w:rsidRPr="008719B9" w:rsidRDefault="007643EC" w:rsidP="007643EC">
      <w:pPr>
        <w:pStyle w:val="Heading2"/>
        <w:rPr>
          <w:rFonts w:cstheme="minorHAnsi"/>
          <w:lang w:val="en-MY"/>
        </w:rPr>
      </w:pPr>
      <w:bookmarkStart w:id="6" w:name="_Toc150784181"/>
      <w:r w:rsidRPr="008719B9">
        <w:rPr>
          <w:rFonts w:cstheme="minorHAnsi"/>
          <w:lang w:val="en-MY"/>
        </w:rPr>
        <w:t>Evaluation Research Questions</w:t>
      </w:r>
      <w:bookmarkEnd w:id="6"/>
    </w:p>
    <w:p w14:paraId="587DCB3C" w14:textId="7B8CC9C8" w:rsidR="007643EC" w:rsidRDefault="007643EC" w:rsidP="007643EC">
      <w:pPr>
        <w:jc w:val="both"/>
        <w:rPr>
          <w:rFonts w:cstheme="minorHAnsi"/>
          <w:lang w:val="en-MY" w:eastAsia="en-AU"/>
        </w:rPr>
      </w:pPr>
      <w:r w:rsidRPr="00BA79E1">
        <w:rPr>
          <w:rFonts w:cstheme="minorHAnsi"/>
          <w:lang w:val="en-MY" w:eastAsia="en-AU"/>
        </w:rPr>
        <w:t xml:space="preserve">Evaluation questions and sub-questions </w:t>
      </w:r>
      <w:r>
        <w:rPr>
          <w:rFonts w:cstheme="minorHAnsi"/>
          <w:lang w:val="en-MY" w:eastAsia="en-AU"/>
        </w:rPr>
        <w:t>aligned to</w:t>
      </w:r>
      <w:r w:rsidRPr="00BA79E1">
        <w:rPr>
          <w:rFonts w:cstheme="minorHAnsi"/>
          <w:lang w:val="en-MY" w:eastAsia="en-AU"/>
        </w:rPr>
        <w:t xml:space="preserve"> the</w:t>
      </w:r>
      <w:r>
        <w:rPr>
          <w:rFonts w:cstheme="minorHAnsi"/>
          <w:lang w:val="en-MY" w:eastAsia="en-AU"/>
        </w:rPr>
        <w:t xml:space="preserve"> evaluation objectives</w:t>
      </w:r>
      <w:r w:rsidRPr="00BA79E1">
        <w:rPr>
          <w:rFonts w:cstheme="minorHAnsi"/>
          <w:lang w:val="en-MY" w:eastAsia="en-AU"/>
        </w:rPr>
        <w:t xml:space="preserve"> were </w:t>
      </w:r>
      <w:r>
        <w:rPr>
          <w:rFonts w:cstheme="minorHAnsi"/>
          <w:lang w:val="en-MY" w:eastAsia="en-AU"/>
        </w:rPr>
        <w:t xml:space="preserve">prepared </w:t>
      </w:r>
      <w:r w:rsidRPr="00BA79E1">
        <w:rPr>
          <w:rFonts w:cstheme="minorHAnsi"/>
          <w:lang w:val="en-MY" w:eastAsia="en-AU"/>
        </w:rPr>
        <w:t>by NIAA for the purposes of the ATM</w:t>
      </w:r>
      <w:r>
        <w:rPr>
          <w:rFonts w:cstheme="minorHAnsi"/>
          <w:lang w:val="en-MY" w:eastAsia="en-AU"/>
        </w:rPr>
        <w:t xml:space="preserve"> and subsequent terms of reference</w:t>
      </w:r>
      <w:r w:rsidRPr="00BA79E1">
        <w:rPr>
          <w:rFonts w:cstheme="minorHAnsi"/>
          <w:lang w:val="en-MY" w:eastAsia="en-AU"/>
        </w:rPr>
        <w:t xml:space="preserve">. Details of how these research questions align to the evaluation research methods and data sources </w:t>
      </w:r>
      <w:r w:rsidR="001D3FEE">
        <w:rPr>
          <w:rFonts w:cstheme="minorHAnsi"/>
          <w:lang w:val="en-MY" w:eastAsia="en-AU"/>
        </w:rPr>
        <w:t xml:space="preserve">used, </w:t>
      </w:r>
      <w:r w:rsidRPr="00BA79E1">
        <w:rPr>
          <w:rFonts w:cstheme="minorHAnsi"/>
          <w:lang w:val="en-MY" w:eastAsia="en-AU"/>
        </w:rPr>
        <w:t>are provided in a</w:t>
      </w:r>
      <w:r>
        <w:rPr>
          <w:rFonts w:cstheme="minorHAnsi"/>
          <w:lang w:val="en-MY" w:eastAsia="en-AU"/>
        </w:rPr>
        <w:t>n Evaluation</w:t>
      </w:r>
      <w:r w:rsidRPr="00BA79E1">
        <w:rPr>
          <w:rFonts w:cstheme="minorHAnsi"/>
          <w:lang w:val="en-MY" w:eastAsia="en-AU"/>
        </w:rPr>
        <w:t xml:space="preserve"> </w:t>
      </w:r>
      <w:r>
        <w:rPr>
          <w:rFonts w:cstheme="minorHAnsi"/>
          <w:lang w:val="en-MY" w:eastAsia="en-AU"/>
        </w:rPr>
        <w:t>D</w:t>
      </w:r>
      <w:r w:rsidRPr="00BA79E1">
        <w:rPr>
          <w:rFonts w:cstheme="minorHAnsi"/>
          <w:lang w:val="en-MY" w:eastAsia="en-AU"/>
        </w:rPr>
        <w:t xml:space="preserve">ata </w:t>
      </w:r>
      <w:r>
        <w:rPr>
          <w:rFonts w:cstheme="minorHAnsi"/>
          <w:lang w:val="en-MY" w:eastAsia="en-AU"/>
        </w:rPr>
        <w:t>M</w:t>
      </w:r>
      <w:r w:rsidRPr="00BA79E1">
        <w:rPr>
          <w:rFonts w:cstheme="minorHAnsi"/>
          <w:lang w:val="en-MY" w:eastAsia="en-AU"/>
        </w:rPr>
        <w:t xml:space="preserve">atrix at </w:t>
      </w:r>
      <w:r>
        <w:rPr>
          <w:rFonts w:cstheme="minorHAnsi"/>
          <w:lang w:val="en-MY" w:eastAsia="en-AU"/>
        </w:rPr>
        <w:t>Appendix A.</w:t>
      </w:r>
    </w:p>
    <w:p w14:paraId="6CEA962F" w14:textId="77777777" w:rsidR="007643EC" w:rsidRDefault="007643EC" w:rsidP="007643EC">
      <w:pPr>
        <w:jc w:val="both"/>
        <w:rPr>
          <w:rFonts w:cstheme="minorHAnsi"/>
          <w:lang w:val="en-MY" w:eastAsia="en-AU"/>
        </w:rPr>
      </w:pPr>
    </w:p>
    <w:p w14:paraId="7E907DA9" w14:textId="1C84C478"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Design Appropriateness - </w:t>
      </w:r>
      <w:r w:rsidRPr="00054A38">
        <w:rPr>
          <w:rFonts w:cstheme="minorHAnsi"/>
          <w:lang w:val="en-MY" w:eastAsia="en-AU"/>
        </w:rPr>
        <w:t>How appropriate is the design of both the ATC and YTC models to meet the needs of clients and stakeholders? To what extent are the models strengths</w:t>
      </w:r>
      <w:r w:rsidR="001D3FEE" w:rsidRPr="00054A38">
        <w:rPr>
          <w:rFonts w:cstheme="minorHAnsi"/>
          <w:lang w:val="en-MY" w:eastAsia="en-AU"/>
        </w:rPr>
        <w:t>-</w:t>
      </w:r>
      <w:r w:rsidRPr="00054A38">
        <w:rPr>
          <w:rFonts w:cstheme="minorHAnsi"/>
          <w:lang w:val="en-MY" w:eastAsia="en-AU"/>
        </w:rPr>
        <w:t>based, culturally respectful and collaborative? To what extent does it represent an Indigenous approach?</w:t>
      </w:r>
    </w:p>
    <w:p w14:paraId="01DEC924" w14:textId="77777777" w:rsidR="007643EC" w:rsidRPr="00A169E3" w:rsidRDefault="007643EC" w:rsidP="00A169E3">
      <w:pPr>
        <w:jc w:val="both"/>
        <w:rPr>
          <w:rFonts w:cstheme="minorHAnsi"/>
          <w:lang w:val="en-MY" w:eastAsia="en-AU"/>
        </w:rPr>
      </w:pPr>
    </w:p>
    <w:p w14:paraId="0831AE84" w14:textId="5B3641EE"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Service </w:t>
      </w:r>
      <w:r w:rsidR="00E478C5" w:rsidRPr="00054A38">
        <w:rPr>
          <w:rFonts w:cstheme="minorHAnsi"/>
          <w:b/>
          <w:bCs/>
          <w:lang w:val="en-MY" w:eastAsia="en-AU"/>
        </w:rPr>
        <w:t xml:space="preserve">Collaboration and </w:t>
      </w:r>
      <w:r w:rsidRPr="00054A38">
        <w:rPr>
          <w:rFonts w:cstheme="minorHAnsi"/>
          <w:b/>
          <w:bCs/>
          <w:lang w:val="en-MY" w:eastAsia="en-AU"/>
        </w:rPr>
        <w:t xml:space="preserve">Duplication - </w:t>
      </w:r>
      <w:r w:rsidRPr="00054A38">
        <w:rPr>
          <w:rFonts w:cstheme="minorHAnsi"/>
          <w:lang w:val="en-MY" w:eastAsia="en-AU"/>
        </w:rPr>
        <w:t xml:space="preserve">How well do the ATC and YTC </w:t>
      </w:r>
      <w:r w:rsidR="001D3FEE" w:rsidRPr="00054A38">
        <w:rPr>
          <w:rFonts w:cstheme="minorHAnsi"/>
          <w:lang w:val="en-MY" w:eastAsia="en-AU"/>
        </w:rPr>
        <w:t>m</w:t>
      </w:r>
      <w:r w:rsidRPr="00054A38">
        <w:rPr>
          <w:rFonts w:cstheme="minorHAnsi"/>
          <w:lang w:val="en-MY" w:eastAsia="en-AU"/>
        </w:rPr>
        <w:t>odels work alongside other government and non-government service provision</w:t>
      </w:r>
      <w:r w:rsidR="001D3FEE" w:rsidRPr="00054A38">
        <w:rPr>
          <w:rFonts w:cstheme="minorHAnsi"/>
          <w:lang w:val="en-MY" w:eastAsia="en-AU"/>
        </w:rPr>
        <w:t>,</w:t>
      </w:r>
      <w:r w:rsidRPr="00054A38">
        <w:rPr>
          <w:rFonts w:cstheme="minorHAnsi"/>
          <w:lang w:val="en-MY" w:eastAsia="en-AU"/>
        </w:rPr>
        <w:t xml:space="preserve"> and are there areas of duplication? </w:t>
      </w:r>
    </w:p>
    <w:p w14:paraId="7500A3A4" w14:textId="77777777" w:rsidR="007643EC" w:rsidRDefault="007643EC" w:rsidP="007643EC">
      <w:pPr>
        <w:pStyle w:val="ListParagraph"/>
        <w:jc w:val="both"/>
        <w:rPr>
          <w:rFonts w:cstheme="minorHAnsi"/>
          <w:lang w:val="en-MY" w:eastAsia="en-AU"/>
        </w:rPr>
      </w:pPr>
    </w:p>
    <w:p w14:paraId="3492B26E" w14:textId="72F4547D"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Quality of Delivery - </w:t>
      </w:r>
      <w:r w:rsidRPr="00054A38">
        <w:rPr>
          <w:rFonts w:cstheme="minorHAnsi"/>
          <w:lang w:val="en-MY" w:eastAsia="en-AU"/>
        </w:rPr>
        <w:t>How well are the ATC and YTC models being delivered? What is working well</w:t>
      </w:r>
      <w:r w:rsidR="001D3FEE" w:rsidRPr="00054A38">
        <w:rPr>
          <w:rFonts w:cstheme="minorHAnsi"/>
          <w:lang w:val="en-MY" w:eastAsia="en-AU"/>
        </w:rPr>
        <w:t xml:space="preserve">, or </w:t>
      </w:r>
      <w:r w:rsidRPr="00054A38">
        <w:rPr>
          <w:rFonts w:cstheme="minorHAnsi"/>
          <w:lang w:val="en-MY" w:eastAsia="en-AU"/>
        </w:rPr>
        <w:t>less well</w:t>
      </w:r>
      <w:r w:rsidR="001D3FEE" w:rsidRPr="00054A38">
        <w:rPr>
          <w:rFonts w:cstheme="minorHAnsi"/>
          <w:lang w:val="en-MY" w:eastAsia="en-AU"/>
        </w:rPr>
        <w:t>,</w:t>
      </w:r>
      <w:r w:rsidRPr="00054A38">
        <w:rPr>
          <w:rFonts w:cstheme="minorHAnsi"/>
          <w:lang w:val="en-MY" w:eastAsia="en-AU"/>
        </w:rPr>
        <w:t xml:space="preserve"> for service providers and why? What are the enablers</w:t>
      </w:r>
      <w:r w:rsidR="001D3FEE" w:rsidRPr="00054A38">
        <w:rPr>
          <w:rFonts w:cstheme="minorHAnsi"/>
          <w:lang w:val="en-MY" w:eastAsia="en-AU"/>
        </w:rPr>
        <w:t xml:space="preserve">, or </w:t>
      </w:r>
      <w:r w:rsidRPr="00054A38">
        <w:rPr>
          <w:rFonts w:cstheme="minorHAnsi"/>
          <w:lang w:val="en-MY" w:eastAsia="en-AU"/>
        </w:rPr>
        <w:t>barriers</w:t>
      </w:r>
      <w:r w:rsidR="001D3FEE" w:rsidRPr="00054A38">
        <w:rPr>
          <w:rFonts w:cstheme="minorHAnsi"/>
          <w:lang w:val="en-MY" w:eastAsia="en-AU"/>
        </w:rPr>
        <w:t>,</w:t>
      </w:r>
      <w:r w:rsidRPr="00054A38">
        <w:rPr>
          <w:rFonts w:cstheme="minorHAnsi"/>
          <w:lang w:val="en-MY" w:eastAsia="en-AU"/>
        </w:rPr>
        <w:t xml:space="preserve"> to effective delivery of the ATC and YTC models? What gaps or opportunities could be addressed to improve service delivery and achieve program outcomes?</w:t>
      </w:r>
    </w:p>
    <w:p w14:paraId="7AD3F65B" w14:textId="77777777" w:rsidR="007643EC" w:rsidRDefault="007643EC" w:rsidP="007643EC">
      <w:pPr>
        <w:pStyle w:val="ListParagraph"/>
        <w:jc w:val="both"/>
        <w:rPr>
          <w:rFonts w:cstheme="minorHAnsi"/>
          <w:lang w:val="en-MY" w:eastAsia="en-AU"/>
        </w:rPr>
      </w:pPr>
    </w:p>
    <w:p w14:paraId="309EFD71" w14:textId="7D52AC0A"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Resource Use - </w:t>
      </w:r>
      <w:r w:rsidRPr="00054A38">
        <w:rPr>
          <w:rFonts w:cstheme="minorHAnsi"/>
          <w:lang w:val="en-MY" w:eastAsia="en-AU"/>
        </w:rPr>
        <w:t>Are resources being used effectively and efficiently to deliver the ATC and YTC models?</w:t>
      </w:r>
    </w:p>
    <w:p w14:paraId="5E6D9F9B" w14:textId="77777777" w:rsidR="007643EC" w:rsidRDefault="007643EC" w:rsidP="007643EC">
      <w:pPr>
        <w:pStyle w:val="ListParagraph"/>
        <w:jc w:val="both"/>
        <w:rPr>
          <w:rFonts w:cstheme="minorHAnsi"/>
          <w:lang w:val="en-MY" w:eastAsia="en-AU"/>
        </w:rPr>
      </w:pPr>
    </w:p>
    <w:p w14:paraId="2E90E90F" w14:textId="08E87469"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Making Improvements - </w:t>
      </w:r>
      <w:r w:rsidRPr="00054A38">
        <w:rPr>
          <w:rFonts w:cstheme="minorHAnsi"/>
          <w:lang w:val="en-MY" w:eastAsia="en-AU"/>
        </w:rPr>
        <w:t>How could the design and delivery of the ATC and YTC models be improved to better meet the needs of clients and stakeholders?</w:t>
      </w:r>
    </w:p>
    <w:p w14:paraId="08499F92" w14:textId="77777777" w:rsidR="007643EC" w:rsidRDefault="007643EC" w:rsidP="007643EC">
      <w:pPr>
        <w:pStyle w:val="ListParagraph"/>
        <w:jc w:val="both"/>
        <w:rPr>
          <w:rFonts w:cstheme="minorHAnsi"/>
          <w:lang w:val="en-MY" w:eastAsia="en-AU"/>
        </w:rPr>
      </w:pPr>
    </w:p>
    <w:p w14:paraId="0B7B6395" w14:textId="2A50EED9"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Achieving Outcomes - </w:t>
      </w:r>
      <w:r w:rsidRPr="00054A38">
        <w:rPr>
          <w:rFonts w:cstheme="minorHAnsi"/>
          <w:lang w:val="en-MY" w:eastAsia="en-AU"/>
        </w:rPr>
        <w:t>Are there any early indications of ATC and YTC models achieving medium and longer term outcomes</w:t>
      </w:r>
      <w:r w:rsidR="002020E8" w:rsidRPr="00054A38">
        <w:rPr>
          <w:rFonts w:cstheme="minorHAnsi"/>
          <w:lang w:val="en-MY" w:eastAsia="en-AU"/>
        </w:rPr>
        <w:t xml:space="preserve">, such as </w:t>
      </w:r>
      <w:r w:rsidRPr="00054A38">
        <w:rPr>
          <w:rFonts w:cstheme="minorHAnsi"/>
          <w:lang w:val="en-MY" w:eastAsia="en-AU"/>
        </w:rPr>
        <w:t>reduced recidivism, reduced severity of offending, or improved outcomes in protective factors?</w:t>
      </w:r>
    </w:p>
    <w:p w14:paraId="17A7FFCE" w14:textId="77777777" w:rsidR="007643EC" w:rsidRDefault="007643EC" w:rsidP="007643EC">
      <w:pPr>
        <w:pStyle w:val="ListParagraph"/>
        <w:jc w:val="both"/>
        <w:rPr>
          <w:rFonts w:cstheme="minorHAnsi"/>
          <w:lang w:val="en-MY" w:eastAsia="en-AU"/>
        </w:rPr>
      </w:pPr>
    </w:p>
    <w:p w14:paraId="230D4FEA" w14:textId="7162C012"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Unintended Consequences - </w:t>
      </w:r>
      <w:r w:rsidRPr="00054A38">
        <w:rPr>
          <w:rFonts w:cstheme="minorHAnsi"/>
          <w:lang w:val="en-MY" w:eastAsia="en-AU"/>
        </w:rPr>
        <w:t>Are there any unintended consequences associated with the delivery of the ATC and YTC Models?</w:t>
      </w:r>
    </w:p>
    <w:p w14:paraId="50BF81D3" w14:textId="77777777" w:rsidR="007643EC" w:rsidRDefault="007643EC" w:rsidP="007643EC">
      <w:pPr>
        <w:pStyle w:val="ListParagraph"/>
        <w:jc w:val="both"/>
        <w:rPr>
          <w:rFonts w:cstheme="minorHAnsi"/>
          <w:lang w:val="en-MY" w:eastAsia="en-AU"/>
        </w:rPr>
      </w:pPr>
    </w:p>
    <w:p w14:paraId="5DE44FDF" w14:textId="61C9CE69" w:rsidR="007643EC" w:rsidRPr="00054A38" w:rsidRDefault="007643EC" w:rsidP="00B77817">
      <w:pPr>
        <w:pStyle w:val="ListParagraph"/>
        <w:numPr>
          <w:ilvl w:val="0"/>
          <w:numId w:val="60"/>
        </w:numPr>
        <w:jc w:val="both"/>
        <w:rPr>
          <w:rFonts w:cstheme="minorHAnsi"/>
          <w:lang w:val="en-MY" w:eastAsia="en-AU"/>
        </w:rPr>
      </w:pPr>
      <w:r w:rsidRPr="00054A38">
        <w:rPr>
          <w:rFonts w:cstheme="minorHAnsi"/>
          <w:b/>
          <w:bCs/>
          <w:lang w:val="en-MY" w:eastAsia="en-AU"/>
        </w:rPr>
        <w:t xml:space="preserve">Data Requirements - </w:t>
      </w:r>
      <w:r w:rsidRPr="00054A38">
        <w:rPr>
          <w:rFonts w:cstheme="minorHAnsi"/>
          <w:lang w:val="en-MY" w:eastAsia="en-AU"/>
        </w:rPr>
        <w:t xml:space="preserve">To what extent do existing data collection and reporting meet the monitoring and evaluation needs of the ATC and YTC programs? What requirements are vital to inform a contribution to the National Agreement’s justice targets? </w:t>
      </w:r>
    </w:p>
    <w:p w14:paraId="1AD8FE26" w14:textId="77777777" w:rsidR="007643EC" w:rsidRPr="008719B9" w:rsidRDefault="007643EC" w:rsidP="007643EC">
      <w:pPr>
        <w:pStyle w:val="Heading2"/>
        <w:rPr>
          <w:rFonts w:cstheme="minorHAnsi"/>
          <w:lang w:val="en-MY"/>
        </w:rPr>
      </w:pPr>
      <w:bookmarkStart w:id="7" w:name="_Toc150784182"/>
      <w:r w:rsidRPr="008719B9">
        <w:rPr>
          <w:rFonts w:cstheme="minorHAnsi"/>
          <w:lang w:val="en-MY"/>
        </w:rPr>
        <w:t>Evaluation Scope</w:t>
      </w:r>
      <w:bookmarkEnd w:id="7"/>
      <w:r w:rsidRPr="008719B9">
        <w:rPr>
          <w:rFonts w:cstheme="minorHAnsi"/>
          <w:lang w:val="en-MY"/>
        </w:rPr>
        <w:t xml:space="preserve"> </w:t>
      </w:r>
    </w:p>
    <w:p w14:paraId="10EFC084" w14:textId="7F56D443" w:rsidR="00264AB7" w:rsidRDefault="00264AB7" w:rsidP="000824A9">
      <w:pPr>
        <w:jc w:val="both"/>
        <w:rPr>
          <w:rFonts w:cstheme="minorHAnsi"/>
          <w:lang w:val="en-MY" w:eastAsia="en-AU"/>
        </w:rPr>
      </w:pPr>
      <w:r w:rsidRPr="001B2179">
        <w:rPr>
          <w:rFonts w:cstheme="minorHAnsi"/>
          <w:lang w:val="en-MY" w:eastAsia="en-AU"/>
        </w:rPr>
        <w:t>The scope of the evaluation encompasses the activities of all</w:t>
      </w:r>
      <w:r w:rsidR="008D0BCD">
        <w:rPr>
          <w:rFonts w:cstheme="minorHAnsi"/>
          <w:lang w:val="en-MY" w:eastAsia="en-AU"/>
        </w:rPr>
        <w:t xml:space="preserve"> nine </w:t>
      </w:r>
      <w:r w:rsidRPr="001B2179">
        <w:rPr>
          <w:rFonts w:cstheme="minorHAnsi"/>
          <w:lang w:val="en-MY" w:eastAsia="en-AU"/>
        </w:rPr>
        <w:t xml:space="preserve">through-care services currently funded </w:t>
      </w:r>
      <w:r>
        <w:rPr>
          <w:rFonts w:cstheme="minorHAnsi"/>
          <w:lang w:val="en-MY" w:eastAsia="en-AU"/>
        </w:rPr>
        <w:t xml:space="preserve">through </w:t>
      </w:r>
      <w:r w:rsidRPr="001B2179">
        <w:rPr>
          <w:rFonts w:cstheme="minorHAnsi"/>
          <w:lang w:val="en-MY" w:eastAsia="en-AU"/>
        </w:rPr>
        <w:t xml:space="preserve">the IAS </w:t>
      </w:r>
      <w:r>
        <w:rPr>
          <w:rFonts w:cstheme="minorHAnsi"/>
          <w:lang w:val="en-MY" w:eastAsia="en-AU"/>
        </w:rPr>
        <w:t>since 2019</w:t>
      </w:r>
      <w:r w:rsidR="000824A9" w:rsidRPr="0020640D">
        <w:rPr>
          <w:rFonts w:cstheme="minorHAnsi"/>
          <w:lang w:val="en-MY" w:eastAsia="en-AU"/>
        </w:rPr>
        <w:t>.</w:t>
      </w:r>
      <w:r w:rsidR="000824A9">
        <w:rPr>
          <w:rFonts w:cstheme="minorHAnsi"/>
          <w:lang w:val="en-MY" w:eastAsia="en-AU"/>
        </w:rPr>
        <w:t xml:space="preserve"> </w:t>
      </w:r>
      <w:r w:rsidR="000824A9" w:rsidRPr="00F25FC1">
        <w:rPr>
          <w:rFonts w:cstheme="minorHAnsi"/>
          <w:lang w:val="en-MY" w:eastAsia="en-AU"/>
        </w:rPr>
        <w:t>Consultations and information gathering w</w:t>
      </w:r>
      <w:r w:rsidR="000824A9">
        <w:rPr>
          <w:rFonts w:cstheme="minorHAnsi"/>
          <w:lang w:val="en-MY" w:eastAsia="en-AU"/>
        </w:rPr>
        <w:t>as</w:t>
      </w:r>
      <w:r w:rsidR="000824A9" w:rsidRPr="00F25FC1">
        <w:rPr>
          <w:rFonts w:cstheme="minorHAnsi"/>
          <w:lang w:val="en-MY" w:eastAsia="en-AU"/>
        </w:rPr>
        <w:t xml:space="preserve"> undertaken </w:t>
      </w:r>
      <w:r w:rsidR="000824A9">
        <w:rPr>
          <w:rFonts w:cstheme="minorHAnsi"/>
          <w:lang w:val="en-MY" w:eastAsia="en-AU"/>
        </w:rPr>
        <w:t xml:space="preserve">by Keogh Bay </w:t>
      </w:r>
      <w:r w:rsidR="000824A9" w:rsidRPr="00F25FC1">
        <w:rPr>
          <w:rFonts w:cstheme="minorHAnsi"/>
          <w:lang w:val="en-MY" w:eastAsia="en-AU"/>
        </w:rPr>
        <w:t>on a jurisdiction</w:t>
      </w:r>
      <w:r w:rsidR="000824A9">
        <w:rPr>
          <w:rFonts w:cstheme="minorHAnsi"/>
          <w:lang w:val="en-MY" w:eastAsia="en-AU"/>
        </w:rPr>
        <w:t>-</w:t>
      </w:r>
      <w:r w:rsidR="000824A9" w:rsidRPr="00F25FC1">
        <w:rPr>
          <w:rFonts w:cstheme="minorHAnsi"/>
          <w:lang w:val="en-MY" w:eastAsia="en-AU"/>
        </w:rPr>
        <w:t>by</w:t>
      </w:r>
      <w:r w:rsidR="000824A9">
        <w:rPr>
          <w:rFonts w:cstheme="minorHAnsi"/>
          <w:lang w:val="en-MY" w:eastAsia="en-AU"/>
        </w:rPr>
        <w:t>-</w:t>
      </w:r>
      <w:r w:rsidR="000824A9" w:rsidRPr="00F25FC1">
        <w:rPr>
          <w:rFonts w:cstheme="minorHAnsi"/>
          <w:lang w:val="en-MY" w:eastAsia="en-AU"/>
        </w:rPr>
        <w:t>jurisdiction basis, with site visits to a total of 2</w:t>
      </w:r>
      <w:r w:rsidR="000824A9">
        <w:rPr>
          <w:rFonts w:cstheme="minorHAnsi"/>
          <w:lang w:val="en-MY" w:eastAsia="en-AU"/>
        </w:rPr>
        <w:t>1</w:t>
      </w:r>
      <w:r w:rsidR="000824A9" w:rsidRPr="00F25FC1">
        <w:rPr>
          <w:rFonts w:cstheme="minorHAnsi"/>
          <w:lang w:val="en-MY" w:eastAsia="en-AU"/>
        </w:rPr>
        <w:t xml:space="preserve"> service-</w:t>
      </w:r>
      <w:r w:rsidR="000824A9">
        <w:rPr>
          <w:rFonts w:cstheme="minorHAnsi"/>
          <w:lang w:val="en-MY" w:eastAsia="en-AU"/>
        </w:rPr>
        <w:t xml:space="preserve">delivery </w:t>
      </w:r>
      <w:r w:rsidR="00F03CD9">
        <w:rPr>
          <w:rFonts w:cstheme="minorHAnsi"/>
          <w:lang w:val="en-MY" w:eastAsia="en-AU"/>
        </w:rPr>
        <w:t>locations</w:t>
      </w:r>
      <w:r w:rsidR="000824A9">
        <w:rPr>
          <w:rFonts w:cstheme="minorHAnsi"/>
          <w:lang w:val="en-MY" w:eastAsia="en-AU"/>
        </w:rPr>
        <w:t xml:space="preserve"> </w:t>
      </w:r>
      <w:r w:rsidR="000824A9" w:rsidRPr="00F25FC1">
        <w:rPr>
          <w:rFonts w:cstheme="minorHAnsi"/>
          <w:lang w:val="en-MY" w:eastAsia="en-AU"/>
        </w:rPr>
        <w:t xml:space="preserve">across seven States and Territories. </w:t>
      </w:r>
      <w:r w:rsidR="00F03CD9">
        <w:rPr>
          <w:rFonts w:cstheme="minorHAnsi"/>
          <w:lang w:val="en-MY" w:eastAsia="en-AU"/>
        </w:rPr>
        <w:t>Given y</w:t>
      </w:r>
      <w:r w:rsidR="00551E19" w:rsidRPr="009B3E00">
        <w:rPr>
          <w:rFonts w:cstheme="minorHAnsi"/>
          <w:lang w:val="en-MY" w:eastAsia="en-AU"/>
        </w:rPr>
        <w:t xml:space="preserve">outh and </w:t>
      </w:r>
      <w:r w:rsidR="00F03CD9">
        <w:rPr>
          <w:rFonts w:cstheme="minorHAnsi"/>
          <w:lang w:val="en-MY" w:eastAsia="en-AU"/>
        </w:rPr>
        <w:t>a</w:t>
      </w:r>
      <w:r w:rsidR="00551E19" w:rsidRPr="009B3E00">
        <w:rPr>
          <w:rFonts w:cstheme="minorHAnsi"/>
          <w:lang w:val="en-MY" w:eastAsia="en-AU"/>
        </w:rPr>
        <w:t xml:space="preserve">dult programs are integrated within the management structures and practice frameworks of all services operating both programs, to avoid unnecessary duplication, </w:t>
      </w:r>
      <w:r w:rsidR="00551E19">
        <w:rPr>
          <w:rFonts w:cstheme="minorHAnsi"/>
          <w:lang w:val="en-MY" w:eastAsia="en-AU"/>
        </w:rPr>
        <w:t xml:space="preserve">general </w:t>
      </w:r>
      <w:r w:rsidR="00551E19" w:rsidRPr="009B3E00">
        <w:rPr>
          <w:rFonts w:cstheme="minorHAnsi"/>
          <w:lang w:val="en-MY" w:eastAsia="en-AU"/>
        </w:rPr>
        <w:t>findings and observations relatin</w:t>
      </w:r>
      <w:r w:rsidR="00551E19">
        <w:rPr>
          <w:rFonts w:cstheme="minorHAnsi"/>
          <w:lang w:val="en-MY" w:eastAsia="en-AU"/>
        </w:rPr>
        <w:t>g</w:t>
      </w:r>
      <w:r w:rsidR="00551E19" w:rsidRPr="009B3E00">
        <w:rPr>
          <w:rFonts w:cstheme="minorHAnsi"/>
          <w:lang w:val="en-MY" w:eastAsia="en-AU"/>
        </w:rPr>
        <w:t xml:space="preserve"> to both models are combined.</w:t>
      </w:r>
    </w:p>
    <w:p w14:paraId="589E2F32" w14:textId="77777777" w:rsidR="00F2296F" w:rsidRDefault="00F2296F" w:rsidP="000824A9">
      <w:pPr>
        <w:jc w:val="both"/>
        <w:rPr>
          <w:rFonts w:cstheme="minorHAnsi"/>
          <w:lang w:val="en-MY" w:eastAsia="en-AU"/>
        </w:rPr>
      </w:pPr>
    </w:p>
    <w:p w14:paraId="3433AD4B" w14:textId="0C2C8D69" w:rsidR="00F2296F" w:rsidRDefault="00F2296F" w:rsidP="00F2296F">
      <w:pPr>
        <w:jc w:val="both"/>
        <w:rPr>
          <w:rFonts w:cstheme="minorHAnsi"/>
          <w:lang w:val="en-MY" w:eastAsia="en-AU"/>
        </w:rPr>
      </w:pPr>
      <w:r w:rsidRPr="0020640D">
        <w:rPr>
          <w:rFonts w:cstheme="minorHAnsi"/>
          <w:lang w:val="en-MY" w:eastAsia="en-AU"/>
        </w:rPr>
        <w:t xml:space="preserve">Keogh Bay </w:t>
      </w:r>
      <w:r w:rsidR="006C6960">
        <w:rPr>
          <w:rFonts w:cstheme="minorHAnsi"/>
          <w:lang w:val="en-MY" w:eastAsia="en-AU"/>
        </w:rPr>
        <w:t xml:space="preserve">has </w:t>
      </w:r>
      <w:r w:rsidRPr="0020640D">
        <w:rPr>
          <w:rFonts w:cstheme="minorHAnsi"/>
          <w:lang w:val="en-MY" w:eastAsia="en-AU"/>
        </w:rPr>
        <w:t>use</w:t>
      </w:r>
      <w:r w:rsidR="006C6960">
        <w:rPr>
          <w:rFonts w:cstheme="minorHAnsi"/>
          <w:lang w:val="en-MY" w:eastAsia="en-AU"/>
        </w:rPr>
        <w:t>d</w:t>
      </w:r>
      <w:r w:rsidRPr="0020640D">
        <w:rPr>
          <w:rFonts w:cstheme="minorHAnsi"/>
          <w:lang w:val="en-MY" w:eastAsia="en-AU"/>
        </w:rPr>
        <w:t xml:space="preserve"> an integrated mixed methods approach to data collection and analysis, to obtain distinct but complementary data on the topics and issues covered by the evaluation’s research questions.</w:t>
      </w:r>
      <w:r>
        <w:rPr>
          <w:rFonts w:cstheme="minorHAnsi"/>
          <w:lang w:val="en-MY" w:eastAsia="en-AU"/>
        </w:rPr>
        <w:t xml:space="preserve"> </w:t>
      </w:r>
      <w:r w:rsidRPr="0020640D">
        <w:rPr>
          <w:rFonts w:cstheme="minorHAnsi"/>
          <w:lang w:val="en-MY" w:eastAsia="en-AU"/>
        </w:rPr>
        <w:t xml:space="preserve">Thematic and statistical analysis </w:t>
      </w:r>
      <w:r w:rsidR="006C6960">
        <w:rPr>
          <w:rFonts w:cstheme="minorHAnsi"/>
          <w:lang w:val="en-MY" w:eastAsia="en-AU"/>
        </w:rPr>
        <w:t>was undertaken</w:t>
      </w:r>
      <w:r w:rsidRPr="0020640D">
        <w:rPr>
          <w:rFonts w:cstheme="minorHAnsi"/>
          <w:lang w:val="en-MY" w:eastAsia="en-AU"/>
        </w:rPr>
        <w:t xml:space="preserve"> to explore the qualitative and quantitative data collected.</w:t>
      </w:r>
      <w:r>
        <w:rPr>
          <w:rFonts w:cstheme="minorHAnsi"/>
          <w:lang w:val="en-MY" w:eastAsia="en-AU"/>
        </w:rPr>
        <w:t xml:space="preserve"> With respect to quantitative data, this included initial </w:t>
      </w:r>
      <w:r w:rsidRPr="00942A5E">
        <w:rPr>
          <w:rFonts w:cstheme="minorHAnsi"/>
          <w:lang w:val="en-MY" w:eastAsia="en-AU"/>
        </w:rPr>
        <w:t xml:space="preserve">exploratory </w:t>
      </w:r>
      <w:r>
        <w:rPr>
          <w:rFonts w:cstheme="minorHAnsi"/>
          <w:lang w:val="en-MY" w:eastAsia="en-AU"/>
        </w:rPr>
        <w:t xml:space="preserve">analysis of Performance Reports </w:t>
      </w:r>
      <w:r w:rsidRPr="00942A5E">
        <w:rPr>
          <w:rFonts w:cstheme="minorHAnsi"/>
          <w:lang w:val="en-MY" w:eastAsia="en-AU"/>
        </w:rPr>
        <w:t>to identify any issues</w:t>
      </w:r>
      <w:r>
        <w:rPr>
          <w:rFonts w:cstheme="minorHAnsi"/>
          <w:lang w:val="en-MY" w:eastAsia="en-AU"/>
        </w:rPr>
        <w:t xml:space="preserve"> </w:t>
      </w:r>
      <w:r w:rsidRPr="00942A5E">
        <w:rPr>
          <w:rFonts w:cstheme="minorHAnsi"/>
          <w:lang w:val="en-MY" w:eastAsia="en-AU"/>
        </w:rPr>
        <w:t>with the underlying data</w:t>
      </w:r>
      <w:r>
        <w:rPr>
          <w:rFonts w:cstheme="minorHAnsi"/>
          <w:lang w:val="en-MY" w:eastAsia="en-AU"/>
        </w:rPr>
        <w:t>, followed by d</w:t>
      </w:r>
      <w:r w:rsidRPr="00942A5E">
        <w:rPr>
          <w:rFonts w:cstheme="minorHAnsi"/>
          <w:lang w:val="en-MY" w:eastAsia="en-AU"/>
        </w:rPr>
        <w:t xml:space="preserve">escriptive </w:t>
      </w:r>
      <w:r>
        <w:rPr>
          <w:rFonts w:cstheme="minorHAnsi"/>
          <w:lang w:val="en-MY" w:eastAsia="en-AU"/>
        </w:rPr>
        <w:t xml:space="preserve">statistical </w:t>
      </w:r>
      <w:r w:rsidRPr="00942A5E">
        <w:rPr>
          <w:rFonts w:cstheme="minorHAnsi"/>
          <w:lang w:val="en-MY" w:eastAsia="en-AU"/>
        </w:rPr>
        <w:t>analys</w:t>
      </w:r>
      <w:r>
        <w:rPr>
          <w:rFonts w:cstheme="minorHAnsi"/>
          <w:lang w:val="en-MY" w:eastAsia="en-AU"/>
        </w:rPr>
        <w:t xml:space="preserve">is </w:t>
      </w:r>
      <w:r w:rsidRPr="00942A5E">
        <w:rPr>
          <w:rFonts w:cstheme="minorHAnsi"/>
          <w:lang w:val="en-MY" w:eastAsia="en-AU"/>
        </w:rPr>
        <w:t xml:space="preserve">to understand the initial </w:t>
      </w:r>
      <w:r>
        <w:rPr>
          <w:rFonts w:cstheme="minorHAnsi"/>
          <w:lang w:val="en-MY" w:eastAsia="en-AU"/>
        </w:rPr>
        <w:t xml:space="preserve">data </w:t>
      </w:r>
      <w:r w:rsidRPr="00942A5E">
        <w:rPr>
          <w:rFonts w:cstheme="minorHAnsi"/>
          <w:lang w:val="en-MY" w:eastAsia="en-AU"/>
        </w:rPr>
        <w:t>outputs</w:t>
      </w:r>
      <w:r>
        <w:rPr>
          <w:rFonts w:cstheme="minorHAnsi"/>
          <w:lang w:val="en-MY" w:eastAsia="en-AU"/>
        </w:rPr>
        <w:t xml:space="preserve">. Where sufficient data was available, further </w:t>
      </w:r>
      <w:r w:rsidRPr="00942A5E">
        <w:rPr>
          <w:rFonts w:cstheme="minorHAnsi"/>
          <w:lang w:val="en-MY" w:eastAsia="en-AU"/>
        </w:rPr>
        <w:t>time</w:t>
      </w:r>
      <w:r>
        <w:rPr>
          <w:rFonts w:cstheme="minorHAnsi"/>
          <w:lang w:val="en-MY" w:eastAsia="en-AU"/>
        </w:rPr>
        <w:t>-</w:t>
      </w:r>
      <w:r w:rsidRPr="00942A5E">
        <w:rPr>
          <w:rFonts w:cstheme="minorHAnsi"/>
          <w:lang w:val="en-MY" w:eastAsia="en-AU"/>
        </w:rPr>
        <w:t xml:space="preserve">series </w:t>
      </w:r>
      <w:r>
        <w:rPr>
          <w:rFonts w:cstheme="minorHAnsi"/>
          <w:lang w:val="en-MY" w:eastAsia="en-AU"/>
        </w:rPr>
        <w:t xml:space="preserve">analysis was undertaken, with efforts </w:t>
      </w:r>
      <w:r w:rsidRPr="00942A5E">
        <w:rPr>
          <w:rFonts w:cstheme="minorHAnsi"/>
          <w:lang w:val="en-MY" w:eastAsia="en-AU"/>
        </w:rPr>
        <w:t>to contextualise data and make inferences with reference to publicly available data sources</w:t>
      </w:r>
      <w:r>
        <w:rPr>
          <w:rFonts w:cstheme="minorHAnsi"/>
          <w:lang w:val="en-MY" w:eastAsia="en-AU"/>
        </w:rPr>
        <w:t>. With respect to q</w:t>
      </w:r>
      <w:r w:rsidRPr="00942A5E">
        <w:rPr>
          <w:rFonts w:cstheme="minorHAnsi"/>
          <w:lang w:val="en-MY" w:eastAsia="en-AU"/>
        </w:rPr>
        <w:t>ualitative data</w:t>
      </w:r>
      <w:r>
        <w:rPr>
          <w:rFonts w:cstheme="minorHAnsi"/>
          <w:lang w:val="en-MY" w:eastAsia="en-AU"/>
        </w:rPr>
        <w:t xml:space="preserve"> from interviews, this was</w:t>
      </w:r>
      <w:r w:rsidRPr="00942A5E">
        <w:rPr>
          <w:rFonts w:cstheme="minorHAnsi"/>
          <w:lang w:val="en-MY" w:eastAsia="en-AU"/>
        </w:rPr>
        <w:t xml:space="preserve"> analysed thematically to identify patterns and key findings </w:t>
      </w:r>
      <w:r>
        <w:rPr>
          <w:rFonts w:cstheme="minorHAnsi"/>
          <w:lang w:val="en-MY" w:eastAsia="en-AU"/>
        </w:rPr>
        <w:t xml:space="preserve">using a </w:t>
      </w:r>
      <w:r w:rsidRPr="00942A5E">
        <w:rPr>
          <w:rFonts w:cstheme="minorHAnsi"/>
          <w:lang w:val="en-MY" w:eastAsia="en-AU"/>
        </w:rPr>
        <w:t>re</w:t>
      </w:r>
      <w:r>
        <w:rPr>
          <w:rFonts w:cstheme="minorHAnsi"/>
          <w:lang w:val="en-MY" w:eastAsia="en-AU"/>
        </w:rPr>
        <w:t>ference framework aligned to the evaluation data matrix at Appendix A and the relevant interview data collection tool</w:t>
      </w:r>
      <w:r w:rsidRPr="00942A5E">
        <w:rPr>
          <w:rFonts w:cstheme="minorHAnsi"/>
          <w:lang w:val="en-MY" w:eastAsia="en-AU"/>
        </w:rPr>
        <w:t>.</w:t>
      </w:r>
      <w:r>
        <w:rPr>
          <w:rFonts w:cstheme="minorHAnsi"/>
          <w:lang w:val="en-MY" w:eastAsia="en-AU"/>
        </w:rPr>
        <w:t xml:space="preserve"> The codes used in this framework were jointly</w:t>
      </w:r>
      <w:r w:rsidRPr="00802171">
        <w:rPr>
          <w:rFonts w:cstheme="minorHAnsi"/>
          <w:lang w:val="en-MY" w:eastAsia="en-AU"/>
        </w:rPr>
        <w:t xml:space="preserve"> developed by </w:t>
      </w:r>
      <w:r>
        <w:rPr>
          <w:rFonts w:cstheme="minorHAnsi"/>
          <w:lang w:val="en-MY" w:eastAsia="en-AU"/>
        </w:rPr>
        <w:t xml:space="preserve">the Keogh Bay </w:t>
      </w:r>
      <w:r w:rsidRPr="00802171">
        <w:rPr>
          <w:rFonts w:cstheme="minorHAnsi"/>
          <w:lang w:val="en-MY" w:eastAsia="en-AU"/>
        </w:rPr>
        <w:t>researchers involved</w:t>
      </w:r>
      <w:r>
        <w:rPr>
          <w:rFonts w:cstheme="minorHAnsi"/>
          <w:lang w:val="en-MY" w:eastAsia="en-AU"/>
        </w:rPr>
        <w:t xml:space="preserve"> in undertaking the research interviews, with notes from stakeholder interviews organised according to the underlying </w:t>
      </w:r>
      <w:r w:rsidRPr="00802171">
        <w:rPr>
          <w:rFonts w:cstheme="minorHAnsi"/>
          <w:lang w:val="en-MY" w:eastAsia="en-AU"/>
        </w:rPr>
        <w:t>framework.</w:t>
      </w:r>
      <w:r>
        <w:rPr>
          <w:rFonts w:cstheme="minorHAnsi"/>
          <w:lang w:val="en-MY" w:eastAsia="en-AU"/>
        </w:rPr>
        <w:t xml:space="preserve"> </w:t>
      </w:r>
    </w:p>
    <w:p w14:paraId="55C4F5A6" w14:textId="77777777" w:rsidR="00264AB7" w:rsidRDefault="00264AB7" w:rsidP="000824A9">
      <w:pPr>
        <w:jc w:val="both"/>
        <w:rPr>
          <w:rFonts w:cstheme="minorHAnsi"/>
          <w:lang w:val="en-MY" w:eastAsia="en-AU"/>
        </w:rPr>
      </w:pPr>
    </w:p>
    <w:p w14:paraId="5805BF1B" w14:textId="39B834B2" w:rsidR="00173DB7" w:rsidRDefault="00F2296F" w:rsidP="000824A9">
      <w:pPr>
        <w:jc w:val="both"/>
        <w:rPr>
          <w:rFonts w:cstheme="minorHAnsi"/>
          <w:lang w:val="en-MY" w:eastAsia="en-AU"/>
        </w:rPr>
      </w:pPr>
      <w:r>
        <w:rPr>
          <w:rFonts w:cstheme="minorHAnsi"/>
          <w:lang w:val="en-MY" w:eastAsia="en-AU"/>
        </w:rPr>
        <w:t>A broad range of s</w:t>
      </w:r>
      <w:r w:rsidR="000824A9" w:rsidRPr="00443C06">
        <w:rPr>
          <w:rFonts w:cstheme="minorHAnsi"/>
          <w:lang w:val="en-MY" w:eastAsia="en-AU"/>
        </w:rPr>
        <w:t>takeholder</w:t>
      </w:r>
      <w:r>
        <w:rPr>
          <w:rFonts w:cstheme="minorHAnsi"/>
          <w:lang w:val="en-MY" w:eastAsia="en-AU"/>
        </w:rPr>
        <w:t>s</w:t>
      </w:r>
      <w:r w:rsidR="000824A9" w:rsidRPr="00443C06">
        <w:rPr>
          <w:rFonts w:cstheme="minorHAnsi"/>
          <w:lang w:val="en-MY" w:eastAsia="en-AU"/>
        </w:rPr>
        <w:t xml:space="preserve"> </w:t>
      </w:r>
      <w:r>
        <w:rPr>
          <w:rFonts w:cstheme="minorHAnsi"/>
          <w:lang w:val="en-MY" w:eastAsia="en-AU"/>
        </w:rPr>
        <w:t xml:space="preserve">were </w:t>
      </w:r>
      <w:r w:rsidR="000824A9" w:rsidRPr="00443C06">
        <w:rPr>
          <w:rFonts w:cstheme="minorHAnsi"/>
          <w:lang w:val="en-MY" w:eastAsia="en-AU"/>
        </w:rPr>
        <w:t>consult</w:t>
      </w:r>
      <w:r>
        <w:rPr>
          <w:rFonts w:cstheme="minorHAnsi"/>
          <w:lang w:val="en-MY" w:eastAsia="en-AU"/>
        </w:rPr>
        <w:t>ed</w:t>
      </w:r>
      <w:r w:rsidR="000824A9" w:rsidRPr="00443C06">
        <w:rPr>
          <w:rFonts w:cstheme="minorHAnsi"/>
          <w:lang w:val="en-MY" w:eastAsia="en-AU"/>
        </w:rPr>
        <w:t xml:space="preserve"> </w:t>
      </w:r>
      <w:r w:rsidR="00F03CD9">
        <w:rPr>
          <w:rFonts w:cstheme="minorHAnsi"/>
          <w:lang w:val="en-MY" w:eastAsia="en-AU"/>
        </w:rPr>
        <w:t xml:space="preserve">at each </w:t>
      </w:r>
      <w:r>
        <w:rPr>
          <w:rFonts w:cstheme="minorHAnsi"/>
          <w:lang w:val="en-MY" w:eastAsia="en-AU"/>
        </w:rPr>
        <w:t xml:space="preserve">service delivery </w:t>
      </w:r>
      <w:r w:rsidR="000824A9" w:rsidRPr="00443C06">
        <w:rPr>
          <w:rFonts w:cstheme="minorHAnsi"/>
          <w:lang w:val="en-MY" w:eastAsia="en-AU"/>
        </w:rPr>
        <w:t>location</w:t>
      </w:r>
      <w:r>
        <w:rPr>
          <w:rFonts w:cstheme="minorHAnsi"/>
          <w:lang w:val="en-MY" w:eastAsia="en-AU"/>
        </w:rPr>
        <w:t>, including:</w:t>
      </w:r>
    </w:p>
    <w:p w14:paraId="2FAE40AE" w14:textId="143B42AF" w:rsidR="000824A9" w:rsidRPr="00443C06" w:rsidRDefault="000824A9" w:rsidP="000824A9">
      <w:pPr>
        <w:jc w:val="both"/>
        <w:rPr>
          <w:rFonts w:cstheme="minorHAnsi"/>
          <w:lang w:val="en-MY" w:eastAsia="en-AU"/>
        </w:rPr>
      </w:pPr>
    </w:p>
    <w:p w14:paraId="4AF42243" w14:textId="1E650AFD" w:rsidR="000824A9" w:rsidRDefault="00D22506" w:rsidP="00B77817">
      <w:pPr>
        <w:pStyle w:val="ListParagraph"/>
        <w:numPr>
          <w:ilvl w:val="0"/>
          <w:numId w:val="52"/>
        </w:numPr>
        <w:jc w:val="both"/>
        <w:rPr>
          <w:rFonts w:cstheme="minorHAnsi"/>
          <w:lang w:val="en-MY" w:eastAsia="en-AU"/>
        </w:rPr>
      </w:pPr>
      <w:r>
        <w:rPr>
          <w:rFonts w:cstheme="minorHAnsi"/>
          <w:lang w:val="en-MY" w:eastAsia="en-AU"/>
        </w:rPr>
        <w:t>Eighty-seven s</w:t>
      </w:r>
      <w:r w:rsidR="000824A9" w:rsidRPr="003B75A9">
        <w:rPr>
          <w:rFonts w:cstheme="minorHAnsi"/>
          <w:lang w:val="en-MY" w:eastAsia="en-AU"/>
        </w:rPr>
        <w:t>emi-structured interviews with ATC and YTC service provider staff, including interviews with program management and through-care case workers and support staff</w:t>
      </w:r>
      <w:r w:rsidR="000824A9">
        <w:rPr>
          <w:rFonts w:cstheme="minorHAnsi"/>
          <w:lang w:val="en-MY" w:eastAsia="en-AU"/>
        </w:rPr>
        <w:t xml:space="preserve"> responsible for program implementation</w:t>
      </w:r>
      <w:r w:rsidR="000824A9" w:rsidRPr="003B75A9">
        <w:rPr>
          <w:rFonts w:cstheme="minorHAnsi"/>
          <w:lang w:val="en-MY" w:eastAsia="en-AU"/>
        </w:rPr>
        <w:t>.</w:t>
      </w:r>
    </w:p>
    <w:p w14:paraId="12D33005" w14:textId="77777777" w:rsidR="000824A9" w:rsidRPr="003B75A9" w:rsidRDefault="000824A9" w:rsidP="000824A9">
      <w:pPr>
        <w:pStyle w:val="ListParagraph"/>
        <w:jc w:val="both"/>
        <w:rPr>
          <w:rFonts w:cstheme="minorHAnsi"/>
          <w:lang w:val="en-MY" w:eastAsia="en-AU"/>
        </w:rPr>
      </w:pPr>
    </w:p>
    <w:p w14:paraId="4AE5F4D3" w14:textId="25634F59" w:rsidR="000824A9" w:rsidRDefault="00D22506" w:rsidP="00B77817">
      <w:pPr>
        <w:pStyle w:val="ListParagraph"/>
        <w:numPr>
          <w:ilvl w:val="0"/>
          <w:numId w:val="52"/>
        </w:numPr>
        <w:jc w:val="both"/>
        <w:rPr>
          <w:rFonts w:cstheme="minorHAnsi"/>
          <w:lang w:val="en-MY" w:eastAsia="en-AU"/>
        </w:rPr>
      </w:pPr>
      <w:r>
        <w:rPr>
          <w:rFonts w:cstheme="minorHAnsi"/>
          <w:lang w:val="en-MY" w:eastAsia="en-AU"/>
        </w:rPr>
        <w:t>Twelve s</w:t>
      </w:r>
      <w:r w:rsidR="000824A9" w:rsidRPr="003B75A9">
        <w:rPr>
          <w:rFonts w:cstheme="minorHAnsi"/>
          <w:lang w:val="en-MY" w:eastAsia="en-AU"/>
        </w:rPr>
        <w:t>emi-structured interviews with</w:t>
      </w:r>
      <w:r w:rsidR="000824A9">
        <w:rPr>
          <w:rFonts w:cstheme="minorHAnsi"/>
          <w:lang w:val="en-MY" w:eastAsia="en-AU"/>
        </w:rPr>
        <w:t xml:space="preserve"> </w:t>
      </w:r>
      <w:r w:rsidR="00F03CD9">
        <w:rPr>
          <w:rFonts w:cstheme="minorHAnsi"/>
          <w:lang w:val="en-MY" w:eastAsia="en-AU"/>
        </w:rPr>
        <w:t>c</w:t>
      </w:r>
      <w:r w:rsidR="000824A9" w:rsidRPr="003B75A9">
        <w:rPr>
          <w:rFonts w:cstheme="minorHAnsi"/>
          <w:lang w:val="en-MY" w:eastAsia="en-AU"/>
        </w:rPr>
        <w:t xml:space="preserve">orrectional </w:t>
      </w:r>
      <w:r w:rsidR="00F03CD9">
        <w:rPr>
          <w:rFonts w:cstheme="minorHAnsi"/>
          <w:lang w:val="en-MY" w:eastAsia="en-AU"/>
        </w:rPr>
        <w:t>s</w:t>
      </w:r>
      <w:r w:rsidR="000824A9" w:rsidRPr="003B75A9">
        <w:rPr>
          <w:rFonts w:cstheme="minorHAnsi"/>
          <w:lang w:val="en-MY" w:eastAsia="en-AU"/>
        </w:rPr>
        <w:t>ervices</w:t>
      </w:r>
      <w:r w:rsidR="00F03CD9">
        <w:rPr>
          <w:rFonts w:cstheme="minorHAnsi"/>
          <w:lang w:val="en-MY" w:eastAsia="en-AU"/>
        </w:rPr>
        <w:t xml:space="preserve"> </w:t>
      </w:r>
      <w:r w:rsidR="000824A9" w:rsidRPr="003B75A9">
        <w:rPr>
          <w:rFonts w:cstheme="minorHAnsi"/>
          <w:lang w:val="en-MY" w:eastAsia="en-AU"/>
        </w:rPr>
        <w:t>staff in each service location</w:t>
      </w:r>
      <w:r w:rsidR="000824A9">
        <w:rPr>
          <w:rFonts w:cstheme="minorHAnsi"/>
          <w:lang w:val="en-MY" w:eastAsia="en-AU"/>
        </w:rPr>
        <w:t>, including non-custodial program staff and community corrections</w:t>
      </w:r>
      <w:r w:rsidR="000824A9" w:rsidRPr="003B75A9">
        <w:rPr>
          <w:rFonts w:cstheme="minorHAnsi"/>
          <w:lang w:val="en-MY" w:eastAsia="en-AU"/>
        </w:rPr>
        <w:t>.</w:t>
      </w:r>
    </w:p>
    <w:p w14:paraId="72EE27A7" w14:textId="77777777" w:rsidR="000824A9" w:rsidRPr="003B75A9" w:rsidRDefault="000824A9" w:rsidP="000824A9">
      <w:pPr>
        <w:pStyle w:val="ListParagraph"/>
        <w:jc w:val="both"/>
        <w:rPr>
          <w:rFonts w:cstheme="minorHAnsi"/>
          <w:lang w:val="en-MY" w:eastAsia="en-AU"/>
        </w:rPr>
      </w:pPr>
    </w:p>
    <w:p w14:paraId="35742C2D" w14:textId="6DE7CF16" w:rsidR="000824A9" w:rsidRDefault="00D22506" w:rsidP="00B77817">
      <w:pPr>
        <w:pStyle w:val="ListParagraph"/>
        <w:numPr>
          <w:ilvl w:val="0"/>
          <w:numId w:val="52"/>
        </w:numPr>
        <w:jc w:val="both"/>
        <w:rPr>
          <w:rFonts w:cstheme="minorHAnsi"/>
          <w:lang w:val="en-MY" w:eastAsia="en-AU"/>
        </w:rPr>
      </w:pPr>
      <w:r>
        <w:rPr>
          <w:rFonts w:cstheme="minorHAnsi"/>
          <w:lang w:val="en-MY" w:eastAsia="en-AU"/>
        </w:rPr>
        <w:t>Eighty-six s</w:t>
      </w:r>
      <w:r w:rsidR="000824A9" w:rsidRPr="003B75A9">
        <w:rPr>
          <w:rFonts w:cstheme="minorHAnsi"/>
          <w:lang w:val="en-MY" w:eastAsia="en-AU"/>
        </w:rPr>
        <w:t>emi-structured interviews with through-care clients and their families</w:t>
      </w:r>
      <w:r w:rsidR="000824A9">
        <w:rPr>
          <w:rFonts w:cstheme="minorHAnsi"/>
          <w:lang w:val="en-MY" w:eastAsia="en-AU"/>
        </w:rPr>
        <w:t>, including a</w:t>
      </w:r>
      <w:r w:rsidR="000824A9" w:rsidRPr="003B75A9">
        <w:rPr>
          <w:rFonts w:cstheme="minorHAnsi"/>
          <w:lang w:val="en-MY" w:eastAsia="en-AU"/>
        </w:rPr>
        <w:t xml:space="preserve">ctive </w:t>
      </w:r>
      <w:r w:rsidR="000824A9">
        <w:rPr>
          <w:rFonts w:cstheme="minorHAnsi"/>
          <w:lang w:val="en-MY" w:eastAsia="en-AU"/>
        </w:rPr>
        <w:t xml:space="preserve">post-release </w:t>
      </w:r>
      <w:r w:rsidR="000824A9" w:rsidRPr="003B75A9">
        <w:rPr>
          <w:rFonts w:cstheme="minorHAnsi"/>
          <w:lang w:val="en-MY" w:eastAsia="en-AU"/>
        </w:rPr>
        <w:t>and recently exited clients of both programs.</w:t>
      </w:r>
    </w:p>
    <w:p w14:paraId="44CF9396" w14:textId="77777777" w:rsidR="000824A9" w:rsidRPr="003B75A9" w:rsidRDefault="000824A9" w:rsidP="000824A9">
      <w:pPr>
        <w:pStyle w:val="ListParagraph"/>
        <w:jc w:val="both"/>
        <w:rPr>
          <w:rFonts w:cstheme="minorHAnsi"/>
          <w:lang w:val="en-MY" w:eastAsia="en-AU"/>
        </w:rPr>
      </w:pPr>
    </w:p>
    <w:p w14:paraId="6A5DC824" w14:textId="6B35EFB9" w:rsidR="000824A9" w:rsidRDefault="000824A9" w:rsidP="00B77817">
      <w:pPr>
        <w:pStyle w:val="ListParagraph"/>
        <w:numPr>
          <w:ilvl w:val="0"/>
          <w:numId w:val="52"/>
        </w:numPr>
        <w:jc w:val="both"/>
        <w:rPr>
          <w:rFonts w:cstheme="minorHAnsi"/>
          <w:lang w:val="en-MY" w:eastAsia="en-AU"/>
        </w:rPr>
      </w:pPr>
      <w:r w:rsidRPr="003B75A9">
        <w:rPr>
          <w:rFonts w:cstheme="minorHAnsi"/>
          <w:lang w:val="en-MY" w:eastAsia="en-AU"/>
        </w:rPr>
        <w:t>A survey of ATC and YTC third-party referral partners</w:t>
      </w:r>
      <w:r>
        <w:rPr>
          <w:rFonts w:cstheme="minorHAnsi"/>
          <w:lang w:val="en-MY" w:eastAsia="en-AU"/>
        </w:rPr>
        <w:t xml:space="preserve">, including representatives from </w:t>
      </w:r>
      <w:r w:rsidRPr="003B75A9">
        <w:rPr>
          <w:rFonts w:cstheme="minorHAnsi"/>
          <w:lang w:val="en-MY" w:eastAsia="en-AU"/>
        </w:rPr>
        <w:t>government, Aboriginal community controlled, and other not-for-profit</w:t>
      </w:r>
      <w:r>
        <w:rPr>
          <w:rFonts w:cstheme="minorHAnsi"/>
          <w:lang w:val="en-MY" w:eastAsia="en-AU"/>
        </w:rPr>
        <w:t xml:space="preserve"> organisations </w:t>
      </w:r>
      <w:r w:rsidRPr="003B75A9">
        <w:rPr>
          <w:rFonts w:cstheme="minorHAnsi"/>
          <w:lang w:val="en-MY" w:eastAsia="en-AU"/>
        </w:rPr>
        <w:t xml:space="preserve">providing </w:t>
      </w:r>
      <w:r w:rsidR="00F03CD9">
        <w:rPr>
          <w:rFonts w:cstheme="minorHAnsi"/>
          <w:lang w:val="en-MY" w:eastAsia="en-AU"/>
        </w:rPr>
        <w:t xml:space="preserve">secondary </w:t>
      </w:r>
      <w:r w:rsidRPr="003B75A9">
        <w:rPr>
          <w:rFonts w:cstheme="minorHAnsi"/>
          <w:lang w:val="en-MY" w:eastAsia="en-AU"/>
        </w:rPr>
        <w:t xml:space="preserve">support services in partnership with </w:t>
      </w:r>
      <w:r>
        <w:rPr>
          <w:rFonts w:cstheme="minorHAnsi"/>
          <w:lang w:val="en-MY" w:eastAsia="en-AU"/>
        </w:rPr>
        <w:t xml:space="preserve">through-care </w:t>
      </w:r>
      <w:r w:rsidRPr="003B75A9">
        <w:rPr>
          <w:rFonts w:cstheme="minorHAnsi"/>
          <w:lang w:val="en-MY" w:eastAsia="en-AU"/>
        </w:rPr>
        <w:t>service providers</w:t>
      </w:r>
      <w:r w:rsidR="00D22506">
        <w:rPr>
          <w:rFonts w:cstheme="minorHAnsi"/>
          <w:lang w:val="en-MY" w:eastAsia="en-AU"/>
        </w:rPr>
        <w:t>, totalling 73 responses</w:t>
      </w:r>
      <w:r w:rsidRPr="003B75A9">
        <w:rPr>
          <w:rFonts w:cstheme="minorHAnsi"/>
          <w:lang w:val="en-MY" w:eastAsia="en-AU"/>
        </w:rPr>
        <w:t>.</w:t>
      </w:r>
    </w:p>
    <w:p w14:paraId="2AD40770" w14:textId="77777777" w:rsidR="000824A9" w:rsidRDefault="000824A9" w:rsidP="000824A9">
      <w:pPr>
        <w:pStyle w:val="ListParagraph"/>
        <w:jc w:val="both"/>
        <w:rPr>
          <w:rFonts w:cstheme="minorHAnsi"/>
          <w:lang w:val="en-MY" w:eastAsia="en-AU"/>
        </w:rPr>
      </w:pPr>
    </w:p>
    <w:p w14:paraId="3B64DEEF" w14:textId="41CDA16F" w:rsidR="000824A9" w:rsidRDefault="000824A9" w:rsidP="00B77817">
      <w:pPr>
        <w:pStyle w:val="ListParagraph"/>
        <w:numPr>
          <w:ilvl w:val="0"/>
          <w:numId w:val="52"/>
        </w:numPr>
        <w:jc w:val="both"/>
        <w:rPr>
          <w:rFonts w:cstheme="minorHAnsi"/>
          <w:lang w:val="en-MY" w:eastAsia="en-AU"/>
        </w:rPr>
      </w:pPr>
      <w:r w:rsidRPr="00551E19">
        <w:rPr>
          <w:rFonts w:cstheme="minorHAnsi"/>
          <w:lang w:val="en-MY" w:eastAsia="en-AU"/>
        </w:rPr>
        <w:t>Desk-top research and analysis of program documentation, including a best-practice literature review</w:t>
      </w:r>
      <w:r w:rsidR="00F03CD9">
        <w:rPr>
          <w:rFonts w:cstheme="minorHAnsi"/>
          <w:lang w:val="en-MY" w:eastAsia="en-AU"/>
        </w:rPr>
        <w:t>,</w:t>
      </w:r>
      <w:r w:rsidRPr="00551E19">
        <w:rPr>
          <w:rFonts w:cstheme="minorHAnsi"/>
          <w:lang w:val="en-MY" w:eastAsia="en-AU"/>
        </w:rPr>
        <w:t xml:space="preserve"> and quantitative analysis of service provider program data gathered from performance reporting.</w:t>
      </w:r>
      <w:r w:rsidR="00264AB7" w:rsidRPr="00551E19">
        <w:rPr>
          <w:rFonts w:cstheme="minorHAnsi"/>
          <w:lang w:val="en-MY" w:eastAsia="en-AU"/>
        </w:rPr>
        <w:t xml:space="preserve"> </w:t>
      </w:r>
    </w:p>
    <w:p w14:paraId="2AD5FD15" w14:textId="77777777" w:rsidR="00551E19" w:rsidRPr="00551E19" w:rsidRDefault="00551E19" w:rsidP="00551E19">
      <w:pPr>
        <w:pStyle w:val="ListParagraph"/>
        <w:jc w:val="both"/>
        <w:rPr>
          <w:rFonts w:cstheme="minorHAnsi"/>
          <w:lang w:val="en-MY" w:eastAsia="en-AU"/>
        </w:rPr>
      </w:pPr>
    </w:p>
    <w:p w14:paraId="2489FAB3" w14:textId="38CEC464" w:rsidR="00551E19" w:rsidRPr="001B2179" w:rsidRDefault="00551E19" w:rsidP="00551E19">
      <w:pPr>
        <w:jc w:val="both"/>
        <w:rPr>
          <w:rFonts w:cstheme="minorHAnsi"/>
          <w:lang w:val="en-MY" w:eastAsia="en-AU"/>
        </w:rPr>
      </w:pPr>
      <w:r w:rsidRPr="001B2179">
        <w:rPr>
          <w:rFonts w:cstheme="minorHAnsi"/>
          <w:lang w:val="en-MY" w:eastAsia="en-AU"/>
        </w:rPr>
        <w:t xml:space="preserve">Research activities were developed in consultation with NIAA, including </w:t>
      </w:r>
      <w:r>
        <w:rPr>
          <w:rFonts w:cstheme="minorHAnsi"/>
          <w:lang w:val="en-MY" w:eastAsia="en-AU"/>
        </w:rPr>
        <w:t xml:space="preserve">in response to feedback provided by </w:t>
      </w:r>
      <w:r w:rsidRPr="001B2179">
        <w:rPr>
          <w:rFonts w:cstheme="minorHAnsi"/>
          <w:lang w:val="en-MY" w:eastAsia="en-AU"/>
        </w:rPr>
        <w:t>a</w:t>
      </w:r>
      <w:r>
        <w:rPr>
          <w:rFonts w:cstheme="minorHAnsi"/>
          <w:lang w:val="en-MY" w:eastAsia="en-AU"/>
        </w:rPr>
        <w:t xml:space="preserve"> project</w:t>
      </w:r>
      <w:r w:rsidRPr="001B2179">
        <w:rPr>
          <w:rFonts w:cstheme="minorHAnsi"/>
          <w:lang w:val="en-MY" w:eastAsia="en-AU"/>
        </w:rPr>
        <w:t xml:space="preserve"> Evaluation Advisory Group (EAG) and NIAA’s Indigenous Evaluation Committee (IEC). Through-care service providers were also informed regarding the evaluation’s design, with early contact made by Keogh Bay to introduce the project, discuss data collection methods and agree on respective roles and responsibilities. This has enabled the preparation of a suite of data collection methods</w:t>
      </w:r>
      <w:r>
        <w:rPr>
          <w:rFonts w:cstheme="minorHAnsi"/>
          <w:lang w:val="en-MY" w:eastAsia="en-AU"/>
        </w:rPr>
        <w:t xml:space="preserve"> </w:t>
      </w:r>
      <w:r w:rsidRPr="001B2179">
        <w:rPr>
          <w:rFonts w:cstheme="minorHAnsi"/>
          <w:lang w:val="en-MY" w:eastAsia="en-AU"/>
        </w:rPr>
        <w:t xml:space="preserve">that consider the history, operational contexts, current stakeholders, and types of data intended to be collected by service providers for each program. </w:t>
      </w:r>
      <w:r w:rsidR="00D22506">
        <w:rPr>
          <w:rFonts w:cstheme="minorHAnsi"/>
          <w:lang w:val="en-MY" w:eastAsia="en-AU"/>
        </w:rPr>
        <w:t>C</w:t>
      </w:r>
      <w:r w:rsidR="00D22506" w:rsidRPr="002D6EBD">
        <w:rPr>
          <w:rFonts w:cstheme="minorHAnsi"/>
          <w:lang w:val="en-MY" w:eastAsia="en-AU"/>
        </w:rPr>
        <w:t xml:space="preserve">opies of </w:t>
      </w:r>
      <w:r w:rsidR="00D22506">
        <w:rPr>
          <w:rFonts w:cstheme="minorHAnsi"/>
          <w:lang w:val="en-MY" w:eastAsia="en-AU"/>
        </w:rPr>
        <w:t xml:space="preserve">the data collection instruments are </w:t>
      </w:r>
      <w:r w:rsidR="00D22506" w:rsidRPr="002D6EBD">
        <w:rPr>
          <w:rFonts w:cstheme="minorHAnsi"/>
          <w:lang w:val="en-MY" w:eastAsia="en-AU"/>
        </w:rPr>
        <w:t>provided a</w:t>
      </w:r>
      <w:r w:rsidR="00D22506">
        <w:rPr>
          <w:rFonts w:cstheme="minorHAnsi"/>
          <w:lang w:val="en-MY" w:eastAsia="en-AU"/>
        </w:rPr>
        <w:t>t Appendix B.</w:t>
      </w:r>
    </w:p>
    <w:p w14:paraId="5C636F6E" w14:textId="77777777" w:rsidR="00551E19" w:rsidRDefault="00551E19" w:rsidP="00551E19">
      <w:pPr>
        <w:jc w:val="both"/>
        <w:rPr>
          <w:rFonts w:cstheme="minorHAnsi"/>
          <w:lang w:val="en-MY" w:eastAsia="en-AU"/>
        </w:rPr>
      </w:pPr>
    </w:p>
    <w:p w14:paraId="6DB6B6F5" w14:textId="552E4328" w:rsidR="00551E19" w:rsidRPr="001B2179" w:rsidRDefault="00551E19" w:rsidP="00551E19">
      <w:pPr>
        <w:jc w:val="both"/>
        <w:rPr>
          <w:rFonts w:cstheme="minorHAnsi"/>
          <w:lang w:val="en-MY" w:eastAsia="en-AU"/>
        </w:rPr>
      </w:pPr>
      <w:r>
        <w:rPr>
          <w:rFonts w:cstheme="minorHAnsi"/>
          <w:lang w:val="en-MY" w:eastAsia="en-AU"/>
        </w:rPr>
        <w:t xml:space="preserve">Keogh Bay </w:t>
      </w:r>
      <w:r w:rsidRPr="001B2179">
        <w:rPr>
          <w:rFonts w:cstheme="minorHAnsi"/>
          <w:lang w:val="en-MY" w:eastAsia="en-AU"/>
        </w:rPr>
        <w:t>have furthermore remained accountable to the Australian Institute of Aboriginal and Torres Strait Islander Studies (AIATSIS) research ethics committee through a human research ethics application process</w:t>
      </w:r>
      <w:r>
        <w:rPr>
          <w:rFonts w:cstheme="minorHAnsi"/>
          <w:lang w:val="en-MY" w:eastAsia="en-AU"/>
        </w:rPr>
        <w:t xml:space="preserve">, including </w:t>
      </w:r>
      <w:r w:rsidRPr="001B2179">
        <w:rPr>
          <w:rFonts w:cstheme="minorHAnsi"/>
          <w:lang w:val="en-MY" w:eastAsia="en-AU"/>
        </w:rPr>
        <w:t>report</w:t>
      </w:r>
      <w:r>
        <w:rPr>
          <w:rFonts w:cstheme="minorHAnsi"/>
          <w:lang w:val="en-MY" w:eastAsia="en-AU"/>
        </w:rPr>
        <w:t xml:space="preserve">ing </w:t>
      </w:r>
      <w:r w:rsidRPr="001B2179">
        <w:rPr>
          <w:rFonts w:cstheme="minorHAnsi"/>
          <w:lang w:val="en-MY" w:eastAsia="en-AU"/>
        </w:rPr>
        <w:t>any changes to the project which may affect its ethical integrity. This has included the requirement, post the grant of conditional approval, to obtain additional letters of support from ACCOs familiar with the program and the services of each through-care provider in their community</w:t>
      </w:r>
      <w:r w:rsidR="00F03CD9">
        <w:rPr>
          <w:rFonts w:cstheme="minorHAnsi"/>
          <w:lang w:val="en-MY" w:eastAsia="en-AU"/>
        </w:rPr>
        <w:t>;</w:t>
      </w:r>
      <w:r w:rsidRPr="001B2179">
        <w:rPr>
          <w:rFonts w:cstheme="minorHAnsi"/>
          <w:lang w:val="en-MY" w:eastAsia="en-AU"/>
        </w:rPr>
        <w:t xml:space="preserve"> as well as a request to vary the </w:t>
      </w:r>
      <w:r>
        <w:rPr>
          <w:rFonts w:cstheme="minorHAnsi"/>
          <w:lang w:val="en-MY" w:eastAsia="en-AU"/>
        </w:rPr>
        <w:t xml:space="preserve">evaluation </w:t>
      </w:r>
      <w:r w:rsidR="00F03CD9">
        <w:rPr>
          <w:rFonts w:cstheme="minorHAnsi"/>
          <w:lang w:val="en-MY" w:eastAsia="en-AU"/>
        </w:rPr>
        <w:t xml:space="preserve">to </w:t>
      </w:r>
      <w:r w:rsidRPr="001B2179">
        <w:rPr>
          <w:rFonts w:cstheme="minorHAnsi"/>
          <w:lang w:val="en-MY" w:eastAsia="en-AU"/>
        </w:rPr>
        <w:t>includ</w:t>
      </w:r>
      <w:r w:rsidR="00F03CD9">
        <w:rPr>
          <w:rFonts w:cstheme="minorHAnsi"/>
          <w:lang w:val="en-MY" w:eastAsia="en-AU"/>
        </w:rPr>
        <w:t>e</w:t>
      </w:r>
      <w:r w:rsidRPr="001B2179">
        <w:rPr>
          <w:rFonts w:cstheme="minorHAnsi"/>
          <w:lang w:val="en-MY" w:eastAsia="en-AU"/>
        </w:rPr>
        <w:t xml:space="preserve"> consultations with </w:t>
      </w:r>
      <w:r w:rsidR="00F03CD9">
        <w:rPr>
          <w:rFonts w:cstheme="minorHAnsi"/>
          <w:lang w:val="en-MY" w:eastAsia="en-AU"/>
        </w:rPr>
        <w:t>c</w:t>
      </w:r>
      <w:r w:rsidRPr="001B2179">
        <w:rPr>
          <w:rFonts w:cstheme="minorHAnsi"/>
          <w:lang w:val="en-MY" w:eastAsia="en-AU"/>
        </w:rPr>
        <w:t xml:space="preserve">orrectional </w:t>
      </w:r>
      <w:r w:rsidR="00F03CD9">
        <w:rPr>
          <w:rFonts w:cstheme="minorHAnsi"/>
          <w:lang w:val="en-MY" w:eastAsia="en-AU"/>
        </w:rPr>
        <w:t>s</w:t>
      </w:r>
      <w:r w:rsidRPr="001B2179">
        <w:rPr>
          <w:rFonts w:cstheme="minorHAnsi"/>
          <w:lang w:val="en-MY" w:eastAsia="en-AU"/>
        </w:rPr>
        <w:t xml:space="preserve">ervices staff. Formal ethics approval was granted by the AIATSIS Ethics Committee on 3 February 2023. </w:t>
      </w:r>
    </w:p>
    <w:p w14:paraId="1595D9B4" w14:textId="77777777" w:rsidR="00551E19" w:rsidRPr="001B2179" w:rsidRDefault="00551E19" w:rsidP="00551E19">
      <w:pPr>
        <w:jc w:val="both"/>
        <w:rPr>
          <w:rFonts w:cstheme="minorHAnsi"/>
          <w:lang w:val="en-MY" w:eastAsia="en-AU"/>
        </w:rPr>
      </w:pPr>
    </w:p>
    <w:p w14:paraId="7C9613FE" w14:textId="46DD2671" w:rsidR="00551E19" w:rsidRDefault="00551E19" w:rsidP="00551E19">
      <w:pPr>
        <w:jc w:val="both"/>
        <w:rPr>
          <w:rFonts w:cstheme="minorHAnsi"/>
          <w:lang w:val="en-MY" w:eastAsia="en-AU"/>
        </w:rPr>
      </w:pPr>
      <w:r>
        <w:rPr>
          <w:rFonts w:cstheme="minorHAnsi"/>
          <w:lang w:val="en-MY" w:eastAsia="en-AU"/>
        </w:rPr>
        <w:t xml:space="preserve">To protect the privacy and confidentiality of participating services and individuals, the </w:t>
      </w:r>
      <w:r w:rsidRPr="00BA79E1">
        <w:rPr>
          <w:rFonts w:cstheme="minorHAnsi"/>
          <w:lang w:val="en-MY" w:eastAsia="en-AU"/>
        </w:rPr>
        <w:t xml:space="preserve">findings </w:t>
      </w:r>
      <w:r>
        <w:rPr>
          <w:rFonts w:cstheme="minorHAnsi"/>
          <w:lang w:val="en-MY" w:eastAsia="en-AU"/>
        </w:rPr>
        <w:t xml:space="preserve">presented in this report are </w:t>
      </w:r>
      <w:r w:rsidRPr="00BA79E1">
        <w:rPr>
          <w:rFonts w:cstheme="minorHAnsi"/>
          <w:lang w:val="en-MY" w:eastAsia="en-AU"/>
        </w:rPr>
        <w:t xml:space="preserve">reported at a whole of program level, with findings in relation to </w:t>
      </w:r>
      <w:r>
        <w:rPr>
          <w:rFonts w:cstheme="minorHAnsi"/>
          <w:lang w:val="en-MY" w:eastAsia="en-AU"/>
        </w:rPr>
        <w:t xml:space="preserve">specific </w:t>
      </w:r>
      <w:r w:rsidRPr="00BA79E1">
        <w:rPr>
          <w:rFonts w:cstheme="minorHAnsi"/>
          <w:lang w:val="en-MY" w:eastAsia="en-AU"/>
        </w:rPr>
        <w:t xml:space="preserve">services or sites that are working well, or not so well, anonymized in this </w:t>
      </w:r>
      <w:r w:rsidR="00720C6F">
        <w:rPr>
          <w:rFonts w:cstheme="minorHAnsi"/>
          <w:lang w:val="en-MY" w:eastAsia="en-AU"/>
        </w:rPr>
        <w:t>executive summary</w:t>
      </w:r>
      <w:r w:rsidRPr="00BA79E1">
        <w:rPr>
          <w:rFonts w:cstheme="minorHAnsi"/>
          <w:lang w:val="en-MY" w:eastAsia="en-AU"/>
        </w:rPr>
        <w:t>.</w:t>
      </w:r>
      <w:r>
        <w:rPr>
          <w:rFonts w:cstheme="minorHAnsi"/>
          <w:lang w:val="en-MY" w:eastAsia="en-AU"/>
        </w:rPr>
        <w:t xml:space="preserve"> </w:t>
      </w:r>
      <w:r w:rsidRPr="0020640D">
        <w:rPr>
          <w:rFonts w:cstheme="minorHAnsi"/>
          <w:lang w:val="en-MY" w:eastAsia="en-AU"/>
        </w:rPr>
        <w:t xml:space="preserve">Explicit informed consent </w:t>
      </w:r>
      <w:r>
        <w:rPr>
          <w:rFonts w:cstheme="minorHAnsi"/>
          <w:lang w:val="en-MY" w:eastAsia="en-AU"/>
        </w:rPr>
        <w:t xml:space="preserve">to participate in the research process was </w:t>
      </w:r>
      <w:r w:rsidRPr="0020640D">
        <w:rPr>
          <w:rFonts w:cstheme="minorHAnsi"/>
          <w:lang w:val="en-MY" w:eastAsia="en-AU"/>
        </w:rPr>
        <w:t>required</w:t>
      </w:r>
      <w:r>
        <w:rPr>
          <w:rFonts w:cstheme="minorHAnsi"/>
          <w:lang w:val="en-MY" w:eastAsia="en-AU"/>
        </w:rPr>
        <w:t xml:space="preserve"> for all stakeholders</w:t>
      </w:r>
      <w:r w:rsidRPr="0020640D">
        <w:rPr>
          <w:rFonts w:cstheme="minorHAnsi"/>
          <w:lang w:val="en-MY" w:eastAsia="en-AU"/>
        </w:rPr>
        <w:t xml:space="preserve">, </w:t>
      </w:r>
      <w:r>
        <w:rPr>
          <w:rFonts w:cstheme="minorHAnsi"/>
          <w:lang w:val="en-MY" w:eastAsia="en-AU"/>
        </w:rPr>
        <w:t xml:space="preserve">including </w:t>
      </w:r>
      <w:r w:rsidR="00720C6F">
        <w:rPr>
          <w:rFonts w:cstheme="minorHAnsi"/>
          <w:lang w:val="en-MY" w:eastAsia="en-AU"/>
        </w:rPr>
        <w:t xml:space="preserve">written or </w:t>
      </w:r>
      <w:r w:rsidRPr="0020640D">
        <w:rPr>
          <w:rFonts w:cstheme="minorHAnsi"/>
          <w:lang w:val="en-MY" w:eastAsia="en-AU"/>
        </w:rPr>
        <w:t xml:space="preserve">verbal informed consent </w:t>
      </w:r>
      <w:r>
        <w:rPr>
          <w:rFonts w:cstheme="minorHAnsi"/>
          <w:lang w:val="en-MY" w:eastAsia="en-AU"/>
        </w:rPr>
        <w:t>for all interviews</w:t>
      </w:r>
      <w:r w:rsidR="00720C6F">
        <w:rPr>
          <w:rFonts w:cstheme="minorHAnsi"/>
          <w:lang w:val="en-MY" w:eastAsia="en-AU"/>
        </w:rPr>
        <w:t xml:space="preserve">, and </w:t>
      </w:r>
      <w:r>
        <w:rPr>
          <w:rFonts w:cstheme="minorHAnsi"/>
          <w:lang w:val="en-MY" w:eastAsia="en-AU"/>
        </w:rPr>
        <w:t>electronic consent for completion of the online survey.</w:t>
      </w:r>
    </w:p>
    <w:p w14:paraId="2031104A" w14:textId="364BDF8D" w:rsidR="00587F35" w:rsidRPr="006A78DB" w:rsidRDefault="00300B0B" w:rsidP="006A78DB">
      <w:pPr>
        <w:pStyle w:val="Heading2"/>
        <w:ind w:left="0" w:firstLine="0"/>
        <w:rPr>
          <w:rFonts w:cstheme="minorHAnsi"/>
          <w:lang w:val="en-MY" w:eastAsia="en-AU"/>
        </w:rPr>
      </w:pPr>
      <w:bookmarkStart w:id="8" w:name="_Toc150784183"/>
      <w:r>
        <w:rPr>
          <w:rFonts w:cstheme="minorHAnsi"/>
          <w:lang w:val="en-MY" w:eastAsia="en-AU"/>
        </w:rPr>
        <w:t>Evaluation Findings</w:t>
      </w:r>
      <w:bookmarkEnd w:id="8"/>
    </w:p>
    <w:p w14:paraId="3F507128" w14:textId="6E718643" w:rsidR="00587F35" w:rsidRDefault="00587F35" w:rsidP="00606518">
      <w:pPr>
        <w:jc w:val="both"/>
        <w:rPr>
          <w:rFonts w:cstheme="minorHAnsi"/>
          <w:lang w:val="en-MY" w:eastAsia="en-AU"/>
        </w:rPr>
      </w:pPr>
      <w:r>
        <w:rPr>
          <w:rFonts w:cstheme="minorHAnsi"/>
          <w:lang w:val="en-MY" w:eastAsia="en-AU"/>
        </w:rPr>
        <w:t xml:space="preserve">This chapter provides a </w:t>
      </w:r>
      <w:r w:rsidRPr="00761305">
        <w:rPr>
          <w:rFonts w:cstheme="minorHAnsi"/>
          <w:lang w:val="en-MY" w:eastAsia="en-AU"/>
        </w:rPr>
        <w:t>summar</w:t>
      </w:r>
      <w:r>
        <w:rPr>
          <w:rFonts w:cstheme="minorHAnsi"/>
          <w:lang w:val="en-MY" w:eastAsia="en-AU"/>
        </w:rPr>
        <w:t>y of key findings by research question,</w:t>
      </w:r>
      <w:r w:rsidR="00606518">
        <w:rPr>
          <w:rFonts w:cstheme="minorHAnsi"/>
          <w:lang w:val="en-MY" w:eastAsia="en-AU"/>
        </w:rPr>
        <w:t xml:space="preserve"> covering key program strengths, weaknesses and opportunities. Findings are proceeded by s</w:t>
      </w:r>
      <w:r>
        <w:rPr>
          <w:rFonts w:cstheme="minorHAnsi"/>
          <w:lang w:val="en-MY" w:eastAsia="en-AU"/>
        </w:rPr>
        <w:t xml:space="preserve">ix recommendations for </w:t>
      </w:r>
      <w:r w:rsidR="00606518">
        <w:rPr>
          <w:rFonts w:cstheme="minorHAnsi"/>
          <w:lang w:val="en-MY" w:eastAsia="en-AU"/>
        </w:rPr>
        <w:t xml:space="preserve">program </w:t>
      </w:r>
      <w:r>
        <w:rPr>
          <w:rFonts w:cstheme="minorHAnsi"/>
          <w:lang w:val="en-MY" w:eastAsia="en-AU"/>
        </w:rPr>
        <w:t xml:space="preserve">improvement, with actions for NIAA to </w:t>
      </w:r>
      <w:r w:rsidR="00606518">
        <w:rPr>
          <w:rFonts w:cstheme="minorHAnsi"/>
          <w:lang w:val="en-MY" w:eastAsia="en-AU"/>
        </w:rPr>
        <w:t xml:space="preserve">revise </w:t>
      </w:r>
      <w:r>
        <w:rPr>
          <w:rFonts w:cstheme="minorHAnsi"/>
          <w:lang w:val="en-MY" w:eastAsia="en-AU"/>
        </w:rPr>
        <w:t>program guidelines and service agreements.</w:t>
      </w:r>
    </w:p>
    <w:p w14:paraId="0C11E78C" w14:textId="77777777" w:rsidR="00587F35" w:rsidRDefault="00587F35" w:rsidP="00587F35">
      <w:pPr>
        <w:pStyle w:val="SUBHEAD2"/>
        <w:rPr>
          <w:rFonts w:asciiTheme="minorHAnsi" w:hAnsiTheme="minorHAnsi" w:cstheme="minorHAnsi"/>
          <w:lang w:val="en-MY" w:eastAsia="en-AU"/>
        </w:rPr>
      </w:pPr>
      <w:r w:rsidRPr="00EE52FE">
        <w:rPr>
          <w:rFonts w:asciiTheme="minorHAnsi" w:hAnsiTheme="minorHAnsi" w:cstheme="minorHAnsi"/>
          <w:lang w:val="en-MY" w:eastAsia="en-AU"/>
        </w:rPr>
        <w:t>Design Appropriateness</w:t>
      </w:r>
    </w:p>
    <w:p w14:paraId="60A301DB" w14:textId="43D7F9D8" w:rsidR="008F7B9A" w:rsidRDefault="00606518" w:rsidP="00606518">
      <w:pPr>
        <w:spacing w:before="120" w:after="120"/>
        <w:jc w:val="both"/>
        <w:rPr>
          <w:rFonts w:cstheme="minorHAnsi"/>
          <w:lang w:val="en-MY" w:eastAsia="en-AU"/>
        </w:rPr>
      </w:pPr>
      <w:r>
        <w:rPr>
          <w:rFonts w:cstheme="minorHAnsi"/>
          <w:lang w:val="en-MY" w:eastAsia="en-AU"/>
        </w:rPr>
        <w:t>T</w:t>
      </w:r>
      <w:r w:rsidRPr="00EE52FE">
        <w:rPr>
          <w:rFonts w:cstheme="minorHAnsi"/>
          <w:lang w:val="en-MY" w:eastAsia="en-AU"/>
        </w:rPr>
        <w:t>he characteristics of through-care service delivery</w:t>
      </w:r>
      <w:r>
        <w:rPr>
          <w:rFonts w:cstheme="minorHAnsi"/>
          <w:lang w:val="en-MY" w:eastAsia="en-AU"/>
        </w:rPr>
        <w:t xml:space="preserve">, as implemented by through-care service providers, departs from the ABT model to </w:t>
      </w:r>
      <w:r w:rsidRPr="00EE52FE">
        <w:rPr>
          <w:rFonts w:cstheme="minorHAnsi"/>
          <w:lang w:val="en-MY" w:eastAsia="en-AU"/>
        </w:rPr>
        <w:t>varying degrees</w:t>
      </w:r>
      <w:r>
        <w:rPr>
          <w:rFonts w:cstheme="minorHAnsi"/>
          <w:lang w:val="en-MY" w:eastAsia="en-AU"/>
        </w:rPr>
        <w:t>. T</w:t>
      </w:r>
      <w:r w:rsidRPr="00EE52FE">
        <w:rPr>
          <w:rFonts w:cstheme="minorHAnsi"/>
          <w:lang w:val="en-MY" w:eastAsia="en-AU"/>
        </w:rPr>
        <w:t>hrough-care service</w:t>
      </w:r>
      <w:r w:rsidR="008869C8">
        <w:rPr>
          <w:rFonts w:cstheme="minorHAnsi"/>
          <w:lang w:val="en-MY" w:eastAsia="en-AU"/>
        </w:rPr>
        <w:t>s</w:t>
      </w:r>
      <w:r w:rsidRPr="00EE52FE">
        <w:rPr>
          <w:rFonts w:cstheme="minorHAnsi"/>
          <w:lang w:val="en-MY" w:eastAsia="en-AU"/>
        </w:rPr>
        <w:t xml:space="preserve"> </w:t>
      </w:r>
      <w:r>
        <w:rPr>
          <w:rFonts w:cstheme="minorHAnsi"/>
          <w:lang w:val="en-MY" w:eastAsia="en-AU"/>
        </w:rPr>
        <w:t xml:space="preserve">follow legacy practices linked to </w:t>
      </w:r>
      <w:r w:rsidRPr="00EE52FE">
        <w:rPr>
          <w:rFonts w:cstheme="minorHAnsi"/>
          <w:lang w:val="en-MY" w:eastAsia="en-AU"/>
        </w:rPr>
        <w:t>prior funding agreements</w:t>
      </w:r>
      <w:r>
        <w:rPr>
          <w:rFonts w:cstheme="minorHAnsi"/>
          <w:lang w:val="en-MY" w:eastAsia="en-AU"/>
        </w:rPr>
        <w:t xml:space="preserve">, adapted to local circumstances, rather than consciously following the </w:t>
      </w:r>
      <w:r w:rsidRPr="00EE52FE">
        <w:rPr>
          <w:rFonts w:cstheme="minorHAnsi"/>
          <w:lang w:val="en-MY" w:eastAsia="en-AU"/>
        </w:rPr>
        <w:t>co-designed ABT model.</w:t>
      </w:r>
      <w:r>
        <w:rPr>
          <w:rFonts w:cstheme="minorHAnsi"/>
          <w:lang w:val="en-MY" w:eastAsia="en-AU"/>
        </w:rPr>
        <w:t xml:space="preserve"> This finding is not, however, a blanket criticism of the ABT model proposed, since guidance around its core elements (including intensive case management, service collaboration, and working with family, culture and kin) encourages case</w:t>
      </w:r>
      <w:r w:rsidR="00694565">
        <w:rPr>
          <w:rFonts w:cstheme="minorHAnsi"/>
          <w:lang w:val="en-MY" w:eastAsia="en-AU"/>
        </w:rPr>
        <w:t xml:space="preserve"> </w:t>
      </w:r>
      <w:r>
        <w:rPr>
          <w:rFonts w:cstheme="minorHAnsi"/>
          <w:lang w:val="en-MY" w:eastAsia="en-AU"/>
        </w:rPr>
        <w:t xml:space="preserve">workers to vary practices according to local needs and context-specific opportunities and risks. </w:t>
      </w:r>
    </w:p>
    <w:p w14:paraId="33BDE156" w14:textId="5C4724AD" w:rsidR="00606518" w:rsidRDefault="00BD2867" w:rsidP="00606518">
      <w:pPr>
        <w:spacing w:before="120" w:after="120"/>
        <w:jc w:val="both"/>
        <w:rPr>
          <w:rFonts w:cstheme="minorHAnsi"/>
          <w:lang w:val="en-MY" w:eastAsia="en-AU"/>
        </w:rPr>
      </w:pPr>
      <w:r>
        <w:rPr>
          <w:rFonts w:cstheme="minorHAnsi"/>
          <w:lang w:val="en-MY" w:eastAsia="en-AU"/>
        </w:rPr>
        <w:t xml:space="preserve">In </w:t>
      </w:r>
      <w:r w:rsidR="008115C2">
        <w:rPr>
          <w:rFonts w:cstheme="minorHAnsi"/>
          <w:lang w:val="en-MY" w:eastAsia="en-AU"/>
        </w:rPr>
        <w:t xml:space="preserve">further </w:t>
      </w:r>
      <w:r>
        <w:rPr>
          <w:rFonts w:cstheme="minorHAnsi"/>
          <w:lang w:val="en-MY" w:eastAsia="en-AU"/>
        </w:rPr>
        <w:t>responding to this research question</w:t>
      </w:r>
      <w:r w:rsidR="008F7B9A">
        <w:rPr>
          <w:rFonts w:cstheme="minorHAnsi"/>
          <w:lang w:val="en-MY" w:eastAsia="en-AU"/>
        </w:rPr>
        <w:t xml:space="preserve">, </w:t>
      </w:r>
      <w:r>
        <w:rPr>
          <w:rFonts w:cstheme="minorHAnsi"/>
          <w:lang w:val="en-MY" w:eastAsia="en-AU"/>
        </w:rPr>
        <w:t>the following key findings are</w:t>
      </w:r>
      <w:r w:rsidR="008F7B9A">
        <w:rPr>
          <w:rFonts w:cstheme="minorHAnsi"/>
          <w:lang w:val="en-MY" w:eastAsia="en-AU"/>
        </w:rPr>
        <w:t xml:space="preserve"> made:</w:t>
      </w:r>
    </w:p>
    <w:p w14:paraId="59CD2F0E" w14:textId="70A8F25F" w:rsidR="00606518" w:rsidRDefault="00606518" w:rsidP="00B77817">
      <w:pPr>
        <w:pStyle w:val="ListParagraph"/>
        <w:numPr>
          <w:ilvl w:val="0"/>
          <w:numId w:val="55"/>
        </w:numPr>
        <w:spacing w:before="120" w:after="120"/>
        <w:jc w:val="both"/>
        <w:rPr>
          <w:rFonts w:cstheme="minorHAnsi"/>
          <w:lang w:val="en-MY" w:eastAsia="en-AU"/>
        </w:rPr>
      </w:pPr>
      <w:r w:rsidRPr="00606518">
        <w:rPr>
          <w:rFonts w:cstheme="minorHAnsi"/>
          <w:lang w:val="en-MY" w:eastAsia="en-AU"/>
        </w:rPr>
        <w:t xml:space="preserve">Because of historically high rates of staff turnover and a lack of buy-in to the </w:t>
      </w:r>
      <w:r w:rsidR="008F7B9A">
        <w:rPr>
          <w:rFonts w:cstheme="minorHAnsi"/>
          <w:lang w:val="en-MY" w:eastAsia="en-AU"/>
        </w:rPr>
        <w:t xml:space="preserve">original </w:t>
      </w:r>
      <w:r w:rsidRPr="00606518">
        <w:rPr>
          <w:rFonts w:cstheme="minorHAnsi"/>
          <w:lang w:val="en-MY" w:eastAsia="en-AU"/>
        </w:rPr>
        <w:t xml:space="preserve">co-design process, most case workers are not aware of the ABT model, and </w:t>
      </w:r>
      <w:r w:rsidR="00805595">
        <w:rPr>
          <w:rFonts w:cstheme="minorHAnsi"/>
          <w:lang w:val="en-MY" w:eastAsia="en-AU"/>
        </w:rPr>
        <w:t>to the extent that services are cognisant of following a national approach, constrained by its eligibility requirements, which were perceived to be prescriptive; and its reporting requirements, which were perceived to be and process-driven, while lacking the necessary contextual guidance and practical strategies required for effective implementation.</w:t>
      </w:r>
      <w:r w:rsidRPr="00606518">
        <w:rPr>
          <w:rFonts w:cstheme="minorHAnsi"/>
          <w:lang w:val="en-MY" w:eastAsia="en-AU"/>
        </w:rPr>
        <w:t>.</w:t>
      </w:r>
    </w:p>
    <w:p w14:paraId="3A173B93" w14:textId="77777777" w:rsidR="00606518" w:rsidRDefault="00606518" w:rsidP="00606518">
      <w:pPr>
        <w:pStyle w:val="ListParagraph"/>
        <w:spacing w:before="120" w:after="120"/>
        <w:jc w:val="both"/>
        <w:rPr>
          <w:rFonts w:cstheme="minorHAnsi"/>
          <w:lang w:val="en-MY" w:eastAsia="en-AU"/>
        </w:rPr>
      </w:pPr>
    </w:p>
    <w:p w14:paraId="42F9F942" w14:textId="698B2E48" w:rsidR="00773B9B" w:rsidRDefault="00606518" w:rsidP="00B77817">
      <w:pPr>
        <w:pStyle w:val="ListParagraph"/>
        <w:numPr>
          <w:ilvl w:val="0"/>
          <w:numId w:val="55"/>
        </w:numPr>
        <w:spacing w:before="120" w:after="120"/>
        <w:jc w:val="both"/>
        <w:rPr>
          <w:rFonts w:cstheme="minorHAnsi"/>
          <w:lang w:val="en-MY" w:eastAsia="en-AU"/>
        </w:rPr>
      </w:pPr>
      <w:r>
        <w:rPr>
          <w:rFonts w:cstheme="minorHAnsi"/>
          <w:lang w:val="en-MY" w:eastAsia="en-AU"/>
        </w:rPr>
        <w:t>D</w:t>
      </w:r>
      <w:r w:rsidRPr="00606518">
        <w:rPr>
          <w:rFonts w:cstheme="minorHAnsi"/>
          <w:lang w:val="en-MY" w:eastAsia="en-AU"/>
        </w:rPr>
        <w:t>elivery of through-care services was found to vary from the ABT model proposed in fundamental ways, notably around the eligibility requirements for clients, including whether they commenced after sentencing and pre-release from detention; whether they continued to receive post-release intensive case management and support for periods greater than 18 months; and the use of ATC program funds to provide services to a youth cohort.</w:t>
      </w:r>
      <w:r>
        <w:rPr>
          <w:rFonts w:cstheme="minorHAnsi"/>
          <w:lang w:val="en-MY" w:eastAsia="en-AU"/>
        </w:rPr>
        <w:t xml:space="preserve"> </w:t>
      </w:r>
      <w:r w:rsidRPr="00606518">
        <w:rPr>
          <w:rFonts w:cstheme="minorHAnsi"/>
          <w:lang w:val="en-MY" w:eastAsia="en-AU"/>
        </w:rPr>
        <w:t>Clients who are on remand or on bail in the community, or who receive shorter sentences, were also found to be in receipt of through-care services, despite being technically ineligibility for the program.</w:t>
      </w:r>
    </w:p>
    <w:p w14:paraId="0ADC3837" w14:textId="77777777" w:rsidR="00773B9B" w:rsidRPr="00773B9B" w:rsidRDefault="00773B9B" w:rsidP="00773B9B">
      <w:pPr>
        <w:pStyle w:val="ListParagraph"/>
        <w:rPr>
          <w:rFonts w:cstheme="minorHAnsi"/>
          <w:lang w:val="en-MY" w:eastAsia="en-AU"/>
        </w:rPr>
      </w:pPr>
    </w:p>
    <w:p w14:paraId="27F4A36F" w14:textId="16A2A5C0" w:rsidR="0080574A" w:rsidRPr="0080574A" w:rsidRDefault="00606518" w:rsidP="00B77817">
      <w:pPr>
        <w:pStyle w:val="ListParagraph"/>
        <w:numPr>
          <w:ilvl w:val="0"/>
          <w:numId w:val="55"/>
        </w:numPr>
        <w:spacing w:before="120" w:after="120"/>
        <w:jc w:val="both"/>
        <w:rPr>
          <w:rFonts w:cstheme="minorHAnsi"/>
          <w:lang w:val="en-MY" w:eastAsia="en-AU"/>
        </w:rPr>
      </w:pPr>
      <w:r w:rsidRPr="0080574A">
        <w:rPr>
          <w:rFonts w:cstheme="minorHAnsi"/>
          <w:lang w:val="en-MY" w:eastAsia="en-AU"/>
        </w:rPr>
        <w:t>A range of reasons were reported for these variations, including the influence of geography (being at a service delivery site far from places of detention, which inhibits pre-release engagement)</w:t>
      </w:r>
      <w:r w:rsidR="00773B9B" w:rsidRPr="0080574A">
        <w:rPr>
          <w:rFonts w:cstheme="minorHAnsi"/>
          <w:lang w:val="en-MY" w:eastAsia="en-AU"/>
        </w:rPr>
        <w:t xml:space="preserve"> and the need to </w:t>
      </w:r>
      <w:r w:rsidRPr="0080574A">
        <w:rPr>
          <w:rFonts w:cstheme="minorHAnsi"/>
          <w:lang w:val="en-MY" w:eastAsia="en-AU"/>
        </w:rPr>
        <w:t>address the support needs of the most vulnerable client groups</w:t>
      </w:r>
      <w:r w:rsidR="00773B9B" w:rsidRPr="0080574A">
        <w:rPr>
          <w:rFonts w:cstheme="minorHAnsi"/>
          <w:lang w:val="en-MY" w:eastAsia="en-AU"/>
        </w:rPr>
        <w:t>, including the particular needs of females and youth,</w:t>
      </w:r>
      <w:r w:rsidRPr="0080574A">
        <w:rPr>
          <w:rFonts w:cstheme="minorHAnsi"/>
          <w:lang w:val="en-MY" w:eastAsia="en-AU"/>
        </w:rPr>
        <w:t xml:space="preserve"> </w:t>
      </w:r>
      <w:r w:rsidR="008115C2">
        <w:rPr>
          <w:rFonts w:cstheme="minorHAnsi"/>
          <w:lang w:val="en-MY" w:eastAsia="en-AU"/>
        </w:rPr>
        <w:t xml:space="preserve">irrespective of their eligibility, and </w:t>
      </w:r>
      <w:r w:rsidRPr="0080574A">
        <w:rPr>
          <w:rFonts w:cstheme="minorHAnsi"/>
          <w:lang w:val="en-MY" w:eastAsia="en-AU"/>
        </w:rPr>
        <w:t xml:space="preserve">over extended </w:t>
      </w:r>
      <w:r w:rsidR="008115C2">
        <w:rPr>
          <w:rFonts w:cstheme="minorHAnsi"/>
          <w:lang w:val="en-MY" w:eastAsia="en-AU"/>
        </w:rPr>
        <w:t xml:space="preserve">periods of </w:t>
      </w:r>
      <w:r w:rsidRPr="0080574A">
        <w:rPr>
          <w:rFonts w:cstheme="minorHAnsi"/>
          <w:lang w:val="en-MY" w:eastAsia="en-AU"/>
        </w:rPr>
        <w:t>time.</w:t>
      </w:r>
      <w:r w:rsidR="0080574A" w:rsidRPr="0080574A">
        <w:rPr>
          <w:rFonts w:cstheme="minorHAnsi"/>
          <w:lang w:val="en-MY" w:eastAsia="en-AU"/>
        </w:rPr>
        <w:t xml:space="preserve"> </w:t>
      </w:r>
    </w:p>
    <w:p w14:paraId="764A0FA4" w14:textId="77777777" w:rsidR="00773B9B" w:rsidRPr="00773B9B" w:rsidRDefault="00773B9B" w:rsidP="00773B9B">
      <w:pPr>
        <w:pStyle w:val="ListParagraph"/>
        <w:rPr>
          <w:rFonts w:cstheme="minorHAnsi"/>
          <w:lang w:val="en-MY" w:eastAsia="en-AU"/>
        </w:rPr>
      </w:pPr>
    </w:p>
    <w:p w14:paraId="626A1C23" w14:textId="4F989CD3" w:rsidR="0080574A" w:rsidRPr="0080574A" w:rsidRDefault="00606518" w:rsidP="00B77817">
      <w:pPr>
        <w:pStyle w:val="ListParagraph"/>
        <w:numPr>
          <w:ilvl w:val="0"/>
          <w:numId w:val="55"/>
        </w:numPr>
        <w:spacing w:before="120" w:after="120"/>
        <w:jc w:val="both"/>
        <w:rPr>
          <w:rFonts w:cstheme="minorHAnsi"/>
          <w:lang w:val="en-MY" w:eastAsia="en-AU"/>
        </w:rPr>
      </w:pPr>
      <w:r w:rsidRPr="00773B9B">
        <w:rPr>
          <w:rFonts w:cstheme="minorHAnsi"/>
          <w:lang w:val="en-MY" w:eastAsia="en-AU"/>
        </w:rPr>
        <w:t>Such variations</w:t>
      </w:r>
      <w:r w:rsidR="008115C2">
        <w:rPr>
          <w:rFonts w:cstheme="minorHAnsi"/>
          <w:lang w:val="en-MY" w:eastAsia="en-AU"/>
        </w:rPr>
        <w:t xml:space="preserve"> </w:t>
      </w:r>
      <w:r w:rsidRPr="00773B9B">
        <w:rPr>
          <w:rFonts w:cstheme="minorHAnsi"/>
          <w:lang w:val="en-MY" w:eastAsia="en-AU"/>
        </w:rPr>
        <w:t xml:space="preserve">were not found to be detrimental to client outcomes. While the ABT model emphasises the importance of pre-release engagement, </w:t>
      </w:r>
      <w:r w:rsidR="00773B9B">
        <w:rPr>
          <w:rFonts w:cstheme="minorHAnsi"/>
          <w:lang w:val="en-MY" w:eastAsia="en-AU"/>
        </w:rPr>
        <w:t xml:space="preserve">the evaluation found no reported evidence </w:t>
      </w:r>
      <w:r w:rsidRPr="00773B9B">
        <w:rPr>
          <w:rFonts w:cstheme="minorHAnsi"/>
          <w:lang w:val="en-MY" w:eastAsia="en-AU"/>
        </w:rPr>
        <w:t>that post-release commencements are less effective in the long-term</w:t>
      </w:r>
      <w:r w:rsidR="00773B9B">
        <w:rPr>
          <w:rFonts w:cstheme="minorHAnsi"/>
          <w:lang w:val="en-MY" w:eastAsia="en-AU"/>
        </w:rPr>
        <w:t xml:space="preserve">, </w:t>
      </w:r>
      <w:r w:rsidRPr="00773B9B">
        <w:rPr>
          <w:rFonts w:cstheme="minorHAnsi"/>
          <w:lang w:val="en-MY" w:eastAsia="en-AU"/>
        </w:rPr>
        <w:t xml:space="preserve">with outcomes more dependent on the client’s motivation and </w:t>
      </w:r>
      <w:r w:rsidR="00773B9B">
        <w:rPr>
          <w:rFonts w:cstheme="minorHAnsi"/>
          <w:lang w:val="en-MY" w:eastAsia="en-AU"/>
        </w:rPr>
        <w:t>r</w:t>
      </w:r>
      <w:r w:rsidRPr="00773B9B">
        <w:rPr>
          <w:rFonts w:cstheme="minorHAnsi"/>
          <w:lang w:val="en-MY" w:eastAsia="en-AU"/>
        </w:rPr>
        <w:t>elationship with their case</w:t>
      </w:r>
      <w:r w:rsidR="00694565">
        <w:rPr>
          <w:rFonts w:cstheme="minorHAnsi"/>
          <w:lang w:val="en-MY" w:eastAsia="en-AU"/>
        </w:rPr>
        <w:t xml:space="preserve"> </w:t>
      </w:r>
      <w:r w:rsidRPr="00773B9B">
        <w:rPr>
          <w:rFonts w:cstheme="minorHAnsi"/>
          <w:lang w:val="en-MY" w:eastAsia="en-AU"/>
        </w:rPr>
        <w:t xml:space="preserve">worker. </w:t>
      </w:r>
      <w:r w:rsidR="0080574A" w:rsidRPr="0080574A">
        <w:rPr>
          <w:rFonts w:cstheme="minorHAnsi"/>
          <w:lang w:val="en-MY" w:eastAsia="en-AU"/>
        </w:rPr>
        <w:t xml:space="preserve">There are also strong opinions in favour of longer periods of case management support, </w:t>
      </w:r>
      <w:r w:rsidR="008115C2">
        <w:rPr>
          <w:rFonts w:cstheme="minorHAnsi"/>
          <w:lang w:val="en-MY" w:eastAsia="en-AU"/>
        </w:rPr>
        <w:t xml:space="preserve">suggesting </w:t>
      </w:r>
      <w:r w:rsidR="0080574A" w:rsidRPr="0080574A">
        <w:rPr>
          <w:rFonts w:cstheme="minorHAnsi"/>
          <w:lang w:val="en-MY" w:eastAsia="en-AU"/>
        </w:rPr>
        <w:t xml:space="preserve">that where the length of case management is limited to two years (or 18 months post-release) clients are less likely to achieve their long term goals. </w:t>
      </w:r>
    </w:p>
    <w:p w14:paraId="38C091DF" w14:textId="77777777" w:rsidR="00773B9B" w:rsidRPr="00773B9B" w:rsidRDefault="00773B9B" w:rsidP="00773B9B">
      <w:pPr>
        <w:pStyle w:val="ListParagraph"/>
        <w:rPr>
          <w:rFonts w:cstheme="minorHAnsi"/>
          <w:lang w:val="en-MY" w:eastAsia="en-AU"/>
        </w:rPr>
      </w:pPr>
    </w:p>
    <w:p w14:paraId="410C34BB" w14:textId="7E8D32B0" w:rsidR="0080574A" w:rsidRDefault="00606518" w:rsidP="00B77817">
      <w:pPr>
        <w:pStyle w:val="ListParagraph"/>
        <w:numPr>
          <w:ilvl w:val="0"/>
          <w:numId w:val="55"/>
        </w:numPr>
        <w:spacing w:before="120" w:after="120"/>
        <w:jc w:val="both"/>
        <w:rPr>
          <w:rFonts w:cstheme="minorHAnsi"/>
          <w:lang w:val="en-MY" w:eastAsia="en-AU"/>
        </w:rPr>
      </w:pPr>
      <w:r w:rsidRPr="00773B9B">
        <w:rPr>
          <w:rFonts w:cstheme="minorHAnsi"/>
          <w:lang w:val="en-MY" w:eastAsia="en-AU"/>
        </w:rPr>
        <w:t>Overall, the implementation of IAS funded through-care services was found to be strengths-based and client-centred, as well as culturally respectful and safe. Both YTC and ATC clients consistently stated that their case workers worked “alongside them”, with the case worker’s ability to “listen without judgement” being the foundation for a strengths-based approach.</w:t>
      </w:r>
      <w:r w:rsidR="0080574A">
        <w:rPr>
          <w:rFonts w:cstheme="minorHAnsi"/>
          <w:lang w:val="en-MY" w:eastAsia="en-AU"/>
        </w:rPr>
        <w:t xml:space="preserve"> </w:t>
      </w:r>
      <w:r w:rsidR="0080574A" w:rsidRPr="0080574A">
        <w:rPr>
          <w:rFonts w:cstheme="minorHAnsi"/>
          <w:lang w:val="en-MY" w:eastAsia="en-AU"/>
        </w:rPr>
        <w:t>Clients were also predominantly of the view that their case workers were culturally respectful, and considered the role of culture in meeting their needs, even when the case worker did not identify as Indigenous.</w:t>
      </w:r>
    </w:p>
    <w:p w14:paraId="4C2CFA6A" w14:textId="77777777" w:rsidR="0080574A" w:rsidRPr="0080574A" w:rsidRDefault="0080574A" w:rsidP="0080574A">
      <w:pPr>
        <w:pStyle w:val="ListParagraph"/>
        <w:rPr>
          <w:rFonts w:cstheme="minorHAnsi"/>
          <w:lang w:val="en-MY" w:eastAsia="en-AU"/>
        </w:rPr>
      </w:pPr>
    </w:p>
    <w:p w14:paraId="31635E7F" w14:textId="18F7C82D" w:rsidR="0080574A" w:rsidRPr="0080574A" w:rsidRDefault="0080574A" w:rsidP="00B77817">
      <w:pPr>
        <w:pStyle w:val="ListParagraph"/>
        <w:numPr>
          <w:ilvl w:val="0"/>
          <w:numId w:val="55"/>
        </w:numPr>
        <w:jc w:val="both"/>
        <w:rPr>
          <w:rFonts w:cstheme="minorHAnsi"/>
          <w:lang w:val="en-MY" w:eastAsia="en-AU"/>
        </w:rPr>
      </w:pPr>
      <w:r w:rsidRPr="003E404A">
        <w:rPr>
          <w:rFonts w:cstheme="minorHAnsi"/>
          <w:lang w:val="en-MY" w:eastAsia="en-AU"/>
        </w:rPr>
        <w:t>The potential of programs and services which strengthen cultural identity and which connect clients with country and kin</w:t>
      </w:r>
      <w:r w:rsidR="008115C2">
        <w:rPr>
          <w:rFonts w:cstheme="minorHAnsi"/>
          <w:lang w:val="en-MY" w:eastAsia="en-AU"/>
        </w:rPr>
        <w:t xml:space="preserve">, </w:t>
      </w:r>
      <w:r w:rsidRPr="003E404A">
        <w:rPr>
          <w:rFonts w:cstheme="minorHAnsi"/>
          <w:lang w:val="en-MY" w:eastAsia="en-AU"/>
        </w:rPr>
        <w:t>was consistently acknowledged by stakeholders as a driver of success</w:t>
      </w:r>
      <w:r w:rsidR="008115C2">
        <w:rPr>
          <w:rFonts w:cstheme="minorHAnsi"/>
          <w:lang w:val="en-MY" w:eastAsia="en-AU"/>
        </w:rPr>
        <w:t xml:space="preserve"> (</w:t>
      </w:r>
      <w:r w:rsidRPr="003E404A">
        <w:rPr>
          <w:rFonts w:cstheme="minorHAnsi"/>
          <w:lang w:val="en-MY" w:eastAsia="en-AU"/>
        </w:rPr>
        <w:t>particularly for adults and especially adult males</w:t>
      </w:r>
      <w:r w:rsidR="008115C2">
        <w:rPr>
          <w:rFonts w:cstheme="minorHAnsi"/>
          <w:lang w:val="en-MY" w:eastAsia="en-AU"/>
        </w:rPr>
        <w:t>)</w:t>
      </w:r>
      <w:r>
        <w:rPr>
          <w:rFonts w:cstheme="minorHAnsi"/>
          <w:lang w:val="en-MY" w:eastAsia="en-AU"/>
        </w:rPr>
        <w:t xml:space="preserve">. </w:t>
      </w:r>
      <w:r w:rsidRPr="0080574A">
        <w:rPr>
          <w:rFonts w:cstheme="minorHAnsi"/>
          <w:lang w:val="en-MY" w:eastAsia="en-AU"/>
        </w:rPr>
        <w:t>Rigid approaches to cultural connection and access to cultural strengthening programs w</w:t>
      </w:r>
      <w:r w:rsidR="008115C2">
        <w:rPr>
          <w:rFonts w:cstheme="minorHAnsi"/>
          <w:lang w:val="en-MY" w:eastAsia="en-AU"/>
        </w:rPr>
        <w:t>ere</w:t>
      </w:r>
      <w:r w:rsidRPr="0080574A">
        <w:rPr>
          <w:rFonts w:cstheme="minorHAnsi"/>
          <w:lang w:val="en-MY" w:eastAsia="en-AU"/>
        </w:rPr>
        <w:t xml:space="preserve"> not, however, regarded to be beneficial, particularly in the case of youth where the individual may be estranged from family</w:t>
      </w:r>
      <w:r w:rsidR="008115C2">
        <w:rPr>
          <w:rFonts w:cstheme="minorHAnsi"/>
          <w:lang w:val="en-MY" w:eastAsia="en-AU"/>
        </w:rPr>
        <w:t xml:space="preserve"> and community</w:t>
      </w:r>
      <w:r w:rsidRPr="0080574A">
        <w:rPr>
          <w:rFonts w:cstheme="minorHAnsi"/>
          <w:lang w:val="en-MY" w:eastAsia="en-AU"/>
        </w:rPr>
        <w:t xml:space="preserve">, and approaches to cultural strengthening require a more cautious approach. </w:t>
      </w:r>
    </w:p>
    <w:p w14:paraId="0E9D055D" w14:textId="77777777" w:rsidR="00773B9B" w:rsidRPr="00773B9B" w:rsidRDefault="00773B9B" w:rsidP="0080574A">
      <w:pPr>
        <w:pStyle w:val="ListParagraph"/>
        <w:rPr>
          <w:rFonts w:cstheme="minorHAnsi"/>
          <w:kern w:val="0"/>
          <w:lang w:val="en-MY" w:eastAsia="en-AU"/>
          <w14:ligatures w14:val="none"/>
        </w:rPr>
      </w:pPr>
    </w:p>
    <w:p w14:paraId="6225E45E" w14:textId="257A6814" w:rsidR="00773B9B" w:rsidRDefault="00606518" w:rsidP="00B77817">
      <w:pPr>
        <w:pStyle w:val="ListParagraph"/>
        <w:numPr>
          <w:ilvl w:val="0"/>
          <w:numId w:val="55"/>
        </w:numPr>
        <w:spacing w:before="120" w:after="120"/>
        <w:jc w:val="both"/>
        <w:rPr>
          <w:rFonts w:cstheme="minorHAnsi"/>
          <w:lang w:val="en-MY" w:eastAsia="en-AU"/>
        </w:rPr>
      </w:pPr>
      <w:r w:rsidRPr="00773B9B">
        <w:rPr>
          <w:rFonts w:cstheme="minorHAnsi"/>
          <w:lang w:val="en-MY" w:eastAsia="en-AU"/>
        </w:rPr>
        <w:t xml:space="preserve">Services models </w:t>
      </w:r>
      <w:r w:rsidR="008869C8">
        <w:rPr>
          <w:rFonts w:cstheme="minorHAnsi"/>
          <w:lang w:val="en-MY" w:eastAsia="en-AU"/>
        </w:rPr>
        <w:t xml:space="preserve">implemented by service providers </w:t>
      </w:r>
      <w:r w:rsidRPr="00773B9B">
        <w:rPr>
          <w:rFonts w:cstheme="minorHAnsi"/>
          <w:lang w:val="en-MY" w:eastAsia="en-AU"/>
        </w:rPr>
        <w:t xml:space="preserve">were </w:t>
      </w:r>
      <w:r w:rsidR="008115C2">
        <w:rPr>
          <w:rFonts w:cstheme="minorHAnsi"/>
          <w:lang w:val="en-MY" w:eastAsia="en-AU"/>
        </w:rPr>
        <w:t xml:space="preserve">also </w:t>
      </w:r>
      <w:r w:rsidRPr="00773B9B">
        <w:rPr>
          <w:rFonts w:cstheme="minorHAnsi"/>
          <w:lang w:val="en-MY" w:eastAsia="en-AU"/>
        </w:rPr>
        <w:t xml:space="preserve">found, on the basis of workforce and governance factors, to represent an Indigenous approach, </w:t>
      </w:r>
      <w:r w:rsidRPr="00773B9B">
        <w:rPr>
          <w:rFonts w:cstheme="minorHAnsi"/>
          <w:kern w:val="0"/>
          <w:lang w:val="en-MY" w:eastAsia="en-AU"/>
          <w14:ligatures w14:val="none"/>
        </w:rPr>
        <w:t>with most IAS through-care services being led by service providers with majority Indigenous boards and by management teams who are led by Indigenous people.</w:t>
      </w:r>
      <w:r w:rsidR="00773B9B">
        <w:rPr>
          <w:rFonts w:cstheme="minorHAnsi"/>
          <w:lang w:val="en-MY" w:eastAsia="en-AU"/>
        </w:rPr>
        <w:t xml:space="preserve"> T</w:t>
      </w:r>
      <w:r w:rsidRPr="00773B9B">
        <w:rPr>
          <w:rFonts w:cstheme="minorHAnsi"/>
          <w:lang w:val="en-MY" w:eastAsia="en-AU"/>
        </w:rPr>
        <w:t>here is also evidence to suggest that the programs</w:t>
      </w:r>
      <w:r w:rsidR="008115C2">
        <w:rPr>
          <w:rFonts w:cstheme="minorHAnsi"/>
          <w:lang w:val="en-MY" w:eastAsia="en-AU"/>
        </w:rPr>
        <w:t>’</w:t>
      </w:r>
      <w:r w:rsidRPr="00773B9B">
        <w:rPr>
          <w:rFonts w:cstheme="minorHAnsi"/>
          <w:lang w:val="en-MY" w:eastAsia="en-AU"/>
        </w:rPr>
        <w:t xml:space="preserve"> non-Indigenous organisations have strategies in place to ensure Indigenous perspectives are heard, including Indigenous representation on boards and management groups.</w:t>
      </w:r>
    </w:p>
    <w:p w14:paraId="4C35ED49" w14:textId="77777777" w:rsidR="00773B9B" w:rsidRPr="00773B9B" w:rsidRDefault="00773B9B" w:rsidP="0080574A">
      <w:pPr>
        <w:pStyle w:val="ListParagraph"/>
        <w:rPr>
          <w:rFonts w:cstheme="minorHAnsi"/>
          <w:lang w:val="en-MY" w:eastAsia="en-AU"/>
        </w:rPr>
      </w:pPr>
    </w:p>
    <w:p w14:paraId="78A8EB82" w14:textId="08C00FB3" w:rsidR="00654F32" w:rsidRPr="0080574A" w:rsidRDefault="00773B9B" w:rsidP="00B77817">
      <w:pPr>
        <w:pStyle w:val="ListParagraph"/>
        <w:numPr>
          <w:ilvl w:val="0"/>
          <w:numId w:val="55"/>
        </w:numPr>
        <w:spacing w:before="120" w:after="120"/>
        <w:jc w:val="both"/>
        <w:rPr>
          <w:rFonts w:cstheme="minorHAnsi"/>
          <w:lang w:val="en-MY" w:eastAsia="en-AU"/>
        </w:rPr>
      </w:pPr>
      <w:r w:rsidRPr="00773B9B">
        <w:rPr>
          <w:rFonts w:cstheme="minorHAnsi"/>
        </w:rPr>
        <w:t>Since through-care services delivering both youth and adult programs have integrated these within operational and management systems and processes, separation of the two programs was seen as counter-factual to existing practices</w:t>
      </w:r>
      <w:r w:rsidR="008115C2">
        <w:rPr>
          <w:rFonts w:cstheme="minorHAnsi"/>
        </w:rPr>
        <w:t xml:space="preserve">, while </w:t>
      </w:r>
      <w:r w:rsidRPr="00773B9B">
        <w:rPr>
          <w:rFonts w:cstheme="minorHAnsi"/>
        </w:rPr>
        <w:t>adding to the administrative, budgeting and reporting burden for these services</w:t>
      </w:r>
      <w:r w:rsidR="006A78DB" w:rsidRPr="0080574A">
        <w:rPr>
          <w:rFonts w:cstheme="minorHAnsi"/>
          <w:lang w:val="en-MY" w:eastAsia="en-AU"/>
        </w:rPr>
        <w:t>.</w:t>
      </w:r>
    </w:p>
    <w:p w14:paraId="379F01C5" w14:textId="77777777" w:rsidR="00805595" w:rsidRDefault="00805595" w:rsidP="00EC273E">
      <w:pPr>
        <w:rPr>
          <w:lang w:val="en-MY" w:eastAsia="en-AU"/>
        </w:rPr>
      </w:pPr>
    </w:p>
    <w:p w14:paraId="705F36CE" w14:textId="77777777" w:rsidR="00EC273E" w:rsidRDefault="00EC273E">
      <w:pPr>
        <w:spacing w:after="200" w:line="276" w:lineRule="auto"/>
        <w:jc w:val="both"/>
        <w:rPr>
          <w:rFonts w:cstheme="minorHAnsi"/>
          <w:b/>
          <w:smallCaps/>
          <w:color w:val="17375D"/>
          <w:spacing w:val="10"/>
          <w:lang w:val="en-MY" w:eastAsia="en-AU"/>
        </w:rPr>
      </w:pPr>
      <w:r>
        <w:rPr>
          <w:rFonts w:cstheme="minorHAnsi"/>
          <w:lang w:val="en-MY" w:eastAsia="en-AU"/>
        </w:rPr>
        <w:br w:type="page"/>
      </w:r>
    </w:p>
    <w:p w14:paraId="6ED211EF" w14:textId="347B119B" w:rsidR="005F2E38" w:rsidRPr="005F2E38" w:rsidRDefault="00587F35" w:rsidP="005F2E38">
      <w:pPr>
        <w:pStyle w:val="SUBHEAD2"/>
        <w:jc w:val="both"/>
        <w:rPr>
          <w:rFonts w:asciiTheme="minorHAnsi" w:hAnsiTheme="minorHAnsi" w:cstheme="minorHAnsi"/>
          <w:b w:val="0"/>
          <w:smallCaps w:val="0"/>
          <w:color w:val="auto"/>
          <w:spacing w:val="0"/>
          <w:lang w:val="en-MY" w:eastAsia="en-AU"/>
        </w:rPr>
      </w:pPr>
      <w:r w:rsidRPr="00EE52FE">
        <w:rPr>
          <w:rFonts w:asciiTheme="minorHAnsi" w:hAnsiTheme="minorHAnsi" w:cstheme="minorHAnsi"/>
          <w:lang w:val="en-MY" w:eastAsia="en-AU"/>
        </w:rPr>
        <w:t>Service Collaboration</w:t>
      </w:r>
    </w:p>
    <w:p w14:paraId="73DA6689" w14:textId="5CF4ECAD" w:rsidR="005F2E38" w:rsidRDefault="005F2E38" w:rsidP="008F6511">
      <w:pPr>
        <w:spacing w:before="120" w:after="120"/>
        <w:jc w:val="both"/>
        <w:rPr>
          <w:b/>
          <w:smallCaps/>
          <w:lang w:val="en-MY" w:eastAsia="en-AU"/>
        </w:rPr>
      </w:pPr>
      <w:r w:rsidRPr="005F2E38">
        <w:rPr>
          <w:lang w:val="en-MY" w:eastAsia="en-AU"/>
        </w:rPr>
        <w:t xml:space="preserve">Service providers felt, overall, that their clients benefited from the strength of the services’ relationship with external service providers, and that these relationships were important for case workers to effectively coordinate services holistically. In many instances, however, case workers and managers </w:t>
      </w:r>
      <w:r w:rsidR="00922659">
        <w:rPr>
          <w:lang w:val="en-MY" w:eastAsia="en-AU"/>
        </w:rPr>
        <w:t xml:space="preserve">lack the capacity to </w:t>
      </w:r>
      <w:r w:rsidRPr="005F2E38">
        <w:rPr>
          <w:lang w:val="en-MY" w:eastAsia="en-AU"/>
        </w:rPr>
        <w:t>actively or strategically developing service partnerships in their regions.</w:t>
      </w:r>
      <w:r>
        <w:rPr>
          <w:lang w:val="en-MY" w:eastAsia="en-AU"/>
        </w:rPr>
        <w:t xml:space="preserve"> </w:t>
      </w:r>
      <w:r w:rsidRPr="005F2E38">
        <w:rPr>
          <w:lang w:val="en-MY" w:eastAsia="en-AU"/>
        </w:rPr>
        <w:t xml:space="preserve">The extent to which through-care services are duplicative of similar services was found, however, to be limited across all providers and locations, </w:t>
      </w:r>
      <w:r w:rsidR="008115C2">
        <w:rPr>
          <w:lang w:val="en-MY" w:eastAsia="en-AU"/>
        </w:rPr>
        <w:t>given</w:t>
      </w:r>
      <w:r w:rsidRPr="005F2E38">
        <w:rPr>
          <w:lang w:val="en-MY" w:eastAsia="en-AU"/>
        </w:rPr>
        <w:t xml:space="preserve"> through-care services are unique </w:t>
      </w:r>
      <w:r>
        <w:rPr>
          <w:lang w:val="en-MY" w:eastAsia="en-AU"/>
        </w:rPr>
        <w:t xml:space="preserve">in delivering </w:t>
      </w:r>
      <w:r w:rsidRPr="005F2E38">
        <w:rPr>
          <w:lang w:val="en-MY" w:eastAsia="en-AU"/>
        </w:rPr>
        <w:t>intensi</w:t>
      </w:r>
      <w:r>
        <w:rPr>
          <w:lang w:val="en-MY" w:eastAsia="en-AU"/>
        </w:rPr>
        <w:t>ve case management support to clients for extended periods.</w:t>
      </w:r>
    </w:p>
    <w:p w14:paraId="1D583E08" w14:textId="1E6AB14E" w:rsidR="008115C2" w:rsidRPr="008115C2" w:rsidRDefault="008115C2" w:rsidP="008F6511">
      <w:pPr>
        <w:spacing w:before="120" w:after="120"/>
        <w:jc w:val="both"/>
        <w:rPr>
          <w:lang w:val="en-MY" w:eastAsia="en-AU"/>
        </w:rPr>
      </w:pPr>
      <w:r>
        <w:rPr>
          <w:lang w:val="en-MY" w:eastAsia="en-AU"/>
        </w:rPr>
        <w:t>In further responding to this research question, the following key findings are made:</w:t>
      </w:r>
    </w:p>
    <w:p w14:paraId="6470E092" w14:textId="70D714A1" w:rsidR="00587F35" w:rsidRDefault="00654F32" w:rsidP="002A2A70">
      <w:pPr>
        <w:pStyle w:val="ListParagraph"/>
        <w:numPr>
          <w:ilvl w:val="0"/>
          <w:numId w:val="54"/>
        </w:numPr>
        <w:spacing w:before="120" w:after="120"/>
        <w:jc w:val="both"/>
        <w:rPr>
          <w:rFonts w:cstheme="minorHAnsi"/>
          <w:lang w:val="en-MY" w:eastAsia="en-AU"/>
        </w:rPr>
      </w:pPr>
      <w:r w:rsidRPr="002A2A70">
        <w:rPr>
          <w:rFonts w:cstheme="minorHAnsi"/>
          <w:lang w:val="en-MY" w:eastAsia="en-AU"/>
        </w:rPr>
        <w:t>The extent to which through-care services can meet the needs of clients to access a range of secondary services and supports was found to vary according to geography and the availability of these services. Through-care sites that are remote and geographically isolated, often lack the mix of secondary support services necessary to meet client needs locally. Service delivery sites that are not located close to the home location of their client base are similarly affected, even when the service-site may be close to a place of detention or otherwise well serviced.</w:t>
      </w:r>
    </w:p>
    <w:p w14:paraId="069D69BD" w14:textId="77777777" w:rsidR="00056093" w:rsidRPr="002A2A70" w:rsidRDefault="00056093" w:rsidP="00056093">
      <w:pPr>
        <w:pStyle w:val="ListParagraph"/>
        <w:spacing w:before="120" w:after="120"/>
        <w:jc w:val="both"/>
        <w:rPr>
          <w:rFonts w:cstheme="minorHAnsi"/>
          <w:lang w:val="en-MY" w:eastAsia="en-AU"/>
        </w:rPr>
      </w:pPr>
    </w:p>
    <w:p w14:paraId="56347637" w14:textId="77777777" w:rsidR="00056093" w:rsidRDefault="00922659" w:rsidP="00E22567">
      <w:pPr>
        <w:pStyle w:val="ListParagraph"/>
        <w:numPr>
          <w:ilvl w:val="0"/>
          <w:numId w:val="54"/>
        </w:numPr>
        <w:spacing w:before="120" w:after="120"/>
        <w:jc w:val="both"/>
        <w:rPr>
          <w:rFonts w:cstheme="minorHAnsi"/>
          <w:lang w:val="en-MY" w:eastAsia="en-AU"/>
        </w:rPr>
      </w:pPr>
      <w:r w:rsidRPr="00056093">
        <w:rPr>
          <w:rFonts w:cstheme="minorHAnsi"/>
          <w:lang w:val="en-MY" w:eastAsia="en-AU"/>
        </w:rPr>
        <w:t>In more remote areas, there are likely to be service gaps which may be covered by outreach services, where service continuity and the development of trust may be problematic. Conversely, in urban locations, where service systems tend to be more congested, it may be harder to identify an appropriate provider who is suited to a particular client, or else a service that is culturally safe</w:t>
      </w:r>
      <w:r w:rsidR="00056093" w:rsidRPr="00056093">
        <w:rPr>
          <w:rFonts w:cstheme="minorHAnsi"/>
          <w:lang w:val="en-MY" w:eastAsia="en-AU"/>
        </w:rPr>
        <w:t>.</w:t>
      </w:r>
    </w:p>
    <w:p w14:paraId="35A80BD9" w14:textId="77777777" w:rsidR="00056093" w:rsidRPr="00056093" w:rsidRDefault="00056093" w:rsidP="00056093">
      <w:pPr>
        <w:pStyle w:val="ListParagraph"/>
        <w:rPr>
          <w:rFonts w:cstheme="minorHAnsi"/>
          <w:lang w:val="en-MY" w:eastAsia="en-AU"/>
        </w:rPr>
      </w:pPr>
    </w:p>
    <w:p w14:paraId="78D92D58" w14:textId="77777777" w:rsidR="00056093" w:rsidRDefault="00922659" w:rsidP="00E22567">
      <w:pPr>
        <w:pStyle w:val="ListParagraph"/>
        <w:numPr>
          <w:ilvl w:val="0"/>
          <w:numId w:val="54"/>
        </w:numPr>
        <w:spacing w:before="120" w:after="120"/>
        <w:jc w:val="both"/>
        <w:rPr>
          <w:rFonts w:cstheme="minorHAnsi"/>
          <w:lang w:val="en-MY" w:eastAsia="en-AU"/>
        </w:rPr>
      </w:pPr>
      <w:r w:rsidRPr="00056093">
        <w:rPr>
          <w:rFonts w:cstheme="minorHAnsi"/>
          <w:lang w:val="en-MY" w:eastAsia="en-AU"/>
        </w:rPr>
        <w:t xml:space="preserve">Access to external services such as safe and secure housing, AoD </w:t>
      </w:r>
      <w:r w:rsidR="00B96C7E" w:rsidRPr="00056093">
        <w:rPr>
          <w:rFonts w:cstheme="minorHAnsi"/>
          <w:lang w:val="en-MY" w:eastAsia="en-AU"/>
        </w:rPr>
        <w:t xml:space="preserve">(Alcohol and Other Drugs) </w:t>
      </w:r>
      <w:r w:rsidRPr="00056093">
        <w:rPr>
          <w:rFonts w:cstheme="minorHAnsi"/>
          <w:lang w:val="en-MY" w:eastAsia="en-AU"/>
        </w:rPr>
        <w:t xml:space="preserve">rehabilitation or counselling were also seen to be </w:t>
      </w:r>
      <w:r w:rsidR="003C2F0F" w:rsidRPr="00056093">
        <w:rPr>
          <w:rFonts w:cstheme="minorHAnsi"/>
          <w:lang w:val="en-MY" w:eastAsia="en-AU"/>
        </w:rPr>
        <w:t xml:space="preserve">somewhat </w:t>
      </w:r>
      <w:r w:rsidRPr="00056093">
        <w:rPr>
          <w:rFonts w:cstheme="minorHAnsi"/>
          <w:lang w:val="en-MY" w:eastAsia="en-AU"/>
        </w:rPr>
        <w:t xml:space="preserve">ad hoc, and based upon loose networks of individual and informal relationships rather than being systematic. Pressing gaps were reported with regards to the NDIS, with reportedly few clients accessing this benefit. </w:t>
      </w:r>
    </w:p>
    <w:p w14:paraId="3EAD8E0B" w14:textId="77777777" w:rsidR="00056093" w:rsidRPr="00056093" w:rsidRDefault="00056093" w:rsidP="00056093">
      <w:pPr>
        <w:pStyle w:val="ListParagraph"/>
        <w:rPr>
          <w:rFonts w:cstheme="minorHAnsi"/>
          <w:lang w:val="en-MY" w:eastAsia="en-AU"/>
        </w:rPr>
      </w:pPr>
    </w:p>
    <w:p w14:paraId="7518EC6E" w14:textId="77777777" w:rsidR="00056093" w:rsidRDefault="00922659" w:rsidP="00E22567">
      <w:pPr>
        <w:pStyle w:val="ListParagraph"/>
        <w:numPr>
          <w:ilvl w:val="0"/>
          <w:numId w:val="54"/>
        </w:numPr>
        <w:spacing w:before="120" w:after="120"/>
        <w:jc w:val="both"/>
        <w:rPr>
          <w:rFonts w:cstheme="minorHAnsi"/>
          <w:lang w:val="en-MY" w:eastAsia="en-AU"/>
        </w:rPr>
      </w:pPr>
      <w:r w:rsidRPr="00056093">
        <w:rPr>
          <w:rFonts w:cstheme="minorHAnsi"/>
          <w:lang w:val="en-MY" w:eastAsia="en-AU"/>
        </w:rPr>
        <w:t xml:space="preserve">Where service duplication was reported, this was usually for through-care clients receiving re-integration support from correctional service agencies, with both community corrections and through-care service providers supporting clients to meet their parole requirements. Since significant case worker time is directed towards supporting clients to meet parole conditions and transporting them to appointments, a greater role for community corrections in supporting clients with their parole orders is arguably required. </w:t>
      </w:r>
    </w:p>
    <w:p w14:paraId="583328F4" w14:textId="77777777" w:rsidR="00056093" w:rsidRPr="00056093" w:rsidRDefault="00056093" w:rsidP="00056093">
      <w:pPr>
        <w:pStyle w:val="ListParagraph"/>
        <w:rPr>
          <w:rFonts w:cstheme="minorHAnsi"/>
          <w:lang w:val="en-MY" w:eastAsia="en-AU"/>
        </w:rPr>
      </w:pPr>
    </w:p>
    <w:p w14:paraId="69F04CB7" w14:textId="77777777" w:rsidR="00056093" w:rsidRDefault="00922659" w:rsidP="00E22567">
      <w:pPr>
        <w:pStyle w:val="ListParagraph"/>
        <w:numPr>
          <w:ilvl w:val="0"/>
          <w:numId w:val="54"/>
        </w:numPr>
        <w:spacing w:before="120" w:after="120"/>
        <w:jc w:val="both"/>
        <w:rPr>
          <w:rFonts w:cstheme="minorHAnsi"/>
          <w:lang w:val="en-MY" w:eastAsia="en-AU"/>
        </w:rPr>
      </w:pPr>
      <w:r w:rsidRPr="00056093">
        <w:rPr>
          <w:rFonts w:cstheme="minorHAnsi"/>
          <w:lang w:val="en-MY" w:eastAsia="en-AU"/>
        </w:rPr>
        <w:t xml:space="preserve">There is need for a more strategic approach to be taken in developing long-term service partnerships with clear and integrated pathways of support for clients. This requires a greater emphasis to be placed on organisational and institutional capacity-building to establish formal partnerships and long-term relationships with external services, including investments in substantive coordination mechanisms, such as inter-agency planning groups and formalised MoUs. </w:t>
      </w:r>
    </w:p>
    <w:p w14:paraId="42BBE7B7" w14:textId="77777777" w:rsidR="00056093" w:rsidRPr="00056093" w:rsidRDefault="00056093" w:rsidP="00056093">
      <w:pPr>
        <w:pStyle w:val="ListParagraph"/>
        <w:rPr>
          <w:rFonts w:cstheme="minorHAnsi"/>
          <w:lang w:val="en-MY" w:eastAsia="en-AU"/>
        </w:rPr>
      </w:pPr>
    </w:p>
    <w:p w14:paraId="59B549D1" w14:textId="4D5FA957" w:rsidR="003C2F0F" w:rsidRPr="00056093" w:rsidRDefault="003C2F0F" w:rsidP="00E22567">
      <w:pPr>
        <w:pStyle w:val="ListParagraph"/>
        <w:numPr>
          <w:ilvl w:val="0"/>
          <w:numId w:val="54"/>
        </w:numPr>
        <w:spacing w:before="120" w:after="120"/>
        <w:jc w:val="both"/>
        <w:rPr>
          <w:rFonts w:cstheme="minorHAnsi"/>
          <w:lang w:val="en-MY" w:eastAsia="en-AU"/>
        </w:rPr>
      </w:pPr>
      <w:r w:rsidRPr="00056093">
        <w:rPr>
          <w:rFonts w:cstheme="minorHAnsi"/>
          <w:lang w:val="en-MY" w:eastAsia="en-AU"/>
        </w:rPr>
        <w:t xml:space="preserve">Existing interagency meetings were found to be effective at an individual case planning level only, and more usually effective at the larger youth-focused services where a more established pattern of case management practices exists with statutory youth justice and child protection services. </w:t>
      </w:r>
    </w:p>
    <w:p w14:paraId="1021AB1F" w14:textId="77777777" w:rsidR="00805595" w:rsidRDefault="00805595" w:rsidP="00EC273E">
      <w:pPr>
        <w:rPr>
          <w:lang w:val="en-MY" w:eastAsia="en-AU"/>
        </w:rPr>
      </w:pPr>
    </w:p>
    <w:p w14:paraId="4BF41185" w14:textId="6A13AEB1" w:rsidR="00587F35" w:rsidRDefault="00587F35" w:rsidP="00587F35">
      <w:pPr>
        <w:pStyle w:val="SUBHEAD2"/>
        <w:rPr>
          <w:rFonts w:asciiTheme="minorHAnsi" w:hAnsiTheme="minorHAnsi" w:cstheme="minorHAnsi"/>
          <w:lang w:val="en-MY" w:eastAsia="en-AU"/>
        </w:rPr>
      </w:pPr>
      <w:r w:rsidRPr="00EE52FE">
        <w:rPr>
          <w:rFonts w:asciiTheme="minorHAnsi" w:hAnsiTheme="minorHAnsi" w:cstheme="minorHAnsi"/>
          <w:lang w:val="en-MY" w:eastAsia="en-AU"/>
        </w:rPr>
        <w:t>Quality of Delivery</w:t>
      </w:r>
    </w:p>
    <w:p w14:paraId="4CA79648" w14:textId="2CC51DD3" w:rsidR="00753E67" w:rsidRDefault="001C706A" w:rsidP="00006AAE">
      <w:pPr>
        <w:spacing w:before="120" w:after="120"/>
        <w:jc w:val="both"/>
        <w:rPr>
          <w:lang w:val="en-MY" w:eastAsia="en-AU"/>
        </w:rPr>
      </w:pPr>
      <w:r w:rsidRPr="001C706A">
        <w:rPr>
          <w:lang w:val="en-MY" w:eastAsia="en-AU"/>
        </w:rPr>
        <w:t xml:space="preserve">According to service providers and external agencies, service providers are, overall, delivering the core model elements of through-care effectively, but continue to experience a range of environmental, organisational and operational challenges that hinder improvement. </w:t>
      </w:r>
      <w:r>
        <w:rPr>
          <w:lang w:val="en-MY" w:eastAsia="en-AU"/>
        </w:rPr>
        <w:t>E</w:t>
      </w:r>
      <w:r w:rsidR="00753E67" w:rsidRPr="00EE52FE">
        <w:rPr>
          <w:lang w:val="en-MY" w:eastAsia="en-AU"/>
        </w:rPr>
        <w:t xml:space="preserve">ffective through-care </w:t>
      </w:r>
      <w:r w:rsidR="00753E67">
        <w:rPr>
          <w:lang w:val="en-MY" w:eastAsia="en-AU"/>
        </w:rPr>
        <w:t xml:space="preserve">provision is understood by </w:t>
      </w:r>
      <w:r w:rsidR="00753E67" w:rsidRPr="00EE52FE">
        <w:rPr>
          <w:lang w:val="en-MY" w:eastAsia="en-AU"/>
        </w:rPr>
        <w:t>service</w:t>
      </w:r>
      <w:r w:rsidR="00753E67">
        <w:rPr>
          <w:lang w:val="en-MY" w:eastAsia="en-AU"/>
        </w:rPr>
        <w:t xml:space="preserve"> provider</w:t>
      </w:r>
      <w:r w:rsidR="00753E67" w:rsidRPr="00EE52FE">
        <w:rPr>
          <w:lang w:val="en-MY" w:eastAsia="en-AU"/>
        </w:rPr>
        <w:t xml:space="preserve">s </w:t>
      </w:r>
      <w:r w:rsidR="00753E67">
        <w:rPr>
          <w:lang w:val="en-MY" w:eastAsia="en-AU"/>
        </w:rPr>
        <w:t xml:space="preserve">to be dependent on self-motivated clients, supported by case workers through </w:t>
      </w:r>
      <w:r w:rsidR="00753E67" w:rsidRPr="00EE52FE">
        <w:rPr>
          <w:lang w:val="en-MY" w:eastAsia="en-AU"/>
        </w:rPr>
        <w:t>intensive case management</w:t>
      </w:r>
      <w:r w:rsidR="00753E67">
        <w:rPr>
          <w:lang w:val="en-MY" w:eastAsia="en-AU"/>
        </w:rPr>
        <w:t xml:space="preserve">, collaboration with external support services, and </w:t>
      </w:r>
      <w:r w:rsidR="00753E67" w:rsidRPr="00EE52FE">
        <w:rPr>
          <w:lang w:val="en-MY" w:eastAsia="en-AU"/>
        </w:rPr>
        <w:t>work</w:t>
      </w:r>
      <w:r w:rsidR="00753E67">
        <w:rPr>
          <w:lang w:val="en-MY" w:eastAsia="en-AU"/>
        </w:rPr>
        <w:t>ing</w:t>
      </w:r>
      <w:r w:rsidR="00753E67" w:rsidRPr="00EE52FE">
        <w:rPr>
          <w:lang w:val="en-MY" w:eastAsia="en-AU"/>
        </w:rPr>
        <w:t xml:space="preserve"> with </w:t>
      </w:r>
      <w:r w:rsidR="00753E67">
        <w:rPr>
          <w:lang w:val="en-MY" w:eastAsia="en-AU"/>
        </w:rPr>
        <w:t xml:space="preserve">culture, </w:t>
      </w:r>
      <w:r w:rsidR="00753E67" w:rsidRPr="00EE52FE">
        <w:rPr>
          <w:lang w:val="en-MY" w:eastAsia="en-AU"/>
        </w:rPr>
        <w:t>family and kin</w:t>
      </w:r>
      <w:r w:rsidR="00753E67">
        <w:rPr>
          <w:lang w:val="en-MY" w:eastAsia="en-AU"/>
        </w:rPr>
        <w:t xml:space="preserve">, as appropriate. </w:t>
      </w:r>
      <w:r>
        <w:rPr>
          <w:lang w:val="en-MY" w:eastAsia="en-AU"/>
        </w:rPr>
        <w:t>S</w:t>
      </w:r>
      <w:r w:rsidR="00753E67">
        <w:rPr>
          <w:lang w:val="en-MY" w:eastAsia="en-AU"/>
        </w:rPr>
        <w:t>uccess in this framework requires capable and committed case</w:t>
      </w:r>
      <w:r w:rsidR="00694565">
        <w:rPr>
          <w:lang w:val="en-MY" w:eastAsia="en-AU"/>
        </w:rPr>
        <w:t xml:space="preserve"> </w:t>
      </w:r>
      <w:r w:rsidR="00753E67">
        <w:rPr>
          <w:lang w:val="en-MY" w:eastAsia="en-AU"/>
        </w:rPr>
        <w:t>workers, backed by effective management and other organisational and financial resources</w:t>
      </w:r>
      <w:r w:rsidR="00753E67" w:rsidRPr="00EE52FE">
        <w:rPr>
          <w:lang w:val="en-MY" w:eastAsia="en-AU"/>
        </w:rPr>
        <w:t>.</w:t>
      </w:r>
    </w:p>
    <w:p w14:paraId="157BE86D" w14:textId="3734F889" w:rsidR="00B951C1" w:rsidRDefault="00B951C1" w:rsidP="00006AAE">
      <w:pPr>
        <w:spacing w:before="120" w:after="120"/>
        <w:jc w:val="both"/>
        <w:rPr>
          <w:lang w:val="en-MY" w:eastAsia="en-AU"/>
        </w:rPr>
      </w:pPr>
      <w:r>
        <w:rPr>
          <w:lang w:val="en-MY" w:eastAsia="en-AU"/>
        </w:rPr>
        <w:t>In further responding to this research question, the following key findings are made:</w:t>
      </w:r>
    </w:p>
    <w:p w14:paraId="320CA36B" w14:textId="77777777" w:rsidR="00753E67" w:rsidRDefault="00753E67" w:rsidP="00B77817">
      <w:pPr>
        <w:pStyle w:val="ListParagraph"/>
        <w:numPr>
          <w:ilvl w:val="0"/>
          <w:numId w:val="54"/>
        </w:numPr>
        <w:spacing w:before="120" w:after="120"/>
        <w:jc w:val="both"/>
        <w:rPr>
          <w:rFonts w:cstheme="minorHAnsi"/>
          <w:lang w:val="en-MY" w:eastAsia="en-AU"/>
        </w:rPr>
      </w:pPr>
      <w:r w:rsidRPr="00753E67">
        <w:rPr>
          <w:rFonts w:cstheme="minorHAnsi"/>
          <w:lang w:val="en-MY" w:eastAsia="en-AU"/>
        </w:rPr>
        <w:t>The quality of case workers and the support they receive</w:t>
      </w:r>
      <w:r>
        <w:rPr>
          <w:rFonts w:cstheme="minorHAnsi"/>
          <w:lang w:val="en-MY" w:eastAsia="en-AU"/>
        </w:rPr>
        <w:t xml:space="preserve"> from service providers was</w:t>
      </w:r>
      <w:r w:rsidRPr="00753E67">
        <w:rPr>
          <w:rFonts w:cstheme="minorHAnsi"/>
          <w:lang w:val="en-MY" w:eastAsia="en-AU"/>
        </w:rPr>
        <w:t xml:space="preserve"> reported to be a key determinant of </w:t>
      </w:r>
      <w:r>
        <w:rPr>
          <w:rFonts w:cstheme="minorHAnsi"/>
          <w:lang w:val="en-MY" w:eastAsia="en-AU"/>
        </w:rPr>
        <w:t>outcomes</w:t>
      </w:r>
      <w:r w:rsidRPr="00753E67">
        <w:rPr>
          <w:rFonts w:cstheme="minorHAnsi"/>
          <w:lang w:val="en-MY" w:eastAsia="en-AU"/>
        </w:rPr>
        <w:t xml:space="preserve">, with the more effective services seeking to improve staff pay and conditions. </w:t>
      </w:r>
    </w:p>
    <w:p w14:paraId="7CB373CF" w14:textId="77777777" w:rsidR="001C706A" w:rsidRDefault="001C706A" w:rsidP="00831C02">
      <w:pPr>
        <w:pStyle w:val="ListParagraph"/>
        <w:spacing w:before="120" w:after="120"/>
        <w:jc w:val="both"/>
        <w:rPr>
          <w:rFonts w:cstheme="minorHAnsi"/>
          <w:lang w:val="en-MY" w:eastAsia="en-AU"/>
        </w:rPr>
      </w:pPr>
    </w:p>
    <w:p w14:paraId="791AB987" w14:textId="10DB8005" w:rsidR="001C706A" w:rsidRDefault="00753E67" w:rsidP="00B77817">
      <w:pPr>
        <w:pStyle w:val="ListParagraph"/>
        <w:numPr>
          <w:ilvl w:val="0"/>
          <w:numId w:val="54"/>
        </w:numPr>
        <w:spacing w:before="120" w:after="120"/>
        <w:jc w:val="both"/>
        <w:rPr>
          <w:rFonts w:cstheme="minorHAnsi"/>
          <w:lang w:val="en-MY" w:eastAsia="en-AU"/>
        </w:rPr>
      </w:pPr>
      <w:r w:rsidRPr="00753E67">
        <w:rPr>
          <w:rFonts w:cstheme="minorHAnsi"/>
          <w:lang w:val="en-MY" w:eastAsia="en-AU"/>
        </w:rPr>
        <w:t xml:space="preserve">Attracting Indigenous staff has </w:t>
      </w:r>
      <w:r>
        <w:rPr>
          <w:rFonts w:cstheme="minorHAnsi"/>
          <w:lang w:val="en-MY" w:eastAsia="en-AU"/>
        </w:rPr>
        <w:t xml:space="preserve">historically </w:t>
      </w:r>
      <w:r w:rsidRPr="00753E67">
        <w:rPr>
          <w:rFonts w:cstheme="minorHAnsi"/>
          <w:lang w:val="en-MY" w:eastAsia="en-AU"/>
        </w:rPr>
        <w:t>proven difficult, with a reported lack of resources and support to acquire qualifications, or other obstacles such as an inability to obtain clearances to work with youth or in prisons.</w:t>
      </w:r>
      <w:r>
        <w:rPr>
          <w:rFonts w:cstheme="minorHAnsi"/>
          <w:lang w:val="en-MY" w:eastAsia="en-AU"/>
        </w:rPr>
        <w:t xml:space="preserve"> </w:t>
      </w:r>
      <w:r w:rsidRPr="00753E67">
        <w:rPr>
          <w:rFonts w:cstheme="minorHAnsi"/>
          <w:lang w:val="en-MY" w:eastAsia="en-AU"/>
        </w:rPr>
        <w:t>The most effective case</w:t>
      </w:r>
      <w:r w:rsidR="00694565">
        <w:rPr>
          <w:rFonts w:cstheme="minorHAnsi"/>
          <w:lang w:val="en-MY" w:eastAsia="en-AU"/>
        </w:rPr>
        <w:t xml:space="preserve"> </w:t>
      </w:r>
      <w:r w:rsidRPr="00753E67">
        <w:rPr>
          <w:rFonts w:cstheme="minorHAnsi"/>
          <w:lang w:val="en-MY" w:eastAsia="en-AU"/>
        </w:rPr>
        <w:t>workers were found to be both appropriately qualified and experienced, as well as emotionally committed, with a client’s trust in</w:t>
      </w:r>
      <w:r w:rsidR="001C706A">
        <w:rPr>
          <w:rFonts w:cstheme="minorHAnsi"/>
          <w:lang w:val="en-MY" w:eastAsia="en-AU"/>
        </w:rPr>
        <w:t xml:space="preserve"> </w:t>
      </w:r>
      <w:r w:rsidRPr="00753E67">
        <w:rPr>
          <w:rFonts w:cstheme="minorHAnsi"/>
          <w:lang w:val="en-MY" w:eastAsia="en-AU"/>
        </w:rPr>
        <w:t>such case</w:t>
      </w:r>
      <w:r w:rsidR="00694565">
        <w:rPr>
          <w:rFonts w:cstheme="minorHAnsi"/>
          <w:lang w:val="en-MY" w:eastAsia="en-AU"/>
        </w:rPr>
        <w:t xml:space="preserve"> </w:t>
      </w:r>
      <w:r w:rsidRPr="00753E67">
        <w:rPr>
          <w:rFonts w:cstheme="minorHAnsi"/>
          <w:lang w:val="en-MY" w:eastAsia="en-AU"/>
        </w:rPr>
        <w:t>workers</w:t>
      </w:r>
      <w:r w:rsidR="00043C86">
        <w:rPr>
          <w:rFonts w:cstheme="minorHAnsi"/>
          <w:lang w:val="en-MY" w:eastAsia="en-AU"/>
        </w:rPr>
        <w:t xml:space="preserve"> given irrespective </w:t>
      </w:r>
      <w:r w:rsidR="001C706A">
        <w:rPr>
          <w:rFonts w:cstheme="minorHAnsi"/>
          <w:lang w:val="en-MY" w:eastAsia="en-AU"/>
        </w:rPr>
        <w:t>of</w:t>
      </w:r>
      <w:r w:rsidRPr="00753E67">
        <w:rPr>
          <w:rFonts w:cstheme="minorHAnsi"/>
          <w:lang w:val="en-MY" w:eastAsia="en-AU"/>
        </w:rPr>
        <w:t xml:space="preserve"> the case</w:t>
      </w:r>
      <w:r w:rsidR="00694565">
        <w:rPr>
          <w:rFonts w:cstheme="minorHAnsi"/>
          <w:lang w:val="en-MY" w:eastAsia="en-AU"/>
        </w:rPr>
        <w:t xml:space="preserve"> </w:t>
      </w:r>
      <w:r w:rsidRPr="00753E67">
        <w:rPr>
          <w:rFonts w:cstheme="minorHAnsi"/>
          <w:lang w:val="en-MY" w:eastAsia="en-AU"/>
        </w:rPr>
        <w:t>worker’s indigeneity.</w:t>
      </w:r>
    </w:p>
    <w:p w14:paraId="114C58DF" w14:textId="77777777" w:rsidR="001C706A" w:rsidRPr="001C706A" w:rsidRDefault="001C706A" w:rsidP="00831C02">
      <w:pPr>
        <w:pStyle w:val="ListParagraph"/>
        <w:rPr>
          <w:rFonts w:cstheme="minorHAnsi"/>
          <w:lang w:val="en-MY" w:eastAsia="en-AU"/>
        </w:rPr>
      </w:pPr>
    </w:p>
    <w:p w14:paraId="5BA58DFA" w14:textId="4FCAEBB9" w:rsidR="001C706A" w:rsidRDefault="00654F32" w:rsidP="00B77817">
      <w:pPr>
        <w:pStyle w:val="ListParagraph"/>
        <w:numPr>
          <w:ilvl w:val="0"/>
          <w:numId w:val="54"/>
        </w:numPr>
        <w:spacing w:before="120" w:after="120"/>
        <w:jc w:val="both"/>
        <w:rPr>
          <w:rFonts w:cstheme="minorHAnsi"/>
          <w:lang w:val="en-MY" w:eastAsia="en-AU"/>
        </w:rPr>
      </w:pPr>
      <w:r w:rsidRPr="001C706A">
        <w:rPr>
          <w:rFonts w:cstheme="minorHAnsi"/>
          <w:lang w:val="en-MY" w:eastAsia="en-AU"/>
        </w:rPr>
        <w:t>Delivery of through-care services was</w:t>
      </w:r>
      <w:r w:rsidR="00B82073">
        <w:rPr>
          <w:rFonts w:cstheme="minorHAnsi"/>
          <w:lang w:val="en-MY" w:eastAsia="en-AU"/>
        </w:rPr>
        <w:t xml:space="preserve">, however, </w:t>
      </w:r>
      <w:r w:rsidRPr="001C706A">
        <w:rPr>
          <w:rFonts w:cstheme="minorHAnsi"/>
          <w:lang w:val="en-MY" w:eastAsia="en-AU"/>
        </w:rPr>
        <w:t>found to be inconsistent</w:t>
      </w:r>
      <w:r w:rsidR="001C706A" w:rsidRPr="001C706A">
        <w:rPr>
          <w:rFonts w:cstheme="minorHAnsi"/>
          <w:lang w:val="en-MY" w:eastAsia="en-AU"/>
        </w:rPr>
        <w:t xml:space="preserve"> across </w:t>
      </w:r>
      <w:r w:rsidR="00587F35" w:rsidRPr="001C706A">
        <w:rPr>
          <w:rFonts w:cstheme="minorHAnsi"/>
          <w:lang w:val="en-MY" w:eastAsia="en-AU"/>
        </w:rPr>
        <w:t>geograph</w:t>
      </w:r>
      <w:r w:rsidR="001C706A" w:rsidRPr="001C706A">
        <w:rPr>
          <w:rFonts w:cstheme="minorHAnsi"/>
          <w:lang w:val="en-MY" w:eastAsia="en-AU"/>
        </w:rPr>
        <w:t>ies</w:t>
      </w:r>
      <w:r w:rsidR="00587F35" w:rsidRPr="001C706A">
        <w:rPr>
          <w:rFonts w:cstheme="minorHAnsi"/>
          <w:lang w:val="en-MY" w:eastAsia="en-AU"/>
        </w:rPr>
        <w:t>,</w:t>
      </w:r>
      <w:r w:rsidR="00B82073">
        <w:rPr>
          <w:rFonts w:cstheme="minorHAnsi"/>
          <w:lang w:val="en-MY" w:eastAsia="en-AU"/>
        </w:rPr>
        <w:t xml:space="preserve"> </w:t>
      </w:r>
      <w:r w:rsidR="001C706A" w:rsidRPr="001C706A">
        <w:rPr>
          <w:rFonts w:cstheme="minorHAnsi"/>
          <w:lang w:val="en-MY" w:eastAsia="en-AU"/>
        </w:rPr>
        <w:t xml:space="preserve">with </w:t>
      </w:r>
      <w:r w:rsidR="00587F35" w:rsidRPr="001C706A">
        <w:rPr>
          <w:rFonts w:cstheme="minorHAnsi"/>
          <w:lang w:val="en-MY" w:eastAsia="en-AU"/>
        </w:rPr>
        <w:t xml:space="preserve">distance from the </w:t>
      </w:r>
      <w:r w:rsidR="001C706A" w:rsidRPr="001C706A">
        <w:rPr>
          <w:rFonts w:cstheme="minorHAnsi"/>
          <w:lang w:val="en-MY" w:eastAsia="en-AU"/>
        </w:rPr>
        <w:t>place of detention</w:t>
      </w:r>
      <w:r w:rsidR="00B82073">
        <w:rPr>
          <w:rFonts w:cstheme="minorHAnsi"/>
          <w:lang w:val="en-MY" w:eastAsia="en-AU"/>
        </w:rPr>
        <w:t>,</w:t>
      </w:r>
      <w:r w:rsidR="001C706A" w:rsidRPr="001C706A">
        <w:rPr>
          <w:rFonts w:cstheme="minorHAnsi"/>
          <w:lang w:val="en-MY" w:eastAsia="en-AU"/>
        </w:rPr>
        <w:t xml:space="preserve"> or else the </w:t>
      </w:r>
      <w:r w:rsidR="00587F35" w:rsidRPr="001C706A">
        <w:rPr>
          <w:rFonts w:cstheme="minorHAnsi"/>
          <w:lang w:val="en-MY" w:eastAsia="en-AU"/>
        </w:rPr>
        <w:t>client’s home community</w:t>
      </w:r>
      <w:r w:rsidR="00B82073">
        <w:rPr>
          <w:rFonts w:cstheme="minorHAnsi"/>
          <w:lang w:val="en-MY" w:eastAsia="en-AU"/>
        </w:rPr>
        <w:t xml:space="preserve">, </w:t>
      </w:r>
      <w:r w:rsidR="00587F35" w:rsidRPr="001C706A">
        <w:rPr>
          <w:rFonts w:cstheme="minorHAnsi"/>
          <w:lang w:val="en-MY" w:eastAsia="en-AU"/>
        </w:rPr>
        <w:t>reducing both the visibility of clients and the case</w:t>
      </w:r>
      <w:r w:rsidR="00694565">
        <w:rPr>
          <w:rFonts w:cstheme="minorHAnsi"/>
          <w:lang w:val="en-MY" w:eastAsia="en-AU"/>
        </w:rPr>
        <w:t xml:space="preserve"> </w:t>
      </w:r>
      <w:r w:rsidR="00587F35" w:rsidRPr="001C706A">
        <w:rPr>
          <w:rFonts w:cstheme="minorHAnsi"/>
          <w:lang w:val="en-MY" w:eastAsia="en-AU"/>
        </w:rPr>
        <w:t xml:space="preserve">worker’s ability to coordinate supporting services. </w:t>
      </w:r>
    </w:p>
    <w:p w14:paraId="70B4A36B" w14:textId="77777777" w:rsidR="001C706A" w:rsidRPr="001C706A" w:rsidRDefault="001C706A" w:rsidP="00831C02">
      <w:pPr>
        <w:pStyle w:val="ListParagraph"/>
        <w:rPr>
          <w:rFonts w:cstheme="minorHAnsi"/>
          <w:lang w:val="en-MY" w:eastAsia="en-AU"/>
        </w:rPr>
      </w:pPr>
    </w:p>
    <w:p w14:paraId="5FE85FEB" w14:textId="4070886D" w:rsidR="001C706A" w:rsidRDefault="00955486" w:rsidP="00B77817">
      <w:pPr>
        <w:pStyle w:val="ListParagraph"/>
        <w:numPr>
          <w:ilvl w:val="0"/>
          <w:numId w:val="54"/>
        </w:numPr>
        <w:jc w:val="both"/>
        <w:rPr>
          <w:rFonts w:cstheme="minorHAnsi"/>
          <w:lang w:val="en-MY" w:eastAsia="en-AU"/>
        </w:rPr>
      </w:pPr>
      <w:r w:rsidRPr="00955486">
        <w:rPr>
          <w:rFonts w:cstheme="minorHAnsi"/>
          <w:lang w:val="en-MY" w:eastAsia="en-AU"/>
        </w:rPr>
        <w:t>Gaps in service delivery were found to disproportionately affect females and youth</w:t>
      </w:r>
      <w:r>
        <w:rPr>
          <w:rFonts w:cstheme="minorHAnsi"/>
          <w:lang w:val="en-MY" w:eastAsia="en-AU"/>
        </w:rPr>
        <w:t>, including</w:t>
      </w:r>
      <w:r w:rsidRPr="00955486">
        <w:rPr>
          <w:rFonts w:cstheme="minorHAnsi"/>
          <w:lang w:val="en-MY" w:eastAsia="en-AU"/>
        </w:rPr>
        <w:t xml:space="preserve"> </w:t>
      </w:r>
      <w:r>
        <w:rPr>
          <w:rFonts w:cstheme="minorHAnsi"/>
          <w:lang w:val="en-MY" w:eastAsia="en-AU"/>
        </w:rPr>
        <w:t>p</w:t>
      </w:r>
      <w:r w:rsidR="001C706A" w:rsidRPr="00955486">
        <w:rPr>
          <w:rFonts w:cstheme="minorHAnsi"/>
          <w:lang w:val="en-MY" w:eastAsia="en-AU"/>
        </w:rPr>
        <w:t>rospective clients receiving shorter sentences</w:t>
      </w:r>
      <w:r w:rsidR="00B82073">
        <w:rPr>
          <w:rFonts w:cstheme="minorHAnsi"/>
          <w:lang w:val="en-MY" w:eastAsia="en-AU"/>
        </w:rPr>
        <w:t>,</w:t>
      </w:r>
      <w:r w:rsidR="001C706A" w:rsidRPr="00955486">
        <w:rPr>
          <w:rFonts w:cstheme="minorHAnsi"/>
          <w:lang w:val="en-MY" w:eastAsia="en-AU"/>
        </w:rPr>
        <w:t xml:space="preserve"> </w:t>
      </w:r>
      <w:r w:rsidRPr="00955486">
        <w:rPr>
          <w:rFonts w:cstheme="minorHAnsi"/>
          <w:lang w:val="en-MY" w:eastAsia="en-AU"/>
        </w:rPr>
        <w:t xml:space="preserve">or </w:t>
      </w:r>
      <w:r>
        <w:rPr>
          <w:rFonts w:cstheme="minorHAnsi"/>
          <w:lang w:val="en-MY" w:eastAsia="en-AU"/>
        </w:rPr>
        <w:t xml:space="preserve">clients </w:t>
      </w:r>
      <w:r w:rsidRPr="00955486">
        <w:rPr>
          <w:rFonts w:cstheme="minorHAnsi"/>
          <w:lang w:val="en-MY" w:eastAsia="en-AU"/>
        </w:rPr>
        <w:t>on remand</w:t>
      </w:r>
      <w:r w:rsidR="00B82073">
        <w:rPr>
          <w:rFonts w:cstheme="minorHAnsi"/>
          <w:lang w:val="en-MY" w:eastAsia="en-AU"/>
        </w:rPr>
        <w:t xml:space="preserve">, </w:t>
      </w:r>
      <w:r>
        <w:rPr>
          <w:rFonts w:cstheme="minorHAnsi"/>
          <w:lang w:val="en-MY" w:eastAsia="en-AU"/>
        </w:rPr>
        <w:t xml:space="preserve">who are </w:t>
      </w:r>
      <w:r w:rsidR="001C706A" w:rsidRPr="00955486">
        <w:rPr>
          <w:rFonts w:cstheme="minorHAnsi"/>
          <w:lang w:val="en-MY" w:eastAsia="en-AU"/>
        </w:rPr>
        <w:t>disadvantaged in terms of their</w:t>
      </w:r>
      <w:r>
        <w:rPr>
          <w:rFonts w:cstheme="minorHAnsi"/>
          <w:lang w:val="en-MY" w:eastAsia="en-AU"/>
        </w:rPr>
        <w:t xml:space="preserve"> </w:t>
      </w:r>
      <w:r w:rsidRPr="00955486">
        <w:rPr>
          <w:rFonts w:cstheme="minorHAnsi"/>
          <w:lang w:val="en-MY" w:eastAsia="en-AU"/>
        </w:rPr>
        <w:t>eligib</w:t>
      </w:r>
      <w:r>
        <w:rPr>
          <w:rFonts w:cstheme="minorHAnsi"/>
          <w:lang w:val="en-MY" w:eastAsia="en-AU"/>
        </w:rPr>
        <w:t xml:space="preserve">ility to access </w:t>
      </w:r>
      <w:r w:rsidRPr="00955486">
        <w:rPr>
          <w:rFonts w:cstheme="minorHAnsi"/>
          <w:lang w:val="en-MY" w:eastAsia="en-AU"/>
        </w:rPr>
        <w:t>the service.</w:t>
      </w:r>
      <w:r>
        <w:rPr>
          <w:rFonts w:cstheme="minorHAnsi"/>
          <w:lang w:val="en-MY" w:eastAsia="en-AU"/>
        </w:rPr>
        <w:t xml:space="preserve"> </w:t>
      </w:r>
      <w:r w:rsidR="001C706A" w:rsidRPr="00955486">
        <w:rPr>
          <w:rFonts w:cstheme="minorHAnsi"/>
          <w:lang w:val="en-MY" w:eastAsia="en-AU"/>
        </w:rPr>
        <w:t xml:space="preserve">A gap in service delivery specific to the YTC program was also </w:t>
      </w:r>
      <w:r w:rsidRPr="00955486">
        <w:rPr>
          <w:rFonts w:cstheme="minorHAnsi"/>
          <w:lang w:val="en-MY" w:eastAsia="en-AU"/>
        </w:rPr>
        <w:t xml:space="preserve">reported </w:t>
      </w:r>
      <w:r w:rsidR="001C706A" w:rsidRPr="00955486">
        <w:rPr>
          <w:rFonts w:cstheme="minorHAnsi"/>
          <w:lang w:val="en-MY" w:eastAsia="en-AU"/>
        </w:rPr>
        <w:t>when an individual reaches 18 years</w:t>
      </w:r>
      <w:r>
        <w:rPr>
          <w:rFonts w:cstheme="minorHAnsi"/>
          <w:lang w:val="en-MY" w:eastAsia="en-AU"/>
        </w:rPr>
        <w:t xml:space="preserve">, </w:t>
      </w:r>
      <w:r w:rsidRPr="00955486">
        <w:rPr>
          <w:rFonts w:cstheme="minorHAnsi"/>
          <w:lang w:val="en-MY" w:eastAsia="en-AU"/>
        </w:rPr>
        <w:t>when</w:t>
      </w:r>
      <w:r w:rsidR="001C706A" w:rsidRPr="00955486">
        <w:rPr>
          <w:rFonts w:cstheme="minorHAnsi"/>
          <w:lang w:val="en-MY" w:eastAsia="en-AU"/>
        </w:rPr>
        <w:t xml:space="preserve"> many programs and services for youth tend to drop off. </w:t>
      </w:r>
    </w:p>
    <w:p w14:paraId="3E72DF2C" w14:textId="77777777" w:rsidR="00831C02" w:rsidRPr="00831C02" w:rsidRDefault="00831C02" w:rsidP="00831C02">
      <w:pPr>
        <w:pStyle w:val="ListParagraph"/>
        <w:rPr>
          <w:rFonts w:cstheme="minorHAnsi"/>
          <w:lang w:val="en-MY" w:eastAsia="en-AU"/>
        </w:rPr>
      </w:pPr>
    </w:p>
    <w:p w14:paraId="3D600B43" w14:textId="29C65EB3" w:rsidR="00831C02" w:rsidRDefault="00831C02" w:rsidP="00B77817">
      <w:pPr>
        <w:pStyle w:val="ListParagraph"/>
        <w:numPr>
          <w:ilvl w:val="0"/>
          <w:numId w:val="54"/>
        </w:numPr>
        <w:jc w:val="both"/>
        <w:rPr>
          <w:rFonts w:cstheme="minorHAnsi"/>
          <w:lang w:val="en-MY" w:eastAsia="en-AU"/>
        </w:rPr>
      </w:pPr>
      <w:r w:rsidRPr="00831C02">
        <w:rPr>
          <w:rFonts w:cstheme="minorHAnsi"/>
          <w:lang w:val="en-MY" w:eastAsia="en-AU"/>
        </w:rPr>
        <w:t xml:space="preserve">Family was regarded by clients and case workers as especially important to the reintegration journey of clients for whom their role as a parent, son, or daughter, was integral to their identity, as well as for clients with physical or cognitive disabilities who had historically relied on family for practical support. Family, culture and kin, were not, however, considered a universally appropriate </w:t>
      </w:r>
      <w:r w:rsidR="00B82073">
        <w:rPr>
          <w:rFonts w:cstheme="minorHAnsi"/>
          <w:lang w:val="en-MY" w:eastAsia="en-AU"/>
        </w:rPr>
        <w:t xml:space="preserve">means of </w:t>
      </w:r>
      <w:r w:rsidRPr="00831C02">
        <w:rPr>
          <w:rFonts w:cstheme="minorHAnsi"/>
          <w:lang w:val="en-MY" w:eastAsia="en-AU"/>
        </w:rPr>
        <w:t xml:space="preserve">intervention in cases where </w:t>
      </w:r>
      <w:r>
        <w:rPr>
          <w:rFonts w:cstheme="minorHAnsi"/>
          <w:lang w:val="en-MY" w:eastAsia="en-AU"/>
        </w:rPr>
        <w:t xml:space="preserve">this risks becoming </w:t>
      </w:r>
      <w:r w:rsidRPr="001C706A">
        <w:rPr>
          <w:rFonts w:cstheme="minorHAnsi"/>
          <w:lang w:val="en-MY" w:eastAsia="en-AU"/>
        </w:rPr>
        <w:t xml:space="preserve">a negative influence or </w:t>
      </w:r>
      <w:r w:rsidR="00B82073">
        <w:rPr>
          <w:rFonts w:cstheme="minorHAnsi"/>
          <w:lang w:val="en-MY" w:eastAsia="en-AU"/>
        </w:rPr>
        <w:t xml:space="preserve">else </w:t>
      </w:r>
      <w:r>
        <w:rPr>
          <w:rFonts w:cstheme="minorHAnsi"/>
          <w:lang w:val="en-MY" w:eastAsia="en-AU"/>
        </w:rPr>
        <w:t xml:space="preserve">is otherwise </w:t>
      </w:r>
      <w:r w:rsidRPr="001C706A">
        <w:rPr>
          <w:rFonts w:cstheme="minorHAnsi"/>
          <w:lang w:val="en-MY" w:eastAsia="en-AU"/>
        </w:rPr>
        <w:t>prohibited</w:t>
      </w:r>
      <w:r>
        <w:rPr>
          <w:rFonts w:cstheme="minorHAnsi"/>
          <w:lang w:val="en-MY" w:eastAsia="en-AU"/>
        </w:rPr>
        <w:t>.</w:t>
      </w:r>
    </w:p>
    <w:p w14:paraId="289CDAB7" w14:textId="77777777" w:rsidR="00831C02" w:rsidRPr="00831C02" w:rsidRDefault="00831C02" w:rsidP="00831C02">
      <w:pPr>
        <w:pStyle w:val="ListParagraph"/>
        <w:rPr>
          <w:rFonts w:cstheme="minorHAnsi"/>
        </w:rPr>
      </w:pPr>
    </w:p>
    <w:p w14:paraId="4AD9A669" w14:textId="2BE146AA" w:rsidR="00831C02" w:rsidRPr="00831C02" w:rsidRDefault="00831C02" w:rsidP="00B77817">
      <w:pPr>
        <w:pStyle w:val="ListParagraph"/>
        <w:numPr>
          <w:ilvl w:val="0"/>
          <w:numId w:val="54"/>
        </w:numPr>
        <w:jc w:val="both"/>
        <w:rPr>
          <w:rFonts w:cstheme="minorHAnsi"/>
          <w:lang w:val="en-MY" w:eastAsia="en-AU"/>
        </w:rPr>
      </w:pPr>
      <w:r>
        <w:rPr>
          <w:rFonts w:cstheme="minorHAnsi"/>
        </w:rPr>
        <w:t>T</w:t>
      </w:r>
      <w:r w:rsidRPr="00831C02">
        <w:rPr>
          <w:rFonts w:cstheme="minorHAnsi"/>
        </w:rPr>
        <w:t xml:space="preserve">here is a </w:t>
      </w:r>
      <w:r>
        <w:rPr>
          <w:rFonts w:cstheme="minorHAnsi"/>
        </w:rPr>
        <w:t xml:space="preserve">reported need </w:t>
      </w:r>
      <w:r w:rsidRPr="00831C02">
        <w:rPr>
          <w:rFonts w:cstheme="minorHAnsi"/>
        </w:rPr>
        <w:t>to update guidance to incorporate provision for greater levels of support to the family unit, rather than simply the individual client, and to enable peer-to-peer client relationship development and support groups</w:t>
      </w:r>
      <w:r>
        <w:rPr>
          <w:rFonts w:cstheme="minorHAnsi"/>
        </w:rPr>
        <w:t>, where assessed as appropriate and aligned to client goals</w:t>
      </w:r>
      <w:r w:rsidRPr="00831C02">
        <w:rPr>
          <w:rFonts w:cstheme="minorHAnsi"/>
        </w:rPr>
        <w:t>. In updating the practice guidelines, it is recommended to move away from an individualistic approach to include supports that are more collective or relational, including practices that promote peer-to-peer interactions.</w:t>
      </w:r>
    </w:p>
    <w:p w14:paraId="44C56A3D" w14:textId="77777777" w:rsidR="00F52266" w:rsidRPr="00F52266" w:rsidRDefault="00587F35" w:rsidP="00F52266">
      <w:pPr>
        <w:pStyle w:val="SUBHEAD2"/>
        <w:rPr>
          <w:rFonts w:asciiTheme="minorHAnsi" w:hAnsiTheme="minorHAnsi" w:cstheme="minorHAnsi"/>
          <w:b w:val="0"/>
          <w:smallCaps w:val="0"/>
          <w:color w:val="auto"/>
          <w:spacing w:val="0"/>
          <w:lang w:val="en-MY" w:eastAsia="en-AU"/>
        </w:rPr>
      </w:pPr>
      <w:r w:rsidRPr="00EE52FE">
        <w:rPr>
          <w:rFonts w:asciiTheme="minorHAnsi" w:hAnsiTheme="minorHAnsi" w:cstheme="minorHAnsi"/>
          <w:lang w:val="en-MY" w:eastAsia="en-AU"/>
        </w:rPr>
        <w:t>Resource Use</w:t>
      </w:r>
    </w:p>
    <w:p w14:paraId="3266C838" w14:textId="77777777" w:rsidR="00D44694" w:rsidRDefault="006A78DB" w:rsidP="008F6511">
      <w:pPr>
        <w:spacing w:before="120" w:after="120"/>
        <w:jc w:val="both"/>
        <w:rPr>
          <w:b/>
          <w:smallCaps/>
          <w:lang w:val="en-MY" w:eastAsia="en-AU"/>
        </w:rPr>
      </w:pPr>
      <w:r w:rsidRPr="00F52266">
        <w:rPr>
          <w:lang w:val="en-MY" w:eastAsia="en-AU"/>
        </w:rPr>
        <w:t>Managers from all service providers across ATC and YTC programs, stated that their services were under-resourced and that additional funding was needed to meet client needs by recruiting more case workers, increasing brokerage expenditure,</w:t>
      </w:r>
      <w:r w:rsidRPr="00D44694">
        <w:rPr>
          <w:vertAlign w:val="superscript"/>
          <w:lang w:val="en-MY" w:eastAsia="en-AU"/>
        </w:rPr>
        <w:footnoteReference w:id="4"/>
      </w:r>
      <w:r w:rsidRPr="00F52266">
        <w:rPr>
          <w:lang w:val="en-MY" w:eastAsia="en-AU"/>
        </w:rPr>
        <w:t xml:space="preserve"> improving access to high quality therapeutic programs, and by improving the pay and conditions of case workers to attract and retain high quality staff.</w:t>
      </w:r>
    </w:p>
    <w:p w14:paraId="5D460DA9" w14:textId="5BA9049F" w:rsidR="00B82073" w:rsidRPr="00054A38" w:rsidRDefault="00B82073" w:rsidP="008F6511">
      <w:pPr>
        <w:spacing w:before="120" w:after="120"/>
        <w:jc w:val="both"/>
        <w:rPr>
          <w:lang w:val="en-MY" w:eastAsia="en-AU"/>
        </w:rPr>
      </w:pPr>
      <w:r>
        <w:rPr>
          <w:lang w:val="en-MY" w:eastAsia="en-AU"/>
        </w:rPr>
        <w:t>In further responding to this research question, the following key findings are made:</w:t>
      </w:r>
    </w:p>
    <w:p w14:paraId="3B408FA4" w14:textId="00085F86" w:rsidR="00D44694" w:rsidRPr="008F6511" w:rsidRDefault="00F52266" w:rsidP="008F6511">
      <w:pPr>
        <w:pStyle w:val="ListParagraph"/>
        <w:numPr>
          <w:ilvl w:val="0"/>
          <w:numId w:val="73"/>
        </w:numPr>
        <w:spacing w:before="240"/>
        <w:ind w:left="714" w:hanging="357"/>
        <w:jc w:val="both"/>
        <w:rPr>
          <w:b/>
          <w:smallCaps/>
          <w:lang w:val="en-MY" w:eastAsia="en-AU"/>
        </w:rPr>
      </w:pPr>
      <w:r w:rsidRPr="008F6511">
        <w:rPr>
          <w:lang w:val="en-MY" w:eastAsia="en-AU"/>
        </w:rPr>
        <w:t>All service providers</w:t>
      </w:r>
      <w:r w:rsidR="00D44694" w:rsidRPr="008F6511">
        <w:rPr>
          <w:lang w:val="en-MY" w:eastAsia="en-AU"/>
        </w:rPr>
        <w:t xml:space="preserve"> stated that</w:t>
      </w:r>
      <w:r w:rsidRPr="008F6511">
        <w:rPr>
          <w:lang w:val="en-MY" w:eastAsia="en-AU"/>
        </w:rPr>
        <w:t xml:space="preserve"> </w:t>
      </w:r>
      <w:r w:rsidR="00D44694" w:rsidRPr="008F6511">
        <w:rPr>
          <w:lang w:val="en-MY" w:eastAsia="en-AU"/>
        </w:rPr>
        <w:t xml:space="preserve">poor </w:t>
      </w:r>
      <w:r w:rsidRPr="008F6511">
        <w:rPr>
          <w:lang w:val="en-MY" w:eastAsia="en-AU"/>
        </w:rPr>
        <w:t xml:space="preserve">pay levels </w:t>
      </w:r>
      <w:r w:rsidR="00D44694" w:rsidRPr="008F6511">
        <w:rPr>
          <w:lang w:val="en-MY" w:eastAsia="en-AU"/>
        </w:rPr>
        <w:t xml:space="preserve">for </w:t>
      </w:r>
      <w:r w:rsidRPr="008F6511">
        <w:rPr>
          <w:lang w:val="en-MY" w:eastAsia="en-AU"/>
        </w:rPr>
        <w:t>case workers w</w:t>
      </w:r>
      <w:r w:rsidR="00D44694" w:rsidRPr="008F6511">
        <w:rPr>
          <w:lang w:val="en-MY" w:eastAsia="en-AU"/>
        </w:rPr>
        <w:t xml:space="preserve">ere </w:t>
      </w:r>
      <w:r w:rsidRPr="008F6511">
        <w:rPr>
          <w:lang w:val="en-MY" w:eastAsia="en-AU"/>
        </w:rPr>
        <w:t xml:space="preserve">a key driver of high levels of staff turnover, </w:t>
      </w:r>
      <w:r w:rsidR="00D44694" w:rsidRPr="008F6511">
        <w:rPr>
          <w:lang w:val="en-MY" w:eastAsia="en-AU"/>
        </w:rPr>
        <w:t xml:space="preserve">and </w:t>
      </w:r>
      <w:r w:rsidRPr="008F6511">
        <w:rPr>
          <w:lang w:val="en-MY" w:eastAsia="en-AU"/>
        </w:rPr>
        <w:t>challenges recruiting experienced, qualified, and committed staff.</w:t>
      </w:r>
      <w:r w:rsidR="00D44694" w:rsidRPr="008F6511">
        <w:rPr>
          <w:lang w:val="en-MY" w:eastAsia="en-AU"/>
        </w:rPr>
        <w:t xml:space="preserve"> High turnover rates were reported by managers at all larger services. It is suggested that NIAA review funding levels to enable service providers to improve pay levels and working conditions</w:t>
      </w:r>
      <w:r w:rsidR="00B82073" w:rsidRPr="008F6511">
        <w:rPr>
          <w:lang w:val="en-MY" w:eastAsia="en-AU"/>
        </w:rPr>
        <w:t xml:space="preserve">, </w:t>
      </w:r>
      <w:r w:rsidR="00D44694" w:rsidRPr="008F6511">
        <w:rPr>
          <w:lang w:val="en-MY" w:eastAsia="en-AU"/>
        </w:rPr>
        <w:t>s</w:t>
      </w:r>
      <w:r w:rsidR="00B82073" w:rsidRPr="008F6511">
        <w:rPr>
          <w:lang w:val="en-MY" w:eastAsia="en-AU"/>
        </w:rPr>
        <w:t xml:space="preserve">o </w:t>
      </w:r>
      <w:r w:rsidR="00D44694" w:rsidRPr="008F6511">
        <w:rPr>
          <w:lang w:val="en-MY" w:eastAsia="en-AU"/>
        </w:rPr>
        <w:t xml:space="preserve">that there is greater parity with equivalent occupations in government and elsewhere in the community services sector. </w:t>
      </w:r>
    </w:p>
    <w:p w14:paraId="76B7AE1D" w14:textId="77777777" w:rsidR="008F6511" w:rsidRPr="008F6511" w:rsidRDefault="008F6511" w:rsidP="008F6511">
      <w:pPr>
        <w:pStyle w:val="ListParagraph"/>
        <w:spacing w:before="240"/>
        <w:ind w:left="714"/>
        <w:jc w:val="both"/>
        <w:rPr>
          <w:b/>
          <w:smallCaps/>
          <w:lang w:val="en-MY" w:eastAsia="en-AU"/>
        </w:rPr>
      </w:pPr>
    </w:p>
    <w:p w14:paraId="6E6705D4" w14:textId="77777777" w:rsidR="008F6511" w:rsidRPr="008F6511" w:rsidRDefault="005858C3" w:rsidP="00E22567">
      <w:pPr>
        <w:pStyle w:val="ListParagraph"/>
        <w:numPr>
          <w:ilvl w:val="0"/>
          <w:numId w:val="73"/>
        </w:numPr>
        <w:spacing w:before="240"/>
        <w:ind w:left="714" w:hanging="357"/>
        <w:jc w:val="both"/>
        <w:rPr>
          <w:b/>
          <w:smallCaps/>
          <w:lang w:val="en-MY" w:eastAsia="en-AU"/>
        </w:rPr>
      </w:pPr>
      <w:r w:rsidRPr="008F6511">
        <w:rPr>
          <w:lang w:val="en-MY" w:eastAsia="en-AU"/>
        </w:rPr>
        <w:t>Case workers frequently cited a lack of brokerage monies as a barrier to meeting the material needs of clients, and either lacked the authorisation to buy necessary small items, or would use their own income. It is suggested that the proportion of funds allocated for brokerage be increased and guidance be provided within service agreements to clarify the broad purposes to which these monies can be used, and to ensure an appropriate allocation of funds for this purpose</w:t>
      </w:r>
      <w:r w:rsidR="008F6511" w:rsidRPr="008F6511">
        <w:rPr>
          <w:lang w:val="en-MY" w:eastAsia="en-AU"/>
        </w:rPr>
        <w:t>.</w:t>
      </w:r>
    </w:p>
    <w:p w14:paraId="01578E5B" w14:textId="77777777" w:rsidR="008F6511" w:rsidRPr="008F6511" w:rsidRDefault="008F6511" w:rsidP="008F6511">
      <w:pPr>
        <w:pStyle w:val="ListParagraph"/>
        <w:rPr>
          <w:lang w:val="en-MY" w:eastAsia="en-AU"/>
        </w:rPr>
      </w:pPr>
    </w:p>
    <w:p w14:paraId="1F42F09A" w14:textId="77777777" w:rsidR="008F6511" w:rsidRPr="008F6511" w:rsidRDefault="00D44694" w:rsidP="00E22567">
      <w:pPr>
        <w:pStyle w:val="ListParagraph"/>
        <w:numPr>
          <w:ilvl w:val="0"/>
          <w:numId w:val="73"/>
        </w:numPr>
        <w:spacing w:before="240"/>
        <w:ind w:left="714" w:hanging="357"/>
        <w:jc w:val="both"/>
        <w:rPr>
          <w:b/>
          <w:smallCaps/>
          <w:lang w:val="en-MY" w:eastAsia="en-AU"/>
        </w:rPr>
      </w:pPr>
      <w:r w:rsidRPr="008F6511">
        <w:rPr>
          <w:lang w:val="en-MY" w:eastAsia="en-AU"/>
        </w:rPr>
        <w:t>Nearly all services believed they were managing too large a case</w:t>
      </w:r>
      <w:r w:rsidR="00694565" w:rsidRPr="008F6511">
        <w:rPr>
          <w:lang w:val="en-MY" w:eastAsia="en-AU"/>
        </w:rPr>
        <w:t>-</w:t>
      </w:r>
      <w:r w:rsidRPr="008F6511">
        <w:rPr>
          <w:lang w:val="en-MY" w:eastAsia="en-AU"/>
        </w:rPr>
        <w:t>load to be able to provide a truly intensive service for</w:t>
      </w:r>
      <w:r w:rsidR="00B82073" w:rsidRPr="008F6511">
        <w:rPr>
          <w:lang w:val="en-MY" w:eastAsia="en-AU"/>
        </w:rPr>
        <w:t xml:space="preserve"> </w:t>
      </w:r>
      <w:r w:rsidRPr="008F6511">
        <w:rPr>
          <w:lang w:val="en-MY" w:eastAsia="en-AU"/>
        </w:rPr>
        <w:t>clients</w:t>
      </w:r>
      <w:r w:rsidR="00B82073" w:rsidRPr="008F6511">
        <w:rPr>
          <w:lang w:val="en-MY" w:eastAsia="en-AU"/>
        </w:rPr>
        <w:t xml:space="preserve"> with complex needs</w:t>
      </w:r>
      <w:r w:rsidRPr="008F6511">
        <w:rPr>
          <w:lang w:val="en-MY" w:eastAsia="en-AU"/>
        </w:rPr>
        <w:t>, resulting in a reactive rather than a proactive mode of operation. It is suggested</w:t>
      </w:r>
      <w:r w:rsidR="005858C3" w:rsidRPr="008F6511">
        <w:rPr>
          <w:lang w:val="en-MY" w:eastAsia="en-AU"/>
        </w:rPr>
        <w:t xml:space="preserve"> </w:t>
      </w:r>
      <w:r w:rsidRPr="008F6511">
        <w:rPr>
          <w:lang w:val="en-MY" w:eastAsia="en-AU"/>
        </w:rPr>
        <w:t>that minimum case</w:t>
      </w:r>
      <w:r w:rsidR="00694565" w:rsidRPr="008F6511">
        <w:rPr>
          <w:lang w:val="en-MY" w:eastAsia="en-AU"/>
        </w:rPr>
        <w:t>-</w:t>
      </w:r>
      <w:r w:rsidRPr="008F6511">
        <w:rPr>
          <w:lang w:val="en-MY" w:eastAsia="en-AU"/>
        </w:rPr>
        <w:t>loads in service agreements be reviewed and potentially reduced from 8 to 15 (nominally 12) for adults</w:t>
      </w:r>
      <w:r w:rsidR="00B82073" w:rsidRPr="008F6511">
        <w:rPr>
          <w:lang w:val="en-MY" w:eastAsia="en-AU"/>
        </w:rPr>
        <w:t>,</w:t>
      </w:r>
      <w:r w:rsidRPr="008F6511">
        <w:rPr>
          <w:lang w:val="en-MY" w:eastAsia="en-AU"/>
        </w:rPr>
        <w:t xml:space="preserve"> and 8 to 12 (nominally 10) for youths, to 8 to 10 for adults and 6 to 8 for youth</w:t>
      </w:r>
      <w:r w:rsidR="00B82073" w:rsidRPr="008F6511">
        <w:rPr>
          <w:lang w:val="en-MY" w:eastAsia="en-AU"/>
        </w:rPr>
        <w:t>s, respectively</w:t>
      </w:r>
      <w:r w:rsidRPr="008F6511">
        <w:rPr>
          <w:lang w:val="en-MY" w:eastAsia="en-AU"/>
        </w:rPr>
        <w:t>.</w:t>
      </w:r>
    </w:p>
    <w:p w14:paraId="661517CA" w14:textId="77777777" w:rsidR="008F6511" w:rsidRPr="008F6511" w:rsidRDefault="008F6511" w:rsidP="008F6511">
      <w:pPr>
        <w:pStyle w:val="ListParagraph"/>
        <w:rPr>
          <w:lang w:val="en-MY" w:eastAsia="en-AU"/>
        </w:rPr>
      </w:pPr>
    </w:p>
    <w:p w14:paraId="195F1A93" w14:textId="77777777" w:rsidR="008F6511" w:rsidRPr="008F6511" w:rsidRDefault="00587F35" w:rsidP="00E22567">
      <w:pPr>
        <w:pStyle w:val="ListParagraph"/>
        <w:numPr>
          <w:ilvl w:val="0"/>
          <w:numId w:val="73"/>
        </w:numPr>
        <w:spacing w:before="240"/>
        <w:ind w:left="714" w:hanging="357"/>
        <w:jc w:val="both"/>
        <w:rPr>
          <w:b/>
          <w:smallCaps/>
          <w:lang w:val="en-MY" w:eastAsia="en-AU"/>
        </w:rPr>
      </w:pPr>
      <w:r w:rsidRPr="008F6511">
        <w:rPr>
          <w:lang w:val="en-MY" w:eastAsia="en-AU"/>
        </w:rPr>
        <w:t>While case</w:t>
      </w:r>
      <w:r w:rsidR="00694565" w:rsidRPr="008F6511">
        <w:rPr>
          <w:lang w:val="en-MY" w:eastAsia="en-AU"/>
        </w:rPr>
        <w:t>-</w:t>
      </w:r>
      <w:r w:rsidRPr="008F6511">
        <w:rPr>
          <w:lang w:val="en-MY" w:eastAsia="en-AU"/>
        </w:rPr>
        <w:t xml:space="preserve">loads are driven by several factors, such as the complexity of client need and the remoteness of the provider or client, </w:t>
      </w:r>
      <w:r w:rsidR="00D44694" w:rsidRPr="008F6511">
        <w:rPr>
          <w:lang w:val="en-MY" w:eastAsia="en-AU"/>
        </w:rPr>
        <w:t>an</w:t>
      </w:r>
      <w:r w:rsidR="00872C8E" w:rsidRPr="008F6511">
        <w:rPr>
          <w:lang w:val="en-MY" w:eastAsia="en-AU"/>
        </w:rPr>
        <w:t xml:space="preserve"> </w:t>
      </w:r>
      <w:r w:rsidR="00D44694" w:rsidRPr="008F6511">
        <w:rPr>
          <w:lang w:val="en-MY" w:eastAsia="en-AU"/>
        </w:rPr>
        <w:t xml:space="preserve">analysis of available data shows that </w:t>
      </w:r>
      <w:r w:rsidRPr="008F6511">
        <w:rPr>
          <w:lang w:val="en-MY" w:eastAsia="en-AU"/>
        </w:rPr>
        <w:t>case</w:t>
      </w:r>
      <w:r w:rsidR="00694565" w:rsidRPr="008F6511">
        <w:rPr>
          <w:lang w:val="en-MY" w:eastAsia="en-AU"/>
        </w:rPr>
        <w:t xml:space="preserve"> </w:t>
      </w:r>
      <w:r w:rsidRPr="008F6511">
        <w:rPr>
          <w:lang w:val="en-MY" w:eastAsia="en-AU"/>
        </w:rPr>
        <w:t>workers feel stretched, not simply because of high case</w:t>
      </w:r>
      <w:r w:rsidR="00694565" w:rsidRPr="008F6511">
        <w:rPr>
          <w:lang w:val="en-MY" w:eastAsia="en-AU"/>
        </w:rPr>
        <w:t>-</w:t>
      </w:r>
      <w:r w:rsidRPr="008F6511">
        <w:rPr>
          <w:lang w:val="en-MY" w:eastAsia="en-AU"/>
        </w:rPr>
        <w:t>loads</w:t>
      </w:r>
      <w:r w:rsidR="00872C8E" w:rsidRPr="008F6511">
        <w:rPr>
          <w:lang w:val="en-MY" w:eastAsia="en-AU"/>
        </w:rPr>
        <w:t xml:space="preserve">, </w:t>
      </w:r>
      <w:r w:rsidRPr="008F6511">
        <w:rPr>
          <w:lang w:val="en-MY" w:eastAsia="en-AU"/>
        </w:rPr>
        <w:t>but because many clients are supported for periods beyond the prescribed 18 months post-release</w:t>
      </w:r>
      <w:r w:rsidR="00872C8E" w:rsidRPr="008F6511">
        <w:rPr>
          <w:lang w:val="en-MY" w:eastAsia="en-AU"/>
        </w:rPr>
        <w:t xml:space="preserve">, </w:t>
      </w:r>
      <w:r w:rsidR="00B82073" w:rsidRPr="008F6511">
        <w:rPr>
          <w:lang w:val="en-MY" w:eastAsia="en-AU"/>
        </w:rPr>
        <w:t xml:space="preserve">although </w:t>
      </w:r>
      <w:r w:rsidR="00872C8E" w:rsidRPr="008F6511">
        <w:rPr>
          <w:lang w:val="en-MY" w:eastAsia="en-AU"/>
        </w:rPr>
        <w:t>case</w:t>
      </w:r>
      <w:r w:rsidR="00694565" w:rsidRPr="008F6511">
        <w:rPr>
          <w:lang w:val="en-MY" w:eastAsia="en-AU"/>
        </w:rPr>
        <w:t xml:space="preserve"> </w:t>
      </w:r>
      <w:r w:rsidR="00872C8E" w:rsidRPr="008F6511">
        <w:rPr>
          <w:lang w:val="en-MY" w:eastAsia="en-AU"/>
        </w:rPr>
        <w:t>workers are not resourced to provide an intensive service</w:t>
      </w:r>
      <w:r w:rsidR="00B82073" w:rsidRPr="008F6511">
        <w:rPr>
          <w:lang w:val="en-MY" w:eastAsia="en-AU"/>
        </w:rPr>
        <w:t xml:space="preserve"> </w:t>
      </w:r>
      <w:r w:rsidR="00872C8E" w:rsidRPr="008F6511">
        <w:rPr>
          <w:lang w:val="en-MY" w:eastAsia="en-AU"/>
        </w:rPr>
        <w:t>for such extended periods</w:t>
      </w:r>
      <w:r w:rsidRPr="008F6511">
        <w:rPr>
          <w:lang w:val="en-MY" w:eastAsia="en-AU"/>
        </w:rPr>
        <w:t>.</w:t>
      </w:r>
      <w:r w:rsidR="008F6511" w:rsidRPr="008F6511">
        <w:rPr>
          <w:lang w:val="en-MY" w:eastAsia="en-AU"/>
        </w:rPr>
        <w:t xml:space="preserve"> </w:t>
      </w:r>
    </w:p>
    <w:p w14:paraId="708B49F3" w14:textId="77777777" w:rsidR="008F6511" w:rsidRPr="008F6511" w:rsidRDefault="008F6511" w:rsidP="008F6511">
      <w:pPr>
        <w:pStyle w:val="ListParagraph"/>
        <w:rPr>
          <w:lang w:val="en-MY" w:eastAsia="en-AU"/>
        </w:rPr>
      </w:pPr>
    </w:p>
    <w:p w14:paraId="70A0F28A" w14:textId="306121EC" w:rsidR="005858C3" w:rsidRPr="008F6511" w:rsidRDefault="005858C3" w:rsidP="00E22567">
      <w:pPr>
        <w:pStyle w:val="ListParagraph"/>
        <w:numPr>
          <w:ilvl w:val="0"/>
          <w:numId w:val="73"/>
        </w:numPr>
        <w:spacing w:before="240"/>
        <w:ind w:left="714" w:hanging="357"/>
        <w:jc w:val="both"/>
        <w:rPr>
          <w:b/>
          <w:smallCaps/>
          <w:lang w:val="en-MY" w:eastAsia="en-AU"/>
        </w:rPr>
      </w:pPr>
      <w:r w:rsidRPr="008F6511">
        <w:rPr>
          <w:lang w:val="en-MY" w:eastAsia="en-AU"/>
        </w:rPr>
        <w:t>Extensions to the period of client support are typically driven by both the complexity of client needs, and the need to continue to support clients in meeting their parole obligations well beyond 18 months post-release.</w:t>
      </w:r>
    </w:p>
    <w:p w14:paraId="36538D45" w14:textId="77777777" w:rsidR="00587F35" w:rsidRPr="00D44694" w:rsidRDefault="00587F35" w:rsidP="00D44694">
      <w:pPr>
        <w:pStyle w:val="SUBHEAD2"/>
        <w:rPr>
          <w:rFonts w:asciiTheme="minorHAnsi" w:hAnsiTheme="minorHAnsi" w:cstheme="minorHAnsi"/>
          <w:lang w:val="en-MY" w:eastAsia="en-AU"/>
        </w:rPr>
      </w:pPr>
      <w:r w:rsidRPr="00D44694">
        <w:rPr>
          <w:rFonts w:asciiTheme="minorHAnsi" w:hAnsiTheme="minorHAnsi" w:cstheme="minorHAnsi"/>
          <w:lang w:val="en-MY" w:eastAsia="en-AU"/>
        </w:rPr>
        <w:t>Making Improvements</w:t>
      </w:r>
    </w:p>
    <w:p w14:paraId="66C51CB6" w14:textId="77777777" w:rsidR="00B9596A" w:rsidRDefault="003C2B68" w:rsidP="00006AAE">
      <w:pPr>
        <w:spacing w:before="120" w:after="120"/>
        <w:jc w:val="both"/>
        <w:rPr>
          <w:rFonts w:cstheme="minorHAnsi"/>
          <w:lang w:val="en-MY" w:eastAsia="en-AU"/>
        </w:rPr>
      </w:pPr>
      <w:r w:rsidRPr="00EE52FE">
        <w:rPr>
          <w:rFonts w:cstheme="minorHAnsi"/>
          <w:lang w:val="en-MY" w:eastAsia="en-AU"/>
        </w:rPr>
        <w:t>As part of the evaluation,</w:t>
      </w:r>
      <w:r>
        <w:rPr>
          <w:rFonts w:cstheme="minorHAnsi"/>
          <w:lang w:val="en-MY" w:eastAsia="en-AU"/>
        </w:rPr>
        <w:t xml:space="preserve"> several </w:t>
      </w:r>
      <w:r w:rsidRPr="00EE52FE">
        <w:rPr>
          <w:rFonts w:cstheme="minorHAnsi"/>
          <w:lang w:val="en-MY" w:eastAsia="en-AU"/>
        </w:rPr>
        <w:t>opportunities to improve practice were identified</w:t>
      </w:r>
      <w:r>
        <w:rPr>
          <w:rFonts w:cstheme="minorHAnsi"/>
          <w:lang w:val="en-MY" w:eastAsia="en-AU"/>
        </w:rPr>
        <w:t xml:space="preserve"> in feedback from stakeholders</w:t>
      </w:r>
      <w:r w:rsidRPr="00EE52FE">
        <w:rPr>
          <w:rFonts w:cstheme="minorHAnsi"/>
          <w:lang w:val="en-MY" w:eastAsia="en-AU"/>
        </w:rPr>
        <w:t>.</w:t>
      </w:r>
      <w:r>
        <w:rPr>
          <w:rFonts w:cstheme="minorHAnsi"/>
          <w:lang w:val="en-MY" w:eastAsia="en-AU"/>
        </w:rPr>
        <w:t xml:space="preserve"> These </w:t>
      </w:r>
      <w:r w:rsidRPr="003D005C">
        <w:rPr>
          <w:rFonts w:cstheme="minorHAnsi"/>
          <w:lang w:val="en-MY" w:eastAsia="en-AU"/>
        </w:rPr>
        <w:t>issues</w:t>
      </w:r>
      <w:r w:rsidR="0020073E">
        <w:rPr>
          <w:rFonts w:cstheme="minorHAnsi"/>
          <w:lang w:val="en-MY" w:eastAsia="en-AU"/>
        </w:rPr>
        <w:t xml:space="preserve">, including changes to client eligibility criteria, expansion of practices involving working with family and kin, developing MoUs with service partners, and access to additional funding resources, </w:t>
      </w:r>
      <w:r>
        <w:rPr>
          <w:rFonts w:cstheme="minorHAnsi"/>
          <w:lang w:val="en-MY" w:eastAsia="en-AU"/>
        </w:rPr>
        <w:t xml:space="preserve">are </w:t>
      </w:r>
      <w:r w:rsidR="0020073E">
        <w:rPr>
          <w:rFonts w:cstheme="minorHAnsi"/>
          <w:lang w:val="en-MY" w:eastAsia="en-AU"/>
        </w:rPr>
        <w:t xml:space="preserve">summarised within the relevant </w:t>
      </w:r>
      <w:r>
        <w:rPr>
          <w:rFonts w:cstheme="minorHAnsi"/>
          <w:lang w:val="en-MY" w:eastAsia="en-AU"/>
        </w:rPr>
        <w:t>sections.</w:t>
      </w:r>
      <w:r w:rsidR="0020073E">
        <w:rPr>
          <w:rFonts w:cstheme="minorHAnsi"/>
          <w:lang w:val="en-MY" w:eastAsia="en-AU"/>
        </w:rPr>
        <w:t xml:space="preserve"> </w:t>
      </w:r>
    </w:p>
    <w:p w14:paraId="1D54E0DE" w14:textId="76E91485" w:rsidR="003C2B68" w:rsidRDefault="003C2B68" w:rsidP="003C2B68">
      <w:pPr>
        <w:spacing w:before="120" w:after="120"/>
        <w:jc w:val="both"/>
        <w:rPr>
          <w:rFonts w:cstheme="minorHAnsi"/>
          <w:lang w:val="en-MY" w:eastAsia="en-AU"/>
        </w:rPr>
      </w:pPr>
      <w:r>
        <w:rPr>
          <w:rFonts w:cstheme="minorHAnsi"/>
          <w:lang w:val="en-MY" w:eastAsia="en-AU"/>
        </w:rPr>
        <w:t xml:space="preserve">The </w:t>
      </w:r>
      <w:r w:rsidRPr="003D005C">
        <w:rPr>
          <w:rFonts w:cstheme="minorHAnsi"/>
          <w:lang w:val="en-MY" w:eastAsia="en-AU"/>
        </w:rPr>
        <w:t xml:space="preserve">following additional </w:t>
      </w:r>
      <w:r>
        <w:rPr>
          <w:rFonts w:cstheme="minorHAnsi"/>
          <w:lang w:val="en-MY" w:eastAsia="en-AU"/>
        </w:rPr>
        <w:t>opportunities from this feedback are, however, noted</w:t>
      </w:r>
      <w:r w:rsidR="002B5F60">
        <w:rPr>
          <w:rFonts w:cstheme="minorHAnsi"/>
          <w:lang w:val="en-MY" w:eastAsia="en-AU"/>
        </w:rPr>
        <w:t>.</w:t>
      </w:r>
    </w:p>
    <w:p w14:paraId="2C2B1033" w14:textId="163B5754" w:rsidR="00587F35" w:rsidRDefault="0020073E" w:rsidP="00B77817">
      <w:pPr>
        <w:pStyle w:val="ListParagraph"/>
        <w:numPr>
          <w:ilvl w:val="0"/>
          <w:numId w:val="46"/>
        </w:numPr>
        <w:spacing w:before="120" w:after="120"/>
        <w:jc w:val="both"/>
        <w:rPr>
          <w:rFonts w:cstheme="minorHAnsi"/>
          <w:lang w:val="en-MY" w:eastAsia="en-AU"/>
        </w:rPr>
      </w:pPr>
      <w:r w:rsidRPr="0020073E">
        <w:rPr>
          <w:rFonts w:cstheme="minorHAnsi"/>
          <w:lang w:val="en-MY" w:eastAsia="en-AU"/>
        </w:rPr>
        <w:t>T</w:t>
      </w:r>
      <w:r w:rsidR="003C2B68" w:rsidRPr="0020073E">
        <w:rPr>
          <w:rFonts w:cstheme="minorHAnsi"/>
          <w:lang w:val="en-MY" w:eastAsia="en-AU"/>
        </w:rPr>
        <w:t>hat the definition of ‘youth’ be expanded from 18 to 25 years (in accordance with WHO definitions) to ensure continuity of care post-18 years and to better align with other youth care services</w:t>
      </w:r>
      <w:r w:rsidRPr="0020073E">
        <w:rPr>
          <w:rFonts w:cstheme="minorHAnsi"/>
          <w:lang w:val="en-MY" w:eastAsia="en-AU"/>
        </w:rPr>
        <w:t xml:space="preserve">, and that </w:t>
      </w:r>
      <w:r w:rsidR="003C2B68" w:rsidRPr="0020073E">
        <w:rPr>
          <w:rFonts w:cstheme="minorHAnsi"/>
          <w:lang w:val="en-MY" w:eastAsia="en-AU"/>
        </w:rPr>
        <w:t>opportunities to formalise relationships with youth diversionary services</w:t>
      </w:r>
      <w:r w:rsidRPr="0020073E">
        <w:rPr>
          <w:rFonts w:cstheme="minorHAnsi"/>
          <w:lang w:val="en-MY" w:eastAsia="en-AU"/>
        </w:rPr>
        <w:t xml:space="preserve"> should be taken up by services </w:t>
      </w:r>
      <w:r w:rsidR="003C2B68" w:rsidRPr="0020073E">
        <w:rPr>
          <w:rFonts w:cstheme="minorHAnsi"/>
          <w:lang w:val="en-MY" w:eastAsia="en-AU"/>
        </w:rPr>
        <w:t>to address a gap in services to youth on weekends and after normal business hours.</w:t>
      </w:r>
    </w:p>
    <w:p w14:paraId="05F07370" w14:textId="77777777" w:rsidR="002B5F60" w:rsidRPr="0020073E" w:rsidRDefault="002B5F60" w:rsidP="002B5F60">
      <w:pPr>
        <w:pStyle w:val="ListParagraph"/>
        <w:spacing w:before="120" w:after="120"/>
        <w:jc w:val="both"/>
        <w:rPr>
          <w:rFonts w:cstheme="minorHAnsi"/>
          <w:lang w:val="en-MY" w:eastAsia="en-AU"/>
        </w:rPr>
      </w:pPr>
    </w:p>
    <w:p w14:paraId="6BF08554" w14:textId="77777777" w:rsidR="0020073E" w:rsidRPr="00A21503" w:rsidRDefault="0020073E" w:rsidP="00B77817">
      <w:pPr>
        <w:pStyle w:val="ListParagraph"/>
        <w:numPr>
          <w:ilvl w:val="0"/>
          <w:numId w:val="46"/>
        </w:numPr>
        <w:spacing w:before="120" w:after="120"/>
        <w:jc w:val="both"/>
        <w:rPr>
          <w:rFonts w:cstheme="minorHAnsi"/>
          <w:lang w:val="en-MY" w:eastAsia="en-AU"/>
        </w:rPr>
      </w:pPr>
      <w:r w:rsidRPr="00A21503">
        <w:rPr>
          <w:rFonts w:cstheme="minorHAnsi"/>
          <w:lang w:val="en-MY" w:eastAsia="en-AU"/>
        </w:rPr>
        <w:t xml:space="preserve">That </w:t>
      </w:r>
      <w:r w:rsidR="00587F35" w:rsidRPr="00A21503">
        <w:rPr>
          <w:rFonts w:cstheme="minorHAnsi"/>
          <w:lang w:val="en-MY" w:eastAsia="en-AU"/>
        </w:rPr>
        <w:t xml:space="preserve">service providers </w:t>
      </w:r>
      <w:r w:rsidRPr="00A21503">
        <w:rPr>
          <w:rFonts w:cstheme="minorHAnsi"/>
          <w:lang w:val="en-MY" w:eastAsia="en-AU"/>
        </w:rPr>
        <w:t xml:space="preserve">who have not done so, consider </w:t>
      </w:r>
      <w:r w:rsidR="00587F35" w:rsidRPr="00A21503">
        <w:rPr>
          <w:rFonts w:cstheme="minorHAnsi"/>
          <w:lang w:val="en-MY" w:eastAsia="en-AU"/>
        </w:rPr>
        <w:t>creat</w:t>
      </w:r>
      <w:r w:rsidRPr="00A21503">
        <w:rPr>
          <w:rFonts w:cstheme="minorHAnsi"/>
          <w:lang w:val="en-MY" w:eastAsia="en-AU"/>
        </w:rPr>
        <w:t>ing</w:t>
      </w:r>
      <w:r w:rsidR="00587F35" w:rsidRPr="00A21503">
        <w:rPr>
          <w:rFonts w:cstheme="minorHAnsi"/>
          <w:lang w:val="en-MY" w:eastAsia="en-AU"/>
        </w:rPr>
        <w:t xml:space="preserve"> a team leader role (or similar) to coordinate local service delivery, improve accountability, support case workers and streamline internal processes across all </w:t>
      </w:r>
      <w:r w:rsidRPr="00A21503">
        <w:rPr>
          <w:rFonts w:cstheme="minorHAnsi"/>
          <w:lang w:val="en-MY" w:eastAsia="en-AU"/>
        </w:rPr>
        <w:t xml:space="preserve">their </w:t>
      </w:r>
      <w:r w:rsidR="00587F35" w:rsidRPr="00A21503">
        <w:rPr>
          <w:rFonts w:cstheme="minorHAnsi"/>
          <w:lang w:val="en-MY" w:eastAsia="en-AU"/>
        </w:rPr>
        <w:t xml:space="preserve">service sites. </w:t>
      </w:r>
    </w:p>
    <w:p w14:paraId="521EA5B4" w14:textId="77777777" w:rsidR="002B5F60" w:rsidRDefault="002B5F60" w:rsidP="002B5F60">
      <w:pPr>
        <w:pStyle w:val="ListParagraph"/>
        <w:spacing w:before="120" w:after="120"/>
        <w:jc w:val="both"/>
        <w:rPr>
          <w:rFonts w:cstheme="minorHAnsi"/>
          <w:lang w:val="en-MY" w:eastAsia="en-AU"/>
        </w:rPr>
      </w:pPr>
    </w:p>
    <w:p w14:paraId="0818DEAA" w14:textId="30EBEF96" w:rsidR="003239C1" w:rsidRPr="00A21503" w:rsidRDefault="00587F35" w:rsidP="00B77817">
      <w:pPr>
        <w:pStyle w:val="ListParagraph"/>
        <w:numPr>
          <w:ilvl w:val="0"/>
          <w:numId w:val="46"/>
        </w:numPr>
        <w:spacing w:before="120" w:after="120"/>
        <w:jc w:val="both"/>
        <w:rPr>
          <w:rFonts w:cstheme="minorHAnsi"/>
          <w:lang w:val="en-MY" w:eastAsia="en-AU"/>
        </w:rPr>
      </w:pPr>
      <w:r w:rsidRPr="00A21503">
        <w:rPr>
          <w:rFonts w:cstheme="minorHAnsi"/>
          <w:lang w:val="en-MY" w:eastAsia="en-AU"/>
        </w:rPr>
        <w:t>Service providers would also like to see the creation of a through-care community of practice to support case</w:t>
      </w:r>
      <w:r w:rsidR="00694565">
        <w:rPr>
          <w:rFonts w:cstheme="minorHAnsi"/>
          <w:lang w:val="en-MY" w:eastAsia="en-AU"/>
        </w:rPr>
        <w:t xml:space="preserve"> </w:t>
      </w:r>
      <w:r w:rsidRPr="00A21503">
        <w:rPr>
          <w:rFonts w:cstheme="minorHAnsi"/>
          <w:lang w:val="en-MY" w:eastAsia="en-AU"/>
        </w:rPr>
        <w:t>workers to identify and share areas of good practice, innovate in developing strategies of support, and to better contextualise their role.</w:t>
      </w:r>
    </w:p>
    <w:p w14:paraId="62EEF431" w14:textId="77777777" w:rsidR="00587F35" w:rsidRPr="00EE52FE" w:rsidRDefault="00587F35" w:rsidP="00587F35">
      <w:pPr>
        <w:pStyle w:val="SUBHEAD2"/>
        <w:rPr>
          <w:rFonts w:asciiTheme="minorHAnsi" w:hAnsiTheme="minorHAnsi" w:cstheme="minorHAnsi"/>
          <w:lang w:val="en-MY" w:eastAsia="en-AU"/>
        </w:rPr>
      </w:pPr>
      <w:r w:rsidRPr="0020073E">
        <w:rPr>
          <w:rFonts w:asciiTheme="minorHAnsi" w:hAnsiTheme="minorHAnsi" w:cstheme="minorHAnsi"/>
          <w:lang w:val="en-MY" w:eastAsia="en-AU"/>
        </w:rPr>
        <w:t>Achieving Outcomes</w:t>
      </w:r>
    </w:p>
    <w:p w14:paraId="767AF0E1" w14:textId="790F02ED" w:rsidR="00076833" w:rsidRDefault="00587F35" w:rsidP="00587F35">
      <w:pPr>
        <w:spacing w:before="120" w:after="120"/>
        <w:jc w:val="both"/>
        <w:rPr>
          <w:rFonts w:cstheme="minorHAnsi"/>
          <w:lang w:val="en-MY" w:eastAsia="en-AU"/>
        </w:rPr>
      </w:pPr>
      <w:r w:rsidRPr="004650AE">
        <w:rPr>
          <w:rFonts w:cstheme="minorHAnsi"/>
          <w:lang w:val="en-MY" w:eastAsia="en-AU"/>
        </w:rPr>
        <w:t xml:space="preserve">Through-care clients at all services reported a high degree of satisfaction with the services provided, </w:t>
      </w:r>
      <w:r>
        <w:rPr>
          <w:rFonts w:cstheme="minorHAnsi"/>
          <w:lang w:val="en-MY" w:eastAsia="en-AU"/>
        </w:rPr>
        <w:t xml:space="preserve">grounded in </w:t>
      </w:r>
      <w:r w:rsidRPr="004650AE">
        <w:rPr>
          <w:rFonts w:cstheme="minorHAnsi"/>
          <w:lang w:val="en-MY" w:eastAsia="en-AU"/>
        </w:rPr>
        <w:t xml:space="preserve">strong relationships with case workers and satisfaction with the secondary services they had been referred to. </w:t>
      </w:r>
      <w:r w:rsidR="00076833">
        <w:rPr>
          <w:rFonts w:cstheme="minorHAnsi"/>
          <w:lang w:val="en-MY" w:eastAsia="en-AU"/>
        </w:rPr>
        <w:t xml:space="preserve">Although services </w:t>
      </w:r>
      <w:r w:rsidR="00076833" w:rsidRPr="004650AE">
        <w:rPr>
          <w:rFonts w:cstheme="minorHAnsi"/>
          <w:lang w:val="en-MY" w:eastAsia="en-AU"/>
        </w:rPr>
        <w:t xml:space="preserve">believe </w:t>
      </w:r>
      <w:r w:rsidR="00076833">
        <w:rPr>
          <w:rFonts w:cstheme="minorHAnsi"/>
          <w:lang w:val="en-MY" w:eastAsia="en-AU"/>
        </w:rPr>
        <w:t xml:space="preserve">that overall </w:t>
      </w:r>
      <w:r w:rsidR="00076833" w:rsidRPr="004650AE">
        <w:rPr>
          <w:rFonts w:cstheme="minorHAnsi"/>
          <w:lang w:val="en-MY" w:eastAsia="en-AU"/>
        </w:rPr>
        <w:t xml:space="preserve">they </w:t>
      </w:r>
      <w:r w:rsidR="00076833">
        <w:rPr>
          <w:rFonts w:cstheme="minorHAnsi"/>
          <w:lang w:val="en-MY" w:eastAsia="en-AU"/>
        </w:rPr>
        <w:t xml:space="preserve">are </w:t>
      </w:r>
      <w:r w:rsidR="00076833" w:rsidRPr="004650AE">
        <w:rPr>
          <w:rFonts w:cstheme="minorHAnsi"/>
          <w:lang w:val="en-MY" w:eastAsia="en-AU"/>
        </w:rPr>
        <w:t xml:space="preserve">making a positive difference, </w:t>
      </w:r>
      <w:r w:rsidR="00076833">
        <w:rPr>
          <w:rFonts w:cstheme="minorHAnsi"/>
          <w:lang w:val="en-MY" w:eastAsia="en-AU"/>
        </w:rPr>
        <w:t xml:space="preserve">however, it was </w:t>
      </w:r>
      <w:r w:rsidR="00076833" w:rsidRPr="004650AE">
        <w:rPr>
          <w:rFonts w:cstheme="minorHAnsi"/>
          <w:lang w:val="en-MY" w:eastAsia="en-AU"/>
        </w:rPr>
        <w:t>acknowledged</w:t>
      </w:r>
      <w:r w:rsidR="00076833">
        <w:rPr>
          <w:rFonts w:cstheme="minorHAnsi"/>
          <w:lang w:val="en-MY" w:eastAsia="en-AU"/>
        </w:rPr>
        <w:t xml:space="preserve"> that examples of clients successfully exiting the program with long term outcomes such as employment, secure housing, reunified relationships and no re-offending, was limited.</w:t>
      </w:r>
    </w:p>
    <w:p w14:paraId="075EF532" w14:textId="222D585D" w:rsidR="00B9596A" w:rsidRDefault="00B9596A" w:rsidP="00587F35">
      <w:pPr>
        <w:spacing w:before="120" w:after="120"/>
        <w:jc w:val="both"/>
        <w:rPr>
          <w:rFonts w:cstheme="minorHAnsi"/>
          <w:lang w:val="en-MY" w:eastAsia="en-AU"/>
        </w:rPr>
      </w:pPr>
      <w:r>
        <w:rPr>
          <w:rFonts w:cstheme="minorHAnsi"/>
          <w:lang w:val="en-MY" w:eastAsia="en-AU"/>
        </w:rPr>
        <w:t>In further responding to this research question, the following key findings are made:</w:t>
      </w:r>
    </w:p>
    <w:p w14:paraId="46786F61" w14:textId="32056E12" w:rsidR="00076833" w:rsidRDefault="00076833" w:rsidP="00B77817">
      <w:pPr>
        <w:pStyle w:val="ListParagraph"/>
        <w:numPr>
          <w:ilvl w:val="0"/>
          <w:numId w:val="49"/>
        </w:numPr>
        <w:spacing w:before="120" w:after="120"/>
        <w:jc w:val="both"/>
        <w:rPr>
          <w:rFonts w:cstheme="minorHAnsi"/>
          <w:lang w:val="en-MY" w:eastAsia="en-AU"/>
        </w:rPr>
      </w:pPr>
      <w:r>
        <w:rPr>
          <w:rFonts w:cstheme="minorHAnsi"/>
          <w:lang w:val="en-MY" w:eastAsia="en-AU"/>
        </w:rPr>
        <w:t>High levels of c</w:t>
      </w:r>
      <w:r w:rsidR="00587F35" w:rsidRPr="00076833">
        <w:rPr>
          <w:rFonts w:cstheme="minorHAnsi"/>
          <w:lang w:val="en-MY" w:eastAsia="en-AU"/>
        </w:rPr>
        <w:t xml:space="preserve">lient </w:t>
      </w:r>
      <w:r>
        <w:rPr>
          <w:rFonts w:cstheme="minorHAnsi"/>
          <w:lang w:val="en-MY" w:eastAsia="en-AU"/>
        </w:rPr>
        <w:t xml:space="preserve">satisfaction, </w:t>
      </w:r>
      <w:r w:rsidR="00587F35" w:rsidRPr="00076833">
        <w:rPr>
          <w:rFonts w:cstheme="minorHAnsi"/>
          <w:lang w:val="en-MY" w:eastAsia="en-AU"/>
        </w:rPr>
        <w:t>qualitatively reported, are backed by quantitative evidence to some extent. A range of data provided against key program metrics shows some mild positive outcomes that compare favourably with national averages</w:t>
      </w:r>
      <w:r>
        <w:rPr>
          <w:rFonts w:cstheme="minorHAnsi"/>
          <w:lang w:val="en-MY" w:eastAsia="en-AU"/>
        </w:rPr>
        <w:t xml:space="preserve">. </w:t>
      </w:r>
      <w:r w:rsidRPr="00076833">
        <w:rPr>
          <w:rFonts w:cstheme="minorHAnsi"/>
          <w:lang w:val="en-MY" w:eastAsia="en-AU"/>
        </w:rPr>
        <w:t xml:space="preserve">Data around the proportion of clients ‘who have been convicted or charged with a new criminal offence’, averages 43 percent across the ATC program, </w:t>
      </w:r>
      <w:r w:rsidR="009B0EAB">
        <w:rPr>
          <w:rFonts w:cstheme="minorHAnsi"/>
          <w:lang w:val="en-MY" w:eastAsia="en-AU"/>
        </w:rPr>
        <w:t xml:space="preserve">for example, </w:t>
      </w:r>
      <w:r w:rsidRPr="00076833">
        <w:rPr>
          <w:rFonts w:cstheme="minorHAnsi"/>
          <w:lang w:val="en-MY" w:eastAsia="en-AU"/>
        </w:rPr>
        <w:t>and compares well with Productivity Commission data for 2020-21 showing that 57 percent of Aboriginal and Torres Strait Islander adults released from prison returned to prison within 2 years</w:t>
      </w:r>
      <w:r w:rsidR="009B0EAB">
        <w:rPr>
          <w:rFonts w:cstheme="minorHAnsi"/>
          <w:lang w:val="en-MY" w:eastAsia="en-AU"/>
        </w:rPr>
        <w:t xml:space="preserve">. Moreover, </w:t>
      </w:r>
      <w:r w:rsidR="00587F35" w:rsidRPr="00076833">
        <w:rPr>
          <w:rFonts w:cstheme="minorHAnsi"/>
          <w:lang w:val="en-MY" w:eastAsia="en-AU"/>
        </w:rPr>
        <w:t>while 69 percent of the client offences committed</w:t>
      </w:r>
      <w:r w:rsidR="00732F72">
        <w:rPr>
          <w:rFonts w:cstheme="minorHAnsi"/>
          <w:lang w:val="en-MY" w:eastAsia="en-AU"/>
        </w:rPr>
        <w:t xml:space="preserve">, </w:t>
      </w:r>
      <w:r w:rsidR="00587F35" w:rsidRPr="00076833">
        <w:rPr>
          <w:rFonts w:cstheme="minorHAnsi"/>
          <w:lang w:val="en-MY" w:eastAsia="en-AU"/>
        </w:rPr>
        <w:t xml:space="preserve">were </w:t>
      </w:r>
      <w:r w:rsidR="00732F72">
        <w:rPr>
          <w:rFonts w:cstheme="minorHAnsi"/>
          <w:lang w:val="en-MY" w:eastAsia="en-AU"/>
        </w:rPr>
        <w:t xml:space="preserve">reported to be </w:t>
      </w:r>
      <w:r w:rsidR="00587F35" w:rsidRPr="00076833">
        <w:rPr>
          <w:rFonts w:cstheme="minorHAnsi"/>
          <w:lang w:val="en-MY" w:eastAsia="en-AU"/>
        </w:rPr>
        <w:t xml:space="preserve">of a less serious nature than the </w:t>
      </w:r>
      <w:r w:rsidR="00732F72">
        <w:rPr>
          <w:rFonts w:cstheme="minorHAnsi"/>
          <w:lang w:val="en-MY" w:eastAsia="en-AU"/>
        </w:rPr>
        <w:t xml:space="preserve">client’s </w:t>
      </w:r>
      <w:r w:rsidR="00587F35" w:rsidRPr="00076833">
        <w:rPr>
          <w:rFonts w:cstheme="minorHAnsi"/>
          <w:lang w:val="en-MY" w:eastAsia="en-AU"/>
        </w:rPr>
        <w:t>original offence.</w:t>
      </w:r>
    </w:p>
    <w:p w14:paraId="017B5591" w14:textId="77777777" w:rsidR="002B5F60" w:rsidRPr="00076833" w:rsidRDefault="002B5F60" w:rsidP="002B5F60">
      <w:pPr>
        <w:pStyle w:val="ListParagraph"/>
        <w:spacing w:before="120" w:after="120"/>
        <w:jc w:val="both"/>
        <w:rPr>
          <w:rFonts w:cstheme="minorHAnsi"/>
          <w:lang w:val="en-MY" w:eastAsia="en-AU"/>
        </w:rPr>
      </w:pPr>
    </w:p>
    <w:p w14:paraId="1D28D7DD" w14:textId="56E5A828" w:rsidR="00076833" w:rsidRPr="0053265A" w:rsidRDefault="00076833" w:rsidP="00B77817">
      <w:pPr>
        <w:pStyle w:val="ListParagraph"/>
        <w:numPr>
          <w:ilvl w:val="0"/>
          <w:numId w:val="49"/>
        </w:numPr>
        <w:jc w:val="both"/>
        <w:rPr>
          <w:rFonts w:cstheme="minorHAnsi"/>
          <w:lang w:val="en-MY" w:eastAsia="en-AU"/>
        </w:rPr>
      </w:pPr>
      <w:r>
        <w:rPr>
          <w:rFonts w:cstheme="minorHAnsi"/>
          <w:lang w:val="en-MY" w:eastAsia="en-AU"/>
        </w:rPr>
        <w:t>Twenty-two (</w:t>
      </w:r>
      <w:r w:rsidRPr="00076833">
        <w:rPr>
          <w:rFonts w:cstheme="minorHAnsi"/>
          <w:lang w:val="en-MY" w:eastAsia="en-AU"/>
        </w:rPr>
        <w:t>22</w:t>
      </w:r>
      <w:r>
        <w:rPr>
          <w:rFonts w:cstheme="minorHAnsi"/>
          <w:lang w:val="en-MY" w:eastAsia="en-AU"/>
        </w:rPr>
        <w:t>)</w:t>
      </w:r>
      <w:r w:rsidRPr="00076833">
        <w:rPr>
          <w:rFonts w:cstheme="minorHAnsi"/>
          <w:lang w:val="en-MY" w:eastAsia="en-AU"/>
        </w:rPr>
        <w:t xml:space="preserve"> percent of 794 closures were as a result of client goals being achieved</w:t>
      </w:r>
      <w:r w:rsidR="009B0EAB">
        <w:rPr>
          <w:rFonts w:cstheme="minorHAnsi"/>
          <w:lang w:val="en-MY" w:eastAsia="en-AU"/>
        </w:rPr>
        <w:t>, noting s</w:t>
      </w:r>
      <w:r w:rsidRPr="00076833">
        <w:rPr>
          <w:rFonts w:cstheme="minorHAnsi"/>
          <w:lang w:val="en-MY" w:eastAsia="en-AU"/>
        </w:rPr>
        <w:t>ervices with a higher proportion of ‘client goals being met’ tended to be strongly linked with ancillary support services</w:t>
      </w:r>
      <w:r w:rsidR="00732F72">
        <w:rPr>
          <w:rFonts w:cstheme="minorHAnsi"/>
          <w:lang w:val="en-MY" w:eastAsia="en-AU"/>
        </w:rPr>
        <w:t>. L</w:t>
      </w:r>
      <w:r w:rsidRPr="00076833">
        <w:rPr>
          <w:rFonts w:cstheme="minorHAnsi"/>
          <w:lang w:val="en-MY" w:eastAsia="en-AU"/>
        </w:rPr>
        <w:t xml:space="preserve">ower levels of ‘client goals being met’ </w:t>
      </w:r>
      <w:r w:rsidR="00732F72">
        <w:rPr>
          <w:rFonts w:cstheme="minorHAnsi"/>
          <w:lang w:val="en-MY" w:eastAsia="en-AU"/>
        </w:rPr>
        <w:t xml:space="preserve">were reported </w:t>
      </w:r>
      <w:r w:rsidRPr="00076833">
        <w:rPr>
          <w:rFonts w:cstheme="minorHAnsi"/>
          <w:lang w:val="en-MY" w:eastAsia="en-AU"/>
        </w:rPr>
        <w:t>for those services operating in remote locations with fewer available services and an increased travel burden.</w:t>
      </w:r>
      <w:r w:rsidRPr="0053265A">
        <w:rPr>
          <w:rFonts w:cstheme="minorHAnsi"/>
          <w:lang w:val="en-MY" w:eastAsia="en-AU"/>
        </w:rPr>
        <w:t xml:space="preserve"> </w:t>
      </w:r>
    </w:p>
    <w:p w14:paraId="1680EF05" w14:textId="77777777" w:rsidR="0053265A" w:rsidRDefault="0053265A" w:rsidP="0053265A">
      <w:pPr>
        <w:pStyle w:val="ListParagraph"/>
        <w:spacing w:before="120" w:after="120"/>
        <w:jc w:val="both"/>
        <w:rPr>
          <w:rFonts w:cstheme="minorHAnsi"/>
          <w:lang w:val="en-MY" w:eastAsia="en-AU"/>
        </w:rPr>
      </w:pPr>
    </w:p>
    <w:p w14:paraId="32B4065F" w14:textId="665323A8" w:rsidR="00A05170" w:rsidRDefault="00076833" w:rsidP="00B77817">
      <w:pPr>
        <w:pStyle w:val="ListParagraph"/>
        <w:numPr>
          <w:ilvl w:val="0"/>
          <w:numId w:val="49"/>
        </w:numPr>
        <w:spacing w:before="120" w:after="120"/>
        <w:jc w:val="both"/>
        <w:rPr>
          <w:rFonts w:cstheme="minorHAnsi"/>
          <w:lang w:val="en-MY" w:eastAsia="en-AU"/>
        </w:rPr>
      </w:pPr>
      <w:r>
        <w:rPr>
          <w:rFonts w:cstheme="minorHAnsi"/>
          <w:lang w:val="en-MY" w:eastAsia="en-AU"/>
        </w:rPr>
        <w:t xml:space="preserve">Structural factors limiting the impact of services </w:t>
      </w:r>
      <w:r w:rsidR="009B0EAB">
        <w:rPr>
          <w:rFonts w:cstheme="minorHAnsi"/>
          <w:lang w:val="en-MY" w:eastAsia="en-AU"/>
        </w:rPr>
        <w:t xml:space="preserve">were reported </w:t>
      </w:r>
      <w:r w:rsidR="00FC2383">
        <w:rPr>
          <w:rFonts w:cstheme="minorHAnsi"/>
          <w:lang w:val="en-MY" w:eastAsia="en-AU"/>
        </w:rPr>
        <w:t>by both clients and case</w:t>
      </w:r>
      <w:r w:rsidR="00694565">
        <w:rPr>
          <w:rFonts w:cstheme="minorHAnsi"/>
          <w:lang w:val="en-MY" w:eastAsia="en-AU"/>
        </w:rPr>
        <w:t xml:space="preserve"> </w:t>
      </w:r>
      <w:r w:rsidR="00FC2383">
        <w:rPr>
          <w:rFonts w:cstheme="minorHAnsi"/>
          <w:lang w:val="en-MY" w:eastAsia="en-AU"/>
        </w:rPr>
        <w:t xml:space="preserve">workers </w:t>
      </w:r>
      <w:r w:rsidR="009B0EAB">
        <w:rPr>
          <w:rFonts w:cstheme="minorHAnsi"/>
          <w:lang w:val="en-MY" w:eastAsia="en-AU"/>
        </w:rPr>
        <w:t xml:space="preserve">to </w:t>
      </w:r>
      <w:r w:rsidR="00587F35" w:rsidRPr="00076833">
        <w:rPr>
          <w:rFonts w:cstheme="minorHAnsi"/>
          <w:lang w:val="en-MY" w:eastAsia="en-AU"/>
        </w:rPr>
        <w:t>include underlying ‘human capital’ issues</w:t>
      </w:r>
      <w:r w:rsidR="00732F72">
        <w:rPr>
          <w:rFonts w:cstheme="minorHAnsi"/>
          <w:lang w:val="en-MY" w:eastAsia="en-AU"/>
        </w:rPr>
        <w:t>,</w:t>
      </w:r>
      <w:r w:rsidR="00587F35" w:rsidRPr="00076833">
        <w:rPr>
          <w:rFonts w:cstheme="minorHAnsi"/>
          <w:lang w:val="en-MY" w:eastAsia="en-AU"/>
        </w:rPr>
        <w:t xml:space="preserve"> such as cognitive disabilities and poor mental health, addiction to alcohol and </w:t>
      </w:r>
      <w:r w:rsidR="00732F72">
        <w:rPr>
          <w:rFonts w:cstheme="minorHAnsi"/>
          <w:lang w:val="en-MY" w:eastAsia="en-AU"/>
        </w:rPr>
        <w:t xml:space="preserve">other </w:t>
      </w:r>
      <w:r w:rsidR="00587F35" w:rsidRPr="00076833">
        <w:rPr>
          <w:rFonts w:cstheme="minorHAnsi"/>
          <w:lang w:val="en-MY" w:eastAsia="en-AU"/>
        </w:rPr>
        <w:t xml:space="preserve">drugs, </w:t>
      </w:r>
      <w:r w:rsidR="00732F72">
        <w:rPr>
          <w:rFonts w:cstheme="minorHAnsi"/>
          <w:lang w:val="en-MY" w:eastAsia="en-AU"/>
        </w:rPr>
        <w:t xml:space="preserve">or </w:t>
      </w:r>
      <w:r w:rsidR="00587F35" w:rsidRPr="00076833">
        <w:rPr>
          <w:rFonts w:cstheme="minorHAnsi"/>
          <w:lang w:val="en-MY" w:eastAsia="en-AU"/>
        </w:rPr>
        <w:t>ongoing trauma</w:t>
      </w:r>
      <w:r w:rsidR="00FC2383">
        <w:rPr>
          <w:rFonts w:cstheme="minorHAnsi"/>
          <w:lang w:val="en-MY" w:eastAsia="en-AU"/>
        </w:rPr>
        <w:t>; a</w:t>
      </w:r>
      <w:r w:rsidR="00732F72">
        <w:rPr>
          <w:rFonts w:cstheme="minorHAnsi"/>
          <w:lang w:val="en-MY" w:eastAsia="en-AU"/>
        </w:rPr>
        <w:t xml:space="preserve">s well as </w:t>
      </w:r>
      <w:r w:rsidR="00587F35" w:rsidRPr="00076833">
        <w:rPr>
          <w:rFonts w:cstheme="minorHAnsi"/>
          <w:lang w:val="en-MY" w:eastAsia="en-AU"/>
        </w:rPr>
        <w:t>deficiencies in ‘social capital’ like the influence of peers, a lack of affordable housing, and</w:t>
      </w:r>
      <w:r w:rsidR="00732F72">
        <w:rPr>
          <w:rFonts w:cstheme="minorHAnsi"/>
          <w:lang w:val="en-MY" w:eastAsia="en-AU"/>
        </w:rPr>
        <w:t xml:space="preserve"> </w:t>
      </w:r>
      <w:r w:rsidR="00587F35" w:rsidRPr="00076833">
        <w:rPr>
          <w:rFonts w:cstheme="minorHAnsi"/>
          <w:lang w:val="en-MY" w:eastAsia="en-AU"/>
        </w:rPr>
        <w:t xml:space="preserve">the absence of secondary support services and employment opportunities to enable long-term independence. </w:t>
      </w:r>
    </w:p>
    <w:p w14:paraId="2FEBAF86" w14:textId="77777777" w:rsidR="002B5F60" w:rsidRPr="002B5F60" w:rsidRDefault="002B5F60" w:rsidP="002B5F60">
      <w:pPr>
        <w:pStyle w:val="ListParagraph"/>
        <w:spacing w:before="120" w:after="120"/>
        <w:jc w:val="both"/>
        <w:rPr>
          <w:rFonts w:cstheme="minorHAnsi"/>
          <w:lang w:val="en-MY" w:eastAsia="en-AU"/>
        </w:rPr>
      </w:pPr>
    </w:p>
    <w:p w14:paraId="273644D3" w14:textId="1E8BDFE4" w:rsidR="00A05170" w:rsidRPr="009B0EAB" w:rsidRDefault="00A05170" w:rsidP="00B77817">
      <w:pPr>
        <w:pStyle w:val="ListParagraph"/>
        <w:numPr>
          <w:ilvl w:val="0"/>
          <w:numId w:val="48"/>
        </w:numPr>
        <w:spacing w:before="120" w:after="120"/>
        <w:jc w:val="both"/>
        <w:rPr>
          <w:rFonts w:cstheme="minorHAnsi"/>
          <w:lang w:val="en-MY" w:eastAsia="en-AU"/>
        </w:rPr>
      </w:pPr>
      <w:r>
        <w:rPr>
          <w:rFonts w:cstheme="minorHAnsi"/>
          <w:lang w:val="en-MY" w:eastAsia="en-AU"/>
        </w:rPr>
        <w:t>C</w:t>
      </w:r>
      <w:r w:rsidRPr="00A05170">
        <w:rPr>
          <w:rFonts w:cstheme="minorHAnsi"/>
          <w:lang w:val="en-MY" w:eastAsia="en-AU"/>
        </w:rPr>
        <w:t>ase</w:t>
      </w:r>
      <w:r w:rsidR="00694565">
        <w:rPr>
          <w:rFonts w:cstheme="minorHAnsi"/>
          <w:lang w:val="en-MY" w:eastAsia="en-AU"/>
        </w:rPr>
        <w:t xml:space="preserve"> </w:t>
      </w:r>
      <w:r w:rsidRPr="00A05170">
        <w:rPr>
          <w:rFonts w:cstheme="minorHAnsi"/>
          <w:lang w:val="en-MY" w:eastAsia="en-AU"/>
        </w:rPr>
        <w:t xml:space="preserve">workers </w:t>
      </w:r>
      <w:r>
        <w:rPr>
          <w:rFonts w:cstheme="minorHAnsi"/>
          <w:lang w:val="en-MY" w:eastAsia="en-AU"/>
        </w:rPr>
        <w:t xml:space="preserve">also </w:t>
      </w:r>
      <w:r w:rsidRPr="00A05170">
        <w:rPr>
          <w:rFonts w:cstheme="minorHAnsi"/>
          <w:lang w:val="en-MY" w:eastAsia="en-AU"/>
        </w:rPr>
        <w:t xml:space="preserve">expressed a desire to see the focus of outcomes </w:t>
      </w:r>
      <w:r>
        <w:rPr>
          <w:rFonts w:cstheme="minorHAnsi"/>
          <w:lang w:val="en-MY" w:eastAsia="en-AU"/>
        </w:rPr>
        <w:t>re-</w:t>
      </w:r>
      <w:r w:rsidRPr="00A05170">
        <w:rPr>
          <w:rFonts w:cstheme="minorHAnsi"/>
          <w:lang w:val="en-MY" w:eastAsia="en-AU"/>
        </w:rPr>
        <w:t>defined</w:t>
      </w:r>
      <w:r>
        <w:rPr>
          <w:rFonts w:cstheme="minorHAnsi"/>
          <w:lang w:val="en-MY" w:eastAsia="en-AU"/>
        </w:rPr>
        <w:t xml:space="preserve">, </w:t>
      </w:r>
      <w:r w:rsidRPr="00A05170">
        <w:rPr>
          <w:rFonts w:cstheme="minorHAnsi"/>
          <w:lang w:val="en-MY" w:eastAsia="en-AU"/>
        </w:rPr>
        <w:t>to concentrate more on immediate, incremental changes, rather than those driving at long-term rehabilitation or reintegration</w:t>
      </w:r>
      <w:r w:rsidR="00732F72">
        <w:rPr>
          <w:rFonts w:cstheme="minorHAnsi"/>
          <w:lang w:val="en-MY" w:eastAsia="en-AU"/>
        </w:rPr>
        <w:t xml:space="preserve"> </w:t>
      </w:r>
      <w:r w:rsidR="00732F72" w:rsidRPr="00732F72">
        <w:rPr>
          <w:rFonts w:cstheme="minorHAnsi"/>
          <w:i/>
          <w:iCs/>
          <w:lang w:val="en-MY" w:eastAsia="en-AU"/>
        </w:rPr>
        <w:t>per se</w:t>
      </w:r>
      <w:r>
        <w:rPr>
          <w:rFonts w:cstheme="minorHAnsi"/>
          <w:lang w:val="en-MY" w:eastAsia="en-AU"/>
        </w:rPr>
        <w:t xml:space="preserve">. </w:t>
      </w:r>
      <w:r w:rsidRPr="00A05170">
        <w:rPr>
          <w:rFonts w:cstheme="minorHAnsi"/>
          <w:lang w:val="en-MY" w:eastAsia="en-AU"/>
        </w:rPr>
        <w:t>Employment in particular, as an outcome, was criticised since many clients are either receiving a disability pension, lack the foundational human capital, or else live in remote areas where employment opportunities are more limited.</w:t>
      </w:r>
    </w:p>
    <w:p w14:paraId="6E1F5336" w14:textId="77777777" w:rsidR="00587F35" w:rsidRPr="00EE52FE" w:rsidRDefault="00587F35" w:rsidP="00587F35">
      <w:pPr>
        <w:pStyle w:val="SUBHEAD2"/>
        <w:rPr>
          <w:rFonts w:asciiTheme="minorHAnsi" w:hAnsiTheme="minorHAnsi" w:cstheme="minorHAnsi"/>
          <w:lang w:val="en-MY" w:eastAsia="en-AU"/>
        </w:rPr>
      </w:pPr>
      <w:r w:rsidRPr="00EE52FE">
        <w:rPr>
          <w:rFonts w:asciiTheme="minorHAnsi" w:hAnsiTheme="minorHAnsi" w:cstheme="minorHAnsi"/>
          <w:lang w:val="en-MY" w:eastAsia="en-AU"/>
        </w:rPr>
        <w:t>Unintended Consequences</w:t>
      </w:r>
    </w:p>
    <w:p w14:paraId="54D9D184" w14:textId="77777777" w:rsidR="00DE56D2" w:rsidRDefault="00DE56D2" w:rsidP="00587F35">
      <w:pPr>
        <w:spacing w:before="120" w:after="120"/>
        <w:jc w:val="both"/>
        <w:rPr>
          <w:rFonts w:cstheme="minorHAnsi"/>
          <w:lang w:val="en-MY" w:eastAsia="en-AU"/>
        </w:rPr>
      </w:pPr>
      <w:r>
        <w:rPr>
          <w:rFonts w:cstheme="minorHAnsi"/>
          <w:lang w:val="en-MY" w:eastAsia="en-AU"/>
        </w:rPr>
        <w:t>Although t</w:t>
      </w:r>
      <w:r w:rsidR="00587F35">
        <w:rPr>
          <w:rFonts w:cstheme="minorHAnsi"/>
          <w:lang w:val="en-MY" w:eastAsia="en-AU"/>
        </w:rPr>
        <w:t>he</w:t>
      </w:r>
      <w:r w:rsidR="00587F35" w:rsidRPr="00F673AF">
        <w:rPr>
          <w:rFonts w:cstheme="minorHAnsi"/>
          <w:lang w:val="en-MY" w:eastAsia="en-AU"/>
        </w:rPr>
        <w:t xml:space="preserve"> client-centred nature of</w:t>
      </w:r>
      <w:r w:rsidR="00587F35">
        <w:rPr>
          <w:rFonts w:cstheme="minorHAnsi"/>
          <w:lang w:val="en-MY" w:eastAsia="en-AU"/>
        </w:rPr>
        <w:t xml:space="preserve"> through-care</w:t>
      </w:r>
      <w:r w:rsidR="00587F35" w:rsidRPr="00F673AF">
        <w:rPr>
          <w:rFonts w:cstheme="minorHAnsi"/>
          <w:lang w:val="en-MY" w:eastAsia="en-AU"/>
        </w:rPr>
        <w:t xml:space="preserve"> delivery mean</w:t>
      </w:r>
      <w:r w:rsidR="00587F35">
        <w:rPr>
          <w:rFonts w:cstheme="minorHAnsi"/>
          <w:lang w:val="en-MY" w:eastAsia="en-AU"/>
        </w:rPr>
        <w:t xml:space="preserve">s </w:t>
      </w:r>
      <w:r w:rsidR="00587F35" w:rsidRPr="00F673AF">
        <w:rPr>
          <w:rFonts w:cstheme="minorHAnsi"/>
          <w:lang w:val="en-MY" w:eastAsia="en-AU"/>
        </w:rPr>
        <w:t>that outcomes necessarily</w:t>
      </w:r>
      <w:r w:rsidR="00587F35">
        <w:rPr>
          <w:rFonts w:cstheme="minorHAnsi"/>
          <w:lang w:val="en-MY" w:eastAsia="en-AU"/>
        </w:rPr>
        <w:t xml:space="preserve"> tend to be </w:t>
      </w:r>
      <w:r w:rsidR="00587F35" w:rsidRPr="00F673AF">
        <w:rPr>
          <w:rFonts w:cstheme="minorHAnsi"/>
          <w:lang w:val="en-MY" w:eastAsia="en-AU"/>
        </w:rPr>
        <w:t>intentional</w:t>
      </w:r>
      <w:r w:rsidR="00587F35">
        <w:rPr>
          <w:rFonts w:cstheme="minorHAnsi"/>
          <w:lang w:val="en-MY" w:eastAsia="en-AU"/>
        </w:rPr>
        <w:t xml:space="preserve">, </w:t>
      </w:r>
      <w:r w:rsidR="00587F35" w:rsidRPr="00F673AF">
        <w:rPr>
          <w:rFonts w:cstheme="minorHAnsi"/>
          <w:lang w:val="en-MY" w:eastAsia="en-AU"/>
        </w:rPr>
        <w:t xml:space="preserve">several unintended consequences </w:t>
      </w:r>
      <w:r w:rsidR="00587F35">
        <w:rPr>
          <w:rFonts w:cstheme="minorHAnsi"/>
          <w:lang w:val="en-MY" w:eastAsia="en-AU"/>
        </w:rPr>
        <w:t>were inferred from stakeholder interviews</w:t>
      </w:r>
      <w:r w:rsidR="00587F35" w:rsidRPr="00F673AF">
        <w:rPr>
          <w:rFonts w:cstheme="minorHAnsi"/>
          <w:lang w:val="en-MY" w:eastAsia="en-AU"/>
        </w:rPr>
        <w:t>.</w:t>
      </w:r>
      <w:r w:rsidR="00587F35">
        <w:rPr>
          <w:rFonts w:cstheme="minorHAnsi"/>
          <w:lang w:val="en-MY" w:eastAsia="en-AU"/>
        </w:rPr>
        <w:t xml:space="preserve"> </w:t>
      </w:r>
    </w:p>
    <w:p w14:paraId="3201F162" w14:textId="4B964C07" w:rsidR="00DE56D2" w:rsidRDefault="00DE56D2" w:rsidP="00B77817">
      <w:pPr>
        <w:pStyle w:val="ListParagraph"/>
        <w:numPr>
          <w:ilvl w:val="0"/>
          <w:numId w:val="47"/>
        </w:numPr>
        <w:spacing w:before="120" w:after="120"/>
        <w:jc w:val="both"/>
        <w:rPr>
          <w:rFonts w:cstheme="minorHAnsi"/>
          <w:lang w:val="en-MY" w:eastAsia="en-AU"/>
        </w:rPr>
      </w:pPr>
      <w:r>
        <w:rPr>
          <w:rFonts w:cstheme="minorHAnsi"/>
          <w:lang w:val="en-MY" w:eastAsia="en-AU"/>
        </w:rPr>
        <w:t>C</w:t>
      </w:r>
      <w:r w:rsidR="00587F35" w:rsidRPr="00DE56D2">
        <w:rPr>
          <w:rFonts w:cstheme="minorHAnsi"/>
          <w:lang w:val="en-MY" w:eastAsia="en-AU"/>
        </w:rPr>
        <w:t xml:space="preserve">ase workers </w:t>
      </w:r>
      <w:r>
        <w:rPr>
          <w:rFonts w:cstheme="minorHAnsi"/>
          <w:lang w:val="en-MY" w:eastAsia="en-AU"/>
        </w:rPr>
        <w:t xml:space="preserve">working with </w:t>
      </w:r>
      <w:r w:rsidRPr="00DE56D2">
        <w:rPr>
          <w:rFonts w:cstheme="minorHAnsi"/>
          <w:lang w:val="en-MY" w:eastAsia="en-AU"/>
        </w:rPr>
        <w:t>you</w:t>
      </w:r>
      <w:r>
        <w:rPr>
          <w:rFonts w:cstheme="minorHAnsi"/>
          <w:lang w:val="en-MY" w:eastAsia="en-AU"/>
        </w:rPr>
        <w:t xml:space="preserve">th </w:t>
      </w:r>
      <w:r w:rsidRPr="00DE56D2">
        <w:rPr>
          <w:rFonts w:cstheme="minorHAnsi"/>
          <w:lang w:val="en-MY" w:eastAsia="en-AU"/>
        </w:rPr>
        <w:t xml:space="preserve">in family settings </w:t>
      </w:r>
      <w:r>
        <w:rPr>
          <w:rFonts w:cstheme="minorHAnsi"/>
          <w:lang w:val="en-MY" w:eastAsia="en-AU"/>
        </w:rPr>
        <w:t>reported inadvertently benefiting from o</w:t>
      </w:r>
      <w:r w:rsidR="00587F35" w:rsidRPr="00DE56D2">
        <w:rPr>
          <w:rFonts w:cstheme="minorHAnsi"/>
          <w:lang w:val="en-MY" w:eastAsia="en-AU"/>
        </w:rPr>
        <w:t>pportunit</w:t>
      </w:r>
      <w:r>
        <w:rPr>
          <w:rFonts w:cstheme="minorHAnsi"/>
          <w:lang w:val="en-MY" w:eastAsia="en-AU"/>
        </w:rPr>
        <w:t xml:space="preserve">ies </w:t>
      </w:r>
      <w:r w:rsidR="00587F35" w:rsidRPr="00DE56D2">
        <w:rPr>
          <w:rFonts w:cstheme="minorHAnsi"/>
          <w:lang w:val="en-MY" w:eastAsia="en-AU"/>
        </w:rPr>
        <w:t xml:space="preserve">to </w:t>
      </w:r>
      <w:r>
        <w:rPr>
          <w:rFonts w:cstheme="minorHAnsi"/>
          <w:lang w:val="en-MY" w:eastAsia="en-AU"/>
        </w:rPr>
        <w:t xml:space="preserve">engage informally </w:t>
      </w:r>
      <w:r w:rsidR="00587F35" w:rsidRPr="00DE56D2">
        <w:rPr>
          <w:rFonts w:cstheme="minorHAnsi"/>
          <w:lang w:val="en-MY" w:eastAsia="en-AU"/>
        </w:rPr>
        <w:t>with vulnerable siblings of existing clients</w:t>
      </w:r>
      <w:r>
        <w:rPr>
          <w:rFonts w:cstheme="minorHAnsi"/>
          <w:lang w:val="en-MY" w:eastAsia="en-AU"/>
        </w:rPr>
        <w:t>, prior to them offending</w:t>
      </w:r>
      <w:r w:rsidR="00587F35" w:rsidRPr="00DE56D2">
        <w:rPr>
          <w:rFonts w:cstheme="minorHAnsi"/>
          <w:lang w:val="en-MY" w:eastAsia="en-AU"/>
        </w:rPr>
        <w:t>.</w:t>
      </w:r>
    </w:p>
    <w:p w14:paraId="7A3EBA98" w14:textId="77777777" w:rsidR="002B5F60" w:rsidRPr="00DE56D2" w:rsidRDefault="002B5F60" w:rsidP="0053265A">
      <w:pPr>
        <w:pStyle w:val="ListParagraph"/>
        <w:spacing w:before="120" w:after="120"/>
        <w:jc w:val="both"/>
        <w:rPr>
          <w:rFonts w:cstheme="minorHAnsi"/>
          <w:lang w:val="en-MY" w:eastAsia="en-AU"/>
        </w:rPr>
      </w:pPr>
    </w:p>
    <w:p w14:paraId="159AC16C" w14:textId="7718EAF7" w:rsidR="00587F35" w:rsidRPr="00DE56D2" w:rsidRDefault="00DE56D2" w:rsidP="00B77817">
      <w:pPr>
        <w:pStyle w:val="ListParagraph"/>
        <w:numPr>
          <w:ilvl w:val="0"/>
          <w:numId w:val="47"/>
        </w:numPr>
        <w:spacing w:before="120" w:after="120"/>
        <w:jc w:val="both"/>
        <w:rPr>
          <w:rFonts w:cstheme="minorHAnsi"/>
          <w:lang w:val="en-MY" w:eastAsia="en-AU"/>
        </w:rPr>
      </w:pPr>
      <w:r>
        <w:rPr>
          <w:rFonts w:cstheme="minorHAnsi"/>
          <w:lang w:val="en-MY" w:eastAsia="en-AU"/>
        </w:rPr>
        <w:t>Case</w:t>
      </w:r>
      <w:r w:rsidR="00694565">
        <w:rPr>
          <w:rFonts w:cstheme="minorHAnsi"/>
          <w:lang w:val="en-MY" w:eastAsia="en-AU"/>
        </w:rPr>
        <w:t xml:space="preserve"> </w:t>
      </w:r>
      <w:r>
        <w:rPr>
          <w:rFonts w:cstheme="minorHAnsi"/>
          <w:lang w:val="en-MY" w:eastAsia="en-AU"/>
        </w:rPr>
        <w:t xml:space="preserve">workers working with clients who have complex needs may experience vicarious trauma, </w:t>
      </w:r>
      <w:r w:rsidR="00732F72">
        <w:rPr>
          <w:rFonts w:cstheme="minorHAnsi"/>
          <w:lang w:val="en-MY" w:eastAsia="en-AU"/>
        </w:rPr>
        <w:t xml:space="preserve">or </w:t>
      </w:r>
      <w:r>
        <w:rPr>
          <w:rFonts w:cstheme="minorHAnsi"/>
          <w:lang w:val="en-MY" w:eastAsia="en-AU"/>
        </w:rPr>
        <w:t>else be subject to</w:t>
      </w:r>
      <w:r w:rsidR="00587F35" w:rsidRPr="00DE56D2">
        <w:rPr>
          <w:rFonts w:cstheme="minorHAnsi"/>
          <w:lang w:val="en-MY" w:eastAsia="en-AU"/>
        </w:rPr>
        <w:t xml:space="preserve"> demands that may inadvertently cause</w:t>
      </w:r>
      <w:r>
        <w:rPr>
          <w:rFonts w:cstheme="minorHAnsi"/>
          <w:lang w:val="en-MY" w:eastAsia="en-AU"/>
        </w:rPr>
        <w:t xml:space="preserve"> them</w:t>
      </w:r>
      <w:r w:rsidR="00587F35" w:rsidRPr="00DE56D2">
        <w:rPr>
          <w:rFonts w:cstheme="minorHAnsi"/>
          <w:lang w:val="en-MY" w:eastAsia="en-AU"/>
        </w:rPr>
        <w:t xml:space="preserve"> psychological harm or stress.</w:t>
      </w:r>
    </w:p>
    <w:p w14:paraId="6CFB1284" w14:textId="77777777" w:rsidR="00587F35" w:rsidRPr="00EE52FE" w:rsidRDefault="00587F35" w:rsidP="00587F35">
      <w:pPr>
        <w:pStyle w:val="SUBHEAD2"/>
        <w:rPr>
          <w:rFonts w:asciiTheme="minorHAnsi" w:hAnsiTheme="minorHAnsi" w:cstheme="minorHAnsi"/>
          <w:lang w:val="en-MY" w:eastAsia="en-AU"/>
        </w:rPr>
      </w:pPr>
      <w:r w:rsidRPr="00EE52FE">
        <w:rPr>
          <w:rFonts w:asciiTheme="minorHAnsi" w:hAnsiTheme="minorHAnsi" w:cstheme="minorHAnsi"/>
          <w:lang w:val="en-MY" w:eastAsia="en-AU"/>
        </w:rPr>
        <w:t>Data Requirements</w:t>
      </w:r>
    </w:p>
    <w:p w14:paraId="0388BA86" w14:textId="322AF3A4" w:rsidR="00DE56D2" w:rsidRDefault="00DE56D2" w:rsidP="00CC1B59">
      <w:pPr>
        <w:shd w:val="clear" w:color="auto" w:fill="FFFFFF" w:themeFill="background1"/>
        <w:spacing w:before="120" w:after="120"/>
        <w:jc w:val="both"/>
        <w:rPr>
          <w:rFonts w:cstheme="minorHAnsi"/>
          <w:lang w:val="en-MY" w:eastAsia="en-AU"/>
        </w:rPr>
      </w:pPr>
      <w:r>
        <w:rPr>
          <w:rFonts w:cstheme="minorHAnsi"/>
        </w:rPr>
        <w:t>T</w:t>
      </w:r>
      <w:r w:rsidRPr="00B3263C">
        <w:rPr>
          <w:rFonts w:cstheme="minorHAnsi"/>
        </w:rPr>
        <w:t>here is a clear need for clarified and improved data definitions and supporting data t</w:t>
      </w:r>
      <w:r>
        <w:rPr>
          <w:rFonts w:cstheme="minorHAnsi"/>
        </w:rPr>
        <w:t>emplates</w:t>
      </w:r>
      <w:r w:rsidRPr="00B3263C">
        <w:rPr>
          <w:rFonts w:cstheme="minorHAnsi"/>
        </w:rPr>
        <w:t>, including data glossaries</w:t>
      </w:r>
      <w:r>
        <w:rPr>
          <w:rFonts w:cstheme="minorHAnsi"/>
        </w:rPr>
        <w:t>, so that service providers can report on their performance in ways that better reflect existing practices and client goals</w:t>
      </w:r>
      <w:r w:rsidRPr="00EE52FE">
        <w:rPr>
          <w:rFonts w:cstheme="minorHAnsi"/>
          <w:lang w:val="en-MY" w:eastAsia="en-AU"/>
        </w:rPr>
        <w:t>.</w:t>
      </w:r>
    </w:p>
    <w:p w14:paraId="5B75571B" w14:textId="4B587557" w:rsidR="00732F72" w:rsidRDefault="00732F72" w:rsidP="00732F72">
      <w:pPr>
        <w:spacing w:before="120" w:after="120"/>
        <w:jc w:val="both"/>
        <w:rPr>
          <w:rFonts w:cstheme="minorHAnsi"/>
          <w:lang w:val="en-MY" w:eastAsia="en-AU"/>
        </w:rPr>
      </w:pPr>
      <w:r>
        <w:rPr>
          <w:rFonts w:cstheme="minorHAnsi"/>
          <w:lang w:val="en-MY" w:eastAsia="en-AU"/>
        </w:rPr>
        <w:t>In further responding to this research question, the following key findings are made:</w:t>
      </w:r>
    </w:p>
    <w:p w14:paraId="4914D91D" w14:textId="09BA6BD0" w:rsidR="00CC1B59" w:rsidRDefault="00CC1B59" w:rsidP="00B77817">
      <w:pPr>
        <w:pStyle w:val="ListParagraph"/>
        <w:numPr>
          <w:ilvl w:val="0"/>
          <w:numId w:val="48"/>
        </w:numPr>
        <w:shd w:val="clear" w:color="auto" w:fill="FFFFFF" w:themeFill="background1"/>
        <w:spacing w:before="120" w:after="120"/>
        <w:jc w:val="both"/>
        <w:rPr>
          <w:rFonts w:cstheme="minorHAnsi"/>
          <w:lang w:val="en-MY" w:eastAsia="en-AU"/>
        </w:rPr>
      </w:pPr>
      <w:r w:rsidRPr="00CC1B59">
        <w:rPr>
          <w:rFonts w:cstheme="minorHAnsi"/>
          <w:lang w:val="en-MY" w:eastAsia="en-AU"/>
        </w:rPr>
        <w:t xml:space="preserve">Service providers were unanimous in their criticism of existing data collection and reporting requirements for both programs, which </w:t>
      </w:r>
      <w:r>
        <w:rPr>
          <w:rFonts w:cstheme="minorHAnsi"/>
          <w:lang w:val="en-MY" w:eastAsia="en-AU"/>
        </w:rPr>
        <w:t xml:space="preserve">they </w:t>
      </w:r>
      <w:r w:rsidRPr="00CC1B59">
        <w:rPr>
          <w:rFonts w:cstheme="minorHAnsi"/>
          <w:lang w:val="en-MY" w:eastAsia="en-AU"/>
        </w:rPr>
        <w:t>considered to be time consuming, repetitive</w:t>
      </w:r>
      <w:r>
        <w:rPr>
          <w:rFonts w:cstheme="minorHAnsi"/>
          <w:lang w:val="en-MY" w:eastAsia="en-AU"/>
        </w:rPr>
        <w:t xml:space="preserve"> and </w:t>
      </w:r>
      <w:r w:rsidRPr="00CC1B59">
        <w:rPr>
          <w:rFonts w:cstheme="minorHAnsi"/>
          <w:lang w:val="en-MY" w:eastAsia="en-AU"/>
        </w:rPr>
        <w:t>contact driven</w:t>
      </w:r>
      <w:r w:rsidR="0053265A">
        <w:rPr>
          <w:rFonts w:cstheme="minorHAnsi"/>
          <w:lang w:val="en-MY" w:eastAsia="en-AU"/>
        </w:rPr>
        <w:t>, and were typically not used to support monitoring and evaluation or continuous improvement processes.</w:t>
      </w:r>
    </w:p>
    <w:p w14:paraId="2EF1F5BD" w14:textId="77777777" w:rsidR="0053265A" w:rsidRDefault="0053265A" w:rsidP="0053265A">
      <w:pPr>
        <w:pStyle w:val="ListParagraph"/>
        <w:shd w:val="clear" w:color="auto" w:fill="FFFFFF" w:themeFill="background1"/>
        <w:spacing w:before="120" w:after="120"/>
        <w:jc w:val="both"/>
        <w:rPr>
          <w:rFonts w:cstheme="minorHAnsi"/>
          <w:lang w:val="en-MY" w:eastAsia="en-AU"/>
        </w:rPr>
      </w:pPr>
    </w:p>
    <w:p w14:paraId="15B1ECFF" w14:textId="1B9A5C0E" w:rsidR="00587F35" w:rsidRPr="00A05170" w:rsidRDefault="00CC1B59" w:rsidP="00B77817">
      <w:pPr>
        <w:pStyle w:val="ListParagraph"/>
        <w:numPr>
          <w:ilvl w:val="0"/>
          <w:numId w:val="48"/>
        </w:numPr>
        <w:shd w:val="clear" w:color="auto" w:fill="FFFFFF" w:themeFill="background1"/>
        <w:spacing w:before="120" w:after="120"/>
        <w:jc w:val="both"/>
        <w:rPr>
          <w:rFonts w:cstheme="minorHAnsi"/>
          <w:lang w:val="en-MY" w:eastAsia="en-AU"/>
        </w:rPr>
      </w:pPr>
      <w:r>
        <w:rPr>
          <w:rFonts w:cstheme="minorHAnsi"/>
          <w:lang w:val="en-MY" w:eastAsia="en-AU"/>
        </w:rPr>
        <w:t>S</w:t>
      </w:r>
      <w:r w:rsidRPr="00CC1B59">
        <w:rPr>
          <w:rFonts w:cstheme="minorHAnsi"/>
          <w:lang w:val="en-MY" w:eastAsia="en-AU"/>
        </w:rPr>
        <w:t xml:space="preserve">ervice providers </w:t>
      </w:r>
      <w:r>
        <w:rPr>
          <w:rFonts w:cstheme="minorHAnsi"/>
          <w:lang w:val="en-MY" w:eastAsia="en-AU"/>
        </w:rPr>
        <w:t xml:space="preserve">also reported that </w:t>
      </w:r>
      <w:r w:rsidRPr="00CC1B59">
        <w:rPr>
          <w:rFonts w:cstheme="minorHAnsi"/>
          <w:lang w:val="en-MY" w:eastAsia="en-AU"/>
        </w:rPr>
        <w:t>data definitions in mandated statistical reports were either absent or unclear</w:t>
      </w:r>
      <w:r>
        <w:rPr>
          <w:rFonts w:cstheme="minorHAnsi"/>
          <w:lang w:val="en-MY" w:eastAsia="en-AU"/>
        </w:rPr>
        <w:t xml:space="preserve">, </w:t>
      </w:r>
      <w:r w:rsidRPr="00CC1B59">
        <w:rPr>
          <w:rFonts w:cstheme="minorHAnsi"/>
          <w:lang w:val="en-MY" w:eastAsia="en-AU"/>
        </w:rPr>
        <w:t xml:space="preserve">and therefore open to varying </w:t>
      </w:r>
      <w:r>
        <w:rPr>
          <w:rFonts w:cstheme="minorHAnsi"/>
          <w:lang w:val="en-MY" w:eastAsia="en-AU"/>
        </w:rPr>
        <w:t xml:space="preserve">and inconsistent </w:t>
      </w:r>
      <w:r w:rsidRPr="00CC1B59">
        <w:rPr>
          <w:rFonts w:cstheme="minorHAnsi"/>
          <w:lang w:val="en-MY" w:eastAsia="en-AU"/>
        </w:rPr>
        <w:t>interpretations</w:t>
      </w:r>
      <w:r>
        <w:rPr>
          <w:rFonts w:cstheme="minorHAnsi"/>
          <w:lang w:val="en-MY" w:eastAsia="en-AU"/>
        </w:rPr>
        <w:t xml:space="preserve">. In particular, </w:t>
      </w:r>
      <w:r w:rsidR="00DE56D2" w:rsidRPr="00CC1B59">
        <w:rPr>
          <w:rFonts w:cstheme="minorHAnsi"/>
        </w:rPr>
        <w:t xml:space="preserve">the existing criminogenic needs index is regarded </w:t>
      </w:r>
      <w:r>
        <w:rPr>
          <w:rFonts w:cstheme="minorHAnsi"/>
        </w:rPr>
        <w:t xml:space="preserve">as </w:t>
      </w:r>
      <w:r w:rsidR="00DE56D2" w:rsidRPr="00CC1B59">
        <w:rPr>
          <w:rFonts w:cstheme="minorHAnsi"/>
        </w:rPr>
        <w:t>subjective and pejorative,</w:t>
      </w:r>
      <w:r>
        <w:rPr>
          <w:rFonts w:cstheme="minorHAnsi"/>
        </w:rPr>
        <w:t xml:space="preserve"> with feedback that this be </w:t>
      </w:r>
      <w:r w:rsidR="00DE56D2" w:rsidRPr="00CC1B59">
        <w:rPr>
          <w:rFonts w:cstheme="minorHAnsi"/>
        </w:rPr>
        <w:t>revised in favour of a more culturally appropriate and strengths-based assessment tool.</w:t>
      </w:r>
    </w:p>
    <w:p w14:paraId="65DDBFA9" w14:textId="77777777" w:rsidR="00587F35" w:rsidRPr="00EE52FE" w:rsidRDefault="00587F35" w:rsidP="00587F35">
      <w:pPr>
        <w:pStyle w:val="Heading2"/>
        <w:tabs>
          <w:tab w:val="clear" w:pos="680"/>
        </w:tabs>
        <w:rPr>
          <w:rFonts w:cstheme="minorHAnsi"/>
          <w:lang w:val="en-MY" w:eastAsia="en-AU"/>
        </w:rPr>
      </w:pPr>
      <w:bookmarkStart w:id="9" w:name="_Toc150784184"/>
      <w:r w:rsidRPr="00EE52FE">
        <w:rPr>
          <w:rFonts w:cstheme="minorHAnsi"/>
          <w:lang w:val="en-MY" w:eastAsia="en-AU"/>
        </w:rPr>
        <w:t>Recommendations</w:t>
      </w:r>
      <w:bookmarkEnd w:id="9"/>
    </w:p>
    <w:p w14:paraId="717104D9" w14:textId="6427B14C" w:rsidR="004201C1" w:rsidRPr="00EE52FE" w:rsidRDefault="00D02D8B" w:rsidP="00587F35">
      <w:pPr>
        <w:spacing w:before="120" w:after="120"/>
        <w:jc w:val="both"/>
        <w:rPr>
          <w:rFonts w:cstheme="minorHAnsi"/>
          <w:lang w:val="en-MY" w:eastAsia="en-AU"/>
        </w:rPr>
      </w:pPr>
      <w:r>
        <w:rPr>
          <w:rFonts w:cstheme="minorHAnsi"/>
          <w:lang w:val="en-MY" w:eastAsia="en-AU"/>
        </w:rPr>
        <w:t>Six</w:t>
      </w:r>
      <w:r w:rsidR="00587F35" w:rsidRPr="00EE52FE">
        <w:rPr>
          <w:rFonts w:cstheme="minorHAnsi"/>
          <w:lang w:val="en-MY" w:eastAsia="en-AU"/>
        </w:rPr>
        <w:t xml:space="preserve"> recommendations have been </w:t>
      </w:r>
      <w:r w:rsidR="00587F35">
        <w:rPr>
          <w:rFonts w:cstheme="minorHAnsi"/>
          <w:lang w:val="en-MY" w:eastAsia="en-AU"/>
        </w:rPr>
        <w:t xml:space="preserve">developed to address the issues noted with respect to </w:t>
      </w:r>
      <w:r w:rsidR="00732F72">
        <w:rPr>
          <w:rFonts w:cstheme="minorHAnsi"/>
          <w:lang w:val="en-MY" w:eastAsia="en-AU"/>
        </w:rPr>
        <w:t xml:space="preserve">IAS funded </w:t>
      </w:r>
      <w:r w:rsidR="00587F35">
        <w:rPr>
          <w:rFonts w:cstheme="minorHAnsi"/>
          <w:lang w:val="en-MY" w:eastAsia="en-AU"/>
        </w:rPr>
        <w:t>through-care program design and implementation</w:t>
      </w:r>
      <w:r w:rsidR="00587F35" w:rsidRPr="00EE52FE">
        <w:rPr>
          <w:rFonts w:cstheme="minorHAnsi"/>
          <w:lang w:val="en-MY" w:eastAsia="en-AU"/>
        </w:rPr>
        <w:t xml:space="preserve">. </w:t>
      </w:r>
      <w:r w:rsidR="00587F35">
        <w:rPr>
          <w:rFonts w:cstheme="minorHAnsi"/>
          <w:lang w:val="en-MY" w:eastAsia="en-AU"/>
        </w:rPr>
        <w:t>T</w:t>
      </w:r>
      <w:r w:rsidR="00587F35" w:rsidRPr="00EE52FE">
        <w:rPr>
          <w:rFonts w:cstheme="minorHAnsi"/>
          <w:lang w:val="en-MY" w:eastAsia="en-AU"/>
        </w:rPr>
        <w:t>h</w:t>
      </w:r>
      <w:r w:rsidR="00587F35">
        <w:rPr>
          <w:rFonts w:cstheme="minorHAnsi"/>
          <w:lang w:val="en-MY" w:eastAsia="en-AU"/>
        </w:rPr>
        <w:t xml:space="preserve">ese are intended to </w:t>
      </w:r>
      <w:r w:rsidR="00587F35" w:rsidRPr="00EE52FE">
        <w:rPr>
          <w:rFonts w:cstheme="minorHAnsi"/>
          <w:lang w:val="en-MY" w:eastAsia="en-AU"/>
        </w:rPr>
        <w:t xml:space="preserve">help </w:t>
      </w:r>
      <w:r w:rsidR="00587F35">
        <w:rPr>
          <w:rFonts w:cstheme="minorHAnsi"/>
          <w:lang w:val="en-MY" w:eastAsia="en-AU"/>
        </w:rPr>
        <w:t xml:space="preserve">further shape </w:t>
      </w:r>
      <w:r w:rsidR="00587F35" w:rsidRPr="00EE52FE">
        <w:rPr>
          <w:rFonts w:cstheme="minorHAnsi"/>
          <w:lang w:val="en-MY" w:eastAsia="en-AU"/>
        </w:rPr>
        <w:t xml:space="preserve">program guidelines and data collection, as well as the implementation of through-care services, in ways that address issues of service capacity and </w:t>
      </w:r>
      <w:r w:rsidR="00587F35">
        <w:rPr>
          <w:rFonts w:cstheme="minorHAnsi"/>
          <w:lang w:val="en-MY" w:eastAsia="en-AU"/>
        </w:rPr>
        <w:t xml:space="preserve">which </w:t>
      </w:r>
      <w:r w:rsidR="00587F35" w:rsidRPr="00EE52FE">
        <w:rPr>
          <w:rFonts w:cstheme="minorHAnsi"/>
          <w:lang w:val="en-MY" w:eastAsia="en-AU"/>
        </w:rPr>
        <w:t xml:space="preserve">enable high quality case work to flourish. </w:t>
      </w:r>
      <w:r w:rsidR="00C977AF">
        <w:rPr>
          <w:rFonts w:cstheme="minorHAnsi"/>
          <w:lang w:val="en-MY" w:eastAsia="en-AU"/>
        </w:rPr>
        <w:tab/>
      </w:r>
      <w:r w:rsidR="00C977AF">
        <w:rPr>
          <w:rFonts w:cstheme="minorHAnsi"/>
          <w:lang w:val="en-MY" w:eastAsia="en-AU"/>
        </w:rPr>
        <w:tab/>
      </w:r>
      <w:r w:rsidR="00C977AF">
        <w:rPr>
          <w:rFonts w:cstheme="minorHAnsi"/>
          <w:lang w:val="en-MY" w:eastAsia="en-AU"/>
        </w:rPr>
        <w:tab/>
      </w:r>
    </w:p>
    <w:tbl>
      <w:tblPr>
        <w:tblStyle w:val="GridTable1Light"/>
        <w:tblW w:w="0" w:type="auto"/>
        <w:tblLook w:val="04A0" w:firstRow="1" w:lastRow="0" w:firstColumn="1" w:lastColumn="0" w:noHBand="0" w:noVBand="1"/>
        <w:tblCaption w:val="Recommendations of evaluation"/>
        <w:tblDescription w:val="The table lists the 6 recommendations of the evaluation including 1. to merge the ATC and YTC programs, 2. revise through care guidelines - eligibility, entry points and period of support, 2. provide support to include the family group, peer to peear networks. 4. update funding arrangements to: promote service coordination and partnerships, reduce minimum case loads, improve workforce conditions and capacity, and increase brokerage funding. 5. fund a through care community of practice. 6. develop program outcome definitions (data types)."/>
      </w:tblPr>
      <w:tblGrid>
        <w:gridCol w:w="687"/>
        <w:gridCol w:w="2852"/>
        <w:gridCol w:w="5521"/>
      </w:tblGrid>
      <w:tr w:rsidR="00587F35" w:rsidRPr="00B3263C" w14:paraId="396BCDB9" w14:textId="77777777" w:rsidTr="002839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 w:type="dxa"/>
          </w:tcPr>
          <w:p w14:paraId="267928F3" w14:textId="77777777" w:rsidR="00587F35" w:rsidRPr="00054A38" w:rsidRDefault="00587F35" w:rsidP="00283910">
            <w:pPr>
              <w:pStyle w:val="Heading4"/>
              <w:ind w:left="0" w:firstLine="0"/>
            </w:pPr>
            <w:r w:rsidRPr="00054A38">
              <w:t>#</w:t>
            </w:r>
          </w:p>
        </w:tc>
        <w:tc>
          <w:tcPr>
            <w:tcW w:w="2852" w:type="dxa"/>
          </w:tcPr>
          <w:p w14:paraId="1124C5C0" w14:textId="200364F2" w:rsidR="00587F35" w:rsidRPr="00054A38" w:rsidRDefault="00587F35" w:rsidP="00283910">
            <w:pPr>
              <w:pStyle w:val="Heading4"/>
              <w:ind w:left="0" w:firstLine="0"/>
              <w:cnfStyle w:val="100000000000" w:firstRow="1" w:lastRow="0" w:firstColumn="0" w:lastColumn="0" w:oddVBand="0" w:evenVBand="0" w:oddHBand="0" w:evenHBand="0" w:firstRowFirstColumn="0" w:firstRowLastColumn="0" w:lastRowFirstColumn="0" w:lastRowLastColumn="0"/>
            </w:pPr>
            <w:r w:rsidRPr="00054A38">
              <w:t>Rec</w:t>
            </w:r>
            <w:r w:rsidR="001D31E3">
              <w:t>ommendation</w:t>
            </w:r>
          </w:p>
        </w:tc>
        <w:tc>
          <w:tcPr>
            <w:tcW w:w="5521" w:type="dxa"/>
          </w:tcPr>
          <w:p w14:paraId="4AC31790" w14:textId="77777777" w:rsidR="00587F35" w:rsidRPr="00054A38" w:rsidRDefault="00587F35" w:rsidP="00283910">
            <w:pPr>
              <w:pStyle w:val="Heading4"/>
              <w:ind w:left="0" w:firstLine="0"/>
              <w:cnfStyle w:val="100000000000" w:firstRow="1" w:lastRow="0" w:firstColumn="0" w:lastColumn="0" w:oddVBand="0" w:evenVBand="0" w:oddHBand="0" w:evenHBand="0" w:firstRowFirstColumn="0" w:firstRowLastColumn="0" w:lastRowFirstColumn="0" w:lastRowLastColumn="0"/>
            </w:pPr>
            <w:r w:rsidRPr="00054A38">
              <w:t>Description</w:t>
            </w:r>
          </w:p>
        </w:tc>
      </w:tr>
      <w:tr w:rsidR="00D02D8B" w:rsidRPr="00B3263C" w14:paraId="08B5D8D4"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5100BF0E" w14:textId="27E3CD79" w:rsidR="00D02D8B" w:rsidRDefault="00D02D8B" w:rsidP="00D02D8B">
            <w:pPr>
              <w:spacing w:before="120" w:after="120"/>
              <w:jc w:val="center"/>
              <w:rPr>
                <w:rFonts w:cstheme="minorHAnsi"/>
              </w:rPr>
            </w:pPr>
            <w:r w:rsidRPr="00B3263C">
              <w:rPr>
                <w:rFonts w:cstheme="minorHAnsi"/>
              </w:rPr>
              <w:t>1</w:t>
            </w:r>
          </w:p>
        </w:tc>
        <w:tc>
          <w:tcPr>
            <w:tcW w:w="2852" w:type="dxa"/>
          </w:tcPr>
          <w:p w14:paraId="24AE67D6" w14:textId="694E502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Merge the ATC and YTC Programs</w:t>
            </w:r>
          </w:p>
        </w:tc>
        <w:tc>
          <w:tcPr>
            <w:tcW w:w="5521" w:type="dxa"/>
          </w:tcPr>
          <w:p w14:paraId="51D237DC" w14:textId="7C65E705" w:rsidR="00D02D8B" w:rsidRPr="00B3263C"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It is recommended that NIAA merge the ATC and YTC programs into a single through-care program, but maintain separate service requirements, activity and outcomes data reported for each cohort. </w:t>
            </w:r>
          </w:p>
        </w:tc>
      </w:tr>
      <w:tr w:rsidR="00D02D8B" w:rsidRPr="00B3263C" w14:paraId="79FE8A81"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0DBDC368" w14:textId="3753B06F" w:rsidR="00D02D8B" w:rsidRPr="00B3263C" w:rsidRDefault="00D02D8B" w:rsidP="00D02D8B">
            <w:pPr>
              <w:spacing w:before="120" w:after="120"/>
              <w:jc w:val="center"/>
              <w:rPr>
                <w:rFonts w:cstheme="minorHAnsi"/>
              </w:rPr>
            </w:pPr>
            <w:r>
              <w:rPr>
                <w:rFonts w:cstheme="minorHAnsi"/>
              </w:rPr>
              <w:t>2</w:t>
            </w:r>
          </w:p>
        </w:tc>
        <w:tc>
          <w:tcPr>
            <w:tcW w:w="2852" w:type="dxa"/>
          </w:tcPr>
          <w:p w14:paraId="43FE267A"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Revise Through-Care Guidelines:</w:t>
            </w:r>
          </w:p>
          <w:p w14:paraId="0816EAEB" w14:textId="77777777" w:rsidR="00D02D8B" w:rsidRPr="00B3263C" w:rsidRDefault="00D02D8B"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Eligibility</w:t>
            </w:r>
          </w:p>
          <w:p w14:paraId="723EEF9E" w14:textId="77777777" w:rsidR="00D02D8B" w:rsidRPr="00B3263C" w:rsidRDefault="00D02D8B"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Entry Points</w:t>
            </w:r>
          </w:p>
          <w:p w14:paraId="737B6DB7" w14:textId="77777777" w:rsidR="00D02D8B" w:rsidRPr="00B3263C" w:rsidRDefault="00D02D8B"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Period of Support</w:t>
            </w:r>
          </w:p>
          <w:p w14:paraId="612D0648"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p>
        </w:tc>
        <w:tc>
          <w:tcPr>
            <w:tcW w:w="5521" w:type="dxa"/>
          </w:tcPr>
          <w:p w14:paraId="411266CD" w14:textId="4FDFD408" w:rsidR="00D02D8B" w:rsidRPr="00454389"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revise through-care program guidelines to clarify client eligibility criteria with respect to (i) post-release commencement</w:t>
            </w:r>
            <w:r>
              <w:rPr>
                <w:rFonts w:cstheme="minorHAnsi"/>
              </w:rPr>
              <w:t>s</w:t>
            </w:r>
            <w:r w:rsidRPr="00B3263C">
              <w:rPr>
                <w:rFonts w:cstheme="minorHAnsi"/>
              </w:rPr>
              <w:t>, (ii) clients receiving short sentences or on remand and (iii) clients remaining on case</w:t>
            </w:r>
            <w:r>
              <w:rPr>
                <w:rFonts w:cstheme="minorHAnsi"/>
              </w:rPr>
              <w:t>-</w:t>
            </w:r>
            <w:r w:rsidRPr="00B3263C">
              <w:rPr>
                <w:rFonts w:cstheme="minorHAnsi"/>
              </w:rPr>
              <w:t>loads beyond 2 years.</w:t>
            </w:r>
          </w:p>
        </w:tc>
      </w:tr>
      <w:tr w:rsidR="00D02D8B" w:rsidRPr="00B3263C" w14:paraId="4326F986"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3514745F" w14:textId="5C18F87C" w:rsidR="00D02D8B" w:rsidRPr="00B3263C" w:rsidRDefault="00D02D8B" w:rsidP="00D02D8B">
            <w:pPr>
              <w:spacing w:before="120" w:after="120"/>
              <w:jc w:val="center"/>
              <w:rPr>
                <w:rFonts w:cstheme="minorHAnsi"/>
              </w:rPr>
            </w:pPr>
            <w:r>
              <w:rPr>
                <w:rFonts w:cstheme="minorHAnsi"/>
              </w:rPr>
              <w:t>3</w:t>
            </w:r>
          </w:p>
        </w:tc>
        <w:tc>
          <w:tcPr>
            <w:tcW w:w="2852" w:type="dxa"/>
          </w:tcPr>
          <w:p w14:paraId="6CC11D93"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Provide Support to include the Family Group, peer-to-peer networks (including support that is more collective or relational)</w:t>
            </w:r>
          </w:p>
        </w:tc>
        <w:tc>
          <w:tcPr>
            <w:tcW w:w="5521" w:type="dxa"/>
          </w:tcPr>
          <w:p w14:paraId="47989207" w14:textId="4282A596" w:rsidR="00D02D8B" w:rsidRPr="00B3263C"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update through-care program guidelines to clarify and expand guidance with respect to working with family, culture, and kin.</w:t>
            </w:r>
          </w:p>
        </w:tc>
      </w:tr>
      <w:tr w:rsidR="00D02D8B" w:rsidRPr="00B3263C" w14:paraId="0E70BF87"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493F617F" w14:textId="67C5B6F1" w:rsidR="00D02D8B" w:rsidRPr="00B3263C" w:rsidRDefault="00D02D8B" w:rsidP="00D02D8B">
            <w:pPr>
              <w:spacing w:before="120" w:after="120"/>
              <w:jc w:val="center"/>
              <w:rPr>
                <w:rFonts w:cstheme="minorHAnsi"/>
              </w:rPr>
            </w:pPr>
            <w:r>
              <w:rPr>
                <w:rFonts w:cstheme="minorHAnsi"/>
              </w:rPr>
              <w:t>4</w:t>
            </w:r>
          </w:p>
        </w:tc>
        <w:tc>
          <w:tcPr>
            <w:tcW w:w="2852" w:type="dxa"/>
          </w:tcPr>
          <w:p w14:paraId="1F8C1A7B"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Update funding agreements:</w:t>
            </w:r>
          </w:p>
          <w:p w14:paraId="5CE0B640" w14:textId="77777777" w:rsidR="00D02D8B" w:rsidRPr="00B3263C" w:rsidRDefault="00D02D8B"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Promote Service Coordination and partnerships</w:t>
            </w:r>
          </w:p>
          <w:p w14:paraId="33BC9FB9" w14:textId="291EEC1C" w:rsidR="00D02D8B" w:rsidRPr="00B3263C" w:rsidRDefault="00D02D8B"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Reduce Minimum Case</w:t>
            </w:r>
            <w:r>
              <w:rPr>
                <w:rFonts w:cstheme="minorHAnsi"/>
              </w:rPr>
              <w:t>-</w:t>
            </w:r>
            <w:r w:rsidRPr="00B3263C">
              <w:rPr>
                <w:rFonts w:cstheme="minorHAnsi"/>
              </w:rPr>
              <w:t>loads</w:t>
            </w:r>
          </w:p>
          <w:p w14:paraId="66485A51" w14:textId="77777777" w:rsidR="00D02D8B" w:rsidRPr="00B3263C" w:rsidRDefault="00D02D8B"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Improve Workforce Conditions and Capacity</w:t>
            </w:r>
          </w:p>
          <w:p w14:paraId="00BDB4AA" w14:textId="77777777" w:rsidR="00D02D8B" w:rsidRPr="00B3263C" w:rsidRDefault="00D02D8B"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Increase Brokerage Funding</w:t>
            </w:r>
          </w:p>
        </w:tc>
        <w:tc>
          <w:tcPr>
            <w:tcW w:w="5521" w:type="dxa"/>
          </w:tcPr>
          <w:p w14:paraId="732C882B" w14:textId="58D61CE2" w:rsidR="00D02D8B" w:rsidRPr="003239C1"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revise and update funding agreements to (i) address gaps in service coordination and partnerships arrangements, (ii) reduce minimum case</w:t>
            </w:r>
            <w:r>
              <w:rPr>
                <w:rFonts w:cstheme="minorHAnsi"/>
              </w:rPr>
              <w:t>-</w:t>
            </w:r>
            <w:r w:rsidRPr="00B3263C">
              <w:rPr>
                <w:rFonts w:cstheme="minorHAnsi"/>
              </w:rPr>
              <w:t>loads (iii) improve workforce conditions (iv) improve workforce capacity, and (v) increase discretionary brokerage funding.</w:t>
            </w:r>
          </w:p>
        </w:tc>
      </w:tr>
      <w:tr w:rsidR="00D02D8B" w:rsidRPr="00B3263C" w14:paraId="2772BE85"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167052B8" w14:textId="02172AB8" w:rsidR="00D02D8B" w:rsidRPr="00B3263C" w:rsidRDefault="00D02D8B" w:rsidP="00D02D8B">
            <w:pPr>
              <w:spacing w:before="120" w:after="120"/>
              <w:jc w:val="center"/>
              <w:rPr>
                <w:rFonts w:cstheme="minorHAnsi"/>
              </w:rPr>
            </w:pPr>
            <w:r>
              <w:rPr>
                <w:rFonts w:cstheme="minorHAnsi"/>
              </w:rPr>
              <w:t>5</w:t>
            </w:r>
          </w:p>
        </w:tc>
        <w:tc>
          <w:tcPr>
            <w:tcW w:w="2852" w:type="dxa"/>
          </w:tcPr>
          <w:p w14:paraId="6E222AEB"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Fund a Through-Care Community of Practice</w:t>
            </w:r>
          </w:p>
        </w:tc>
        <w:tc>
          <w:tcPr>
            <w:tcW w:w="5521" w:type="dxa"/>
          </w:tcPr>
          <w:p w14:paraId="2FD55D8D" w14:textId="0339553B" w:rsidR="00D02D8B" w:rsidRPr="00B3263C"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It is recommended that a proportion of through-care program funding be utilised for the establishment and operation of a community of practice. </w:t>
            </w:r>
          </w:p>
        </w:tc>
      </w:tr>
      <w:tr w:rsidR="00D02D8B" w:rsidRPr="00B3263C" w14:paraId="216D6E54" w14:textId="77777777" w:rsidTr="00054A38">
        <w:tc>
          <w:tcPr>
            <w:cnfStyle w:val="001000000000" w:firstRow="0" w:lastRow="0" w:firstColumn="1" w:lastColumn="0" w:oddVBand="0" w:evenVBand="0" w:oddHBand="0" w:evenHBand="0" w:firstRowFirstColumn="0" w:firstRowLastColumn="0" w:lastRowFirstColumn="0" w:lastRowLastColumn="0"/>
            <w:tcW w:w="687" w:type="dxa"/>
          </w:tcPr>
          <w:p w14:paraId="7803B50D" w14:textId="08DD319F" w:rsidR="00D02D8B" w:rsidRPr="00B3263C" w:rsidRDefault="00D02D8B" w:rsidP="00D02D8B">
            <w:pPr>
              <w:spacing w:before="120" w:after="120"/>
              <w:jc w:val="center"/>
              <w:rPr>
                <w:rFonts w:cstheme="minorHAnsi"/>
              </w:rPr>
            </w:pPr>
            <w:r>
              <w:rPr>
                <w:rFonts w:cstheme="minorHAnsi"/>
              </w:rPr>
              <w:t>6</w:t>
            </w:r>
          </w:p>
        </w:tc>
        <w:tc>
          <w:tcPr>
            <w:tcW w:w="2852" w:type="dxa"/>
          </w:tcPr>
          <w:p w14:paraId="4145B187" w14:textId="77777777" w:rsidR="00D02D8B" w:rsidRPr="00B3263C" w:rsidRDefault="00D02D8B" w:rsidP="00D02D8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Develop Program Outcome Definitions</w:t>
            </w:r>
          </w:p>
        </w:tc>
        <w:tc>
          <w:tcPr>
            <w:tcW w:w="5521" w:type="dxa"/>
          </w:tcPr>
          <w:p w14:paraId="29B860FC" w14:textId="31163B6F" w:rsidR="00D02D8B" w:rsidRPr="00B3263C" w:rsidRDefault="00D02D8B" w:rsidP="00D02D8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It is recommended that NIAA work with through-care service providers to undertake a review of program outcome data types and definitions. </w:t>
            </w:r>
          </w:p>
        </w:tc>
      </w:tr>
    </w:tbl>
    <w:p w14:paraId="7EBA4866" w14:textId="77777777" w:rsidR="00A64217" w:rsidRDefault="00A64217" w:rsidP="00F66F99">
      <w:pPr>
        <w:pStyle w:val="Heading1"/>
        <w:rPr>
          <w:rFonts w:cstheme="minorHAnsi"/>
        </w:rPr>
        <w:sectPr w:rsidR="00A64217" w:rsidSect="00A04873">
          <w:pgSz w:w="11906" w:h="16838"/>
          <w:pgMar w:top="851" w:right="1418" w:bottom="1701" w:left="1418" w:header="1531" w:footer="737" w:gutter="0"/>
          <w:pgNumType w:start="1"/>
          <w:cols w:space="720"/>
          <w:docGrid w:linePitch="326"/>
        </w:sectPr>
      </w:pPr>
    </w:p>
    <w:p w14:paraId="63D9BC40" w14:textId="6DCA0A94" w:rsidR="004F7033" w:rsidRDefault="004F7033" w:rsidP="00F66F99">
      <w:pPr>
        <w:pStyle w:val="Heading1"/>
        <w:rPr>
          <w:rFonts w:cstheme="minorHAnsi"/>
        </w:rPr>
      </w:pPr>
      <w:bookmarkStart w:id="10" w:name="_Toc150784185"/>
      <w:r w:rsidRPr="00F66F99">
        <w:rPr>
          <w:rFonts w:cstheme="minorHAnsi"/>
        </w:rPr>
        <w:t>Introduction</w:t>
      </w:r>
      <w:bookmarkEnd w:id="10"/>
    </w:p>
    <w:p w14:paraId="0B6D70DC" w14:textId="23BC7123" w:rsidR="00CB26A4" w:rsidRDefault="001D06A0" w:rsidP="001D06A0">
      <w:pPr>
        <w:jc w:val="both"/>
        <w:rPr>
          <w:rFonts w:cstheme="minorHAnsi"/>
          <w:lang w:val="en-MY" w:eastAsia="en-AU"/>
        </w:rPr>
      </w:pPr>
      <w:r w:rsidRPr="001D06A0">
        <w:rPr>
          <w:rFonts w:cstheme="minorHAnsi"/>
        </w:rPr>
        <w:t xml:space="preserve">This </w:t>
      </w:r>
      <w:r w:rsidR="004540EA">
        <w:rPr>
          <w:rFonts w:cstheme="minorHAnsi"/>
        </w:rPr>
        <w:t>r</w:t>
      </w:r>
      <w:r w:rsidRPr="001D06A0">
        <w:rPr>
          <w:rFonts w:cstheme="minorHAnsi"/>
        </w:rPr>
        <w:t>eport has been prepared by Keogh Bay</w:t>
      </w:r>
      <w:r w:rsidRPr="001D06A0">
        <w:rPr>
          <w:rFonts w:cstheme="minorHAnsi"/>
          <w:i/>
        </w:rPr>
        <w:t xml:space="preserve"> </w:t>
      </w:r>
      <w:r w:rsidRPr="001D06A0">
        <w:rPr>
          <w:rFonts w:cstheme="minorHAnsi"/>
        </w:rPr>
        <w:t>on behalf of N</w:t>
      </w:r>
      <w:r w:rsidR="00B114B8">
        <w:rPr>
          <w:rFonts w:cstheme="minorHAnsi"/>
        </w:rPr>
        <w:t>IAA</w:t>
      </w:r>
      <w:r w:rsidRPr="001D06A0">
        <w:rPr>
          <w:rFonts w:cstheme="minorHAnsi"/>
          <w:lang w:val="en-MY" w:eastAsia="en-AU"/>
        </w:rPr>
        <w:t>. It pr</w:t>
      </w:r>
      <w:r>
        <w:rPr>
          <w:rFonts w:cstheme="minorHAnsi"/>
          <w:lang w:val="en-MY" w:eastAsia="en-AU"/>
        </w:rPr>
        <w:t xml:space="preserve">esents the </w:t>
      </w:r>
      <w:r w:rsidR="00EB4FA0">
        <w:rPr>
          <w:rFonts w:cstheme="minorHAnsi"/>
          <w:lang w:val="en-MY" w:eastAsia="en-AU"/>
        </w:rPr>
        <w:t xml:space="preserve">findings of an </w:t>
      </w:r>
      <w:r>
        <w:rPr>
          <w:rFonts w:cstheme="minorHAnsi"/>
          <w:lang w:val="en-MY" w:eastAsia="en-AU"/>
        </w:rPr>
        <w:t>evaluation</w:t>
      </w:r>
      <w:r w:rsidR="00EB4FA0">
        <w:rPr>
          <w:rFonts w:cstheme="minorHAnsi"/>
          <w:lang w:val="en-MY" w:eastAsia="en-AU"/>
        </w:rPr>
        <w:t xml:space="preserve"> </w:t>
      </w:r>
      <w:r w:rsidRPr="001D06A0">
        <w:rPr>
          <w:rFonts w:cstheme="minorHAnsi"/>
          <w:lang w:val="en-MY" w:eastAsia="en-AU"/>
        </w:rPr>
        <w:t xml:space="preserve">of the IAS funded </w:t>
      </w:r>
      <w:r w:rsidR="00B114B8">
        <w:rPr>
          <w:rFonts w:cstheme="minorHAnsi"/>
          <w:lang w:val="en-MY" w:eastAsia="en-AU"/>
        </w:rPr>
        <w:t>a</w:t>
      </w:r>
      <w:r w:rsidRPr="001D06A0">
        <w:rPr>
          <w:rFonts w:cstheme="minorHAnsi"/>
          <w:lang w:val="en-MY" w:eastAsia="en-AU"/>
        </w:rPr>
        <w:t xml:space="preserve">dult and </w:t>
      </w:r>
      <w:r w:rsidR="00B114B8">
        <w:rPr>
          <w:rFonts w:cstheme="minorHAnsi"/>
          <w:lang w:val="en-MY" w:eastAsia="en-AU"/>
        </w:rPr>
        <w:t>y</w:t>
      </w:r>
      <w:r w:rsidRPr="001D06A0">
        <w:rPr>
          <w:rFonts w:cstheme="minorHAnsi"/>
          <w:lang w:val="en-MY" w:eastAsia="en-AU"/>
        </w:rPr>
        <w:t xml:space="preserve">outh </w:t>
      </w:r>
      <w:r w:rsidR="00B114B8">
        <w:rPr>
          <w:rFonts w:cstheme="minorHAnsi"/>
          <w:lang w:val="en-MY" w:eastAsia="en-AU"/>
        </w:rPr>
        <w:t>t</w:t>
      </w:r>
      <w:r w:rsidRPr="001D06A0">
        <w:rPr>
          <w:rFonts w:cstheme="minorHAnsi"/>
          <w:lang w:val="en-MY" w:eastAsia="en-AU"/>
        </w:rPr>
        <w:t>hrough</w:t>
      </w:r>
      <w:r w:rsidR="00B114B8">
        <w:rPr>
          <w:rFonts w:cstheme="minorHAnsi"/>
          <w:lang w:val="en-MY" w:eastAsia="en-AU"/>
        </w:rPr>
        <w:t>-c</w:t>
      </w:r>
      <w:r w:rsidRPr="001D06A0">
        <w:rPr>
          <w:rFonts w:cstheme="minorHAnsi"/>
          <w:lang w:val="en-MY" w:eastAsia="en-AU"/>
        </w:rPr>
        <w:t xml:space="preserve">are programs, which aim to support Indigenous people </w:t>
      </w:r>
      <w:r w:rsidR="001260FB">
        <w:rPr>
          <w:rFonts w:cstheme="minorHAnsi"/>
          <w:lang w:val="en-MY" w:eastAsia="en-AU"/>
        </w:rPr>
        <w:t xml:space="preserve">to </w:t>
      </w:r>
      <w:r w:rsidR="00EB4FA0" w:rsidRPr="001D06A0">
        <w:rPr>
          <w:rFonts w:cstheme="minorHAnsi"/>
          <w:lang w:val="en-MY" w:eastAsia="en-AU"/>
        </w:rPr>
        <w:t>re-engage with their communit</w:t>
      </w:r>
      <w:r w:rsidR="00EB4FA0">
        <w:rPr>
          <w:rFonts w:cstheme="minorHAnsi"/>
          <w:lang w:val="en-MY" w:eastAsia="en-AU"/>
        </w:rPr>
        <w:t xml:space="preserve">ies following </w:t>
      </w:r>
      <w:r w:rsidRPr="001D06A0">
        <w:rPr>
          <w:rFonts w:cstheme="minorHAnsi"/>
          <w:lang w:val="en-MY" w:eastAsia="en-AU"/>
        </w:rPr>
        <w:t xml:space="preserve">a period of detention, and thereby contribute to reduced rates of recidivism and the frequency and severity of re-offending.   </w:t>
      </w:r>
    </w:p>
    <w:p w14:paraId="2084614E" w14:textId="77777777" w:rsidR="00EB4FA0" w:rsidRPr="008719B9" w:rsidRDefault="00EB4FA0" w:rsidP="00EB4FA0">
      <w:pPr>
        <w:pStyle w:val="Heading2"/>
        <w:rPr>
          <w:rFonts w:cstheme="minorHAnsi"/>
          <w:lang w:val="en-MY" w:eastAsia="en-AU"/>
        </w:rPr>
      </w:pPr>
      <w:bookmarkStart w:id="11" w:name="_Toc150784186"/>
      <w:r w:rsidRPr="008719B9">
        <w:rPr>
          <w:rFonts w:cstheme="minorHAnsi"/>
          <w:lang w:val="en-MY" w:eastAsia="en-AU"/>
        </w:rPr>
        <w:t>IAS Funded Through Care Programs</w:t>
      </w:r>
      <w:bookmarkEnd w:id="11"/>
    </w:p>
    <w:p w14:paraId="4D8ABBF5" w14:textId="2B39C9AF" w:rsidR="00891887" w:rsidRDefault="00891887" w:rsidP="00891887">
      <w:pPr>
        <w:jc w:val="both"/>
        <w:rPr>
          <w:rFonts w:cstheme="minorHAnsi"/>
          <w:lang w:val="en-MY" w:eastAsia="en-AU"/>
        </w:rPr>
      </w:pPr>
      <w:r w:rsidRPr="001D06A0">
        <w:rPr>
          <w:rFonts w:cstheme="minorHAnsi"/>
          <w:lang w:val="en-MY" w:eastAsia="en-AU"/>
        </w:rPr>
        <w:t xml:space="preserve">In response to the COAG </w:t>
      </w:r>
      <w:r w:rsidRPr="00B114B8">
        <w:rPr>
          <w:rFonts w:cstheme="minorHAnsi"/>
          <w:i/>
          <w:iCs/>
          <w:lang w:val="en-MY" w:eastAsia="en-AU"/>
        </w:rPr>
        <w:t>Prison to Work Report</w:t>
      </w:r>
      <w:r w:rsidRPr="001D06A0">
        <w:rPr>
          <w:rFonts w:cstheme="minorHAnsi"/>
          <w:lang w:val="en-MY" w:eastAsia="en-AU"/>
        </w:rPr>
        <w:t xml:space="preserve"> (2016), which identifies the need for investments in the development of culturally appropriate </w:t>
      </w:r>
      <w:r>
        <w:rPr>
          <w:rFonts w:cstheme="minorHAnsi"/>
          <w:lang w:val="en-MY" w:eastAsia="en-AU"/>
        </w:rPr>
        <w:t xml:space="preserve">prisoner </w:t>
      </w:r>
      <w:r w:rsidRPr="001D06A0">
        <w:rPr>
          <w:rFonts w:cstheme="minorHAnsi"/>
          <w:lang w:val="en-MY" w:eastAsia="en-AU"/>
        </w:rPr>
        <w:t>through-care models and services,</w:t>
      </w:r>
      <w:r w:rsidRPr="001D06A0">
        <w:rPr>
          <w:rStyle w:val="FootnoteReference"/>
          <w:rFonts w:cstheme="minorHAnsi"/>
          <w:lang w:val="en-MY" w:eastAsia="en-AU"/>
        </w:rPr>
        <w:footnoteReference w:id="5"/>
      </w:r>
      <w:r w:rsidRPr="001D06A0">
        <w:rPr>
          <w:rFonts w:cstheme="minorHAnsi"/>
          <w:lang w:val="en-MY" w:eastAsia="en-AU"/>
        </w:rPr>
        <w:t xml:space="preserve"> NIAA commissioned a co-design process to improve the existing Adult Through Care (ATC) model and to develop a youth version. In 2017</w:t>
      </w:r>
      <w:r>
        <w:rPr>
          <w:rFonts w:cstheme="minorHAnsi"/>
          <w:lang w:val="en-MY" w:eastAsia="en-AU"/>
        </w:rPr>
        <w:t xml:space="preserve"> </w:t>
      </w:r>
      <w:r w:rsidRPr="001D06A0">
        <w:rPr>
          <w:rFonts w:cstheme="minorHAnsi"/>
          <w:lang w:val="en-MY" w:eastAsia="en-AU"/>
        </w:rPr>
        <w:t xml:space="preserve">consultants ABT Associates Australia were engaged (by the then Department of Prime Minister and Cabinet) to lead the co-design of an enhanced ATC </w:t>
      </w:r>
      <w:r w:rsidR="00B114B8">
        <w:rPr>
          <w:rFonts w:cstheme="minorHAnsi"/>
          <w:lang w:val="en-MY" w:eastAsia="en-AU"/>
        </w:rPr>
        <w:t>p</w:t>
      </w:r>
      <w:r w:rsidRPr="001D06A0">
        <w:rPr>
          <w:rFonts w:cstheme="minorHAnsi"/>
          <w:lang w:val="en-MY" w:eastAsia="en-AU"/>
        </w:rPr>
        <w:t xml:space="preserve">rogram and to design a new Youth Through Care (YTC) </w:t>
      </w:r>
      <w:r w:rsidR="00B114B8">
        <w:rPr>
          <w:rFonts w:cstheme="minorHAnsi"/>
          <w:lang w:val="en-MY" w:eastAsia="en-AU"/>
        </w:rPr>
        <w:t>p</w:t>
      </w:r>
      <w:r w:rsidRPr="001D06A0">
        <w:rPr>
          <w:rFonts w:cstheme="minorHAnsi"/>
          <w:lang w:val="en-MY" w:eastAsia="en-AU"/>
        </w:rPr>
        <w:t>rogram.</w:t>
      </w:r>
    </w:p>
    <w:p w14:paraId="78BEE794" w14:textId="77777777" w:rsidR="007D5F16" w:rsidRDefault="007D5F16" w:rsidP="00891887">
      <w:pPr>
        <w:jc w:val="both"/>
        <w:rPr>
          <w:rFonts w:cstheme="minorHAnsi"/>
          <w:lang w:val="en-MY" w:eastAsia="en-AU"/>
        </w:rPr>
      </w:pPr>
    </w:p>
    <w:p w14:paraId="44D9AD80" w14:textId="41991E3F" w:rsidR="007D5F16" w:rsidRPr="001D06A0" w:rsidRDefault="007D5F16" w:rsidP="00891887">
      <w:pPr>
        <w:jc w:val="both"/>
        <w:rPr>
          <w:rFonts w:cstheme="minorHAnsi"/>
          <w:lang w:val="en-MY" w:eastAsia="en-AU"/>
        </w:rPr>
      </w:pPr>
      <w:r w:rsidRPr="001D06A0">
        <w:rPr>
          <w:rFonts w:cstheme="minorHAnsi"/>
          <w:lang w:val="en-MY" w:eastAsia="en-AU"/>
        </w:rPr>
        <w:t>The co-design project involved consultation and engagement over 2018-19 with Indigenous participants, existing Commonwealth funded adult through-care service providers, community groups, non-government organisations, key experts and the relevant State and Territory Governments. The</w:t>
      </w:r>
      <w:r w:rsidR="00934A29">
        <w:rPr>
          <w:rFonts w:cstheme="minorHAnsi"/>
          <w:lang w:val="en-MY" w:eastAsia="en-AU"/>
        </w:rPr>
        <w:t xml:space="preserve"> </w:t>
      </w:r>
      <w:r w:rsidRPr="001D06A0">
        <w:rPr>
          <w:rFonts w:cstheme="minorHAnsi"/>
          <w:lang w:val="en-MY" w:eastAsia="en-AU"/>
        </w:rPr>
        <w:t>program model documentation details the minimum requirements for delivering and monitoring the programs, expectations for workforce development, and a data management strategy with guidance for the ongoing evaluation of program objectives.</w:t>
      </w:r>
      <w:r w:rsidRPr="001D06A0">
        <w:rPr>
          <w:rStyle w:val="FootnoteReference"/>
          <w:rFonts w:cstheme="minorHAnsi"/>
          <w:lang w:val="en-MY" w:eastAsia="en-AU"/>
        </w:rPr>
        <w:footnoteReference w:id="6"/>
      </w:r>
    </w:p>
    <w:p w14:paraId="115427BF" w14:textId="77777777" w:rsidR="00891887" w:rsidRDefault="00891887" w:rsidP="00EB4FA0">
      <w:pPr>
        <w:jc w:val="both"/>
        <w:rPr>
          <w:rFonts w:cstheme="minorHAnsi"/>
          <w:lang w:val="en-MY" w:eastAsia="en-AU"/>
        </w:rPr>
      </w:pPr>
    </w:p>
    <w:p w14:paraId="478B59D6" w14:textId="7CE71F7F" w:rsidR="00891887" w:rsidRDefault="000F4916" w:rsidP="00EB4FA0">
      <w:pPr>
        <w:jc w:val="both"/>
        <w:rPr>
          <w:rFonts w:cstheme="minorHAnsi"/>
          <w:lang w:val="en-MY" w:eastAsia="en-AU"/>
        </w:rPr>
      </w:pPr>
      <w:r w:rsidRPr="00CB26A4">
        <w:rPr>
          <w:rFonts w:cstheme="minorHAnsi"/>
          <w:lang w:val="en-MY" w:eastAsia="en-AU"/>
        </w:rPr>
        <w:t xml:space="preserve">There are currently </w:t>
      </w:r>
      <w:r>
        <w:rPr>
          <w:rFonts w:cstheme="minorHAnsi"/>
          <w:lang w:val="en-MY" w:eastAsia="en-AU"/>
        </w:rPr>
        <w:t xml:space="preserve">nine IAS funded through-care service providers, across eleven service contracts, including eight ATC contracts and three YTC contracts. </w:t>
      </w:r>
      <w:r w:rsidR="00EB4FA0" w:rsidRPr="00CB26A4">
        <w:rPr>
          <w:rFonts w:cstheme="minorHAnsi"/>
          <w:lang w:val="en-MY" w:eastAsia="en-AU"/>
        </w:rPr>
        <w:t xml:space="preserve">The </w:t>
      </w:r>
      <w:r w:rsidR="00891887">
        <w:rPr>
          <w:rFonts w:cstheme="minorHAnsi"/>
          <w:lang w:val="en-MY" w:eastAsia="en-AU"/>
        </w:rPr>
        <w:t xml:space="preserve">ATC </w:t>
      </w:r>
      <w:r w:rsidR="00B114B8">
        <w:rPr>
          <w:rFonts w:cstheme="minorHAnsi"/>
          <w:lang w:val="en-MY" w:eastAsia="en-AU"/>
        </w:rPr>
        <w:t>p</w:t>
      </w:r>
      <w:r w:rsidR="00EB4FA0" w:rsidRPr="00CB26A4">
        <w:rPr>
          <w:rFonts w:cstheme="minorHAnsi"/>
          <w:lang w:val="en-MY" w:eastAsia="en-AU"/>
        </w:rPr>
        <w:t xml:space="preserve">rogram was implemented in July 2019, following </w:t>
      </w:r>
      <w:r w:rsidR="0018111C">
        <w:rPr>
          <w:rFonts w:cstheme="minorHAnsi"/>
          <w:lang w:val="en-MY" w:eastAsia="en-AU"/>
        </w:rPr>
        <w:t xml:space="preserve">the </w:t>
      </w:r>
      <w:r w:rsidR="00EB4FA0" w:rsidRPr="00CB26A4">
        <w:rPr>
          <w:rFonts w:cstheme="minorHAnsi"/>
          <w:lang w:val="en-MY" w:eastAsia="en-AU"/>
        </w:rPr>
        <w:t xml:space="preserve">co-design process. There are currently eight </w:t>
      </w:r>
      <w:r w:rsidR="001B02CC">
        <w:rPr>
          <w:rFonts w:cstheme="minorHAnsi"/>
          <w:lang w:val="en-MY" w:eastAsia="en-AU"/>
        </w:rPr>
        <w:t xml:space="preserve">ATC </w:t>
      </w:r>
      <w:r w:rsidR="00EB4FA0" w:rsidRPr="00CB26A4">
        <w:rPr>
          <w:rFonts w:cstheme="minorHAnsi"/>
          <w:lang w:val="en-MY" w:eastAsia="en-AU"/>
        </w:rPr>
        <w:t>services across all States and Territories (except V</w:t>
      </w:r>
      <w:r w:rsidR="00B114B8">
        <w:rPr>
          <w:rFonts w:cstheme="minorHAnsi"/>
          <w:lang w:val="en-MY" w:eastAsia="en-AU"/>
        </w:rPr>
        <w:t xml:space="preserve">ictoria and the </w:t>
      </w:r>
      <w:r w:rsidR="00EB4FA0" w:rsidRPr="00CB26A4">
        <w:rPr>
          <w:rFonts w:cstheme="minorHAnsi"/>
          <w:lang w:val="en-MY" w:eastAsia="en-AU"/>
        </w:rPr>
        <w:t>A</w:t>
      </w:r>
      <w:r w:rsidR="00B114B8">
        <w:rPr>
          <w:rFonts w:cstheme="minorHAnsi"/>
          <w:lang w:val="en-MY" w:eastAsia="en-AU"/>
        </w:rPr>
        <w:t xml:space="preserve">ustralian </w:t>
      </w:r>
      <w:r w:rsidR="00EB4FA0" w:rsidRPr="00CB26A4">
        <w:rPr>
          <w:rFonts w:cstheme="minorHAnsi"/>
          <w:lang w:val="en-MY" w:eastAsia="en-AU"/>
        </w:rPr>
        <w:t>C</w:t>
      </w:r>
      <w:r w:rsidR="00B114B8">
        <w:rPr>
          <w:rFonts w:cstheme="minorHAnsi"/>
          <w:lang w:val="en-MY" w:eastAsia="en-AU"/>
        </w:rPr>
        <w:t xml:space="preserve">apital </w:t>
      </w:r>
      <w:r w:rsidR="00EB4FA0" w:rsidRPr="00CB26A4">
        <w:rPr>
          <w:rFonts w:cstheme="minorHAnsi"/>
          <w:lang w:val="en-MY" w:eastAsia="en-AU"/>
        </w:rPr>
        <w:t>T</w:t>
      </w:r>
      <w:r w:rsidR="00B114B8">
        <w:rPr>
          <w:rFonts w:cstheme="minorHAnsi"/>
          <w:lang w:val="en-MY" w:eastAsia="en-AU"/>
        </w:rPr>
        <w:t>erritory</w:t>
      </w:r>
      <w:r w:rsidR="00EB4FA0" w:rsidRPr="00CB26A4">
        <w:rPr>
          <w:rFonts w:cstheme="minorHAnsi"/>
          <w:lang w:val="en-MY" w:eastAsia="en-AU"/>
        </w:rPr>
        <w:t xml:space="preserve">) funded by NIAA to deliver the </w:t>
      </w:r>
      <w:r w:rsidR="00EB4FA0">
        <w:rPr>
          <w:rFonts w:cstheme="minorHAnsi"/>
          <w:lang w:val="en-MY" w:eastAsia="en-AU"/>
        </w:rPr>
        <w:t>p</w:t>
      </w:r>
      <w:r w:rsidR="00EB4FA0" w:rsidRPr="00CB26A4">
        <w:rPr>
          <w:rFonts w:cstheme="minorHAnsi"/>
          <w:lang w:val="en-MY" w:eastAsia="en-AU"/>
        </w:rPr>
        <w:t xml:space="preserve">rogram, with service agreements </w:t>
      </w:r>
      <w:r w:rsidR="00891887">
        <w:rPr>
          <w:rFonts w:cstheme="minorHAnsi"/>
          <w:lang w:val="en-MY" w:eastAsia="en-AU"/>
        </w:rPr>
        <w:t xml:space="preserve">ending in </w:t>
      </w:r>
      <w:r w:rsidR="00EB4FA0" w:rsidRPr="00CB26A4">
        <w:rPr>
          <w:rFonts w:cstheme="minorHAnsi"/>
          <w:lang w:val="en-MY" w:eastAsia="en-AU"/>
        </w:rPr>
        <w:t>June 20</w:t>
      </w:r>
      <w:r>
        <w:rPr>
          <w:rFonts w:cstheme="minorHAnsi"/>
          <w:lang w:val="en-MY" w:eastAsia="en-AU"/>
        </w:rPr>
        <w:t>23 extended by 12 months</w:t>
      </w:r>
      <w:r w:rsidR="00EB4FA0" w:rsidRPr="00CB26A4">
        <w:rPr>
          <w:rFonts w:cstheme="minorHAnsi"/>
          <w:lang w:val="en-MY" w:eastAsia="en-AU"/>
        </w:rPr>
        <w:t>.</w:t>
      </w:r>
      <w:r w:rsidR="00891887">
        <w:rPr>
          <w:rFonts w:cstheme="minorHAnsi"/>
          <w:lang w:val="en-MY" w:eastAsia="en-AU"/>
        </w:rPr>
        <w:t xml:space="preserve"> </w:t>
      </w:r>
      <w:r w:rsidR="00EB4FA0" w:rsidRPr="00CB26A4">
        <w:rPr>
          <w:rFonts w:cstheme="minorHAnsi"/>
          <w:lang w:val="en-MY" w:eastAsia="en-AU"/>
        </w:rPr>
        <w:t xml:space="preserve">The YTC </w:t>
      </w:r>
      <w:r w:rsidR="00B114B8">
        <w:rPr>
          <w:rFonts w:cstheme="minorHAnsi"/>
          <w:lang w:val="en-MY" w:eastAsia="en-AU"/>
        </w:rPr>
        <w:t>p</w:t>
      </w:r>
      <w:r w:rsidR="00891887">
        <w:rPr>
          <w:rFonts w:cstheme="minorHAnsi"/>
          <w:lang w:val="en-MY" w:eastAsia="en-AU"/>
        </w:rPr>
        <w:t xml:space="preserve">rogram </w:t>
      </w:r>
      <w:r w:rsidR="00EB4FA0" w:rsidRPr="00CB26A4">
        <w:rPr>
          <w:rFonts w:cstheme="minorHAnsi"/>
          <w:lang w:val="en-MY" w:eastAsia="en-AU"/>
        </w:rPr>
        <w:t xml:space="preserve">was also developed following an extensive co-design process and initially </w:t>
      </w:r>
      <w:r w:rsidR="00891887" w:rsidRPr="00CB26A4">
        <w:rPr>
          <w:rFonts w:cstheme="minorHAnsi"/>
          <w:lang w:val="en-MY" w:eastAsia="en-AU"/>
        </w:rPr>
        <w:t>trialled</w:t>
      </w:r>
      <w:r w:rsidR="00EB4FA0" w:rsidRPr="00CB26A4">
        <w:rPr>
          <w:rFonts w:cstheme="minorHAnsi"/>
          <w:lang w:val="en-MY" w:eastAsia="en-AU"/>
        </w:rPr>
        <w:t xml:space="preserve"> between 2019 and 2021</w:t>
      </w:r>
      <w:r w:rsidR="001B02CC">
        <w:rPr>
          <w:rFonts w:cstheme="minorHAnsi"/>
          <w:lang w:val="en-MY" w:eastAsia="en-AU"/>
        </w:rPr>
        <w:t xml:space="preserve"> by three service providers</w:t>
      </w:r>
      <w:r w:rsidR="00EB4FA0" w:rsidRPr="00CB26A4">
        <w:rPr>
          <w:rFonts w:cstheme="minorHAnsi"/>
          <w:lang w:val="en-MY" w:eastAsia="en-AU"/>
        </w:rPr>
        <w:t xml:space="preserve"> in Queensland, the Northern Territory and Victoria. There are currently three providers funded by NIAA to deliver the YTC </w:t>
      </w:r>
      <w:r w:rsidR="00B114B8">
        <w:rPr>
          <w:rFonts w:cstheme="minorHAnsi"/>
          <w:lang w:val="en-MY" w:eastAsia="en-AU"/>
        </w:rPr>
        <w:t>p</w:t>
      </w:r>
      <w:r w:rsidR="00EB4FA0" w:rsidRPr="00CB26A4">
        <w:rPr>
          <w:rFonts w:cstheme="minorHAnsi"/>
          <w:lang w:val="en-MY" w:eastAsia="en-AU"/>
        </w:rPr>
        <w:t>rogram, with service contracts following the initial trial extended until June 2024.</w:t>
      </w:r>
    </w:p>
    <w:p w14:paraId="4F7C4939" w14:textId="628A0EC7" w:rsidR="00CB26A4" w:rsidRPr="008719B9" w:rsidRDefault="00CB26A4" w:rsidP="00CB26A4">
      <w:pPr>
        <w:pStyle w:val="Heading2"/>
        <w:rPr>
          <w:rFonts w:cstheme="minorHAnsi"/>
          <w:lang w:val="en-MY" w:eastAsia="en-AU"/>
        </w:rPr>
      </w:pPr>
      <w:bookmarkStart w:id="12" w:name="_Toc150784187"/>
      <w:r w:rsidRPr="008719B9">
        <w:rPr>
          <w:rFonts w:cstheme="minorHAnsi"/>
          <w:lang w:val="en-MY" w:eastAsia="en-AU"/>
        </w:rPr>
        <w:t>Evaluation Purpose</w:t>
      </w:r>
      <w:bookmarkEnd w:id="12"/>
    </w:p>
    <w:p w14:paraId="1E902DD9" w14:textId="019741EC" w:rsidR="00CB26A4" w:rsidRDefault="00CB26A4" w:rsidP="00EB4FA0">
      <w:pPr>
        <w:jc w:val="both"/>
        <w:rPr>
          <w:rFonts w:cstheme="minorHAnsi"/>
          <w:lang w:val="en-MY" w:eastAsia="en-AU"/>
        </w:rPr>
      </w:pPr>
      <w:r w:rsidRPr="00EB4FA0">
        <w:rPr>
          <w:rFonts w:cstheme="minorHAnsi"/>
          <w:lang w:val="en-MY" w:eastAsia="en-AU"/>
        </w:rPr>
        <w:t xml:space="preserve">The establishment of national Closing the Gap justice outcomes in 2020 added renewed strategic focus for NIAA on the ATC and YTC </w:t>
      </w:r>
      <w:r w:rsidR="00EB4FA0" w:rsidRPr="00EB4FA0">
        <w:rPr>
          <w:rFonts w:cstheme="minorHAnsi"/>
          <w:lang w:val="en-MY" w:eastAsia="en-AU"/>
        </w:rPr>
        <w:t>p</w:t>
      </w:r>
      <w:r w:rsidRPr="00EB4FA0">
        <w:rPr>
          <w:rFonts w:cstheme="minorHAnsi"/>
          <w:lang w:val="en-MY" w:eastAsia="en-AU"/>
        </w:rPr>
        <w:t>rograms and the extent to which they contribute to national justice targets (and therefore inter-related targets for economic participation, housing and family safety).</w:t>
      </w:r>
    </w:p>
    <w:p w14:paraId="3FA97F48" w14:textId="77777777" w:rsidR="000F4916" w:rsidRDefault="000F4916" w:rsidP="00EB4FA0">
      <w:pPr>
        <w:jc w:val="both"/>
        <w:rPr>
          <w:rFonts w:cstheme="minorHAnsi"/>
          <w:lang w:val="en-MY" w:eastAsia="en-AU"/>
        </w:rPr>
      </w:pPr>
    </w:p>
    <w:p w14:paraId="4A8DF569" w14:textId="29CFC574" w:rsidR="00B114B8" w:rsidRDefault="00B114B8" w:rsidP="00EB4FA0">
      <w:pPr>
        <w:jc w:val="both"/>
        <w:rPr>
          <w:rFonts w:cstheme="minorHAnsi"/>
          <w:lang w:val="en-MY" w:eastAsia="en-AU"/>
        </w:rPr>
      </w:pPr>
      <w:r w:rsidRPr="00CB26A4">
        <w:rPr>
          <w:rFonts w:cstheme="minorHAnsi"/>
          <w:lang w:val="en-MY" w:eastAsia="en-AU"/>
        </w:rPr>
        <w:t xml:space="preserve">In July 2022, NIAA </w:t>
      </w:r>
      <w:r>
        <w:rPr>
          <w:rFonts w:cstheme="minorHAnsi"/>
          <w:lang w:val="en-MY" w:eastAsia="en-AU"/>
        </w:rPr>
        <w:t xml:space="preserve">therefore </w:t>
      </w:r>
      <w:r w:rsidRPr="00CB26A4">
        <w:rPr>
          <w:rFonts w:cstheme="minorHAnsi"/>
          <w:lang w:val="en-MY" w:eastAsia="en-AU"/>
        </w:rPr>
        <w:t xml:space="preserve">released an Approach to Market (ATM) for services </w:t>
      </w:r>
      <w:r>
        <w:rPr>
          <w:rFonts w:cstheme="minorHAnsi"/>
          <w:lang w:val="en-MY" w:eastAsia="en-AU"/>
        </w:rPr>
        <w:t xml:space="preserve">to evaluate the two programs, </w:t>
      </w:r>
      <w:r w:rsidRPr="00CB26A4">
        <w:rPr>
          <w:rFonts w:cstheme="minorHAnsi"/>
          <w:lang w:val="en-MY" w:eastAsia="en-AU"/>
        </w:rPr>
        <w:t xml:space="preserve">with the intention that the evaluation findings be used to assess the extent to which the ATC and YTC programs, as they are currently designed and implemented, can contribute </w:t>
      </w:r>
      <w:r w:rsidRPr="006B455E">
        <w:rPr>
          <w:rFonts w:cstheme="minorHAnsi"/>
          <w:lang w:val="en-MY" w:eastAsia="en-AU"/>
        </w:rPr>
        <w:t>to the National Agreement on Closing the Gap justice targets 10 and 11.</w:t>
      </w:r>
      <w:r>
        <w:rPr>
          <w:rStyle w:val="FootnoteReference"/>
          <w:lang w:val="en-MY" w:eastAsia="en-AU"/>
        </w:rPr>
        <w:footnoteReference w:id="7"/>
      </w:r>
      <w:r w:rsidR="000F4916">
        <w:rPr>
          <w:rFonts w:cstheme="minorHAnsi"/>
          <w:lang w:val="en-MY" w:eastAsia="en-AU"/>
        </w:rPr>
        <w:t xml:space="preserve"> </w:t>
      </w:r>
      <w:r w:rsidR="000F4916" w:rsidRPr="00EB4FA0">
        <w:rPr>
          <w:rFonts w:cstheme="minorHAnsi"/>
          <w:lang w:val="en-MY" w:eastAsia="en-AU"/>
        </w:rPr>
        <w:t xml:space="preserve">The evaluation </w:t>
      </w:r>
      <w:r w:rsidR="000F4916">
        <w:rPr>
          <w:rFonts w:cstheme="minorHAnsi"/>
          <w:lang w:val="en-MY" w:eastAsia="en-AU"/>
        </w:rPr>
        <w:t xml:space="preserve">is </w:t>
      </w:r>
      <w:r w:rsidR="000F4916" w:rsidRPr="00EB4FA0">
        <w:rPr>
          <w:rFonts w:cstheme="minorHAnsi"/>
          <w:lang w:val="en-MY" w:eastAsia="en-AU"/>
        </w:rPr>
        <w:t xml:space="preserve">also </w:t>
      </w:r>
      <w:r w:rsidR="000F4916">
        <w:rPr>
          <w:rFonts w:cstheme="minorHAnsi"/>
          <w:lang w:val="en-MY" w:eastAsia="en-AU"/>
        </w:rPr>
        <w:t xml:space="preserve">aligned with </w:t>
      </w:r>
      <w:r w:rsidR="000F4916" w:rsidRPr="00EB4FA0">
        <w:rPr>
          <w:rFonts w:cstheme="minorHAnsi"/>
          <w:lang w:val="en-MY" w:eastAsia="en-AU"/>
        </w:rPr>
        <w:t xml:space="preserve">Closing the Gap Priority Reform Two (Building the Community-Controlled Sector), </w:t>
      </w:r>
      <w:r w:rsidR="000F4916">
        <w:rPr>
          <w:rFonts w:cstheme="minorHAnsi"/>
          <w:lang w:val="en-MY" w:eastAsia="en-AU"/>
        </w:rPr>
        <w:t>in seeking to</w:t>
      </w:r>
      <w:r w:rsidR="000F4916" w:rsidRPr="00EB4FA0">
        <w:rPr>
          <w:rFonts w:cstheme="minorHAnsi"/>
          <w:lang w:val="en-MY" w:eastAsia="en-AU"/>
        </w:rPr>
        <w:t xml:space="preserve"> assess both the quality of the service models de</w:t>
      </w:r>
      <w:r w:rsidR="000F4916">
        <w:rPr>
          <w:rFonts w:cstheme="minorHAnsi"/>
          <w:lang w:val="en-MY" w:eastAsia="en-AU"/>
        </w:rPr>
        <w:t xml:space="preserve">livered </w:t>
      </w:r>
      <w:r w:rsidR="000F4916" w:rsidRPr="00EB4FA0">
        <w:rPr>
          <w:rFonts w:cstheme="minorHAnsi"/>
          <w:lang w:val="en-MY" w:eastAsia="en-AU"/>
        </w:rPr>
        <w:t>and the extent to which implementation has been Indigenous-led</w:t>
      </w:r>
      <w:r w:rsidRPr="00EB4FA0">
        <w:rPr>
          <w:rFonts w:cstheme="minorHAnsi"/>
          <w:lang w:val="en-MY" w:eastAsia="en-AU"/>
        </w:rPr>
        <w:t>.</w:t>
      </w:r>
      <w:r>
        <w:rPr>
          <w:rFonts w:cstheme="minorHAnsi"/>
          <w:lang w:val="en-MY" w:eastAsia="en-AU"/>
        </w:rPr>
        <w:t xml:space="preserve"> </w:t>
      </w:r>
    </w:p>
    <w:p w14:paraId="2D5F9E21" w14:textId="401E4E08" w:rsidR="007D5F16" w:rsidRDefault="007D5F16" w:rsidP="00EB4FA0">
      <w:pPr>
        <w:jc w:val="both"/>
        <w:rPr>
          <w:rFonts w:cstheme="minorHAnsi"/>
          <w:lang w:val="en-MY" w:eastAsia="en-AU"/>
        </w:rPr>
      </w:pPr>
    </w:p>
    <w:p w14:paraId="4297DDE4" w14:textId="65A45568" w:rsidR="007D5F16" w:rsidRPr="00EB4FA0" w:rsidRDefault="004F6A43" w:rsidP="00EB4FA0">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42" behindDoc="0" locked="0" layoutInCell="1" allowOverlap="1" wp14:anchorId="419D7FD8" wp14:editId="389CCCCD">
                <wp:simplePos x="0" y="0"/>
                <wp:positionH relativeFrom="column">
                  <wp:posOffset>166</wp:posOffset>
                </wp:positionH>
                <wp:positionV relativeFrom="paragraph">
                  <wp:posOffset>9332</wp:posOffset>
                </wp:positionV>
                <wp:extent cx="5778500" cy="1477010"/>
                <wp:effectExtent l="12700" t="12700" r="12700" b="19050"/>
                <wp:wrapNone/>
                <wp:docPr id="6" name="TextBox 5">
                  <a:extLst xmlns:a="http://schemas.openxmlformats.org/drawingml/2006/main">
                    <a:ext uri="{FF2B5EF4-FFF2-40B4-BE49-F238E27FC236}">
                      <a16:creationId xmlns:a16="http://schemas.microsoft.com/office/drawing/2014/main" id="{0685F70F-D4E6-4ACA-00D7-13DDC509128A}"/>
                    </a:ext>
                  </a:extLst>
                </wp:docPr>
                <wp:cNvGraphicFramePr/>
                <a:graphic xmlns:a="http://schemas.openxmlformats.org/drawingml/2006/main">
                  <a:graphicData uri="http://schemas.microsoft.com/office/word/2010/wordprocessingShape">
                    <wps:wsp>
                      <wps:cNvSpPr txBox="1"/>
                      <wps:spPr>
                        <a:xfrm>
                          <a:off x="0" y="0"/>
                          <a:ext cx="577850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271241D" w14:textId="77777777"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Outcome Area 10:  </w:t>
                            </w:r>
                            <w:r w:rsidRPr="007D5F16">
                              <w:rPr>
                                <w:rFonts w:hAnsi="Calibri" w:cs="Arial"/>
                                <w:color w:val="000000" w:themeColor="text1"/>
                                <w:kern w:val="24"/>
                                <w:sz w:val="20"/>
                                <w:szCs w:val="20"/>
                              </w:rPr>
                              <w:t>Aboriginal and Torres Strait Islander people are not overrepresented in the criminal justice system.</w:t>
                            </w:r>
                          </w:p>
                          <w:p w14:paraId="2CE1D7B2" w14:textId="77777777" w:rsidR="009C42F3" w:rsidRDefault="009C42F3" w:rsidP="007D5F16">
                            <w:pPr>
                              <w:rPr>
                                <w:rFonts w:hAnsi="Calibri" w:cs="Arial"/>
                                <w:b/>
                                <w:bCs/>
                                <w:color w:val="000000" w:themeColor="text1"/>
                                <w:kern w:val="24"/>
                                <w:sz w:val="20"/>
                                <w:szCs w:val="20"/>
                              </w:rPr>
                            </w:pPr>
                          </w:p>
                          <w:p w14:paraId="49832029" w14:textId="2939E3B8"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Target: </w:t>
                            </w:r>
                            <w:r w:rsidRPr="007D5F16">
                              <w:rPr>
                                <w:rFonts w:hAnsi="Calibri" w:cs="Arial"/>
                                <w:color w:val="000000" w:themeColor="text1"/>
                                <w:kern w:val="24"/>
                                <w:sz w:val="20"/>
                                <w:szCs w:val="20"/>
                              </w:rPr>
                              <w:t>By 2031, reduce the rate of Aboriginal and Torres Strait Islander adults held in incarceration by at least 15 per cent.</w:t>
                            </w:r>
                          </w:p>
                          <w:p w14:paraId="36D755C5" w14:textId="77777777" w:rsidR="009C42F3" w:rsidRDefault="009C42F3" w:rsidP="007D5F16">
                            <w:pPr>
                              <w:rPr>
                                <w:rFonts w:hAnsi="Calibri" w:cs="Arial"/>
                                <w:b/>
                                <w:bCs/>
                                <w:color w:val="000000" w:themeColor="text1"/>
                                <w:kern w:val="24"/>
                                <w:sz w:val="20"/>
                                <w:szCs w:val="20"/>
                              </w:rPr>
                            </w:pPr>
                          </w:p>
                          <w:p w14:paraId="4675A481" w14:textId="6F1C96F0"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Outcome Area 11:  </w:t>
                            </w:r>
                            <w:r w:rsidRPr="007D5F16">
                              <w:rPr>
                                <w:rFonts w:hAnsi="Calibri" w:cs="Arial"/>
                                <w:color w:val="000000" w:themeColor="text1"/>
                                <w:kern w:val="24"/>
                                <w:sz w:val="20"/>
                                <w:szCs w:val="20"/>
                              </w:rPr>
                              <w:t>Aboriginal and Torres Strait Islander young people are not overrepresented in the criminal justice system.</w:t>
                            </w:r>
                          </w:p>
                          <w:p w14:paraId="3836DE67" w14:textId="77777777" w:rsidR="009C42F3" w:rsidRDefault="009C42F3" w:rsidP="007D5F16">
                            <w:pPr>
                              <w:rPr>
                                <w:rFonts w:hAnsi="Calibri" w:cs="Arial"/>
                                <w:b/>
                                <w:bCs/>
                                <w:color w:val="000000" w:themeColor="text1"/>
                                <w:kern w:val="24"/>
                                <w:sz w:val="20"/>
                                <w:szCs w:val="20"/>
                              </w:rPr>
                            </w:pPr>
                          </w:p>
                          <w:p w14:paraId="2A34D104" w14:textId="7E0245A6" w:rsidR="009C42F3" w:rsidRDefault="009C42F3" w:rsidP="007D5F16">
                            <w:pPr>
                              <w:rPr>
                                <w:rFonts w:hAnsi="Calibri" w:cs="Arial"/>
                                <w:b/>
                                <w:bCs/>
                                <w:color w:val="000000" w:themeColor="text1"/>
                                <w:kern w:val="24"/>
                                <w:sz w:val="20"/>
                                <w:szCs w:val="20"/>
                              </w:rPr>
                            </w:pPr>
                            <w:r>
                              <w:rPr>
                                <w:rFonts w:hAnsi="Calibri" w:cs="Arial"/>
                                <w:b/>
                                <w:bCs/>
                                <w:color w:val="000000" w:themeColor="text1"/>
                                <w:kern w:val="24"/>
                                <w:sz w:val="20"/>
                                <w:szCs w:val="20"/>
                              </w:rPr>
                              <w:t xml:space="preserve">Target: </w:t>
                            </w:r>
                            <w:r w:rsidRPr="007D5F16">
                              <w:rPr>
                                <w:rFonts w:hAnsi="Calibri" w:cs="Arial"/>
                                <w:color w:val="000000" w:themeColor="text1"/>
                                <w:kern w:val="24"/>
                                <w:sz w:val="20"/>
                                <w:szCs w:val="20"/>
                              </w:rPr>
                              <w:t>By 2031, reduce the rate of Aboriginal and Torres Strait Islander young people (10-17 years) in detention by 30 per cent.</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419D7FD8" id="TextBox 5" o:spid="_x0000_s1030" type="#_x0000_t202" style="position:absolute;left:0;text-align:left;margin-left:0;margin-top:.75pt;width:455pt;height:116.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" fillcolor="white [3201]" strokecolor="#4bacc6 [3208]" strokeweight="2pt">
                <v:textbox style="mso-fit-shape-to-text:t">
                  <w:txbxContent>
                    <w:p w14:paraId="0271241D" w14:textId="77777777"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Outcome Area 10:  </w:t>
                      </w:r>
                      <w:r w:rsidRPr="007D5F16">
                        <w:rPr>
                          <w:rFonts w:hAnsi="Calibri" w:cs="Arial"/>
                          <w:color w:val="000000" w:themeColor="text1"/>
                          <w:kern w:val="24"/>
                          <w:sz w:val="20"/>
                          <w:szCs w:val="20"/>
                        </w:rPr>
                        <w:t>Aboriginal and Torres Strait Islander people are not overrepresented in the criminal justice system.</w:t>
                      </w:r>
                    </w:p>
                    <w:p w14:paraId="2CE1D7B2" w14:textId="77777777" w:rsidR="009C42F3" w:rsidRDefault="009C42F3" w:rsidP="007D5F16">
                      <w:pPr>
                        <w:rPr>
                          <w:rFonts w:hAnsi="Calibri" w:cs="Arial"/>
                          <w:b/>
                          <w:bCs/>
                          <w:color w:val="000000" w:themeColor="text1"/>
                          <w:kern w:val="24"/>
                          <w:sz w:val="20"/>
                          <w:szCs w:val="20"/>
                        </w:rPr>
                      </w:pPr>
                    </w:p>
                    <w:p w14:paraId="49832029" w14:textId="2939E3B8"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Target: </w:t>
                      </w:r>
                      <w:r w:rsidRPr="007D5F16">
                        <w:rPr>
                          <w:rFonts w:hAnsi="Calibri" w:cs="Arial"/>
                          <w:color w:val="000000" w:themeColor="text1"/>
                          <w:kern w:val="24"/>
                          <w:sz w:val="20"/>
                          <w:szCs w:val="20"/>
                        </w:rPr>
                        <w:t>By 2031, reduce the rate of Aboriginal and Torres Strait Islander adults held in incarceration by at least 15 per cent.</w:t>
                      </w:r>
                    </w:p>
                    <w:p w14:paraId="36D755C5" w14:textId="77777777" w:rsidR="009C42F3" w:rsidRDefault="009C42F3" w:rsidP="007D5F16">
                      <w:pPr>
                        <w:rPr>
                          <w:rFonts w:hAnsi="Calibri" w:cs="Arial"/>
                          <w:b/>
                          <w:bCs/>
                          <w:color w:val="000000" w:themeColor="text1"/>
                          <w:kern w:val="24"/>
                          <w:sz w:val="20"/>
                          <w:szCs w:val="20"/>
                        </w:rPr>
                      </w:pPr>
                    </w:p>
                    <w:p w14:paraId="4675A481" w14:textId="6F1C96F0" w:rsidR="009C42F3" w:rsidRPr="007D5F16" w:rsidRDefault="009C42F3" w:rsidP="007D5F16">
                      <w:pPr>
                        <w:rPr>
                          <w:rFonts w:hAnsi="Calibri" w:cs="Arial"/>
                          <w:color w:val="000000" w:themeColor="text1"/>
                          <w:kern w:val="24"/>
                          <w:sz w:val="20"/>
                          <w:szCs w:val="20"/>
                        </w:rPr>
                      </w:pPr>
                      <w:r>
                        <w:rPr>
                          <w:rFonts w:hAnsi="Calibri" w:cs="Arial"/>
                          <w:b/>
                          <w:bCs/>
                          <w:color w:val="000000" w:themeColor="text1"/>
                          <w:kern w:val="24"/>
                          <w:sz w:val="20"/>
                          <w:szCs w:val="20"/>
                        </w:rPr>
                        <w:t xml:space="preserve">Outcome Area 11:  </w:t>
                      </w:r>
                      <w:r w:rsidRPr="007D5F16">
                        <w:rPr>
                          <w:rFonts w:hAnsi="Calibri" w:cs="Arial"/>
                          <w:color w:val="000000" w:themeColor="text1"/>
                          <w:kern w:val="24"/>
                          <w:sz w:val="20"/>
                          <w:szCs w:val="20"/>
                        </w:rPr>
                        <w:t>Aboriginal and Torres Strait Islander young people are not overrepresented in the criminal justice system.</w:t>
                      </w:r>
                    </w:p>
                    <w:p w14:paraId="3836DE67" w14:textId="77777777" w:rsidR="009C42F3" w:rsidRDefault="009C42F3" w:rsidP="007D5F16">
                      <w:pPr>
                        <w:rPr>
                          <w:rFonts w:hAnsi="Calibri" w:cs="Arial"/>
                          <w:b/>
                          <w:bCs/>
                          <w:color w:val="000000" w:themeColor="text1"/>
                          <w:kern w:val="24"/>
                          <w:sz w:val="20"/>
                          <w:szCs w:val="20"/>
                        </w:rPr>
                      </w:pPr>
                    </w:p>
                    <w:p w14:paraId="2A34D104" w14:textId="7E0245A6" w:rsidR="009C42F3" w:rsidRDefault="009C42F3" w:rsidP="007D5F16">
                      <w:pPr>
                        <w:rPr>
                          <w:rFonts w:hAnsi="Calibri" w:cs="Arial"/>
                          <w:b/>
                          <w:bCs/>
                          <w:color w:val="000000" w:themeColor="text1"/>
                          <w:kern w:val="24"/>
                          <w:sz w:val="20"/>
                          <w:szCs w:val="20"/>
                        </w:rPr>
                      </w:pPr>
                      <w:r>
                        <w:rPr>
                          <w:rFonts w:hAnsi="Calibri" w:cs="Arial"/>
                          <w:b/>
                          <w:bCs/>
                          <w:color w:val="000000" w:themeColor="text1"/>
                          <w:kern w:val="24"/>
                          <w:sz w:val="20"/>
                          <w:szCs w:val="20"/>
                        </w:rPr>
                        <w:t xml:space="preserve">Target: </w:t>
                      </w:r>
                      <w:r w:rsidRPr="007D5F16">
                        <w:rPr>
                          <w:rFonts w:hAnsi="Calibri" w:cs="Arial"/>
                          <w:color w:val="000000" w:themeColor="text1"/>
                          <w:kern w:val="24"/>
                          <w:sz w:val="20"/>
                          <w:szCs w:val="20"/>
                        </w:rPr>
                        <w:t>By 2031, reduce the rate of Aboriginal and Torres Strait Islander young people (10-17 years) in detention by 30 per cent.</w:t>
                      </w:r>
                    </w:p>
                  </w:txbxContent>
                </v:textbox>
              </v:shape>
            </w:pict>
          </mc:Fallback>
        </mc:AlternateContent>
      </w:r>
    </w:p>
    <w:p w14:paraId="197E51FD" w14:textId="77777777" w:rsidR="00CB26A4" w:rsidRPr="00EB4FA0" w:rsidRDefault="00CB26A4" w:rsidP="00EB4FA0">
      <w:pPr>
        <w:jc w:val="both"/>
        <w:rPr>
          <w:rFonts w:cstheme="minorHAnsi"/>
          <w:lang w:val="en-MY" w:eastAsia="en-AU"/>
        </w:rPr>
      </w:pPr>
    </w:p>
    <w:p w14:paraId="17371DC3" w14:textId="77777777" w:rsidR="007D5F16" w:rsidRDefault="007D5F16" w:rsidP="00EB4FA0">
      <w:pPr>
        <w:jc w:val="both"/>
        <w:rPr>
          <w:rFonts w:cstheme="minorHAnsi"/>
          <w:lang w:val="en-MY" w:eastAsia="en-AU"/>
        </w:rPr>
      </w:pPr>
    </w:p>
    <w:p w14:paraId="406951D5" w14:textId="77777777" w:rsidR="007D5F16" w:rsidRDefault="007D5F16" w:rsidP="00EB4FA0">
      <w:pPr>
        <w:jc w:val="both"/>
        <w:rPr>
          <w:rFonts w:cstheme="minorHAnsi"/>
          <w:lang w:val="en-MY" w:eastAsia="en-AU"/>
        </w:rPr>
      </w:pPr>
    </w:p>
    <w:p w14:paraId="5EE124DF" w14:textId="77777777" w:rsidR="007D5F16" w:rsidRDefault="007D5F16" w:rsidP="00EB4FA0">
      <w:pPr>
        <w:jc w:val="both"/>
        <w:rPr>
          <w:rFonts w:cstheme="minorHAnsi"/>
          <w:lang w:val="en-MY" w:eastAsia="en-AU"/>
        </w:rPr>
      </w:pPr>
    </w:p>
    <w:p w14:paraId="6EE5ACE7" w14:textId="77777777" w:rsidR="007D5F16" w:rsidRDefault="007D5F16" w:rsidP="00EB4FA0">
      <w:pPr>
        <w:jc w:val="both"/>
        <w:rPr>
          <w:rFonts w:cstheme="minorHAnsi"/>
          <w:lang w:val="en-MY" w:eastAsia="en-AU"/>
        </w:rPr>
      </w:pPr>
    </w:p>
    <w:p w14:paraId="01F6F676" w14:textId="77777777" w:rsidR="007D5F16" w:rsidRDefault="007D5F16" w:rsidP="00EB4FA0">
      <w:pPr>
        <w:jc w:val="both"/>
        <w:rPr>
          <w:rFonts w:cstheme="minorHAnsi"/>
          <w:lang w:val="en-MY" w:eastAsia="en-AU"/>
        </w:rPr>
      </w:pPr>
    </w:p>
    <w:p w14:paraId="622EAAE1" w14:textId="77777777" w:rsidR="007D5F16" w:rsidRDefault="007D5F16" w:rsidP="00EB4FA0">
      <w:pPr>
        <w:jc w:val="both"/>
        <w:rPr>
          <w:rFonts w:cstheme="minorHAnsi"/>
          <w:lang w:val="en-MY" w:eastAsia="en-AU"/>
        </w:rPr>
      </w:pPr>
    </w:p>
    <w:p w14:paraId="48A1796F" w14:textId="77777777" w:rsidR="007D5F16" w:rsidRDefault="007D5F16" w:rsidP="00EB4FA0">
      <w:pPr>
        <w:jc w:val="both"/>
        <w:rPr>
          <w:rFonts w:cstheme="minorHAnsi"/>
          <w:lang w:val="en-MY" w:eastAsia="en-AU"/>
        </w:rPr>
      </w:pPr>
    </w:p>
    <w:p w14:paraId="5709840D" w14:textId="77777777" w:rsidR="007D5F16" w:rsidRDefault="007D5F16" w:rsidP="00EB4FA0">
      <w:pPr>
        <w:jc w:val="both"/>
        <w:rPr>
          <w:rFonts w:cstheme="minorHAnsi"/>
          <w:lang w:val="en-MY" w:eastAsia="en-AU"/>
        </w:rPr>
      </w:pPr>
    </w:p>
    <w:p w14:paraId="633336C0" w14:textId="77777777" w:rsidR="008614B1" w:rsidRDefault="008614B1" w:rsidP="001D06A0">
      <w:pPr>
        <w:jc w:val="both"/>
        <w:rPr>
          <w:rFonts w:cstheme="minorHAnsi"/>
          <w:lang w:val="en-MY" w:eastAsia="en-AU"/>
        </w:rPr>
      </w:pPr>
    </w:p>
    <w:p w14:paraId="70C25A03" w14:textId="77777777" w:rsidR="004540EA" w:rsidRDefault="004540EA" w:rsidP="008614B1">
      <w:pPr>
        <w:jc w:val="both"/>
        <w:rPr>
          <w:rFonts w:cstheme="minorHAnsi"/>
          <w:lang w:val="en-MY" w:eastAsia="en-AU"/>
        </w:rPr>
      </w:pPr>
    </w:p>
    <w:p w14:paraId="2C29F167" w14:textId="31785785" w:rsidR="00BA79E1" w:rsidRDefault="000F4916" w:rsidP="008614B1">
      <w:pPr>
        <w:jc w:val="both"/>
        <w:rPr>
          <w:rFonts w:cstheme="minorHAnsi"/>
          <w:lang w:val="en-MY" w:eastAsia="en-AU"/>
        </w:rPr>
      </w:pPr>
      <w:r w:rsidRPr="00EB4FA0">
        <w:rPr>
          <w:rFonts w:cstheme="minorHAnsi"/>
          <w:lang w:val="en-MY" w:eastAsia="en-AU"/>
        </w:rPr>
        <w:t>It is anticipated that th</w:t>
      </w:r>
      <w:r>
        <w:rPr>
          <w:rFonts w:cstheme="minorHAnsi"/>
          <w:lang w:val="en-MY" w:eastAsia="en-AU"/>
        </w:rPr>
        <w:t>is</w:t>
      </w:r>
      <w:r w:rsidRPr="00EB4FA0">
        <w:rPr>
          <w:rFonts w:cstheme="minorHAnsi"/>
          <w:lang w:val="en-MY" w:eastAsia="en-AU"/>
        </w:rPr>
        <w:t xml:space="preserve"> evaluation report will inform enhancements to service delivery by participating service providers</w:t>
      </w:r>
      <w:r>
        <w:rPr>
          <w:rFonts w:cstheme="minorHAnsi"/>
          <w:lang w:val="en-MY" w:eastAsia="en-AU"/>
        </w:rPr>
        <w:t xml:space="preserve">, </w:t>
      </w:r>
      <w:r w:rsidRPr="00EB4FA0">
        <w:rPr>
          <w:rFonts w:cstheme="minorHAnsi"/>
          <w:lang w:val="en-MY" w:eastAsia="en-AU"/>
        </w:rPr>
        <w:t xml:space="preserve">as well as possible future investments by the Australian </w:t>
      </w:r>
      <w:r>
        <w:rPr>
          <w:rFonts w:cstheme="minorHAnsi"/>
          <w:lang w:val="en-MY" w:eastAsia="en-AU"/>
        </w:rPr>
        <w:t>G</w:t>
      </w:r>
      <w:r w:rsidRPr="00EB4FA0">
        <w:rPr>
          <w:rFonts w:cstheme="minorHAnsi"/>
          <w:lang w:val="en-MY" w:eastAsia="en-AU"/>
        </w:rPr>
        <w:t>overnment in the two programs.</w:t>
      </w:r>
      <w:r>
        <w:rPr>
          <w:rFonts w:cstheme="minorHAnsi"/>
          <w:lang w:val="en-MY" w:eastAsia="en-AU"/>
        </w:rPr>
        <w:t xml:space="preserve"> </w:t>
      </w:r>
      <w:r w:rsidR="008614B1" w:rsidRPr="008614B1">
        <w:rPr>
          <w:rFonts w:cstheme="minorHAnsi"/>
          <w:lang w:val="en-MY" w:eastAsia="en-AU"/>
        </w:rPr>
        <w:t xml:space="preserve">Dissemination of the evaluation findings will be undertaken by NIAA for the benefit of a broad range of stakeholders including the Australian Government, State and Territory Governments, academia, through-care service providers and </w:t>
      </w:r>
      <w:r w:rsidR="008614B1">
        <w:rPr>
          <w:rFonts w:cstheme="minorHAnsi"/>
          <w:lang w:val="en-MY" w:eastAsia="en-AU"/>
        </w:rPr>
        <w:t>ACCOs</w:t>
      </w:r>
      <w:r w:rsidR="008614B1" w:rsidRPr="008614B1">
        <w:rPr>
          <w:rFonts w:cstheme="minorHAnsi"/>
          <w:lang w:val="en-MY" w:eastAsia="en-AU"/>
        </w:rPr>
        <w:t xml:space="preserve">. </w:t>
      </w:r>
    </w:p>
    <w:p w14:paraId="7D6E0E4E" w14:textId="5B9DB3FA" w:rsidR="00A37515" w:rsidRDefault="00A37515" w:rsidP="0022592D">
      <w:pPr>
        <w:pStyle w:val="Heading2"/>
        <w:rPr>
          <w:rFonts w:cstheme="minorHAnsi"/>
          <w:lang w:val="en-MY"/>
        </w:rPr>
      </w:pPr>
      <w:bookmarkStart w:id="13" w:name="_Toc150784188"/>
      <w:r w:rsidRPr="008719B9">
        <w:rPr>
          <w:rFonts w:cstheme="minorHAnsi"/>
          <w:lang w:val="en-MY"/>
        </w:rPr>
        <w:t xml:space="preserve">Evaluation </w:t>
      </w:r>
      <w:r w:rsidR="00891887" w:rsidRPr="008719B9">
        <w:rPr>
          <w:rFonts w:cstheme="minorHAnsi"/>
          <w:lang w:val="en-MY"/>
        </w:rPr>
        <w:t>Objectives</w:t>
      </w:r>
      <w:bookmarkEnd w:id="13"/>
      <w:r w:rsidRPr="008719B9">
        <w:rPr>
          <w:rFonts w:cstheme="minorHAnsi"/>
          <w:lang w:val="en-MY"/>
        </w:rPr>
        <w:t xml:space="preserve"> </w:t>
      </w:r>
    </w:p>
    <w:p w14:paraId="4B333DF4" w14:textId="20B107D5" w:rsidR="002862B1" w:rsidRDefault="002862B1" w:rsidP="00BA79E1">
      <w:pPr>
        <w:jc w:val="both"/>
        <w:rPr>
          <w:rFonts w:cstheme="minorHAnsi"/>
          <w:lang w:val="en-MY" w:eastAsia="en-AU"/>
        </w:rPr>
      </w:pPr>
      <w:r w:rsidRPr="006B455E">
        <w:rPr>
          <w:rFonts w:cstheme="minorHAnsi"/>
          <w:lang w:val="en-MY" w:eastAsia="en-AU"/>
        </w:rPr>
        <w:t xml:space="preserve">A set of specific evaluation objectives were defined by NIAA for inclusion in the </w:t>
      </w:r>
      <w:r w:rsidR="00EB30F5" w:rsidRPr="006B455E">
        <w:rPr>
          <w:rFonts w:cstheme="minorHAnsi"/>
          <w:lang w:val="en-MY" w:eastAsia="en-AU"/>
        </w:rPr>
        <w:t>evaluation’s</w:t>
      </w:r>
      <w:r w:rsidR="00BA79E1">
        <w:rPr>
          <w:rFonts w:cstheme="minorHAnsi"/>
          <w:lang w:val="en-MY" w:eastAsia="en-AU"/>
        </w:rPr>
        <w:t xml:space="preserve"> terms of reference,</w:t>
      </w:r>
      <w:r w:rsidR="009D64DA">
        <w:rPr>
          <w:rStyle w:val="FootnoteReference"/>
          <w:lang w:val="en-MY" w:eastAsia="en-AU"/>
        </w:rPr>
        <w:footnoteReference w:id="8"/>
      </w:r>
      <w:r w:rsidR="00BA79E1">
        <w:rPr>
          <w:rFonts w:cstheme="minorHAnsi"/>
          <w:lang w:val="en-MY" w:eastAsia="en-AU"/>
        </w:rPr>
        <w:t xml:space="preserve"> </w:t>
      </w:r>
      <w:r w:rsidR="003822EF">
        <w:rPr>
          <w:rFonts w:cstheme="minorHAnsi"/>
          <w:lang w:val="en-MY" w:eastAsia="en-AU"/>
        </w:rPr>
        <w:t>and which can be summarised as follows</w:t>
      </w:r>
      <w:r w:rsidRPr="006B455E">
        <w:rPr>
          <w:rFonts w:cstheme="minorHAnsi"/>
          <w:lang w:val="en-MY" w:eastAsia="en-AU"/>
        </w:rPr>
        <w:t>:</w:t>
      </w:r>
    </w:p>
    <w:p w14:paraId="6F291152" w14:textId="77777777" w:rsidR="00BA79E1" w:rsidRPr="006B455E" w:rsidRDefault="00BA79E1" w:rsidP="00BA79E1">
      <w:pPr>
        <w:jc w:val="both"/>
        <w:rPr>
          <w:rFonts w:cstheme="minorHAnsi"/>
          <w:lang w:val="en-MY" w:eastAsia="en-AU"/>
        </w:rPr>
      </w:pPr>
    </w:p>
    <w:p w14:paraId="1408C872" w14:textId="519E3672" w:rsidR="002862B1" w:rsidRDefault="009D64DA" w:rsidP="00B77817">
      <w:pPr>
        <w:pStyle w:val="ListParagraph"/>
        <w:numPr>
          <w:ilvl w:val="0"/>
          <w:numId w:val="56"/>
        </w:numPr>
        <w:jc w:val="both"/>
        <w:rPr>
          <w:rFonts w:cstheme="minorHAnsi"/>
          <w:lang w:val="en-MY" w:eastAsia="en-AU"/>
        </w:rPr>
      </w:pPr>
      <w:r w:rsidRPr="00BA79E1">
        <w:rPr>
          <w:rFonts w:cstheme="minorHAnsi"/>
          <w:lang w:val="en-MY" w:eastAsia="en-AU"/>
        </w:rPr>
        <w:t xml:space="preserve">To </w:t>
      </w:r>
      <w:r w:rsidR="002862B1" w:rsidRPr="00BA79E1">
        <w:rPr>
          <w:rFonts w:cstheme="minorHAnsi"/>
          <w:lang w:val="en-MY" w:eastAsia="en-AU"/>
        </w:rPr>
        <w:t>assess</w:t>
      </w:r>
      <w:r w:rsidRPr="00BA79E1">
        <w:rPr>
          <w:rFonts w:cstheme="minorHAnsi"/>
          <w:lang w:val="en-MY" w:eastAsia="en-AU"/>
        </w:rPr>
        <w:t xml:space="preserve"> </w:t>
      </w:r>
      <w:r w:rsidR="002862B1" w:rsidRPr="00BA79E1">
        <w:rPr>
          <w:rFonts w:cstheme="minorHAnsi"/>
          <w:lang w:val="en-MY" w:eastAsia="en-AU"/>
        </w:rPr>
        <w:t>whether the current design and implementation of the ATC and YTC models is operating as intended, to effectively support clients with their reintegration journey in partnership with family and kin, and other supportive stakeholders.</w:t>
      </w:r>
      <w:r w:rsidR="00E46CE7">
        <w:rPr>
          <w:rStyle w:val="FootnoteReference"/>
          <w:rFonts w:cstheme="minorHAnsi"/>
          <w:lang w:val="en-MY" w:eastAsia="en-AU"/>
        </w:rPr>
        <w:footnoteReference w:id="9"/>
      </w:r>
    </w:p>
    <w:p w14:paraId="23B3EA1B" w14:textId="77777777" w:rsidR="00BA79E1" w:rsidRPr="00BA79E1" w:rsidRDefault="00BA79E1" w:rsidP="00BA79E1">
      <w:pPr>
        <w:pStyle w:val="ListParagraph"/>
        <w:jc w:val="both"/>
        <w:rPr>
          <w:rFonts w:cstheme="minorHAnsi"/>
          <w:lang w:val="en-MY" w:eastAsia="en-AU"/>
        </w:rPr>
      </w:pPr>
    </w:p>
    <w:p w14:paraId="477E63DC" w14:textId="0D78E52C" w:rsidR="00C70DE0" w:rsidRDefault="009D64DA" w:rsidP="00B77817">
      <w:pPr>
        <w:pStyle w:val="ListParagraph"/>
        <w:numPr>
          <w:ilvl w:val="0"/>
          <w:numId w:val="56"/>
        </w:numPr>
        <w:jc w:val="both"/>
        <w:rPr>
          <w:rFonts w:cstheme="minorHAnsi"/>
          <w:lang w:val="en-MY" w:eastAsia="en-AU"/>
        </w:rPr>
      </w:pPr>
      <w:r w:rsidRPr="00BA79E1">
        <w:rPr>
          <w:rFonts w:cstheme="minorHAnsi"/>
          <w:lang w:val="en-MY" w:eastAsia="en-AU"/>
        </w:rPr>
        <w:t xml:space="preserve">To </w:t>
      </w:r>
      <w:r w:rsidR="002862B1" w:rsidRPr="00BA79E1">
        <w:rPr>
          <w:rFonts w:cstheme="minorHAnsi"/>
          <w:lang w:val="en-MY" w:eastAsia="en-AU"/>
        </w:rPr>
        <w:t xml:space="preserve">assess whether the ATC and YTC </w:t>
      </w:r>
      <w:r w:rsidRPr="00BA79E1">
        <w:rPr>
          <w:rFonts w:cstheme="minorHAnsi"/>
          <w:lang w:val="en-MY" w:eastAsia="en-AU"/>
        </w:rPr>
        <w:t>models</w:t>
      </w:r>
      <w:r w:rsidR="002862B1" w:rsidRPr="00BA79E1">
        <w:rPr>
          <w:rFonts w:cstheme="minorHAnsi"/>
          <w:lang w:val="en-MY" w:eastAsia="en-AU"/>
        </w:rPr>
        <w:t>, as currently implemented, have improved outcomes for adult and youth clients, have or are likely to reduce repeated offending and recidivism</w:t>
      </w:r>
      <w:r w:rsidR="00B62196" w:rsidRPr="00BA79E1">
        <w:rPr>
          <w:rFonts w:cstheme="minorHAnsi"/>
          <w:lang w:val="en-MY" w:eastAsia="en-AU"/>
        </w:rPr>
        <w:t>.</w:t>
      </w:r>
    </w:p>
    <w:p w14:paraId="5F6EF4F9" w14:textId="77777777" w:rsidR="00BA79E1" w:rsidRPr="00BA79E1" w:rsidRDefault="00BA79E1" w:rsidP="00BA79E1">
      <w:pPr>
        <w:pStyle w:val="ListParagraph"/>
        <w:jc w:val="both"/>
        <w:rPr>
          <w:rFonts w:cstheme="minorHAnsi"/>
          <w:lang w:val="en-MY" w:eastAsia="en-AU"/>
        </w:rPr>
      </w:pPr>
    </w:p>
    <w:p w14:paraId="58ED6495" w14:textId="77777777" w:rsidR="00BA79E1" w:rsidRDefault="00B62196" w:rsidP="00B77817">
      <w:pPr>
        <w:pStyle w:val="ListParagraph"/>
        <w:numPr>
          <w:ilvl w:val="0"/>
          <w:numId w:val="56"/>
        </w:numPr>
        <w:jc w:val="both"/>
        <w:rPr>
          <w:rFonts w:cstheme="minorHAnsi"/>
          <w:lang w:val="en-MY" w:eastAsia="en-AU"/>
        </w:rPr>
      </w:pPr>
      <w:r w:rsidRPr="00BA79E1">
        <w:rPr>
          <w:rFonts w:cstheme="minorHAnsi"/>
          <w:lang w:val="en-MY" w:eastAsia="en-AU"/>
        </w:rPr>
        <w:t>To u</w:t>
      </w:r>
      <w:r w:rsidR="002862B1" w:rsidRPr="00BA79E1">
        <w:rPr>
          <w:rFonts w:cstheme="minorHAnsi"/>
          <w:lang w:val="en-MY" w:eastAsia="en-AU"/>
        </w:rPr>
        <w:t>ndertak</w:t>
      </w:r>
      <w:r w:rsidRPr="00BA79E1">
        <w:rPr>
          <w:rFonts w:cstheme="minorHAnsi"/>
          <w:lang w:val="en-MY" w:eastAsia="en-AU"/>
        </w:rPr>
        <w:t xml:space="preserve">e </w:t>
      </w:r>
      <w:r w:rsidR="002862B1" w:rsidRPr="00BA79E1">
        <w:rPr>
          <w:rFonts w:cstheme="minorHAnsi"/>
          <w:lang w:val="en-MY" w:eastAsia="en-AU"/>
        </w:rPr>
        <w:t>associated research and analysis to inform program model frameworks and how the programs can be improved, considering those elements of service delivery that work, implementation challenges and gaps, and those elements that require further strengthening.</w:t>
      </w:r>
    </w:p>
    <w:p w14:paraId="6E3DE58D" w14:textId="77777777" w:rsidR="00BA79E1" w:rsidRDefault="00BA79E1" w:rsidP="00BA79E1">
      <w:pPr>
        <w:jc w:val="both"/>
        <w:rPr>
          <w:rFonts w:cstheme="minorHAnsi"/>
          <w:lang w:val="en-MY" w:eastAsia="en-AU"/>
        </w:rPr>
      </w:pPr>
    </w:p>
    <w:p w14:paraId="06AF2EC0" w14:textId="37476CA5" w:rsidR="001D06A0" w:rsidRPr="006B455E" w:rsidRDefault="000E370E" w:rsidP="00BA79E1">
      <w:pPr>
        <w:jc w:val="both"/>
        <w:rPr>
          <w:rFonts w:cstheme="minorHAnsi"/>
          <w:lang w:val="en-MY" w:eastAsia="en-AU"/>
        </w:rPr>
      </w:pPr>
      <w:r w:rsidRPr="00BA79E1">
        <w:rPr>
          <w:rFonts w:cstheme="minorHAnsi"/>
          <w:lang w:val="en-MY" w:eastAsia="en-AU"/>
        </w:rPr>
        <w:t xml:space="preserve">These </w:t>
      </w:r>
      <w:r>
        <w:rPr>
          <w:rFonts w:cstheme="minorHAnsi"/>
          <w:lang w:val="en-MY" w:eastAsia="en-AU"/>
        </w:rPr>
        <w:t xml:space="preserve">objectives are consistent with </w:t>
      </w:r>
      <w:r w:rsidRPr="00BA79E1">
        <w:rPr>
          <w:rFonts w:cstheme="minorHAnsi"/>
          <w:lang w:val="en-MY" w:eastAsia="en-AU"/>
        </w:rPr>
        <w:t xml:space="preserve">a formative assessment of </w:t>
      </w:r>
      <w:r>
        <w:rPr>
          <w:rFonts w:cstheme="minorHAnsi"/>
          <w:lang w:val="en-MY" w:eastAsia="en-AU"/>
        </w:rPr>
        <w:t xml:space="preserve">IAS funded </w:t>
      </w:r>
      <w:r w:rsidRPr="00BA79E1">
        <w:rPr>
          <w:rFonts w:cstheme="minorHAnsi"/>
          <w:lang w:val="en-MY" w:eastAsia="en-AU"/>
        </w:rPr>
        <w:t>through-care services in the early life-cycle</w:t>
      </w:r>
      <w:r>
        <w:rPr>
          <w:rFonts w:cstheme="minorHAnsi"/>
          <w:lang w:val="en-MY" w:eastAsia="en-AU"/>
        </w:rPr>
        <w:t>s</w:t>
      </w:r>
      <w:r w:rsidRPr="00BA79E1">
        <w:rPr>
          <w:rFonts w:cstheme="minorHAnsi"/>
          <w:lang w:val="en-MY" w:eastAsia="en-AU"/>
        </w:rPr>
        <w:t xml:space="preserve"> of the program</w:t>
      </w:r>
      <w:r>
        <w:rPr>
          <w:rFonts w:cstheme="minorHAnsi"/>
          <w:lang w:val="en-MY" w:eastAsia="en-AU"/>
        </w:rPr>
        <w:t>s</w:t>
      </w:r>
      <w:r w:rsidRPr="00BA79E1">
        <w:rPr>
          <w:rFonts w:cstheme="minorHAnsi"/>
          <w:lang w:val="en-MY" w:eastAsia="en-AU"/>
        </w:rPr>
        <w:t xml:space="preserve">, with an emphasis on process – </w:t>
      </w:r>
      <w:r w:rsidRPr="003822EF">
        <w:rPr>
          <w:rFonts w:cstheme="minorHAnsi"/>
          <w:i/>
          <w:iCs/>
          <w:lang w:val="en-MY" w:eastAsia="en-AU"/>
        </w:rPr>
        <w:t>over, but not to the exclusion of</w:t>
      </w:r>
      <w:r w:rsidRPr="00BA79E1">
        <w:rPr>
          <w:rFonts w:cstheme="minorHAnsi"/>
          <w:lang w:val="en-MY" w:eastAsia="en-AU"/>
        </w:rPr>
        <w:t xml:space="preserve"> </w:t>
      </w:r>
      <w:r w:rsidR="003822EF">
        <w:rPr>
          <w:rFonts w:cstheme="minorHAnsi"/>
          <w:lang w:val="en-MY" w:eastAsia="en-AU"/>
        </w:rPr>
        <w:t>–</w:t>
      </w:r>
      <w:r w:rsidRPr="00BA79E1">
        <w:rPr>
          <w:rFonts w:cstheme="minorHAnsi"/>
          <w:lang w:val="en-MY" w:eastAsia="en-AU"/>
        </w:rPr>
        <w:t xml:space="preserve"> </w:t>
      </w:r>
      <w:r w:rsidR="003822EF">
        <w:rPr>
          <w:rFonts w:cstheme="minorHAnsi"/>
          <w:lang w:val="en-MY" w:eastAsia="en-AU"/>
        </w:rPr>
        <w:t xml:space="preserve">program </w:t>
      </w:r>
      <w:r w:rsidRPr="00BA79E1">
        <w:rPr>
          <w:rFonts w:cstheme="minorHAnsi"/>
          <w:lang w:val="en-MY" w:eastAsia="en-AU"/>
        </w:rPr>
        <w:t>outcomes.</w:t>
      </w:r>
      <w:r>
        <w:rPr>
          <w:rFonts w:cstheme="minorHAnsi"/>
          <w:lang w:val="en-MY" w:eastAsia="en-AU"/>
        </w:rPr>
        <w:t xml:space="preserve"> </w:t>
      </w:r>
    </w:p>
    <w:p w14:paraId="31CBEFB5" w14:textId="54B38982" w:rsidR="006B4510" w:rsidRPr="008719B9" w:rsidRDefault="00642DBE" w:rsidP="00987434">
      <w:pPr>
        <w:pStyle w:val="Heading2"/>
        <w:rPr>
          <w:rFonts w:cstheme="minorHAnsi"/>
          <w:lang w:val="en-MY"/>
        </w:rPr>
      </w:pPr>
      <w:bookmarkStart w:id="14" w:name="_Toc150784189"/>
      <w:r w:rsidRPr="008719B9">
        <w:rPr>
          <w:rFonts w:cstheme="minorHAnsi"/>
          <w:lang w:val="en-MY"/>
        </w:rPr>
        <w:t xml:space="preserve">Evaluation </w:t>
      </w:r>
      <w:r w:rsidR="006B4510" w:rsidRPr="008719B9">
        <w:rPr>
          <w:rFonts w:cstheme="minorHAnsi"/>
          <w:lang w:val="en-MY"/>
        </w:rPr>
        <w:t>Research Questions</w:t>
      </w:r>
      <w:bookmarkEnd w:id="14"/>
    </w:p>
    <w:p w14:paraId="6E7BB6E9" w14:textId="33B8BA82" w:rsidR="00C15FB9" w:rsidRDefault="006B4510" w:rsidP="00BA79E1">
      <w:pPr>
        <w:jc w:val="both"/>
        <w:rPr>
          <w:rFonts w:cstheme="minorHAnsi"/>
          <w:lang w:val="en-MY" w:eastAsia="en-AU"/>
        </w:rPr>
      </w:pPr>
      <w:r w:rsidRPr="00BA79E1">
        <w:rPr>
          <w:rFonts w:cstheme="minorHAnsi"/>
          <w:lang w:val="en-MY" w:eastAsia="en-AU"/>
        </w:rPr>
        <w:t xml:space="preserve">Evaluation questions and sub-questions </w:t>
      </w:r>
      <w:r w:rsidR="00C15FB9">
        <w:rPr>
          <w:rFonts w:cstheme="minorHAnsi"/>
          <w:lang w:val="en-MY" w:eastAsia="en-AU"/>
        </w:rPr>
        <w:t>aligned to</w:t>
      </w:r>
      <w:r w:rsidRPr="00BA79E1">
        <w:rPr>
          <w:rFonts w:cstheme="minorHAnsi"/>
          <w:lang w:val="en-MY" w:eastAsia="en-AU"/>
        </w:rPr>
        <w:t xml:space="preserve"> the</w:t>
      </w:r>
      <w:r w:rsidR="00C15FB9">
        <w:rPr>
          <w:rFonts w:cstheme="minorHAnsi"/>
          <w:lang w:val="en-MY" w:eastAsia="en-AU"/>
        </w:rPr>
        <w:t xml:space="preserve"> evaluation objectives</w:t>
      </w:r>
      <w:r w:rsidRPr="00BA79E1">
        <w:rPr>
          <w:rFonts w:cstheme="minorHAnsi"/>
          <w:lang w:val="en-MY" w:eastAsia="en-AU"/>
        </w:rPr>
        <w:t xml:space="preserve"> </w:t>
      </w:r>
      <w:r w:rsidR="00960974" w:rsidRPr="00BA79E1">
        <w:rPr>
          <w:rFonts w:cstheme="minorHAnsi"/>
          <w:lang w:val="en-MY" w:eastAsia="en-AU"/>
        </w:rPr>
        <w:t xml:space="preserve">were </w:t>
      </w:r>
      <w:r w:rsidR="00C15FB9">
        <w:rPr>
          <w:rFonts w:cstheme="minorHAnsi"/>
          <w:lang w:val="en-MY" w:eastAsia="en-AU"/>
        </w:rPr>
        <w:t xml:space="preserve">prepared </w:t>
      </w:r>
      <w:r w:rsidRPr="00BA79E1">
        <w:rPr>
          <w:rFonts w:cstheme="minorHAnsi"/>
          <w:lang w:val="en-MY" w:eastAsia="en-AU"/>
        </w:rPr>
        <w:t>by NIAA for the</w:t>
      </w:r>
      <w:r w:rsidR="00960974" w:rsidRPr="00BA79E1">
        <w:rPr>
          <w:rFonts w:cstheme="minorHAnsi"/>
          <w:lang w:val="en-MY" w:eastAsia="en-AU"/>
        </w:rPr>
        <w:t xml:space="preserve"> purposes of the</w:t>
      </w:r>
      <w:r w:rsidRPr="00BA79E1">
        <w:rPr>
          <w:rFonts w:cstheme="minorHAnsi"/>
          <w:lang w:val="en-MY" w:eastAsia="en-AU"/>
        </w:rPr>
        <w:t xml:space="preserve"> ATM</w:t>
      </w:r>
      <w:r w:rsidR="00C15FB9">
        <w:rPr>
          <w:rFonts w:cstheme="minorHAnsi"/>
          <w:lang w:val="en-MY" w:eastAsia="en-AU"/>
        </w:rPr>
        <w:t xml:space="preserve"> and subsequent </w:t>
      </w:r>
      <w:r w:rsidR="003822EF">
        <w:rPr>
          <w:rFonts w:cstheme="minorHAnsi"/>
          <w:lang w:val="en-MY" w:eastAsia="en-AU"/>
        </w:rPr>
        <w:t xml:space="preserve">evaluation </w:t>
      </w:r>
      <w:r w:rsidR="00C15FB9">
        <w:rPr>
          <w:rFonts w:cstheme="minorHAnsi"/>
          <w:lang w:val="en-MY" w:eastAsia="en-AU"/>
        </w:rPr>
        <w:t>terms of reference</w:t>
      </w:r>
      <w:r w:rsidRPr="00BA79E1">
        <w:rPr>
          <w:rFonts w:cstheme="minorHAnsi"/>
          <w:lang w:val="en-MY" w:eastAsia="en-AU"/>
        </w:rPr>
        <w:t xml:space="preserve">. Details of how these research questions align to the evaluation </w:t>
      </w:r>
      <w:r w:rsidR="00960974" w:rsidRPr="00BA79E1">
        <w:rPr>
          <w:rFonts w:cstheme="minorHAnsi"/>
          <w:lang w:val="en-MY" w:eastAsia="en-AU"/>
        </w:rPr>
        <w:t xml:space="preserve">research methods and data </w:t>
      </w:r>
      <w:r w:rsidR="00297AFF" w:rsidRPr="00BA79E1">
        <w:rPr>
          <w:rFonts w:cstheme="minorHAnsi"/>
          <w:lang w:val="en-MY" w:eastAsia="en-AU"/>
        </w:rPr>
        <w:t xml:space="preserve">sources </w:t>
      </w:r>
      <w:r w:rsidRPr="00BA79E1">
        <w:rPr>
          <w:rFonts w:cstheme="minorHAnsi"/>
          <w:lang w:val="en-MY" w:eastAsia="en-AU"/>
        </w:rPr>
        <w:t xml:space="preserve">are provided </w:t>
      </w:r>
      <w:r w:rsidR="00960974" w:rsidRPr="00BA79E1">
        <w:rPr>
          <w:rFonts w:cstheme="minorHAnsi"/>
          <w:lang w:val="en-MY" w:eastAsia="en-AU"/>
        </w:rPr>
        <w:t>in a</w:t>
      </w:r>
      <w:r w:rsidR="00C15FB9">
        <w:rPr>
          <w:rFonts w:cstheme="minorHAnsi"/>
          <w:lang w:val="en-MY" w:eastAsia="en-AU"/>
        </w:rPr>
        <w:t>n Evaluation</w:t>
      </w:r>
      <w:r w:rsidR="00960974" w:rsidRPr="00BA79E1">
        <w:rPr>
          <w:rFonts w:cstheme="minorHAnsi"/>
          <w:lang w:val="en-MY" w:eastAsia="en-AU"/>
        </w:rPr>
        <w:t xml:space="preserve"> </w:t>
      </w:r>
      <w:r w:rsidR="00C15FB9">
        <w:rPr>
          <w:rFonts w:cstheme="minorHAnsi"/>
          <w:lang w:val="en-MY" w:eastAsia="en-AU"/>
        </w:rPr>
        <w:t>D</w:t>
      </w:r>
      <w:r w:rsidRPr="00BA79E1">
        <w:rPr>
          <w:rFonts w:cstheme="minorHAnsi"/>
          <w:lang w:val="en-MY" w:eastAsia="en-AU"/>
        </w:rPr>
        <w:t xml:space="preserve">ata </w:t>
      </w:r>
      <w:r w:rsidR="00C15FB9">
        <w:rPr>
          <w:rFonts w:cstheme="minorHAnsi"/>
          <w:lang w:val="en-MY" w:eastAsia="en-AU"/>
        </w:rPr>
        <w:t>M</w:t>
      </w:r>
      <w:r w:rsidRPr="00BA79E1">
        <w:rPr>
          <w:rFonts w:cstheme="minorHAnsi"/>
          <w:lang w:val="en-MY" w:eastAsia="en-AU"/>
        </w:rPr>
        <w:t>atrix</w:t>
      </w:r>
      <w:r w:rsidR="00960974" w:rsidRPr="00BA79E1">
        <w:rPr>
          <w:rFonts w:cstheme="minorHAnsi"/>
          <w:lang w:val="en-MY" w:eastAsia="en-AU"/>
        </w:rPr>
        <w:t xml:space="preserve"> at </w:t>
      </w:r>
      <w:r w:rsidR="00C15FB9">
        <w:rPr>
          <w:rFonts w:cstheme="minorHAnsi"/>
          <w:lang w:val="en-MY" w:eastAsia="en-AU"/>
        </w:rPr>
        <w:t>Appendix A.</w:t>
      </w:r>
    </w:p>
    <w:p w14:paraId="47882DFB" w14:textId="77777777" w:rsidR="00872B2B" w:rsidRDefault="00872B2B" w:rsidP="00BA79E1">
      <w:pPr>
        <w:jc w:val="both"/>
        <w:rPr>
          <w:rFonts w:cstheme="minorHAnsi"/>
          <w:lang w:val="en-MY" w:eastAsia="en-AU"/>
        </w:rPr>
      </w:pPr>
    </w:p>
    <w:p w14:paraId="2621558B" w14:textId="629FC15E"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Design Appropriateness</w:t>
      </w:r>
      <w:r w:rsidR="003A031A" w:rsidRPr="00B36CF9">
        <w:rPr>
          <w:rFonts w:cstheme="minorHAnsi"/>
          <w:b/>
          <w:bCs/>
          <w:lang w:val="en-MY" w:eastAsia="en-AU"/>
        </w:rPr>
        <w:t xml:space="preserve"> - </w:t>
      </w:r>
      <w:r w:rsidRPr="00B36CF9">
        <w:rPr>
          <w:rFonts w:cstheme="minorHAnsi"/>
          <w:lang w:val="en-MY" w:eastAsia="en-AU"/>
        </w:rPr>
        <w:t>How appropriate is the design of both the ATC and YTC models to meet the needs of clients and stakeholders? To what extent are the models strengths based, culturally respectful and collaborative? To what extent does it represent an Indigenous approach?</w:t>
      </w:r>
    </w:p>
    <w:p w14:paraId="7FE1FD91" w14:textId="77777777" w:rsidR="007643EC" w:rsidRDefault="007643EC" w:rsidP="004540EA">
      <w:pPr>
        <w:pStyle w:val="ListParagraph"/>
        <w:jc w:val="both"/>
        <w:rPr>
          <w:rFonts w:cstheme="minorHAnsi"/>
          <w:lang w:val="en-MY" w:eastAsia="en-AU"/>
        </w:rPr>
      </w:pPr>
    </w:p>
    <w:p w14:paraId="77C04799" w14:textId="3B54CB51"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 xml:space="preserve">Service </w:t>
      </w:r>
      <w:r w:rsidR="00030A12" w:rsidRPr="00B36CF9">
        <w:rPr>
          <w:rFonts w:cstheme="minorHAnsi"/>
          <w:b/>
          <w:bCs/>
          <w:lang w:val="en-MY" w:eastAsia="en-AU"/>
        </w:rPr>
        <w:t>Collaboration/</w:t>
      </w:r>
      <w:r w:rsidRPr="00B36CF9">
        <w:rPr>
          <w:rFonts w:cstheme="minorHAnsi"/>
          <w:b/>
          <w:bCs/>
          <w:lang w:val="en-MY" w:eastAsia="en-AU"/>
        </w:rPr>
        <w:t>Duplication</w:t>
      </w:r>
      <w:r w:rsidR="003A031A" w:rsidRPr="00B36CF9">
        <w:rPr>
          <w:rFonts w:cstheme="minorHAnsi"/>
          <w:b/>
          <w:bCs/>
          <w:lang w:val="en-MY" w:eastAsia="en-AU"/>
        </w:rPr>
        <w:t xml:space="preserve"> - </w:t>
      </w:r>
      <w:r w:rsidRPr="00B36CF9">
        <w:rPr>
          <w:rFonts w:cstheme="minorHAnsi"/>
          <w:lang w:val="en-MY" w:eastAsia="en-AU"/>
        </w:rPr>
        <w:t xml:space="preserve">How well do the ATC and YTC </w:t>
      </w:r>
      <w:r w:rsidR="003822EF" w:rsidRPr="00B36CF9">
        <w:rPr>
          <w:rFonts w:cstheme="minorHAnsi"/>
          <w:lang w:val="en-MY" w:eastAsia="en-AU"/>
        </w:rPr>
        <w:t>m</w:t>
      </w:r>
      <w:r w:rsidRPr="00B36CF9">
        <w:rPr>
          <w:rFonts w:cstheme="minorHAnsi"/>
          <w:lang w:val="en-MY" w:eastAsia="en-AU"/>
        </w:rPr>
        <w:t xml:space="preserve">odels work alongside other government and non-government service provision and are there areas of duplication? </w:t>
      </w:r>
    </w:p>
    <w:p w14:paraId="104971BA" w14:textId="77777777" w:rsidR="00C15FB9" w:rsidRDefault="00C15FB9" w:rsidP="004540EA">
      <w:pPr>
        <w:pStyle w:val="ListParagraph"/>
        <w:jc w:val="both"/>
        <w:rPr>
          <w:rFonts w:cstheme="minorHAnsi"/>
          <w:lang w:val="en-MY" w:eastAsia="en-AU"/>
        </w:rPr>
      </w:pPr>
    </w:p>
    <w:p w14:paraId="7319077C" w14:textId="290ED959"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Quality of Delivery</w:t>
      </w:r>
      <w:r w:rsidR="003A031A" w:rsidRPr="00B36CF9">
        <w:rPr>
          <w:rFonts w:cstheme="minorHAnsi"/>
          <w:b/>
          <w:bCs/>
          <w:lang w:val="en-MY" w:eastAsia="en-AU"/>
        </w:rPr>
        <w:t xml:space="preserve"> - </w:t>
      </w:r>
      <w:r w:rsidRPr="00B36CF9">
        <w:rPr>
          <w:rFonts w:cstheme="minorHAnsi"/>
          <w:lang w:val="en-MY" w:eastAsia="en-AU"/>
        </w:rPr>
        <w:t>How well are the ATC and YTC models being delivered? What is working well</w:t>
      </w:r>
      <w:r w:rsidR="003822EF" w:rsidRPr="00B36CF9">
        <w:rPr>
          <w:rFonts w:cstheme="minorHAnsi"/>
          <w:lang w:val="en-MY" w:eastAsia="en-AU"/>
        </w:rPr>
        <w:t xml:space="preserve">, or </w:t>
      </w:r>
      <w:r w:rsidRPr="00B36CF9">
        <w:rPr>
          <w:rFonts w:cstheme="minorHAnsi"/>
          <w:lang w:val="en-MY" w:eastAsia="en-AU"/>
        </w:rPr>
        <w:t>less well</w:t>
      </w:r>
      <w:r w:rsidR="003822EF" w:rsidRPr="00B36CF9">
        <w:rPr>
          <w:rFonts w:cstheme="minorHAnsi"/>
          <w:lang w:val="en-MY" w:eastAsia="en-AU"/>
        </w:rPr>
        <w:t xml:space="preserve">, </w:t>
      </w:r>
      <w:r w:rsidRPr="00B36CF9">
        <w:rPr>
          <w:rFonts w:cstheme="minorHAnsi"/>
          <w:lang w:val="en-MY" w:eastAsia="en-AU"/>
        </w:rPr>
        <w:t>for service providers and why? What are the enablers</w:t>
      </w:r>
      <w:r w:rsidR="003822EF" w:rsidRPr="00B36CF9">
        <w:rPr>
          <w:rFonts w:cstheme="minorHAnsi"/>
          <w:lang w:val="en-MY" w:eastAsia="en-AU"/>
        </w:rPr>
        <w:t xml:space="preserve">, or </w:t>
      </w:r>
      <w:r w:rsidRPr="00B36CF9">
        <w:rPr>
          <w:rFonts w:cstheme="minorHAnsi"/>
          <w:lang w:val="en-MY" w:eastAsia="en-AU"/>
        </w:rPr>
        <w:t>barriers</w:t>
      </w:r>
      <w:r w:rsidR="003822EF" w:rsidRPr="00B36CF9">
        <w:rPr>
          <w:rFonts w:cstheme="minorHAnsi"/>
          <w:lang w:val="en-MY" w:eastAsia="en-AU"/>
        </w:rPr>
        <w:t xml:space="preserve">, </w:t>
      </w:r>
      <w:r w:rsidRPr="00B36CF9">
        <w:rPr>
          <w:rFonts w:cstheme="minorHAnsi"/>
          <w:lang w:val="en-MY" w:eastAsia="en-AU"/>
        </w:rPr>
        <w:t>to the effective delivery of the ATC and YTC models? What gaps or opportunities could be addressed to improve service delivery and achieve program outcomes</w:t>
      </w:r>
      <w:r w:rsidR="00C15FB9" w:rsidRPr="00B36CF9">
        <w:rPr>
          <w:rFonts w:cstheme="minorHAnsi"/>
          <w:lang w:val="en-MY" w:eastAsia="en-AU"/>
        </w:rPr>
        <w:t>?</w:t>
      </w:r>
    </w:p>
    <w:p w14:paraId="3753EADD" w14:textId="77777777" w:rsidR="00C15FB9" w:rsidRDefault="00C15FB9" w:rsidP="004540EA">
      <w:pPr>
        <w:pStyle w:val="ListParagraph"/>
        <w:jc w:val="both"/>
        <w:rPr>
          <w:rFonts w:cstheme="minorHAnsi"/>
          <w:lang w:val="en-MY" w:eastAsia="en-AU"/>
        </w:rPr>
      </w:pPr>
    </w:p>
    <w:p w14:paraId="4BF2F8AA" w14:textId="732155C0"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Resource Use</w:t>
      </w:r>
      <w:r w:rsidR="003A031A" w:rsidRPr="00B36CF9">
        <w:rPr>
          <w:rFonts w:cstheme="minorHAnsi"/>
          <w:b/>
          <w:bCs/>
          <w:lang w:val="en-MY" w:eastAsia="en-AU"/>
        </w:rPr>
        <w:t xml:space="preserve"> - </w:t>
      </w:r>
      <w:r w:rsidRPr="00B36CF9">
        <w:rPr>
          <w:rFonts w:cstheme="minorHAnsi"/>
          <w:lang w:val="en-MY" w:eastAsia="en-AU"/>
        </w:rPr>
        <w:t>Are resources being used effectively and efficiently to deliver the ATC and YTC models?</w:t>
      </w:r>
    </w:p>
    <w:p w14:paraId="3516090C" w14:textId="77777777" w:rsidR="00C15FB9" w:rsidRDefault="00C15FB9" w:rsidP="004540EA">
      <w:pPr>
        <w:pStyle w:val="ListParagraph"/>
        <w:jc w:val="both"/>
        <w:rPr>
          <w:rFonts w:cstheme="minorHAnsi"/>
          <w:lang w:val="en-MY" w:eastAsia="en-AU"/>
        </w:rPr>
      </w:pPr>
    </w:p>
    <w:p w14:paraId="0DA9B45B" w14:textId="54462CB3"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Making Improvements</w:t>
      </w:r>
      <w:r w:rsidR="003A031A" w:rsidRPr="00B36CF9">
        <w:rPr>
          <w:rFonts w:cstheme="minorHAnsi"/>
          <w:b/>
          <w:bCs/>
          <w:lang w:val="en-MY" w:eastAsia="en-AU"/>
        </w:rPr>
        <w:t xml:space="preserve"> - </w:t>
      </w:r>
      <w:r w:rsidRPr="00B36CF9">
        <w:rPr>
          <w:rFonts w:cstheme="minorHAnsi"/>
          <w:lang w:val="en-MY" w:eastAsia="en-AU"/>
        </w:rPr>
        <w:t>How could the design and delivery of the ATC and YTC models be improved to better meet the needs of clients and stakeholders?</w:t>
      </w:r>
    </w:p>
    <w:p w14:paraId="2A82437F" w14:textId="77777777" w:rsidR="00C15FB9" w:rsidRDefault="00C15FB9" w:rsidP="004540EA">
      <w:pPr>
        <w:pStyle w:val="ListParagraph"/>
        <w:jc w:val="both"/>
        <w:rPr>
          <w:rFonts w:cstheme="minorHAnsi"/>
          <w:lang w:val="en-MY" w:eastAsia="en-AU"/>
        </w:rPr>
      </w:pPr>
    </w:p>
    <w:p w14:paraId="3AE65E56" w14:textId="0F07B7D9"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Achieving Outcomes</w:t>
      </w:r>
      <w:r w:rsidR="003A031A" w:rsidRPr="00B36CF9">
        <w:rPr>
          <w:rFonts w:cstheme="minorHAnsi"/>
          <w:b/>
          <w:bCs/>
          <w:lang w:val="en-MY" w:eastAsia="en-AU"/>
        </w:rPr>
        <w:t xml:space="preserve"> - </w:t>
      </w:r>
      <w:r w:rsidRPr="00B36CF9">
        <w:rPr>
          <w:rFonts w:cstheme="minorHAnsi"/>
          <w:lang w:val="en-MY" w:eastAsia="en-AU"/>
        </w:rPr>
        <w:t>Are there any early indications of ATC and YTC models achieving medium and longer term outcomes i.e. reduced recidivism, reduced severity of offending, or improved outcomes in protective factors (such as secure housing, engagement in education or employment, reduced substance abuse, engagement in meaningful activities, strengthening cultural and family connections, etc)?</w:t>
      </w:r>
    </w:p>
    <w:p w14:paraId="37284C0C" w14:textId="77777777" w:rsidR="00C15FB9" w:rsidRDefault="00C15FB9" w:rsidP="004540EA">
      <w:pPr>
        <w:pStyle w:val="ListParagraph"/>
        <w:jc w:val="both"/>
        <w:rPr>
          <w:rFonts w:cstheme="minorHAnsi"/>
          <w:lang w:val="en-MY" w:eastAsia="en-AU"/>
        </w:rPr>
      </w:pPr>
    </w:p>
    <w:p w14:paraId="291E627A" w14:textId="5465614E" w:rsidR="00C15FB9"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Unintended Consequences</w:t>
      </w:r>
      <w:r w:rsidR="003A031A" w:rsidRPr="00B36CF9">
        <w:rPr>
          <w:rFonts w:cstheme="minorHAnsi"/>
          <w:b/>
          <w:bCs/>
          <w:lang w:val="en-MY" w:eastAsia="en-AU"/>
        </w:rPr>
        <w:t xml:space="preserve"> - </w:t>
      </w:r>
      <w:r w:rsidRPr="00B36CF9">
        <w:rPr>
          <w:rFonts w:cstheme="minorHAnsi"/>
          <w:lang w:val="en-MY" w:eastAsia="en-AU"/>
        </w:rPr>
        <w:t xml:space="preserve">Are there any unintended consequences associated with the delivery of the ATC and YTC </w:t>
      </w:r>
      <w:r w:rsidR="003822EF" w:rsidRPr="00B36CF9">
        <w:rPr>
          <w:rFonts w:cstheme="minorHAnsi"/>
          <w:lang w:val="en-MY" w:eastAsia="en-AU"/>
        </w:rPr>
        <w:t>m</w:t>
      </w:r>
      <w:r w:rsidRPr="00B36CF9">
        <w:rPr>
          <w:rFonts w:cstheme="minorHAnsi"/>
          <w:lang w:val="en-MY" w:eastAsia="en-AU"/>
        </w:rPr>
        <w:t>odels?</w:t>
      </w:r>
    </w:p>
    <w:p w14:paraId="68C02CC8" w14:textId="77777777" w:rsidR="00C15FB9" w:rsidRDefault="00C15FB9" w:rsidP="004540EA">
      <w:pPr>
        <w:pStyle w:val="ListParagraph"/>
        <w:jc w:val="both"/>
        <w:rPr>
          <w:rFonts w:cstheme="minorHAnsi"/>
          <w:lang w:val="en-MY" w:eastAsia="en-AU"/>
        </w:rPr>
      </w:pPr>
    </w:p>
    <w:p w14:paraId="6097B00A" w14:textId="4F4D0207" w:rsidR="00BA79E1" w:rsidRPr="00B36CF9" w:rsidRDefault="006B4510" w:rsidP="00B77817">
      <w:pPr>
        <w:pStyle w:val="ListParagraph"/>
        <w:numPr>
          <w:ilvl w:val="0"/>
          <w:numId w:val="61"/>
        </w:numPr>
        <w:jc w:val="both"/>
        <w:rPr>
          <w:rFonts w:cstheme="minorHAnsi"/>
          <w:lang w:val="en-MY" w:eastAsia="en-AU"/>
        </w:rPr>
      </w:pPr>
      <w:r w:rsidRPr="00B36CF9">
        <w:rPr>
          <w:rFonts w:cstheme="minorHAnsi"/>
          <w:b/>
          <w:bCs/>
          <w:lang w:val="en-MY" w:eastAsia="en-AU"/>
        </w:rPr>
        <w:t>Data Requirements</w:t>
      </w:r>
      <w:r w:rsidR="003A031A" w:rsidRPr="00B36CF9">
        <w:rPr>
          <w:rFonts w:cstheme="minorHAnsi"/>
          <w:b/>
          <w:bCs/>
          <w:lang w:val="en-MY" w:eastAsia="en-AU"/>
        </w:rPr>
        <w:t xml:space="preserve"> - </w:t>
      </w:r>
      <w:r w:rsidRPr="00B36CF9">
        <w:rPr>
          <w:rFonts w:cstheme="minorHAnsi"/>
          <w:lang w:val="en-MY" w:eastAsia="en-AU"/>
        </w:rPr>
        <w:t xml:space="preserve">To what extent do existing data collection and reporting meet the monitoring and evaluation needs of the ATC and YTC programs? What requirements are vital to inform a contribution to the National Agreement’s justice targets? </w:t>
      </w:r>
    </w:p>
    <w:p w14:paraId="39DE5D75" w14:textId="11583202" w:rsidR="00987434" w:rsidRPr="008719B9" w:rsidRDefault="006E772F" w:rsidP="00B56321">
      <w:pPr>
        <w:pStyle w:val="Heading2"/>
        <w:ind w:left="0" w:firstLine="0"/>
        <w:rPr>
          <w:rFonts w:cstheme="minorHAnsi"/>
          <w:lang w:val="en-MY"/>
        </w:rPr>
      </w:pPr>
      <w:bookmarkStart w:id="15" w:name="_Toc7531948"/>
      <w:bookmarkStart w:id="16" w:name="_Toc150784190"/>
      <w:r w:rsidRPr="008719B9">
        <w:rPr>
          <w:rFonts w:cstheme="minorHAnsi"/>
          <w:lang w:val="en-MY"/>
        </w:rPr>
        <w:t>Evaluation S</w:t>
      </w:r>
      <w:r w:rsidR="0076398C" w:rsidRPr="008719B9">
        <w:rPr>
          <w:rFonts w:cstheme="minorHAnsi"/>
          <w:lang w:val="en-MY"/>
        </w:rPr>
        <w:t>cope</w:t>
      </w:r>
      <w:bookmarkEnd w:id="15"/>
      <w:bookmarkEnd w:id="16"/>
      <w:r w:rsidR="0076398C" w:rsidRPr="008719B9">
        <w:rPr>
          <w:rFonts w:cstheme="minorHAnsi"/>
          <w:lang w:val="en-MY"/>
        </w:rPr>
        <w:t xml:space="preserve"> </w:t>
      </w:r>
    </w:p>
    <w:p w14:paraId="43502A99" w14:textId="757B4D6F" w:rsidR="008C7BC3" w:rsidRDefault="006E772F" w:rsidP="001B2179">
      <w:pPr>
        <w:jc w:val="both"/>
        <w:rPr>
          <w:rFonts w:cstheme="minorHAnsi"/>
          <w:lang w:val="en-MY" w:eastAsia="en-AU"/>
        </w:rPr>
      </w:pPr>
      <w:r w:rsidRPr="001B2179">
        <w:rPr>
          <w:rFonts w:cstheme="minorHAnsi"/>
          <w:lang w:val="en-MY" w:eastAsia="en-AU"/>
        </w:rPr>
        <w:t xml:space="preserve">The scope of the evaluation encompasses the activities of all </w:t>
      </w:r>
      <w:r w:rsidR="008F3431">
        <w:rPr>
          <w:rFonts w:cstheme="minorHAnsi"/>
          <w:lang w:val="en-MY" w:eastAsia="en-AU"/>
        </w:rPr>
        <w:t>nine</w:t>
      </w:r>
      <w:r w:rsidR="001B2179">
        <w:rPr>
          <w:rFonts w:cstheme="minorHAnsi"/>
          <w:lang w:val="en-MY" w:eastAsia="en-AU"/>
        </w:rPr>
        <w:t xml:space="preserve"> </w:t>
      </w:r>
      <w:r w:rsidRPr="001B2179">
        <w:rPr>
          <w:rFonts w:cstheme="minorHAnsi"/>
          <w:lang w:val="en-MY" w:eastAsia="en-AU"/>
        </w:rPr>
        <w:t>through-care service</w:t>
      </w:r>
      <w:r w:rsidR="00F34ABD">
        <w:rPr>
          <w:rFonts w:cstheme="minorHAnsi"/>
          <w:lang w:val="en-MY" w:eastAsia="en-AU"/>
        </w:rPr>
        <w:t xml:space="preserve"> providers</w:t>
      </w:r>
      <w:r w:rsidRPr="001B2179">
        <w:rPr>
          <w:rFonts w:cstheme="minorHAnsi"/>
          <w:lang w:val="en-MY" w:eastAsia="en-AU"/>
        </w:rPr>
        <w:t xml:space="preserve"> funded </w:t>
      </w:r>
      <w:r w:rsidR="001B2179">
        <w:rPr>
          <w:rFonts w:cstheme="minorHAnsi"/>
          <w:lang w:val="en-MY" w:eastAsia="en-AU"/>
        </w:rPr>
        <w:t xml:space="preserve">through </w:t>
      </w:r>
      <w:r w:rsidR="0092016B" w:rsidRPr="001B2179">
        <w:rPr>
          <w:rFonts w:cstheme="minorHAnsi"/>
          <w:lang w:val="en-MY" w:eastAsia="en-AU"/>
        </w:rPr>
        <w:t xml:space="preserve">the IAS </w:t>
      </w:r>
      <w:r w:rsidR="001B2179">
        <w:rPr>
          <w:rFonts w:cstheme="minorHAnsi"/>
          <w:lang w:val="en-MY" w:eastAsia="en-AU"/>
        </w:rPr>
        <w:t xml:space="preserve">since 2019, </w:t>
      </w:r>
      <w:r w:rsidRPr="001B2179">
        <w:rPr>
          <w:rFonts w:cstheme="minorHAnsi"/>
          <w:lang w:val="en-MY" w:eastAsia="en-AU"/>
        </w:rPr>
        <w:t xml:space="preserve">at their </w:t>
      </w:r>
      <w:r w:rsidR="00E26A8D">
        <w:rPr>
          <w:rFonts w:cstheme="minorHAnsi"/>
          <w:lang w:val="en-MY" w:eastAsia="en-AU"/>
        </w:rPr>
        <w:t xml:space="preserve">respective </w:t>
      </w:r>
      <w:r w:rsidRPr="001B2179">
        <w:rPr>
          <w:rFonts w:cstheme="minorHAnsi"/>
          <w:lang w:val="en-MY" w:eastAsia="en-AU"/>
        </w:rPr>
        <w:t>service delivery locations</w:t>
      </w:r>
      <w:r w:rsidR="001B2179">
        <w:rPr>
          <w:rFonts w:cstheme="minorHAnsi"/>
          <w:lang w:val="en-MY" w:eastAsia="en-AU"/>
        </w:rPr>
        <w:t xml:space="preserve"> across all States and Territories (excluding the ACT)</w:t>
      </w:r>
      <w:r w:rsidRPr="001B2179">
        <w:rPr>
          <w:rFonts w:cstheme="minorHAnsi"/>
          <w:lang w:val="en-MY" w:eastAsia="en-AU"/>
        </w:rPr>
        <w:t xml:space="preserve">. </w:t>
      </w:r>
      <w:r w:rsidR="001B2179" w:rsidRPr="001B2179">
        <w:rPr>
          <w:rFonts w:cstheme="minorHAnsi"/>
          <w:lang w:val="en-MY" w:eastAsia="en-AU"/>
        </w:rPr>
        <w:t xml:space="preserve">Keogh Bay adopted an integrated mixed methods approach to data collection and analysis for each service, to obtain distinct but complementary data on the topics and issues covered by the evaluation’s research questions. </w:t>
      </w:r>
      <w:r w:rsidR="001B2179">
        <w:rPr>
          <w:rFonts w:cstheme="minorHAnsi"/>
          <w:lang w:val="en-MY" w:eastAsia="en-AU"/>
        </w:rPr>
        <w:t>In addition to an analysis of service provider performance reports (from 2019 to June 2023) this has required consultation with</w:t>
      </w:r>
      <w:r w:rsidR="00E26A8D">
        <w:rPr>
          <w:rFonts w:cstheme="minorHAnsi"/>
          <w:lang w:val="en-MY" w:eastAsia="en-AU"/>
        </w:rPr>
        <w:t xml:space="preserve"> a range of stakeholders including </w:t>
      </w:r>
      <w:r w:rsidR="008C7BC3">
        <w:rPr>
          <w:rFonts w:cstheme="minorHAnsi"/>
          <w:lang w:val="en-MY" w:eastAsia="en-AU"/>
        </w:rPr>
        <w:t>m</w:t>
      </w:r>
      <w:r w:rsidR="008C7BC3" w:rsidRPr="008C7BC3">
        <w:rPr>
          <w:rFonts w:cstheme="minorHAnsi"/>
          <w:lang w:val="en-MY" w:eastAsia="en-AU"/>
        </w:rPr>
        <w:t>anagement and staff at each ATC and YTC service</w:t>
      </w:r>
      <w:r w:rsidR="008C7BC3">
        <w:rPr>
          <w:rFonts w:cstheme="minorHAnsi"/>
          <w:lang w:val="en-MY" w:eastAsia="en-AU"/>
        </w:rPr>
        <w:t>; a</w:t>
      </w:r>
      <w:r w:rsidR="008C7BC3" w:rsidRPr="008C7BC3">
        <w:rPr>
          <w:rFonts w:cstheme="minorHAnsi"/>
          <w:lang w:val="en-MY" w:eastAsia="en-AU"/>
        </w:rPr>
        <w:t xml:space="preserve">ctive (post-release) program clients and former clients </w:t>
      </w:r>
      <w:r w:rsidR="008C7BC3">
        <w:rPr>
          <w:rFonts w:cstheme="minorHAnsi"/>
          <w:lang w:val="en-MY" w:eastAsia="en-AU"/>
        </w:rPr>
        <w:t xml:space="preserve">(together with support persons or </w:t>
      </w:r>
      <w:r w:rsidR="008C7BC3" w:rsidRPr="008C7BC3">
        <w:rPr>
          <w:rFonts w:cstheme="minorHAnsi"/>
          <w:lang w:val="en-MY" w:eastAsia="en-AU"/>
        </w:rPr>
        <w:t>family members</w:t>
      </w:r>
      <w:r w:rsidR="008C7BC3">
        <w:rPr>
          <w:rFonts w:cstheme="minorHAnsi"/>
          <w:lang w:val="en-MY" w:eastAsia="en-AU"/>
        </w:rPr>
        <w:t xml:space="preserve">); third-party </w:t>
      </w:r>
      <w:r w:rsidR="008C7BC3" w:rsidRPr="008C7BC3">
        <w:rPr>
          <w:rFonts w:cstheme="minorHAnsi"/>
          <w:lang w:val="en-MY" w:eastAsia="en-AU"/>
        </w:rPr>
        <w:t>service providers and partner organisations</w:t>
      </w:r>
      <w:r w:rsidR="008C7BC3">
        <w:rPr>
          <w:rFonts w:cstheme="minorHAnsi"/>
          <w:lang w:val="en-MY" w:eastAsia="en-AU"/>
        </w:rPr>
        <w:t>; and c</w:t>
      </w:r>
      <w:r w:rsidR="008C7BC3" w:rsidRPr="008C7BC3">
        <w:rPr>
          <w:rFonts w:cstheme="minorHAnsi"/>
          <w:lang w:val="en-MY" w:eastAsia="en-AU"/>
        </w:rPr>
        <w:t>orrectional services staff</w:t>
      </w:r>
      <w:r w:rsidR="008C7BC3">
        <w:rPr>
          <w:rFonts w:cstheme="minorHAnsi"/>
          <w:lang w:val="en-MY" w:eastAsia="en-AU"/>
        </w:rPr>
        <w:t xml:space="preserve"> familiar with one or more funded service</w:t>
      </w:r>
      <w:r w:rsidR="008C7BC3" w:rsidRPr="008C7BC3">
        <w:rPr>
          <w:rFonts w:cstheme="minorHAnsi"/>
          <w:lang w:val="en-MY" w:eastAsia="en-AU"/>
        </w:rPr>
        <w:t>.</w:t>
      </w:r>
    </w:p>
    <w:p w14:paraId="5CE23726" w14:textId="77777777" w:rsidR="00FD6B6A" w:rsidRDefault="00FD6B6A" w:rsidP="001B2179">
      <w:pPr>
        <w:jc w:val="both"/>
        <w:rPr>
          <w:rFonts w:cstheme="minorHAnsi"/>
          <w:lang w:val="en-MY" w:eastAsia="en-AU"/>
        </w:rPr>
      </w:pPr>
    </w:p>
    <w:p w14:paraId="71B8C8D5" w14:textId="77777777" w:rsidR="00FD6B6A" w:rsidRDefault="00FD6B6A" w:rsidP="00FD6B6A">
      <w:pPr>
        <w:jc w:val="both"/>
        <w:rPr>
          <w:rFonts w:cstheme="minorHAnsi"/>
          <w:lang w:val="en-MY" w:eastAsia="en-AU"/>
        </w:rPr>
      </w:pPr>
      <w:r w:rsidRPr="00FD6B6A">
        <w:rPr>
          <w:rFonts w:cstheme="minorHAnsi"/>
          <w:lang w:val="en-MY" w:eastAsia="en-AU"/>
        </w:rPr>
        <w:t>The evaluation w</w:t>
      </w:r>
      <w:r>
        <w:rPr>
          <w:rFonts w:cstheme="minorHAnsi"/>
          <w:lang w:val="en-MY" w:eastAsia="en-AU"/>
        </w:rPr>
        <w:t xml:space="preserve">as </w:t>
      </w:r>
      <w:r w:rsidRPr="00FD6B6A">
        <w:rPr>
          <w:rFonts w:cstheme="minorHAnsi"/>
          <w:lang w:val="en-MY" w:eastAsia="en-AU"/>
        </w:rPr>
        <w:t>conducted in four stages, including:</w:t>
      </w:r>
    </w:p>
    <w:p w14:paraId="126CD461" w14:textId="77777777" w:rsidR="00FD6B6A" w:rsidRDefault="00FD6B6A" w:rsidP="00FD6B6A">
      <w:pPr>
        <w:jc w:val="both"/>
        <w:rPr>
          <w:rFonts w:cstheme="minorHAnsi"/>
          <w:lang w:val="en-MY" w:eastAsia="en-AU"/>
        </w:rPr>
      </w:pPr>
    </w:p>
    <w:p w14:paraId="72D59DCB" w14:textId="203F3052" w:rsidR="00FD6B6A" w:rsidRDefault="00FD6B6A" w:rsidP="00B77817">
      <w:pPr>
        <w:pStyle w:val="ListParagraph"/>
        <w:numPr>
          <w:ilvl w:val="0"/>
          <w:numId w:val="57"/>
        </w:numPr>
        <w:jc w:val="both"/>
        <w:rPr>
          <w:rFonts w:cstheme="minorHAnsi"/>
          <w:lang w:val="en-MY" w:eastAsia="en-AU"/>
        </w:rPr>
      </w:pPr>
      <w:r w:rsidRPr="00FD6B6A">
        <w:rPr>
          <w:rFonts w:cstheme="minorHAnsi"/>
          <w:lang w:val="en-MY" w:eastAsia="en-AU"/>
        </w:rPr>
        <w:t>A project inception stage to agree the scope of deliverables with NIAA and prepare a project work plan to guide overall project implementation</w:t>
      </w:r>
      <w:r w:rsidR="007643EC">
        <w:rPr>
          <w:rFonts w:cstheme="minorHAnsi"/>
          <w:lang w:val="en-MY" w:eastAsia="en-AU"/>
        </w:rPr>
        <w:t>.</w:t>
      </w:r>
    </w:p>
    <w:p w14:paraId="71EDAE0D" w14:textId="77777777" w:rsidR="007643EC" w:rsidRDefault="007643EC" w:rsidP="007643EC">
      <w:pPr>
        <w:pStyle w:val="ListParagraph"/>
        <w:jc w:val="both"/>
        <w:rPr>
          <w:rFonts w:cstheme="minorHAnsi"/>
          <w:lang w:val="en-MY" w:eastAsia="en-AU"/>
        </w:rPr>
      </w:pPr>
    </w:p>
    <w:p w14:paraId="5C960635" w14:textId="77777777" w:rsidR="00FD6B6A" w:rsidRDefault="00FD6B6A" w:rsidP="00B77817">
      <w:pPr>
        <w:pStyle w:val="ListParagraph"/>
        <w:numPr>
          <w:ilvl w:val="0"/>
          <w:numId w:val="57"/>
        </w:numPr>
        <w:jc w:val="both"/>
        <w:rPr>
          <w:rFonts w:cstheme="minorHAnsi"/>
          <w:lang w:val="en-MY" w:eastAsia="en-AU"/>
        </w:rPr>
      </w:pPr>
      <w:r w:rsidRPr="00FD6B6A">
        <w:rPr>
          <w:rFonts w:cstheme="minorHAnsi"/>
          <w:lang w:val="en-MY" w:eastAsia="en-AU"/>
        </w:rPr>
        <w:t>An evaluation planning stage required for the development of the evaluation plan and to make initial contact with ATC and YTC service providers to validate evaluation design.</w:t>
      </w:r>
    </w:p>
    <w:p w14:paraId="7726BD46" w14:textId="77777777" w:rsidR="00FD6B6A" w:rsidRDefault="00FD6B6A" w:rsidP="00FD6B6A">
      <w:pPr>
        <w:pStyle w:val="ListParagraph"/>
        <w:jc w:val="both"/>
        <w:rPr>
          <w:rFonts w:cstheme="minorHAnsi"/>
          <w:lang w:val="en-MY" w:eastAsia="en-AU"/>
        </w:rPr>
      </w:pPr>
    </w:p>
    <w:p w14:paraId="76F92A00" w14:textId="07F894A7" w:rsidR="00FD6B6A" w:rsidRDefault="00FD6B6A" w:rsidP="00B77817">
      <w:pPr>
        <w:pStyle w:val="ListParagraph"/>
        <w:numPr>
          <w:ilvl w:val="0"/>
          <w:numId w:val="57"/>
        </w:numPr>
        <w:jc w:val="both"/>
        <w:rPr>
          <w:rFonts w:cstheme="minorHAnsi"/>
          <w:lang w:val="en-MY" w:eastAsia="en-AU"/>
        </w:rPr>
      </w:pPr>
      <w:r w:rsidRPr="00FD6B6A">
        <w:rPr>
          <w:rFonts w:cstheme="minorHAnsi"/>
          <w:lang w:val="en-MY" w:eastAsia="en-AU"/>
        </w:rPr>
        <w:t xml:space="preserve">An evaluation implementation phase during which stakeholders </w:t>
      </w:r>
      <w:r>
        <w:rPr>
          <w:rFonts w:cstheme="minorHAnsi"/>
          <w:lang w:val="en-MY" w:eastAsia="en-AU"/>
        </w:rPr>
        <w:t xml:space="preserve">were </w:t>
      </w:r>
      <w:r w:rsidRPr="00FD6B6A">
        <w:rPr>
          <w:rFonts w:cstheme="minorHAnsi"/>
          <w:lang w:val="en-MY" w:eastAsia="en-AU"/>
        </w:rPr>
        <w:t xml:space="preserve">interviewed and data </w:t>
      </w:r>
      <w:r>
        <w:rPr>
          <w:rFonts w:cstheme="minorHAnsi"/>
          <w:lang w:val="en-MY" w:eastAsia="en-AU"/>
        </w:rPr>
        <w:t xml:space="preserve">was </w:t>
      </w:r>
      <w:r w:rsidRPr="00FD6B6A">
        <w:rPr>
          <w:rFonts w:cstheme="minorHAnsi"/>
          <w:lang w:val="en-MY" w:eastAsia="en-AU"/>
        </w:rPr>
        <w:t>collected.</w:t>
      </w:r>
    </w:p>
    <w:p w14:paraId="0CF0BEFE" w14:textId="77777777" w:rsidR="00FD6B6A" w:rsidRDefault="00FD6B6A" w:rsidP="00FD6B6A">
      <w:pPr>
        <w:pStyle w:val="ListParagraph"/>
        <w:jc w:val="both"/>
        <w:rPr>
          <w:rFonts w:cstheme="minorHAnsi"/>
          <w:lang w:val="en-MY" w:eastAsia="en-AU"/>
        </w:rPr>
      </w:pPr>
    </w:p>
    <w:p w14:paraId="1A27784B" w14:textId="77777777" w:rsidR="00FD6B6A" w:rsidRDefault="00FD6B6A" w:rsidP="00B77817">
      <w:pPr>
        <w:pStyle w:val="ListParagraph"/>
        <w:numPr>
          <w:ilvl w:val="0"/>
          <w:numId w:val="57"/>
        </w:numPr>
        <w:jc w:val="both"/>
        <w:rPr>
          <w:rFonts w:cstheme="minorHAnsi"/>
          <w:lang w:val="en-MY" w:eastAsia="en-AU"/>
        </w:rPr>
      </w:pPr>
      <w:r w:rsidRPr="00FD6B6A">
        <w:rPr>
          <w:rFonts w:cstheme="minorHAnsi"/>
          <w:lang w:val="en-MY" w:eastAsia="en-AU"/>
        </w:rPr>
        <w:t xml:space="preserve">An analysis and reporting stage in which interim, draft and final evaluation reports were prepared. </w:t>
      </w:r>
    </w:p>
    <w:p w14:paraId="66C523DD" w14:textId="77777777" w:rsidR="00FD6B6A" w:rsidRDefault="00FD6B6A" w:rsidP="00FD6B6A">
      <w:pPr>
        <w:jc w:val="both"/>
        <w:rPr>
          <w:rFonts w:cstheme="minorHAnsi"/>
          <w:lang w:val="en-MY" w:eastAsia="en-AU"/>
        </w:rPr>
      </w:pPr>
    </w:p>
    <w:p w14:paraId="34F2C1FF" w14:textId="37B13764" w:rsidR="00AE59FA" w:rsidRPr="001B2179" w:rsidRDefault="006E772F" w:rsidP="001B2179">
      <w:pPr>
        <w:jc w:val="both"/>
        <w:rPr>
          <w:rFonts w:cstheme="minorHAnsi"/>
          <w:lang w:val="en-MY" w:eastAsia="en-AU"/>
        </w:rPr>
      </w:pPr>
      <w:r w:rsidRPr="001B2179">
        <w:rPr>
          <w:rFonts w:cstheme="minorHAnsi"/>
          <w:lang w:val="en-MY" w:eastAsia="en-AU"/>
        </w:rPr>
        <w:t xml:space="preserve">Research activities were developed in consultation with NIAA, including </w:t>
      </w:r>
      <w:r w:rsidR="008C7BC3">
        <w:rPr>
          <w:rFonts w:cstheme="minorHAnsi"/>
          <w:lang w:val="en-MY" w:eastAsia="en-AU"/>
        </w:rPr>
        <w:t xml:space="preserve">in response to feedback provided by </w:t>
      </w:r>
      <w:r w:rsidRPr="001B2179">
        <w:rPr>
          <w:rFonts w:cstheme="minorHAnsi"/>
          <w:lang w:val="en-MY" w:eastAsia="en-AU"/>
        </w:rPr>
        <w:t>a</w:t>
      </w:r>
      <w:r w:rsidR="008C7BC3">
        <w:rPr>
          <w:rFonts w:cstheme="minorHAnsi"/>
          <w:lang w:val="en-MY" w:eastAsia="en-AU"/>
        </w:rPr>
        <w:t xml:space="preserve"> project</w:t>
      </w:r>
      <w:r w:rsidRPr="001B2179">
        <w:rPr>
          <w:rFonts w:cstheme="minorHAnsi"/>
          <w:lang w:val="en-MY" w:eastAsia="en-AU"/>
        </w:rPr>
        <w:t xml:space="preserve"> Evaluation Advisory Group (EAG) and</w:t>
      </w:r>
      <w:r w:rsidR="00AE59FA" w:rsidRPr="001B2179">
        <w:rPr>
          <w:rFonts w:cstheme="minorHAnsi"/>
          <w:lang w:val="en-MY" w:eastAsia="en-AU"/>
        </w:rPr>
        <w:t xml:space="preserve"> NIAA’s Indigenous Evaluation Committee (IEC)</w:t>
      </w:r>
      <w:r w:rsidRPr="001B2179">
        <w:rPr>
          <w:rFonts w:cstheme="minorHAnsi"/>
          <w:lang w:val="en-MY" w:eastAsia="en-AU"/>
        </w:rPr>
        <w:t>.</w:t>
      </w:r>
      <w:r w:rsidR="00AE59FA" w:rsidRPr="001B2179">
        <w:rPr>
          <w:rFonts w:cstheme="minorHAnsi"/>
          <w:lang w:val="en-MY" w:eastAsia="en-AU"/>
        </w:rPr>
        <w:t xml:space="preserve"> </w:t>
      </w:r>
      <w:r w:rsidRPr="001B2179">
        <w:rPr>
          <w:rFonts w:cstheme="minorHAnsi"/>
          <w:lang w:val="en-MY" w:eastAsia="en-AU"/>
        </w:rPr>
        <w:t>Through-care service providers were also</w:t>
      </w:r>
      <w:r w:rsidR="002E0058" w:rsidRPr="001B2179">
        <w:rPr>
          <w:rFonts w:cstheme="minorHAnsi"/>
          <w:lang w:val="en-MY" w:eastAsia="en-AU"/>
        </w:rPr>
        <w:t xml:space="preserve"> informed</w:t>
      </w:r>
      <w:r w:rsidRPr="001B2179">
        <w:rPr>
          <w:rFonts w:cstheme="minorHAnsi"/>
          <w:lang w:val="en-MY" w:eastAsia="en-AU"/>
        </w:rPr>
        <w:t xml:space="preserve"> regarding the evaluation</w:t>
      </w:r>
      <w:r w:rsidR="00AE59FA" w:rsidRPr="001B2179">
        <w:rPr>
          <w:rFonts w:cstheme="minorHAnsi"/>
          <w:lang w:val="en-MY" w:eastAsia="en-AU"/>
        </w:rPr>
        <w:t xml:space="preserve">’s </w:t>
      </w:r>
      <w:r w:rsidRPr="001B2179">
        <w:rPr>
          <w:rFonts w:cstheme="minorHAnsi"/>
          <w:lang w:val="en-MY" w:eastAsia="en-AU"/>
        </w:rPr>
        <w:t xml:space="preserve">design, with early contact made by Keogh Bay researchers to introduce the project, discuss data collection methods and agree on respective roles and responsibilities. This has enabled the preparation of a suite of </w:t>
      </w:r>
      <w:r w:rsidR="00AE59FA" w:rsidRPr="001B2179">
        <w:rPr>
          <w:rFonts w:cstheme="minorHAnsi"/>
          <w:lang w:val="en-MY" w:eastAsia="en-AU"/>
        </w:rPr>
        <w:t xml:space="preserve">data collection </w:t>
      </w:r>
      <w:r w:rsidRPr="001B2179">
        <w:rPr>
          <w:rFonts w:cstheme="minorHAnsi"/>
          <w:lang w:val="en-MY" w:eastAsia="en-AU"/>
        </w:rPr>
        <w:t>methods</w:t>
      </w:r>
      <w:r w:rsidR="008C7BC3">
        <w:rPr>
          <w:rFonts w:cstheme="minorHAnsi"/>
          <w:lang w:val="en-MY" w:eastAsia="en-AU"/>
        </w:rPr>
        <w:t xml:space="preserve">, discussed in proceeding chapters, </w:t>
      </w:r>
      <w:r w:rsidRPr="001B2179">
        <w:rPr>
          <w:rFonts w:cstheme="minorHAnsi"/>
          <w:lang w:val="en-MY" w:eastAsia="en-AU"/>
        </w:rPr>
        <w:t>that consider the history, operational contexts, current stakeholders, and the types of data intended to be collected by service providers for each program.</w:t>
      </w:r>
      <w:r w:rsidR="00AE59FA" w:rsidRPr="001B2179">
        <w:rPr>
          <w:rFonts w:cstheme="minorHAnsi"/>
          <w:lang w:val="en-MY" w:eastAsia="en-AU"/>
        </w:rPr>
        <w:t xml:space="preserve"> </w:t>
      </w:r>
    </w:p>
    <w:p w14:paraId="62C30E2C" w14:textId="77777777" w:rsidR="008C7BC3" w:rsidRDefault="008C7BC3" w:rsidP="001B2179">
      <w:pPr>
        <w:jc w:val="both"/>
        <w:rPr>
          <w:rFonts w:cstheme="minorHAnsi"/>
          <w:lang w:val="en-MY" w:eastAsia="en-AU"/>
        </w:rPr>
      </w:pPr>
    </w:p>
    <w:p w14:paraId="296BB2F9" w14:textId="2DA8851F" w:rsidR="00AD6E94" w:rsidRPr="001B2179" w:rsidRDefault="008C7BC3" w:rsidP="001B2179">
      <w:pPr>
        <w:jc w:val="both"/>
        <w:rPr>
          <w:rFonts w:cstheme="minorHAnsi"/>
          <w:lang w:val="en-MY" w:eastAsia="en-AU"/>
        </w:rPr>
      </w:pPr>
      <w:r>
        <w:rPr>
          <w:rFonts w:cstheme="minorHAnsi"/>
          <w:lang w:val="en-MY" w:eastAsia="en-AU"/>
        </w:rPr>
        <w:t xml:space="preserve">Keogh Bay </w:t>
      </w:r>
      <w:r w:rsidR="008350B4">
        <w:rPr>
          <w:rFonts w:cstheme="minorHAnsi"/>
          <w:lang w:val="en-MY" w:eastAsia="en-AU"/>
        </w:rPr>
        <w:t>has</w:t>
      </w:r>
      <w:r w:rsidR="008350B4" w:rsidRPr="001B2179">
        <w:rPr>
          <w:rFonts w:cstheme="minorHAnsi"/>
          <w:lang w:val="en-MY" w:eastAsia="en-AU"/>
        </w:rPr>
        <w:t xml:space="preserve"> </w:t>
      </w:r>
      <w:r w:rsidR="0076398C" w:rsidRPr="001B2179">
        <w:rPr>
          <w:rFonts w:cstheme="minorHAnsi"/>
          <w:lang w:val="en-MY" w:eastAsia="en-AU"/>
        </w:rPr>
        <w:t>furthermore remain</w:t>
      </w:r>
      <w:r w:rsidR="00AE59FA" w:rsidRPr="001B2179">
        <w:rPr>
          <w:rFonts w:cstheme="minorHAnsi"/>
          <w:lang w:val="en-MY" w:eastAsia="en-AU"/>
        </w:rPr>
        <w:t>ed</w:t>
      </w:r>
      <w:r w:rsidR="0076398C" w:rsidRPr="001B2179">
        <w:rPr>
          <w:rFonts w:cstheme="minorHAnsi"/>
          <w:lang w:val="en-MY" w:eastAsia="en-AU"/>
        </w:rPr>
        <w:t xml:space="preserve"> accountable to </w:t>
      </w:r>
      <w:r w:rsidR="00E26A8D">
        <w:rPr>
          <w:rFonts w:cstheme="minorHAnsi"/>
          <w:lang w:val="en-MY" w:eastAsia="en-AU"/>
        </w:rPr>
        <w:t xml:space="preserve">the </w:t>
      </w:r>
      <w:r w:rsidR="0076183B" w:rsidRPr="001B2179">
        <w:rPr>
          <w:rFonts w:cstheme="minorHAnsi"/>
          <w:lang w:val="en-MY" w:eastAsia="en-AU"/>
        </w:rPr>
        <w:t>AIATSIS</w:t>
      </w:r>
      <w:r w:rsidR="0076398C" w:rsidRPr="001B2179">
        <w:rPr>
          <w:rFonts w:cstheme="minorHAnsi"/>
          <w:lang w:val="en-MY" w:eastAsia="en-AU"/>
        </w:rPr>
        <w:t xml:space="preserve"> research ethics committee through </w:t>
      </w:r>
      <w:r w:rsidR="00E83194" w:rsidRPr="001B2179">
        <w:rPr>
          <w:rFonts w:cstheme="minorHAnsi"/>
          <w:lang w:val="en-MY" w:eastAsia="en-AU"/>
        </w:rPr>
        <w:t xml:space="preserve">a human research </w:t>
      </w:r>
      <w:r w:rsidR="0076398C" w:rsidRPr="001B2179">
        <w:rPr>
          <w:rFonts w:cstheme="minorHAnsi"/>
          <w:lang w:val="en-MY" w:eastAsia="en-AU"/>
        </w:rPr>
        <w:t>ethics application process</w:t>
      </w:r>
      <w:r>
        <w:rPr>
          <w:rFonts w:cstheme="minorHAnsi"/>
          <w:lang w:val="en-MY" w:eastAsia="en-AU"/>
        </w:rPr>
        <w:t xml:space="preserve">, including </w:t>
      </w:r>
      <w:r w:rsidR="0076398C" w:rsidRPr="001B2179">
        <w:rPr>
          <w:rFonts w:cstheme="minorHAnsi"/>
          <w:lang w:val="en-MY" w:eastAsia="en-AU"/>
        </w:rPr>
        <w:t>report</w:t>
      </w:r>
      <w:r>
        <w:rPr>
          <w:rFonts w:cstheme="minorHAnsi"/>
          <w:lang w:val="en-MY" w:eastAsia="en-AU"/>
        </w:rPr>
        <w:t xml:space="preserve">ing </w:t>
      </w:r>
      <w:r w:rsidR="00AE59FA" w:rsidRPr="001B2179">
        <w:rPr>
          <w:rFonts w:cstheme="minorHAnsi"/>
          <w:lang w:val="en-MY" w:eastAsia="en-AU"/>
        </w:rPr>
        <w:t xml:space="preserve">any </w:t>
      </w:r>
      <w:r w:rsidR="0076398C" w:rsidRPr="001B2179">
        <w:rPr>
          <w:rFonts w:cstheme="minorHAnsi"/>
          <w:lang w:val="en-MY" w:eastAsia="en-AU"/>
        </w:rPr>
        <w:t>changes to the project which may affect its ethical integrity</w:t>
      </w:r>
      <w:r w:rsidR="00AE59FA" w:rsidRPr="001B2179">
        <w:rPr>
          <w:rFonts w:cstheme="minorHAnsi"/>
          <w:lang w:val="en-MY" w:eastAsia="en-AU"/>
        </w:rPr>
        <w:t xml:space="preserve">. This has included the requirement, post the grant of conditional approval, to obtain additional letters of support from </w:t>
      </w:r>
      <w:r w:rsidR="00DB755B" w:rsidRPr="001B2179">
        <w:rPr>
          <w:rFonts w:cstheme="minorHAnsi"/>
          <w:lang w:val="en-MY" w:eastAsia="en-AU"/>
        </w:rPr>
        <w:t>ACCOs</w:t>
      </w:r>
      <w:r w:rsidR="0076183B" w:rsidRPr="001B2179">
        <w:rPr>
          <w:rFonts w:cstheme="minorHAnsi"/>
          <w:lang w:val="en-MY" w:eastAsia="en-AU"/>
        </w:rPr>
        <w:t xml:space="preserve"> familiar with the program and the services of each through-care provider in their community, as well as a request to vary the </w:t>
      </w:r>
      <w:r>
        <w:rPr>
          <w:rFonts w:cstheme="minorHAnsi"/>
          <w:lang w:val="en-MY" w:eastAsia="en-AU"/>
        </w:rPr>
        <w:t xml:space="preserve">evaluation </w:t>
      </w:r>
      <w:r w:rsidR="0076183B" w:rsidRPr="001B2179">
        <w:rPr>
          <w:rFonts w:cstheme="minorHAnsi"/>
          <w:lang w:val="en-MY" w:eastAsia="en-AU"/>
        </w:rPr>
        <w:t xml:space="preserve">by including consultations with </w:t>
      </w:r>
      <w:r w:rsidR="00E26A8D">
        <w:rPr>
          <w:rFonts w:cstheme="minorHAnsi"/>
          <w:lang w:val="en-MY" w:eastAsia="en-AU"/>
        </w:rPr>
        <w:t>c</w:t>
      </w:r>
      <w:r w:rsidR="0076183B" w:rsidRPr="001B2179">
        <w:rPr>
          <w:rFonts w:cstheme="minorHAnsi"/>
          <w:lang w:val="en-MY" w:eastAsia="en-AU"/>
        </w:rPr>
        <w:t xml:space="preserve">orrectional </w:t>
      </w:r>
      <w:r w:rsidR="00E26A8D">
        <w:rPr>
          <w:rFonts w:cstheme="minorHAnsi"/>
          <w:lang w:val="en-MY" w:eastAsia="en-AU"/>
        </w:rPr>
        <w:t>s</w:t>
      </w:r>
      <w:r w:rsidR="0076183B" w:rsidRPr="001B2179">
        <w:rPr>
          <w:rFonts w:cstheme="minorHAnsi"/>
          <w:lang w:val="en-MY" w:eastAsia="en-AU"/>
        </w:rPr>
        <w:t xml:space="preserve">ervices staff. Formal </w:t>
      </w:r>
      <w:r w:rsidR="00AE59FA" w:rsidRPr="001B2179">
        <w:rPr>
          <w:rFonts w:cstheme="minorHAnsi"/>
          <w:lang w:val="en-MY" w:eastAsia="en-AU"/>
        </w:rPr>
        <w:t xml:space="preserve">ethics approval </w:t>
      </w:r>
      <w:r w:rsidR="0076183B" w:rsidRPr="001B2179">
        <w:rPr>
          <w:rFonts w:cstheme="minorHAnsi"/>
          <w:lang w:val="en-MY" w:eastAsia="en-AU"/>
        </w:rPr>
        <w:t xml:space="preserve">was granted by the </w:t>
      </w:r>
      <w:r w:rsidR="00AE59FA" w:rsidRPr="001B2179">
        <w:rPr>
          <w:rFonts w:cstheme="minorHAnsi"/>
          <w:lang w:val="en-MY" w:eastAsia="en-AU"/>
        </w:rPr>
        <w:t xml:space="preserve">AIATSIS Ethics Committee </w:t>
      </w:r>
      <w:r w:rsidR="009D25E7" w:rsidRPr="001B2179">
        <w:rPr>
          <w:rFonts w:cstheme="minorHAnsi"/>
          <w:lang w:val="en-MY" w:eastAsia="en-AU"/>
        </w:rPr>
        <w:t xml:space="preserve">on 3 </w:t>
      </w:r>
      <w:r w:rsidR="0076183B" w:rsidRPr="001B2179">
        <w:rPr>
          <w:rFonts w:cstheme="minorHAnsi"/>
          <w:lang w:val="en-MY" w:eastAsia="en-AU"/>
        </w:rPr>
        <w:t xml:space="preserve">February </w:t>
      </w:r>
      <w:r w:rsidR="00AE59FA" w:rsidRPr="001B2179">
        <w:rPr>
          <w:rFonts w:cstheme="minorHAnsi"/>
          <w:lang w:val="en-MY" w:eastAsia="en-AU"/>
        </w:rPr>
        <w:t>202</w:t>
      </w:r>
      <w:r w:rsidR="0076183B" w:rsidRPr="001B2179">
        <w:rPr>
          <w:rFonts w:cstheme="minorHAnsi"/>
          <w:lang w:val="en-MY" w:eastAsia="en-AU"/>
        </w:rPr>
        <w:t>3</w:t>
      </w:r>
      <w:r w:rsidR="00AE59FA" w:rsidRPr="001B2179">
        <w:rPr>
          <w:rFonts w:cstheme="minorHAnsi"/>
          <w:lang w:val="en-MY" w:eastAsia="en-AU"/>
        </w:rPr>
        <w:t>.</w:t>
      </w:r>
      <w:r w:rsidR="0076398C" w:rsidRPr="001B2179">
        <w:rPr>
          <w:rFonts w:cstheme="minorHAnsi"/>
          <w:lang w:val="en-MY" w:eastAsia="en-AU"/>
        </w:rPr>
        <w:t xml:space="preserve"> </w:t>
      </w:r>
    </w:p>
    <w:p w14:paraId="4D0920DA" w14:textId="77777777" w:rsidR="00C15FB9" w:rsidRPr="001B2179" w:rsidRDefault="00C15FB9" w:rsidP="001B2179">
      <w:pPr>
        <w:jc w:val="both"/>
        <w:rPr>
          <w:rFonts w:cstheme="minorHAnsi"/>
          <w:lang w:val="en-MY" w:eastAsia="en-AU"/>
        </w:rPr>
      </w:pPr>
    </w:p>
    <w:p w14:paraId="6FA92D0D" w14:textId="0ACF0F13" w:rsidR="009B3E00" w:rsidRPr="001B2179" w:rsidRDefault="00C15FB9" w:rsidP="001B2179">
      <w:pPr>
        <w:jc w:val="both"/>
        <w:rPr>
          <w:rFonts w:cstheme="minorHAnsi"/>
          <w:lang w:val="en-MY" w:eastAsia="en-AU"/>
        </w:rPr>
      </w:pPr>
      <w:r>
        <w:rPr>
          <w:rFonts w:cstheme="minorHAnsi"/>
          <w:lang w:val="en-MY" w:eastAsia="en-AU"/>
        </w:rPr>
        <w:t xml:space="preserve">To protect the privacy and confidentiality of participating services and individuals, the </w:t>
      </w:r>
      <w:r w:rsidRPr="00BA79E1">
        <w:rPr>
          <w:rFonts w:cstheme="minorHAnsi"/>
          <w:lang w:val="en-MY" w:eastAsia="en-AU"/>
        </w:rPr>
        <w:t xml:space="preserve">analysis and findings </w:t>
      </w:r>
      <w:r>
        <w:rPr>
          <w:rFonts w:cstheme="minorHAnsi"/>
          <w:lang w:val="en-MY" w:eastAsia="en-AU"/>
        </w:rPr>
        <w:t xml:space="preserve">presented </w:t>
      </w:r>
      <w:r w:rsidR="008C7BC3">
        <w:rPr>
          <w:rFonts w:cstheme="minorHAnsi"/>
          <w:lang w:val="en-MY" w:eastAsia="en-AU"/>
        </w:rPr>
        <w:t xml:space="preserve">in this report </w:t>
      </w:r>
      <w:r>
        <w:rPr>
          <w:rFonts w:cstheme="minorHAnsi"/>
          <w:lang w:val="en-MY" w:eastAsia="en-AU"/>
        </w:rPr>
        <w:t xml:space="preserve">are </w:t>
      </w:r>
      <w:r w:rsidRPr="00BA79E1">
        <w:rPr>
          <w:rFonts w:cstheme="minorHAnsi"/>
          <w:lang w:val="en-MY" w:eastAsia="en-AU"/>
        </w:rPr>
        <w:t xml:space="preserve">reported at a whole of program level, with findings in relation to </w:t>
      </w:r>
      <w:r>
        <w:rPr>
          <w:rFonts w:cstheme="minorHAnsi"/>
          <w:lang w:val="en-MY" w:eastAsia="en-AU"/>
        </w:rPr>
        <w:t xml:space="preserve">specific </w:t>
      </w:r>
      <w:r w:rsidRPr="00BA79E1">
        <w:rPr>
          <w:rFonts w:cstheme="minorHAnsi"/>
          <w:lang w:val="en-MY" w:eastAsia="en-AU"/>
        </w:rPr>
        <w:t xml:space="preserve">services or sites that are working well, or not so well, </w:t>
      </w:r>
      <w:r w:rsidR="00E26A8D">
        <w:rPr>
          <w:rFonts w:cstheme="minorHAnsi"/>
          <w:lang w:val="en-MY" w:eastAsia="en-AU"/>
        </w:rPr>
        <w:t>reported on an exceptions basis</w:t>
      </w:r>
      <w:r w:rsidRPr="00BA79E1">
        <w:rPr>
          <w:rFonts w:cstheme="minorHAnsi"/>
          <w:lang w:val="en-MY" w:eastAsia="en-AU"/>
        </w:rPr>
        <w:t>.</w:t>
      </w:r>
      <w:r w:rsidR="009B3E00">
        <w:rPr>
          <w:rFonts w:cstheme="minorHAnsi"/>
          <w:lang w:val="en-MY" w:eastAsia="en-AU"/>
        </w:rPr>
        <w:t xml:space="preserve"> </w:t>
      </w:r>
      <w:r w:rsidR="009B3E00" w:rsidRPr="009B3E00">
        <w:rPr>
          <w:rFonts w:cstheme="minorHAnsi"/>
          <w:lang w:val="en-MY" w:eastAsia="en-AU"/>
        </w:rPr>
        <w:t xml:space="preserve">Moreover, since </w:t>
      </w:r>
      <w:r w:rsidR="00E26A8D">
        <w:rPr>
          <w:rFonts w:cstheme="minorHAnsi"/>
          <w:lang w:val="en-MY" w:eastAsia="en-AU"/>
        </w:rPr>
        <w:t>y</w:t>
      </w:r>
      <w:r w:rsidR="009B3E00" w:rsidRPr="009B3E00">
        <w:rPr>
          <w:rFonts w:cstheme="minorHAnsi"/>
          <w:lang w:val="en-MY" w:eastAsia="en-AU"/>
        </w:rPr>
        <w:t xml:space="preserve">outh and </w:t>
      </w:r>
      <w:r w:rsidR="00E26A8D">
        <w:rPr>
          <w:rFonts w:cstheme="minorHAnsi"/>
          <w:lang w:val="en-MY" w:eastAsia="en-AU"/>
        </w:rPr>
        <w:t>a</w:t>
      </w:r>
      <w:r w:rsidR="009B3E00" w:rsidRPr="009B3E00">
        <w:rPr>
          <w:rFonts w:cstheme="minorHAnsi"/>
          <w:lang w:val="en-MY" w:eastAsia="en-AU"/>
        </w:rPr>
        <w:t xml:space="preserve">dult programs are integrated within the management structures and practice frameworks of all services operating both programs, to avoid unnecessary duplication, </w:t>
      </w:r>
      <w:r w:rsidR="009B3E00">
        <w:rPr>
          <w:rFonts w:cstheme="minorHAnsi"/>
          <w:lang w:val="en-MY" w:eastAsia="en-AU"/>
        </w:rPr>
        <w:t xml:space="preserve">general </w:t>
      </w:r>
      <w:r w:rsidR="009B3E00" w:rsidRPr="009B3E00">
        <w:rPr>
          <w:rFonts w:cstheme="minorHAnsi"/>
          <w:lang w:val="en-MY" w:eastAsia="en-AU"/>
        </w:rPr>
        <w:t>findings and observations relatin</w:t>
      </w:r>
      <w:r w:rsidR="009B3E00">
        <w:rPr>
          <w:rFonts w:cstheme="minorHAnsi"/>
          <w:lang w:val="en-MY" w:eastAsia="en-AU"/>
        </w:rPr>
        <w:t>g</w:t>
      </w:r>
      <w:r w:rsidR="009B3E00" w:rsidRPr="009B3E00">
        <w:rPr>
          <w:rFonts w:cstheme="minorHAnsi"/>
          <w:lang w:val="en-MY" w:eastAsia="en-AU"/>
        </w:rPr>
        <w:t xml:space="preserve"> to both models are combined. Any findings that are specific to </w:t>
      </w:r>
      <w:r w:rsidR="00E26A8D">
        <w:rPr>
          <w:rFonts w:cstheme="minorHAnsi"/>
          <w:lang w:val="en-MY" w:eastAsia="en-AU"/>
        </w:rPr>
        <w:t>y</w:t>
      </w:r>
      <w:r w:rsidR="009B3E00" w:rsidRPr="009B3E00">
        <w:rPr>
          <w:rFonts w:cstheme="minorHAnsi"/>
          <w:lang w:val="en-MY" w:eastAsia="en-AU"/>
        </w:rPr>
        <w:t xml:space="preserve">outh or </w:t>
      </w:r>
      <w:r w:rsidR="00E26A8D">
        <w:rPr>
          <w:rFonts w:cstheme="minorHAnsi"/>
          <w:lang w:val="en-MY" w:eastAsia="en-AU"/>
        </w:rPr>
        <w:t>a</w:t>
      </w:r>
      <w:r w:rsidR="009B3E00" w:rsidRPr="009B3E00">
        <w:rPr>
          <w:rFonts w:cstheme="minorHAnsi"/>
          <w:lang w:val="en-MY" w:eastAsia="en-AU"/>
        </w:rPr>
        <w:t xml:space="preserve">dult services are </w:t>
      </w:r>
      <w:r w:rsidR="009B3E00">
        <w:rPr>
          <w:rFonts w:cstheme="minorHAnsi"/>
          <w:lang w:val="en-MY" w:eastAsia="en-AU"/>
        </w:rPr>
        <w:t xml:space="preserve">otherwise </w:t>
      </w:r>
      <w:r w:rsidR="009B3E00" w:rsidRPr="009B3E00">
        <w:rPr>
          <w:rFonts w:cstheme="minorHAnsi"/>
          <w:lang w:val="en-MY" w:eastAsia="en-AU"/>
        </w:rPr>
        <w:t>clearly identified.</w:t>
      </w:r>
    </w:p>
    <w:p w14:paraId="73D65388" w14:textId="43A244D1" w:rsidR="00A37515" w:rsidRPr="008719B9" w:rsidRDefault="00A37515" w:rsidP="0022592D">
      <w:pPr>
        <w:pStyle w:val="Heading2"/>
        <w:rPr>
          <w:rFonts w:cstheme="minorHAnsi"/>
          <w:lang w:val="en-MY"/>
        </w:rPr>
      </w:pPr>
      <w:bookmarkStart w:id="17" w:name="_Toc150784191"/>
      <w:r w:rsidRPr="008719B9">
        <w:rPr>
          <w:rFonts w:cstheme="minorHAnsi"/>
          <w:lang w:val="en-MY"/>
        </w:rPr>
        <w:t xml:space="preserve">Remainder of </w:t>
      </w:r>
      <w:r w:rsidR="00AC47AC" w:rsidRPr="008719B9">
        <w:rPr>
          <w:rFonts w:cstheme="minorHAnsi"/>
          <w:lang w:val="en-MY"/>
        </w:rPr>
        <w:t>T</w:t>
      </w:r>
      <w:r w:rsidRPr="008719B9">
        <w:rPr>
          <w:rFonts w:cstheme="minorHAnsi"/>
          <w:lang w:val="en-MY"/>
        </w:rPr>
        <w:t xml:space="preserve">his </w:t>
      </w:r>
      <w:r w:rsidR="00AC47AC" w:rsidRPr="008719B9">
        <w:rPr>
          <w:rFonts w:cstheme="minorHAnsi"/>
          <w:lang w:val="en-MY"/>
        </w:rPr>
        <w:t>R</w:t>
      </w:r>
      <w:r w:rsidRPr="008719B9">
        <w:rPr>
          <w:rFonts w:cstheme="minorHAnsi"/>
          <w:lang w:val="en-MY"/>
        </w:rPr>
        <w:t>eport</w:t>
      </w:r>
      <w:bookmarkEnd w:id="17"/>
      <w:r w:rsidRPr="008719B9">
        <w:rPr>
          <w:rFonts w:cstheme="minorHAnsi"/>
          <w:lang w:val="en-MY"/>
        </w:rPr>
        <w:t xml:space="preserve"> </w:t>
      </w:r>
    </w:p>
    <w:p w14:paraId="11E56C05" w14:textId="77777777" w:rsidR="00761305" w:rsidRDefault="00E83194" w:rsidP="001B2179">
      <w:pPr>
        <w:jc w:val="both"/>
        <w:rPr>
          <w:rFonts w:cstheme="minorHAnsi"/>
          <w:lang w:val="en-MY" w:eastAsia="en-AU"/>
        </w:rPr>
      </w:pPr>
      <w:r w:rsidRPr="001B2179">
        <w:rPr>
          <w:rFonts w:cstheme="minorHAnsi"/>
          <w:lang w:val="en-MY" w:eastAsia="en-AU"/>
        </w:rPr>
        <w:t xml:space="preserve">The remainder of this report </w:t>
      </w:r>
      <w:r w:rsidR="00761305">
        <w:rPr>
          <w:rFonts w:cstheme="minorHAnsi"/>
          <w:lang w:val="en-MY" w:eastAsia="en-AU"/>
        </w:rPr>
        <w:t xml:space="preserve">is structured into four chapters with supporting references and appendices (including the </w:t>
      </w:r>
      <w:r w:rsidR="00761305" w:rsidRPr="001B2179">
        <w:rPr>
          <w:rFonts w:cstheme="minorHAnsi"/>
          <w:lang w:val="en-MY" w:eastAsia="en-AU"/>
        </w:rPr>
        <w:t>Evaluation Data Matrix</w:t>
      </w:r>
      <w:r w:rsidR="00761305">
        <w:rPr>
          <w:rFonts w:cstheme="minorHAnsi"/>
          <w:lang w:val="en-MY" w:eastAsia="en-AU"/>
        </w:rPr>
        <w:t xml:space="preserve"> and accompanying </w:t>
      </w:r>
      <w:r w:rsidR="00761305" w:rsidRPr="001B2179">
        <w:rPr>
          <w:rFonts w:cstheme="minorHAnsi"/>
          <w:lang w:val="en-MY" w:eastAsia="en-AU"/>
        </w:rPr>
        <w:t>Data Collection Instruments</w:t>
      </w:r>
      <w:r w:rsidR="00761305">
        <w:rPr>
          <w:rFonts w:cstheme="minorHAnsi"/>
          <w:lang w:val="en-MY" w:eastAsia="en-AU"/>
        </w:rPr>
        <w:t xml:space="preserve">). </w:t>
      </w:r>
    </w:p>
    <w:p w14:paraId="5FB59167" w14:textId="77777777" w:rsidR="00EB4FA0" w:rsidRPr="001B2179" w:rsidRDefault="00EB4FA0" w:rsidP="001B2179">
      <w:pPr>
        <w:jc w:val="both"/>
        <w:rPr>
          <w:rFonts w:cstheme="minorHAnsi"/>
          <w:lang w:val="en-MY" w:eastAsia="en-AU"/>
        </w:rPr>
      </w:pPr>
    </w:p>
    <w:p w14:paraId="05C9587C" w14:textId="69DFAA59" w:rsidR="00EB4FA0" w:rsidRPr="00B36CF9" w:rsidRDefault="00EB4FA0" w:rsidP="00B77817">
      <w:pPr>
        <w:pStyle w:val="ListParagraph"/>
        <w:numPr>
          <w:ilvl w:val="0"/>
          <w:numId w:val="62"/>
        </w:numPr>
        <w:jc w:val="both"/>
        <w:rPr>
          <w:rFonts w:cstheme="minorHAnsi"/>
          <w:b/>
          <w:bCs/>
          <w:lang w:val="en-MY" w:eastAsia="en-AU"/>
        </w:rPr>
      </w:pPr>
      <w:r w:rsidRPr="00B36CF9">
        <w:rPr>
          <w:rFonts w:cstheme="minorHAnsi"/>
          <w:b/>
          <w:bCs/>
          <w:lang w:val="en-MY" w:eastAsia="en-AU"/>
        </w:rPr>
        <w:t>Program Background</w:t>
      </w:r>
      <w:r w:rsidR="003A031A" w:rsidRPr="00B36CF9">
        <w:rPr>
          <w:rFonts w:cstheme="minorHAnsi"/>
          <w:b/>
          <w:bCs/>
          <w:lang w:val="en-MY" w:eastAsia="en-AU"/>
        </w:rPr>
        <w:t xml:space="preserve"> - </w:t>
      </w:r>
      <w:r w:rsidR="009534F6" w:rsidRPr="00B36CF9">
        <w:rPr>
          <w:rFonts w:cstheme="minorHAnsi"/>
          <w:lang w:val="en-MY" w:eastAsia="en-AU"/>
        </w:rPr>
        <w:t xml:space="preserve">Provides an overview of the ATC and YTC </w:t>
      </w:r>
      <w:r w:rsidR="00542534" w:rsidRPr="00B36CF9">
        <w:rPr>
          <w:rFonts w:cstheme="minorHAnsi"/>
          <w:lang w:val="en-MY" w:eastAsia="en-AU"/>
        </w:rPr>
        <w:t>model</w:t>
      </w:r>
      <w:r w:rsidR="009534F6" w:rsidRPr="00B36CF9">
        <w:rPr>
          <w:rFonts w:cstheme="minorHAnsi"/>
          <w:lang w:val="en-MY" w:eastAsia="en-AU"/>
        </w:rPr>
        <w:t xml:space="preserve"> as </w:t>
      </w:r>
      <w:r w:rsidR="00542534" w:rsidRPr="00B36CF9">
        <w:rPr>
          <w:rFonts w:cstheme="minorHAnsi"/>
          <w:lang w:val="en-MY" w:eastAsia="en-AU"/>
        </w:rPr>
        <w:t>defined</w:t>
      </w:r>
      <w:r w:rsidR="009534F6" w:rsidRPr="00B36CF9">
        <w:rPr>
          <w:rFonts w:cstheme="minorHAnsi"/>
          <w:lang w:val="en-MY" w:eastAsia="en-AU"/>
        </w:rPr>
        <w:t xml:space="preserve"> in the relevant co-design documentation, including a description of program theory and intended operational elements. The chapter concludes with a</w:t>
      </w:r>
      <w:r w:rsidR="00542534" w:rsidRPr="00B36CF9">
        <w:rPr>
          <w:rFonts w:cstheme="minorHAnsi"/>
          <w:lang w:val="en-MY" w:eastAsia="en-AU"/>
        </w:rPr>
        <w:t>n analysis of the</w:t>
      </w:r>
      <w:r w:rsidR="009534F6" w:rsidRPr="00B36CF9">
        <w:rPr>
          <w:rFonts w:cstheme="minorHAnsi"/>
          <w:lang w:val="en-MY" w:eastAsia="en-AU"/>
        </w:rPr>
        <w:t xml:space="preserve"> </w:t>
      </w:r>
      <w:r w:rsidR="00542534" w:rsidRPr="00B36CF9">
        <w:rPr>
          <w:rFonts w:cstheme="minorHAnsi"/>
          <w:lang w:val="en-MY" w:eastAsia="en-AU"/>
        </w:rPr>
        <w:t xml:space="preserve">strengths and weaknesses </w:t>
      </w:r>
      <w:r w:rsidR="009534F6" w:rsidRPr="00B36CF9">
        <w:rPr>
          <w:rFonts w:cstheme="minorHAnsi"/>
          <w:lang w:val="en-MY" w:eastAsia="en-AU"/>
        </w:rPr>
        <w:t xml:space="preserve">of the </w:t>
      </w:r>
      <w:r w:rsidR="00542534" w:rsidRPr="00B36CF9">
        <w:rPr>
          <w:rFonts w:cstheme="minorHAnsi"/>
          <w:lang w:val="en-MY" w:eastAsia="en-AU"/>
        </w:rPr>
        <w:t>articulated model when compared to</w:t>
      </w:r>
      <w:r w:rsidR="00F34ABD" w:rsidRPr="00B36CF9">
        <w:rPr>
          <w:rFonts w:cstheme="minorHAnsi"/>
          <w:lang w:val="en-MY" w:eastAsia="en-AU"/>
        </w:rPr>
        <w:t xml:space="preserve"> best-practice</w:t>
      </w:r>
      <w:r w:rsidR="00542534" w:rsidRPr="00B36CF9">
        <w:rPr>
          <w:rFonts w:cstheme="minorHAnsi"/>
          <w:lang w:val="en-MY" w:eastAsia="en-AU"/>
        </w:rPr>
        <w:t xml:space="preserve"> practice elements identified </w:t>
      </w:r>
      <w:r w:rsidR="009534F6" w:rsidRPr="00B36CF9">
        <w:rPr>
          <w:rFonts w:cstheme="minorHAnsi"/>
          <w:lang w:val="en-MY" w:eastAsia="en-AU"/>
        </w:rPr>
        <w:t xml:space="preserve">in the </w:t>
      </w:r>
      <w:r w:rsidR="00542534" w:rsidRPr="00B36CF9">
        <w:rPr>
          <w:rFonts w:cstheme="minorHAnsi"/>
          <w:lang w:val="en-MY" w:eastAsia="en-AU"/>
        </w:rPr>
        <w:t>literature</w:t>
      </w:r>
      <w:r w:rsidR="00E26A8D" w:rsidRPr="00B36CF9">
        <w:rPr>
          <w:rFonts w:cstheme="minorHAnsi"/>
          <w:lang w:val="en-MY" w:eastAsia="en-AU"/>
        </w:rPr>
        <w:t xml:space="preserve">, </w:t>
      </w:r>
      <w:r w:rsidR="00542534" w:rsidRPr="00B36CF9">
        <w:rPr>
          <w:rFonts w:cstheme="minorHAnsi"/>
          <w:lang w:val="en-MY" w:eastAsia="en-AU"/>
        </w:rPr>
        <w:t xml:space="preserve">regarding </w:t>
      </w:r>
      <w:r w:rsidR="009534F6" w:rsidRPr="00B36CF9">
        <w:rPr>
          <w:rFonts w:cstheme="minorHAnsi"/>
          <w:lang w:val="en-MY" w:eastAsia="en-AU"/>
        </w:rPr>
        <w:t>what works in through care program models that can be applied in</w:t>
      </w:r>
      <w:r w:rsidR="00542534" w:rsidRPr="00B36CF9">
        <w:rPr>
          <w:rFonts w:cstheme="minorHAnsi"/>
          <w:lang w:val="en-MY" w:eastAsia="en-AU"/>
        </w:rPr>
        <w:t xml:space="preserve"> </w:t>
      </w:r>
      <w:r w:rsidR="009534F6" w:rsidRPr="00B36CF9">
        <w:rPr>
          <w:rFonts w:cstheme="minorHAnsi"/>
          <w:lang w:val="en-MY" w:eastAsia="en-AU"/>
        </w:rPr>
        <w:t>Indigenous Australian contexts</w:t>
      </w:r>
      <w:r w:rsidR="00542534" w:rsidRPr="00B36CF9">
        <w:rPr>
          <w:rFonts w:cstheme="minorHAnsi"/>
          <w:lang w:val="en-MY" w:eastAsia="en-AU"/>
        </w:rPr>
        <w:t>.</w:t>
      </w:r>
    </w:p>
    <w:p w14:paraId="43A6868F" w14:textId="77777777" w:rsidR="00761305" w:rsidRPr="001B2179" w:rsidRDefault="00761305" w:rsidP="004540EA">
      <w:pPr>
        <w:jc w:val="both"/>
        <w:rPr>
          <w:rFonts w:cstheme="minorHAnsi"/>
          <w:lang w:val="en-MY" w:eastAsia="en-AU"/>
        </w:rPr>
      </w:pPr>
    </w:p>
    <w:p w14:paraId="5BB85871" w14:textId="2420AAC5" w:rsidR="00EB4FA0" w:rsidRPr="00B36CF9" w:rsidRDefault="00EB4FA0" w:rsidP="00B77817">
      <w:pPr>
        <w:pStyle w:val="ListParagraph"/>
        <w:numPr>
          <w:ilvl w:val="0"/>
          <w:numId w:val="62"/>
        </w:numPr>
        <w:jc w:val="both"/>
        <w:rPr>
          <w:rFonts w:cstheme="minorHAnsi"/>
          <w:lang w:val="en-MY" w:eastAsia="en-AU"/>
        </w:rPr>
      </w:pPr>
      <w:r w:rsidRPr="00B36CF9">
        <w:rPr>
          <w:rFonts w:cstheme="minorHAnsi"/>
          <w:b/>
          <w:bCs/>
          <w:lang w:val="en-MY" w:eastAsia="en-AU"/>
        </w:rPr>
        <w:t xml:space="preserve">Evaluation </w:t>
      </w:r>
      <w:r w:rsidR="00205F0C" w:rsidRPr="00B36CF9">
        <w:rPr>
          <w:rFonts w:cstheme="minorHAnsi"/>
          <w:b/>
          <w:bCs/>
          <w:lang w:val="en-MY" w:eastAsia="en-AU"/>
        </w:rPr>
        <w:t>Methodology</w:t>
      </w:r>
      <w:r w:rsidR="003A031A" w:rsidRPr="00B36CF9">
        <w:rPr>
          <w:rFonts w:cstheme="minorHAnsi"/>
          <w:lang w:val="en-MY" w:eastAsia="en-AU"/>
        </w:rPr>
        <w:t xml:space="preserve"> - </w:t>
      </w:r>
      <w:r w:rsidR="009B3E00" w:rsidRPr="00B36CF9">
        <w:rPr>
          <w:rFonts w:cstheme="minorHAnsi"/>
          <w:lang w:val="en-MY" w:eastAsia="en-AU"/>
        </w:rPr>
        <w:t>D</w:t>
      </w:r>
      <w:r w:rsidR="00761305" w:rsidRPr="00B36CF9">
        <w:rPr>
          <w:rFonts w:cstheme="minorHAnsi"/>
          <w:lang w:val="en-MY" w:eastAsia="en-AU"/>
        </w:rPr>
        <w:t xml:space="preserve">etails </w:t>
      </w:r>
      <w:r w:rsidR="009B3E00" w:rsidRPr="00B36CF9">
        <w:rPr>
          <w:rFonts w:cstheme="minorHAnsi"/>
          <w:lang w:val="en-MY" w:eastAsia="en-AU"/>
        </w:rPr>
        <w:t xml:space="preserve">Keogh Bay’s approach to </w:t>
      </w:r>
      <w:r w:rsidR="008719B9" w:rsidRPr="00B36CF9">
        <w:rPr>
          <w:rFonts w:cstheme="minorHAnsi"/>
          <w:lang w:val="en-MY" w:eastAsia="en-AU"/>
        </w:rPr>
        <w:t xml:space="preserve">the design and </w:t>
      </w:r>
      <w:r w:rsidR="009B3E00" w:rsidRPr="00B36CF9">
        <w:rPr>
          <w:rFonts w:cstheme="minorHAnsi"/>
          <w:lang w:val="en-MY" w:eastAsia="en-AU"/>
        </w:rPr>
        <w:t>implement</w:t>
      </w:r>
      <w:r w:rsidR="008719B9" w:rsidRPr="00B36CF9">
        <w:rPr>
          <w:rFonts w:cstheme="minorHAnsi"/>
          <w:lang w:val="en-MY" w:eastAsia="en-AU"/>
        </w:rPr>
        <w:t xml:space="preserve">ation of </w:t>
      </w:r>
      <w:r w:rsidR="009B3E00" w:rsidRPr="00B36CF9">
        <w:rPr>
          <w:rFonts w:cstheme="minorHAnsi"/>
          <w:lang w:val="en-MY" w:eastAsia="en-AU"/>
        </w:rPr>
        <w:t xml:space="preserve">the evaluation, including an overview of research methods and data collection tools, associated sample frames and response rates, and discussion of the </w:t>
      </w:r>
      <w:r w:rsidR="00761305" w:rsidRPr="00B36CF9">
        <w:rPr>
          <w:rFonts w:cstheme="minorHAnsi"/>
          <w:lang w:val="en-MY" w:eastAsia="en-AU"/>
        </w:rPr>
        <w:t>methodological challenges encountered.</w:t>
      </w:r>
    </w:p>
    <w:p w14:paraId="388336B4" w14:textId="77777777" w:rsidR="00761305" w:rsidRDefault="00761305" w:rsidP="004540EA">
      <w:pPr>
        <w:jc w:val="both"/>
        <w:rPr>
          <w:rFonts w:cstheme="minorHAnsi"/>
          <w:lang w:val="en-MY" w:eastAsia="en-AU"/>
        </w:rPr>
      </w:pPr>
    </w:p>
    <w:p w14:paraId="018308E5" w14:textId="712A681E" w:rsidR="00761305" w:rsidRPr="00B36CF9" w:rsidRDefault="00EB4FA0" w:rsidP="00B77817">
      <w:pPr>
        <w:pStyle w:val="ListParagraph"/>
        <w:numPr>
          <w:ilvl w:val="0"/>
          <w:numId w:val="62"/>
        </w:numPr>
        <w:jc w:val="both"/>
        <w:rPr>
          <w:rFonts w:cstheme="minorHAnsi"/>
          <w:lang w:val="en-MY" w:eastAsia="en-AU"/>
        </w:rPr>
      </w:pPr>
      <w:r w:rsidRPr="00B36CF9">
        <w:rPr>
          <w:rFonts w:cstheme="minorHAnsi"/>
          <w:b/>
          <w:bCs/>
          <w:lang w:val="en-MY" w:eastAsia="en-AU"/>
        </w:rPr>
        <w:t>Evaluation Finding</w:t>
      </w:r>
      <w:r w:rsidR="00761305" w:rsidRPr="00B36CF9">
        <w:rPr>
          <w:rFonts w:cstheme="minorHAnsi"/>
          <w:b/>
          <w:bCs/>
          <w:lang w:val="en-MY" w:eastAsia="en-AU"/>
        </w:rPr>
        <w:t>s</w:t>
      </w:r>
      <w:r w:rsidR="003A031A" w:rsidRPr="00B36CF9">
        <w:rPr>
          <w:rFonts w:cstheme="minorHAnsi"/>
          <w:lang w:val="en-MY" w:eastAsia="en-AU"/>
        </w:rPr>
        <w:t xml:space="preserve"> - </w:t>
      </w:r>
      <w:r w:rsidR="009B3E00" w:rsidRPr="00B36CF9">
        <w:rPr>
          <w:rFonts w:cstheme="minorHAnsi"/>
          <w:lang w:val="en-MY" w:eastAsia="en-AU"/>
        </w:rPr>
        <w:t>Details the evaluation f</w:t>
      </w:r>
      <w:r w:rsidR="00761305" w:rsidRPr="00B36CF9">
        <w:rPr>
          <w:rFonts w:cstheme="minorHAnsi"/>
          <w:lang w:val="en-MY" w:eastAsia="en-AU"/>
        </w:rPr>
        <w:t xml:space="preserve">indings </w:t>
      </w:r>
      <w:r w:rsidR="009B3E00" w:rsidRPr="00B36CF9">
        <w:rPr>
          <w:rFonts w:cstheme="minorHAnsi"/>
          <w:lang w:val="en-MY" w:eastAsia="en-AU"/>
        </w:rPr>
        <w:t xml:space="preserve">based on Keogh Bay’s analysis and interpretation of all available evidence. Findings </w:t>
      </w:r>
      <w:r w:rsidR="00761305" w:rsidRPr="00B36CF9">
        <w:rPr>
          <w:rFonts w:cstheme="minorHAnsi"/>
          <w:lang w:val="en-MY" w:eastAsia="en-AU"/>
        </w:rPr>
        <w:t>are structured by evaluation research question, and unless otherwise indicated, are presented at a whole of program level.</w:t>
      </w:r>
    </w:p>
    <w:p w14:paraId="32913C7A" w14:textId="1AF8E8B3" w:rsidR="00EB4FA0" w:rsidRPr="001B2179" w:rsidRDefault="00EB4FA0" w:rsidP="004540EA">
      <w:pPr>
        <w:jc w:val="both"/>
        <w:rPr>
          <w:rFonts w:cstheme="minorHAnsi"/>
          <w:lang w:val="en-MY" w:eastAsia="en-AU"/>
        </w:rPr>
      </w:pPr>
    </w:p>
    <w:p w14:paraId="098C9F9B" w14:textId="3690B617" w:rsidR="00EB4FA0" w:rsidRPr="00B36CF9" w:rsidRDefault="00EB4FA0" w:rsidP="00B77817">
      <w:pPr>
        <w:pStyle w:val="ListParagraph"/>
        <w:numPr>
          <w:ilvl w:val="0"/>
          <w:numId w:val="62"/>
        </w:numPr>
        <w:jc w:val="both"/>
        <w:rPr>
          <w:rFonts w:cstheme="minorHAnsi"/>
          <w:lang w:val="en-MY" w:eastAsia="en-AU"/>
        </w:rPr>
      </w:pPr>
      <w:r w:rsidRPr="00B36CF9">
        <w:rPr>
          <w:rFonts w:cstheme="minorHAnsi"/>
          <w:b/>
          <w:bCs/>
          <w:lang w:val="en-MY" w:eastAsia="en-AU"/>
        </w:rPr>
        <w:t>Conclusions and Recommendations</w:t>
      </w:r>
      <w:r w:rsidR="003A031A" w:rsidRPr="00B36CF9">
        <w:rPr>
          <w:rFonts w:cstheme="minorHAnsi"/>
          <w:lang w:val="en-MY" w:eastAsia="en-AU"/>
        </w:rPr>
        <w:t xml:space="preserve"> - </w:t>
      </w:r>
      <w:r w:rsidR="00FC54BD" w:rsidRPr="00B36CF9">
        <w:rPr>
          <w:rFonts w:cstheme="minorHAnsi"/>
          <w:lang w:val="en-MY" w:eastAsia="en-AU"/>
        </w:rPr>
        <w:t xml:space="preserve">Provides a </w:t>
      </w:r>
      <w:r w:rsidR="00761305" w:rsidRPr="00B36CF9">
        <w:rPr>
          <w:rFonts w:cstheme="minorHAnsi"/>
          <w:lang w:val="en-MY" w:eastAsia="en-AU"/>
        </w:rPr>
        <w:t>summar</w:t>
      </w:r>
      <w:r w:rsidR="00FC54BD" w:rsidRPr="00B36CF9">
        <w:rPr>
          <w:rFonts w:cstheme="minorHAnsi"/>
          <w:lang w:val="en-MY" w:eastAsia="en-AU"/>
        </w:rPr>
        <w:t xml:space="preserve">y of key findings by research question together with overall conclusions regarding the design and implementation of the ATC and YTC programs. A series of </w:t>
      </w:r>
      <w:r w:rsidR="00761305" w:rsidRPr="00B36CF9">
        <w:rPr>
          <w:rFonts w:cstheme="minorHAnsi"/>
          <w:lang w:val="en-MY" w:eastAsia="en-AU"/>
        </w:rPr>
        <w:t xml:space="preserve">recommendations </w:t>
      </w:r>
      <w:r w:rsidR="00FC54BD" w:rsidRPr="00B36CF9">
        <w:rPr>
          <w:rFonts w:cstheme="minorHAnsi"/>
          <w:lang w:val="en-MY" w:eastAsia="en-AU"/>
        </w:rPr>
        <w:t>for improvement of the programs are made, as relevant to the guiding evaluation question</w:t>
      </w:r>
      <w:r w:rsidR="00761305" w:rsidRPr="00B36CF9">
        <w:rPr>
          <w:rFonts w:cstheme="minorHAnsi"/>
          <w:lang w:val="en-MY" w:eastAsia="en-AU"/>
        </w:rPr>
        <w:t>.</w:t>
      </w:r>
    </w:p>
    <w:p w14:paraId="5529DE4F" w14:textId="77777777" w:rsidR="000824A9" w:rsidRPr="000824A9" w:rsidRDefault="000824A9" w:rsidP="000824A9">
      <w:pPr>
        <w:ind w:left="360"/>
        <w:jc w:val="both"/>
        <w:rPr>
          <w:rFonts w:cstheme="minorHAnsi"/>
          <w:lang w:val="en-MY" w:eastAsia="en-AU"/>
        </w:rPr>
      </w:pPr>
    </w:p>
    <w:p w14:paraId="74F31799" w14:textId="77777777" w:rsidR="00FB097C" w:rsidRPr="001B2179" w:rsidRDefault="00FB097C" w:rsidP="001B2179">
      <w:pPr>
        <w:jc w:val="both"/>
        <w:rPr>
          <w:rFonts w:cstheme="minorHAnsi"/>
          <w:lang w:val="en-MY" w:eastAsia="en-AU"/>
        </w:rPr>
      </w:pPr>
    </w:p>
    <w:p w14:paraId="53AC6224" w14:textId="77777777" w:rsidR="00E83194" w:rsidRPr="001B2179" w:rsidRDefault="00E83194" w:rsidP="001B2179">
      <w:pPr>
        <w:jc w:val="both"/>
        <w:rPr>
          <w:rFonts w:cstheme="minorHAnsi"/>
          <w:lang w:val="en-MY" w:eastAsia="en-AU"/>
        </w:rPr>
      </w:pPr>
    </w:p>
    <w:p w14:paraId="3A83C35F" w14:textId="77777777" w:rsidR="00E83194" w:rsidRPr="001B2179" w:rsidRDefault="00E83194" w:rsidP="001B2179">
      <w:pPr>
        <w:jc w:val="both"/>
        <w:rPr>
          <w:rFonts w:cstheme="minorHAnsi"/>
          <w:lang w:val="en-MY" w:eastAsia="en-AU"/>
        </w:rPr>
      </w:pPr>
    </w:p>
    <w:p w14:paraId="237D11A7" w14:textId="77777777" w:rsidR="00F361A9" w:rsidRDefault="00F361A9">
      <w:pPr>
        <w:spacing w:after="200" w:line="276" w:lineRule="auto"/>
        <w:jc w:val="both"/>
        <w:rPr>
          <w:b/>
          <w:smallCaps/>
          <w:color w:val="365F91" w:themeColor="accent1" w:themeShade="BF"/>
          <w:spacing w:val="5"/>
          <w:sz w:val="44"/>
          <w:szCs w:val="32"/>
        </w:rPr>
      </w:pPr>
      <w:r>
        <w:br w:type="page"/>
      </w:r>
    </w:p>
    <w:p w14:paraId="7AE29613" w14:textId="3FC6C117" w:rsidR="006603DD" w:rsidRDefault="006603DD" w:rsidP="00F66F99">
      <w:pPr>
        <w:pStyle w:val="Heading1"/>
        <w:rPr>
          <w:rFonts w:cstheme="minorHAnsi"/>
        </w:rPr>
      </w:pPr>
      <w:bookmarkStart w:id="18" w:name="_Toc150784192"/>
      <w:r w:rsidRPr="00F66F99">
        <w:rPr>
          <w:rFonts w:cstheme="minorHAnsi"/>
        </w:rPr>
        <w:t>P</w:t>
      </w:r>
      <w:r w:rsidR="00F66F99">
        <w:rPr>
          <w:rFonts w:cstheme="minorHAnsi"/>
        </w:rPr>
        <w:t xml:space="preserve">rogram </w:t>
      </w:r>
      <w:r w:rsidRPr="00F66F99">
        <w:rPr>
          <w:rFonts w:cstheme="minorHAnsi"/>
        </w:rPr>
        <w:t>B</w:t>
      </w:r>
      <w:r w:rsidR="00F66F99">
        <w:rPr>
          <w:rFonts w:cstheme="minorHAnsi"/>
        </w:rPr>
        <w:t>ackground</w:t>
      </w:r>
      <w:bookmarkEnd w:id="18"/>
    </w:p>
    <w:p w14:paraId="75705B51" w14:textId="449715C3" w:rsidR="00942664" w:rsidRPr="00A909AF" w:rsidRDefault="004B0F3A" w:rsidP="00A909AF">
      <w:pPr>
        <w:jc w:val="both"/>
        <w:rPr>
          <w:rFonts w:cstheme="minorHAnsi"/>
          <w:lang w:val="en-MY" w:eastAsia="en-AU"/>
        </w:rPr>
      </w:pPr>
      <w:r>
        <w:rPr>
          <w:rFonts w:cstheme="minorHAnsi"/>
          <w:lang w:val="en-MY" w:eastAsia="en-AU"/>
        </w:rPr>
        <w:t>This chapter p</w:t>
      </w:r>
      <w:r w:rsidR="00942664" w:rsidRPr="00542534">
        <w:rPr>
          <w:rFonts w:cstheme="minorHAnsi"/>
          <w:lang w:val="en-MY" w:eastAsia="en-AU"/>
        </w:rPr>
        <w:t>rovides an overview of the ATC and YTC model</w:t>
      </w:r>
      <w:r>
        <w:rPr>
          <w:rFonts w:cstheme="minorHAnsi"/>
          <w:lang w:val="en-MY" w:eastAsia="en-AU"/>
        </w:rPr>
        <w:t>s</w:t>
      </w:r>
      <w:r w:rsidR="00942664" w:rsidRPr="00542534">
        <w:rPr>
          <w:rFonts w:cstheme="minorHAnsi"/>
          <w:lang w:val="en-MY" w:eastAsia="en-AU"/>
        </w:rPr>
        <w:t xml:space="preserve"> as defined in the relevant co-design documentation, including a description of program theory and intended operational elements. The chapter concludes with an analysis of the strengths and weaknesses of the articulated model</w:t>
      </w:r>
      <w:r w:rsidR="00950F9E">
        <w:rPr>
          <w:rFonts w:cstheme="minorHAnsi"/>
          <w:lang w:val="en-MY" w:eastAsia="en-AU"/>
        </w:rPr>
        <w:t>s</w:t>
      </w:r>
      <w:r w:rsidR="00942664" w:rsidRPr="00542534">
        <w:rPr>
          <w:rFonts w:cstheme="minorHAnsi"/>
          <w:lang w:val="en-MY" w:eastAsia="en-AU"/>
        </w:rPr>
        <w:t xml:space="preserve"> when compared to be</w:t>
      </w:r>
      <w:r w:rsidR="00F34ABD">
        <w:rPr>
          <w:rFonts w:cstheme="minorHAnsi"/>
          <w:lang w:val="en-MY" w:eastAsia="en-AU"/>
        </w:rPr>
        <w:t>st-</w:t>
      </w:r>
      <w:r w:rsidR="00942664" w:rsidRPr="00542534">
        <w:rPr>
          <w:rFonts w:cstheme="minorHAnsi"/>
          <w:lang w:val="en-MY" w:eastAsia="en-AU"/>
        </w:rPr>
        <w:t>practice elements identified in the literature</w:t>
      </w:r>
      <w:r>
        <w:rPr>
          <w:rFonts w:cstheme="minorHAnsi"/>
          <w:lang w:val="en-MY" w:eastAsia="en-AU"/>
        </w:rPr>
        <w:t>,</w:t>
      </w:r>
      <w:r w:rsidR="00942664" w:rsidRPr="00542534">
        <w:rPr>
          <w:rFonts w:cstheme="minorHAnsi"/>
          <w:lang w:val="en-MY" w:eastAsia="en-AU"/>
        </w:rPr>
        <w:t xml:space="preserve"> regarding what works in through care program models that can be applied in Indigenous Australian contexts.</w:t>
      </w:r>
    </w:p>
    <w:p w14:paraId="55FE6CD8" w14:textId="77777777" w:rsidR="00942664" w:rsidRPr="00942664" w:rsidRDefault="00942664" w:rsidP="00A909AF">
      <w:pPr>
        <w:pStyle w:val="Heading2"/>
        <w:rPr>
          <w:rFonts w:cstheme="minorHAnsi"/>
          <w:lang w:val="en-MY"/>
        </w:rPr>
      </w:pPr>
      <w:bookmarkStart w:id="19" w:name="_Toc150784193"/>
      <w:r w:rsidRPr="00942664">
        <w:rPr>
          <w:rFonts w:cstheme="minorHAnsi"/>
          <w:lang w:val="en-MY"/>
        </w:rPr>
        <w:t>Overview</w:t>
      </w:r>
      <w:bookmarkEnd w:id="19"/>
      <w:r w:rsidRPr="00942664">
        <w:rPr>
          <w:rFonts w:cstheme="minorHAnsi"/>
          <w:lang w:val="en-MY"/>
        </w:rPr>
        <w:t xml:space="preserve"> </w:t>
      </w:r>
    </w:p>
    <w:p w14:paraId="6C525B2A" w14:textId="5379A08B" w:rsidR="00A909AF" w:rsidRDefault="00942664" w:rsidP="00A909AF">
      <w:pPr>
        <w:jc w:val="both"/>
        <w:rPr>
          <w:rFonts w:cstheme="minorHAnsi"/>
          <w:lang w:val="en-MY" w:eastAsia="en-AU"/>
        </w:rPr>
      </w:pPr>
      <w:r w:rsidRPr="00942664">
        <w:rPr>
          <w:rFonts w:cstheme="minorHAnsi"/>
          <w:lang w:val="en-MY" w:eastAsia="en-AU"/>
        </w:rPr>
        <w:t xml:space="preserve">In response to the COAG </w:t>
      </w:r>
      <w:r w:rsidRPr="004B0F3A">
        <w:rPr>
          <w:rFonts w:cstheme="minorHAnsi"/>
          <w:i/>
          <w:iCs/>
          <w:lang w:val="en-MY" w:eastAsia="en-AU"/>
        </w:rPr>
        <w:t>Prison to Work Report</w:t>
      </w:r>
      <w:r w:rsidRPr="00942664">
        <w:rPr>
          <w:rFonts w:cstheme="minorHAnsi"/>
          <w:lang w:val="en-MY" w:eastAsia="en-AU"/>
        </w:rPr>
        <w:t xml:space="preserve"> (2016),</w:t>
      </w:r>
      <w:r w:rsidR="00A909AF">
        <w:rPr>
          <w:rFonts w:cstheme="minorHAnsi"/>
          <w:lang w:val="en-MY" w:eastAsia="en-AU"/>
        </w:rPr>
        <w:t xml:space="preserve"> </w:t>
      </w:r>
      <w:r w:rsidRPr="00942664">
        <w:rPr>
          <w:rFonts w:cstheme="minorHAnsi"/>
          <w:lang w:val="en-MY" w:eastAsia="en-AU"/>
        </w:rPr>
        <w:t>which identifies the need for investments in the development of culturally appropriate through-care models and services (p.7), NIAA</w:t>
      </w:r>
      <w:r w:rsidR="00A909AF" w:rsidRPr="00A909AF">
        <w:rPr>
          <w:rFonts w:cstheme="minorHAnsi"/>
          <w:lang w:val="en-MY" w:eastAsia="en-AU"/>
        </w:rPr>
        <w:t xml:space="preserve"> </w:t>
      </w:r>
      <w:r w:rsidRPr="00942664">
        <w:rPr>
          <w:rFonts w:cstheme="minorHAnsi"/>
          <w:lang w:val="en-MY" w:eastAsia="en-AU"/>
        </w:rPr>
        <w:t>embarked upon a co-design process to improve the existing ATC</w:t>
      </w:r>
      <w:r w:rsidR="00A909AF" w:rsidRPr="00A909AF">
        <w:rPr>
          <w:rFonts w:cstheme="minorHAnsi"/>
          <w:lang w:val="en-MY" w:eastAsia="en-AU"/>
        </w:rPr>
        <w:t xml:space="preserve"> m</w:t>
      </w:r>
      <w:r w:rsidRPr="00942664">
        <w:rPr>
          <w:rFonts w:cstheme="minorHAnsi"/>
          <w:lang w:val="en-MY" w:eastAsia="en-AU"/>
        </w:rPr>
        <w:t>odel and to develop a youth version.</w:t>
      </w:r>
      <w:r w:rsidR="00A909AF" w:rsidRPr="00A909AF">
        <w:rPr>
          <w:rFonts w:cstheme="minorHAnsi"/>
          <w:lang w:val="en-MY" w:eastAsia="en-AU"/>
        </w:rPr>
        <w:t xml:space="preserve"> </w:t>
      </w:r>
      <w:r w:rsidRPr="00942664">
        <w:rPr>
          <w:rFonts w:cstheme="minorHAnsi"/>
          <w:lang w:val="en-MY" w:eastAsia="en-AU"/>
        </w:rPr>
        <w:t xml:space="preserve">In 2017, ABT Associates Australia was engaged to lead the co-design of an enhanced ATC </w:t>
      </w:r>
      <w:r w:rsidR="004B0F3A">
        <w:rPr>
          <w:rFonts w:cstheme="minorHAnsi"/>
          <w:lang w:val="en-MY" w:eastAsia="en-AU"/>
        </w:rPr>
        <w:t>p</w:t>
      </w:r>
      <w:r w:rsidRPr="00942664">
        <w:rPr>
          <w:rFonts w:cstheme="minorHAnsi"/>
          <w:lang w:val="en-MY" w:eastAsia="en-AU"/>
        </w:rPr>
        <w:t xml:space="preserve">rogram and a new YTC </w:t>
      </w:r>
      <w:r w:rsidR="004B0F3A">
        <w:rPr>
          <w:rFonts w:cstheme="minorHAnsi"/>
          <w:lang w:val="en-MY" w:eastAsia="en-AU"/>
        </w:rPr>
        <w:t>p</w:t>
      </w:r>
      <w:r w:rsidRPr="00942664">
        <w:rPr>
          <w:rFonts w:cstheme="minorHAnsi"/>
          <w:lang w:val="en-MY" w:eastAsia="en-AU"/>
        </w:rPr>
        <w:t>rogram</w:t>
      </w:r>
      <w:r w:rsidR="00A909AF">
        <w:rPr>
          <w:rFonts w:cstheme="minorHAnsi"/>
          <w:lang w:val="en-MY" w:eastAsia="en-AU"/>
        </w:rPr>
        <w:t xml:space="preserve"> </w:t>
      </w:r>
      <w:r w:rsidRPr="00942664">
        <w:rPr>
          <w:rFonts w:cstheme="minorHAnsi"/>
          <w:lang w:val="en-MY" w:eastAsia="en-AU"/>
        </w:rPr>
        <w:t xml:space="preserve">for Indigenous people exiting prison or youth </w:t>
      </w:r>
      <w:r w:rsidR="00A909AF">
        <w:rPr>
          <w:rFonts w:cstheme="minorHAnsi"/>
          <w:lang w:val="en-MY" w:eastAsia="en-AU"/>
        </w:rPr>
        <w:t>detention</w:t>
      </w:r>
      <w:r w:rsidRPr="00942664">
        <w:rPr>
          <w:rFonts w:cstheme="minorHAnsi"/>
          <w:lang w:val="en-MY" w:eastAsia="en-AU"/>
        </w:rPr>
        <w:t>, with the goal to reduce recidivism and support a transition back into the community post-release.</w:t>
      </w:r>
      <w:r w:rsidR="004B0F3A" w:rsidRPr="004B0F3A">
        <w:rPr>
          <w:rStyle w:val="FootnoteReference"/>
          <w:rFonts w:cstheme="minorHAnsi"/>
          <w:lang w:val="en-MY" w:eastAsia="en-AU"/>
        </w:rPr>
        <w:t xml:space="preserve"> </w:t>
      </w:r>
      <w:r w:rsidR="004B0F3A">
        <w:rPr>
          <w:rStyle w:val="FootnoteReference"/>
          <w:rFonts w:cstheme="minorHAnsi"/>
          <w:lang w:val="en-MY" w:eastAsia="en-AU"/>
        </w:rPr>
        <w:footnoteReference w:id="10"/>
      </w:r>
      <w:r w:rsidR="004B0F3A" w:rsidRPr="006314D9">
        <w:rPr>
          <w:rFonts w:cstheme="minorHAnsi"/>
          <w:vertAlign w:val="superscript"/>
          <w:lang w:val="en-MY" w:eastAsia="en-AU"/>
        </w:rPr>
        <w:t>,</w:t>
      </w:r>
      <w:r w:rsidR="004B0F3A">
        <w:rPr>
          <w:rStyle w:val="FootnoteReference"/>
          <w:rFonts w:cstheme="minorHAnsi"/>
          <w:lang w:val="en-MY" w:eastAsia="en-AU"/>
        </w:rPr>
        <w:footnoteReference w:id="11"/>
      </w:r>
    </w:p>
    <w:p w14:paraId="09EE6F2A" w14:textId="77777777" w:rsidR="00A909AF" w:rsidRDefault="00A909AF" w:rsidP="00A909AF">
      <w:pPr>
        <w:jc w:val="both"/>
        <w:rPr>
          <w:rFonts w:cstheme="minorHAnsi"/>
          <w:lang w:val="en-MY" w:eastAsia="en-AU"/>
        </w:rPr>
      </w:pPr>
    </w:p>
    <w:p w14:paraId="28D7AD3F" w14:textId="45617EDE" w:rsidR="00942664" w:rsidRPr="00942664" w:rsidRDefault="00942664" w:rsidP="00A909AF">
      <w:pPr>
        <w:jc w:val="both"/>
        <w:rPr>
          <w:rFonts w:cstheme="minorHAnsi"/>
          <w:lang w:val="en-MY" w:eastAsia="en-AU"/>
        </w:rPr>
      </w:pPr>
      <w:r w:rsidRPr="00942664">
        <w:rPr>
          <w:rFonts w:cstheme="minorHAnsi"/>
          <w:lang w:val="en-MY" w:eastAsia="en-AU"/>
        </w:rPr>
        <w:t>The project involved consultation and engagement over 2018-19, with Aboriginal and Torres Strait Islander end-users, existing Commonwealth funded adult through-care service providers, community groups, non-government organisations, key experts and the relevant State and Territory Governments. The result</w:t>
      </w:r>
      <w:r w:rsidR="00A909AF">
        <w:rPr>
          <w:rFonts w:cstheme="minorHAnsi"/>
          <w:lang w:val="en-MY" w:eastAsia="en-AU"/>
        </w:rPr>
        <w:t>ing</w:t>
      </w:r>
      <w:r w:rsidR="00E51C78">
        <w:rPr>
          <w:rFonts w:cstheme="minorHAnsi"/>
          <w:lang w:val="en-MY" w:eastAsia="en-AU"/>
        </w:rPr>
        <w:t xml:space="preserve"> </w:t>
      </w:r>
      <w:r w:rsidRPr="00942664">
        <w:rPr>
          <w:rFonts w:cstheme="minorHAnsi"/>
          <w:lang w:val="en-MY" w:eastAsia="en-AU"/>
        </w:rPr>
        <w:t>program model documentation details the minimum requirements for delivering and monitoring the programs, expectations for workforce development, and a data management strategy with guidance on the ongoing monitoring and evaluation of the programs.</w:t>
      </w:r>
    </w:p>
    <w:p w14:paraId="47BB6E88" w14:textId="77777777" w:rsidR="00E51C78" w:rsidRDefault="00E51C78" w:rsidP="00A909AF">
      <w:pPr>
        <w:jc w:val="both"/>
        <w:rPr>
          <w:rFonts w:cstheme="minorHAnsi"/>
          <w:lang w:val="en-MY" w:eastAsia="en-AU"/>
        </w:rPr>
      </w:pPr>
    </w:p>
    <w:p w14:paraId="6AC9015E" w14:textId="1F893614" w:rsidR="00EB4FA0" w:rsidRPr="00A909AF" w:rsidRDefault="00942664" w:rsidP="00A909AF">
      <w:pPr>
        <w:jc w:val="both"/>
        <w:rPr>
          <w:rFonts w:cstheme="minorHAnsi"/>
          <w:lang w:val="en-MY" w:eastAsia="en-AU"/>
        </w:rPr>
      </w:pPr>
      <w:r w:rsidRPr="00942664">
        <w:rPr>
          <w:rFonts w:cstheme="minorHAnsi"/>
          <w:lang w:val="en-MY" w:eastAsia="en-AU"/>
        </w:rPr>
        <w:t xml:space="preserve">Through-care programs </w:t>
      </w:r>
      <w:r w:rsidR="004B0F3A">
        <w:rPr>
          <w:rFonts w:cstheme="minorHAnsi"/>
          <w:lang w:val="en-MY" w:eastAsia="en-AU"/>
        </w:rPr>
        <w:t xml:space="preserve">aim to </w:t>
      </w:r>
      <w:r w:rsidRPr="00942664">
        <w:rPr>
          <w:rFonts w:cstheme="minorHAnsi"/>
          <w:lang w:val="en-MY" w:eastAsia="en-AU"/>
        </w:rPr>
        <w:t>provide continuity of care for a client prior to release and following their time spent in prison or detention, with the common element across all through-care models being individualised case management.</w:t>
      </w:r>
      <w:r w:rsidR="00E51C78">
        <w:rPr>
          <w:rStyle w:val="FootnoteReference"/>
          <w:rFonts w:cstheme="minorHAnsi"/>
          <w:lang w:val="en-MY" w:eastAsia="en-AU"/>
        </w:rPr>
        <w:footnoteReference w:id="12"/>
      </w:r>
      <w:r w:rsidR="00E51C78">
        <w:rPr>
          <w:rFonts w:cstheme="minorHAnsi"/>
          <w:lang w:val="en-MY" w:eastAsia="en-AU"/>
        </w:rPr>
        <w:t xml:space="preserve"> </w:t>
      </w:r>
      <w:r w:rsidRPr="00A909AF">
        <w:rPr>
          <w:rFonts w:cstheme="minorHAnsi"/>
          <w:lang w:val="en-MY" w:eastAsia="en-AU"/>
        </w:rPr>
        <w:t xml:space="preserve">The ATC model and YTC model aim to provide a holistic, culturally-informed and trauma-informed, intensive case management approach. The services are </w:t>
      </w:r>
      <w:r w:rsidR="00E51C78">
        <w:rPr>
          <w:rFonts w:cstheme="minorHAnsi"/>
          <w:lang w:val="en-MY" w:eastAsia="en-AU"/>
        </w:rPr>
        <w:t xml:space="preserve">intended to be </w:t>
      </w:r>
      <w:r w:rsidRPr="00A909AF">
        <w:rPr>
          <w:rFonts w:cstheme="minorHAnsi"/>
          <w:lang w:val="en-MY" w:eastAsia="en-AU"/>
        </w:rPr>
        <w:t>delivered to eligible clients six months prior to their release from prison or detention, when release plans addressing individual risks, needs and goals are prepared. Post-release, case workers intensively support clients to implement their plans and monitor for progress</w:t>
      </w:r>
      <w:r w:rsidR="00E51C78">
        <w:rPr>
          <w:rFonts w:cstheme="minorHAnsi"/>
          <w:lang w:val="en-MY" w:eastAsia="en-AU"/>
        </w:rPr>
        <w:t>.</w:t>
      </w:r>
    </w:p>
    <w:p w14:paraId="006F8FAB" w14:textId="77777777" w:rsidR="001D06A0" w:rsidRPr="00A909AF" w:rsidRDefault="001D06A0" w:rsidP="004E2F12">
      <w:pPr>
        <w:pStyle w:val="Heading2"/>
        <w:rPr>
          <w:rFonts w:cstheme="minorHAnsi"/>
          <w:lang w:val="en-MY"/>
        </w:rPr>
      </w:pPr>
      <w:bookmarkStart w:id="20" w:name="_Toc150784194"/>
      <w:r w:rsidRPr="00A909AF">
        <w:rPr>
          <w:rFonts w:cstheme="minorHAnsi"/>
          <w:lang w:val="en-MY"/>
        </w:rPr>
        <w:t>Adult Through Care Program</w:t>
      </w:r>
      <w:bookmarkEnd w:id="20"/>
    </w:p>
    <w:p w14:paraId="52E7507D" w14:textId="35ABBA94" w:rsidR="001D06A0" w:rsidRDefault="001D06A0" w:rsidP="00E51C78">
      <w:pPr>
        <w:jc w:val="both"/>
        <w:rPr>
          <w:rFonts w:cstheme="minorHAnsi"/>
          <w:lang w:val="en-MY" w:eastAsia="en-AU"/>
        </w:rPr>
      </w:pPr>
      <w:r w:rsidRPr="00E51C78">
        <w:rPr>
          <w:rFonts w:cstheme="minorHAnsi"/>
          <w:lang w:val="en-MY" w:eastAsia="en-AU"/>
        </w:rPr>
        <w:t xml:space="preserve">The current ATC </w:t>
      </w:r>
      <w:r w:rsidR="004B0F3A">
        <w:rPr>
          <w:rFonts w:cstheme="minorHAnsi"/>
          <w:lang w:val="en-MY" w:eastAsia="en-AU"/>
        </w:rPr>
        <w:t>p</w:t>
      </w:r>
      <w:r w:rsidRPr="00E51C78">
        <w:rPr>
          <w:rFonts w:cstheme="minorHAnsi"/>
          <w:lang w:val="en-MY" w:eastAsia="en-AU"/>
        </w:rPr>
        <w:t>rogram was implemented in July 2019. There are eight services funded through the IAS to deliver the program, with most current service agreements due to end in June 202</w:t>
      </w:r>
      <w:r w:rsidR="00244B87">
        <w:rPr>
          <w:rFonts w:cstheme="minorHAnsi"/>
          <w:lang w:val="en-MY" w:eastAsia="en-AU"/>
        </w:rPr>
        <w:t>4 (since extended)</w:t>
      </w:r>
      <w:r w:rsidRPr="00E51C78">
        <w:rPr>
          <w:rFonts w:cstheme="minorHAnsi"/>
          <w:lang w:val="en-MY" w:eastAsia="en-AU"/>
        </w:rPr>
        <w:t xml:space="preserve">. Based on the co-design model, ATC services are intended to be a holistic journey of intensive case management and client support during the pre-release and post-release phases of a client’s reintegration. Clients participate in the program voluntarily, with a focus on Indigenous adults sentenced and in prison who are assessed as both motivated to stop re-offending and </w:t>
      </w:r>
      <w:r w:rsidR="004B0F3A">
        <w:rPr>
          <w:rFonts w:cstheme="minorHAnsi"/>
          <w:lang w:val="en-MY" w:eastAsia="en-AU"/>
        </w:rPr>
        <w:t xml:space="preserve">who </w:t>
      </w:r>
      <w:r w:rsidRPr="00E51C78">
        <w:rPr>
          <w:rFonts w:cstheme="minorHAnsi"/>
          <w:lang w:val="en-MY" w:eastAsia="en-AU"/>
        </w:rPr>
        <w:t xml:space="preserve">recognise the need for transition support given their complex and high needs. The ATC </w:t>
      </w:r>
      <w:r w:rsidR="004B0F3A">
        <w:rPr>
          <w:rFonts w:cstheme="minorHAnsi"/>
          <w:lang w:val="en-MY" w:eastAsia="en-AU"/>
        </w:rPr>
        <w:t>p</w:t>
      </w:r>
      <w:r w:rsidRPr="00E51C78">
        <w:rPr>
          <w:rFonts w:cstheme="minorHAnsi"/>
          <w:lang w:val="en-MY" w:eastAsia="en-AU"/>
        </w:rPr>
        <w:t xml:space="preserve">rogram may commence as early as practical at pre-release (e.g. 4 to 6 months) and be delivered for </w:t>
      </w:r>
      <w:r w:rsidR="004B0F3A">
        <w:rPr>
          <w:rFonts w:cstheme="minorHAnsi"/>
          <w:lang w:val="en-MY" w:eastAsia="en-AU"/>
        </w:rPr>
        <w:t xml:space="preserve">18 months to </w:t>
      </w:r>
      <w:r w:rsidRPr="00E51C78">
        <w:rPr>
          <w:rFonts w:cstheme="minorHAnsi"/>
          <w:lang w:val="en-MY" w:eastAsia="en-AU"/>
        </w:rPr>
        <w:t xml:space="preserve">2 years post-release. </w:t>
      </w:r>
    </w:p>
    <w:p w14:paraId="0B4C42FE" w14:textId="77777777" w:rsidR="00244B87" w:rsidRPr="00E51C78" w:rsidRDefault="00244B87" w:rsidP="00E51C78">
      <w:pPr>
        <w:jc w:val="both"/>
        <w:rPr>
          <w:rFonts w:cstheme="minorHAnsi"/>
          <w:lang w:val="en-MY" w:eastAsia="en-AU"/>
        </w:rPr>
      </w:pPr>
    </w:p>
    <w:p w14:paraId="31FF9509" w14:textId="5B56A942" w:rsidR="001D06A0" w:rsidRDefault="001D06A0" w:rsidP="00E51C78">
      <w:pPr>
        <w:jc w:val="both"/>
        <w:rPr>
          <w:rFonts w:cstheme="minorHAnsi"/>
          <w:lang w:val="en-MY" w:eastAsia="en-AU"/>
        </w:rPr>
      </w:pPr>
      <w:r w:rsidRPr="00E51C78">
        <w:rPr>
          <w:rFonts w:cstheme="minorHAnsi"/>
          <w:lang w:val="en-MY" w:eastAsia="en-AU"/>
        </w:rPr>
        <w:t>According to the ABT model, services should be delivered by appropriately experienced and skilled case workers and management staff in both prison and community settings. Consultation with the client by case workers is required to be culturally safe and person-centred, to enable intensive case work and effective client support, referral support and coordination, with a range of family, community, government and non-government stakeholders and partners.</w:t>
      </w:r>
      <w:r w:rsidR="009E5D3E">
        <w:rPr>
          <w:rFonts w:cstheme="minorHAnsi"/>
          <w:lang w:val="en-MY" w:eastAsia="en-AU"/>
        </w:rPr>
        <w:t xml:space="preserve"> </w:t>
      </w:r>
      <w:r w:rsidRPr="00E51C78">
        <w:rPr>
          <w:rFonts w:cstheme="minorHAnsi"/>
          <w:lang w:val="en-MY" w:eastAsia="en-AU"/>
        </w:rPr>
        <w:t xml:space="preserve">The ATC </w:t>
      </w:r>
      <w:r w:rsidR="004B0F3A">
        <w:rPr>
          <w:rFonts w:cstheme="minorHAnsi"/>
          <w:lang w:val="en-MY" w:eastAsia="en-AU"/>
        </w:rPr>
        <w:t>p</w:t>
      </w:r>
      <w:r w:rsidRPr="00E51C78">
        <w:rPr>
          <w:rFonts w:cstheme="minorHAnsi"/>
          <w:lang w:val="en-MY" w:eastAsia="en-AU"/>
        </w:rPr>
        <w:t>rogram requires case workers to understand a client’s needs for reintegration and any barriers to engagement that may impact the client’s risk for recidivism, and then work in partnership - with the client at the centre - to define and work toward goals that address their needs and risks. The ATC case worker may provide direct support, therapeutic interventions and advocacy to help the client achieve their goals, including by supporting a client to understand their post-release legal responsibilities (e.g. parole) and link to other supports as needed and available.</w:t>
      </w:r>
    </w:p>
    <w:p w14:paraId="321E3A24" w14:textId="77777777" w:rsidR="00244B87" w:rsidRPr="00E51C78" w:rsidRDefault="00244B87" w:rsidP="00E51C78">
      <w:pPr>
        <w:jc w:val="both"/>
        <w:rPr>
          <w:rFonts w:cstheme="minorHAnsi"/>
          <w:lang w:val="en-MY" w:eastAsia="en-AU"/>
        </w:rPr>
      </w:pPr>
    </w:p>
    <w:p w14:paraId="2ED6F1DE" w14:textId="45A7CE6E" w:rsidR="00BC2894" w:rsidRDefault="001D06A0" w:rsidP="00BC2894">
      <w:pPr>
        <w:jc w:val="both"/>
        <w:rPr>
          <w:rFonts w:cstheme="minorHAnsi"/>
          <w:lang w:val="en-MY" w:eastAsia="en-AU"/>
        </w:rPr>
      </w:pPr>
      <w:r w:rsidRPr="00E51C78">
        <w:rPr>
          <w:rFonts w:cstheme="minorHAnsi"/>
          <w:lang w:val="en-MY" w:eastAsia="en-AU"/>
        </w:rPr>
        <w:t>The length, intensity and end point of the ATC journey will look different for each client, depending on their individual circumstances and goals. According to the model, a greater intensity of case management is generally required at the time of release to support increased vulnerability and daily</w:t>
      </w:r>
      <w:r w:rsidR="004B0F3A">
        <w:rPr>
          <w:rFonts w:cstheme="minorHAnsi"/>
          <w:lang w:val="en-MY" w:eastAsia="en-AU"/>
        </w:rPr>
        <w:t>-</w:t>
      </w:r>
      <w:r w:rsidRPr="00E51C78">
        <w:rPr>
          <w:rFonts w:cstheme="minorHAnsi"/>
          <w:lang w:val="en-MY" w:eastAsia="en-AU"/>
        </w:rPr>
        <w:t>living transitional requirements during this period. ATC service providers must consider how to prioritise clients and manage ongoing staffing capacity to ensure comprehensive support is optimized for those most in need. The development of a Client Support Plan should reflect the intensity and frequency of supports that match and are responsive to the individual’s, needs, risk factors and goals. Moments of increased vulnerability may also be experienced in response to family or community factors (including significant Sorry Business or community unrest), health or medical requirements during transition from prison to community, or when transitioning prison settings. A balanced ATC case</w:t>
      </w:r>
      <w:r w:rsidR="007E19B5">
        <w:rPr>
          <w:rFonts w:cstheme="minorHAnsi"/>
          <w:lang w:val="en-MY" w:eastAsia="en-AU"/>
        </w:rPr>
        <w:t>-</w:t>
      </w:r>
      <w:r w:rsidRPr="00E51C78">
        <w:rPr>
          <w:rFonts w:cstheme="minorHAnsi"/>
          <w:lang w:val="en-MY" w:eastAsia="en-AU"/>
        </w:rPr>
        <w:t>load of 8 to 15 clients is generally required.</w:t>
      </w:r>
    </w:p>
    <w:p w14:paraId="668D9797" w14:textId="77777777" w:rsidR="001D06A0" w:rsidRDefault="001D06A0" w:rsidP="001D06A0">
      <w:pPr>
        <w:rPr>
          <w:lang w:val="en-MY" w:eastAsia="en-AU"/>
        </w:rPr>
      </w:pPr>
    </w:p>
    <w:p w14:paraId="4417E47A" w14:textId="77777777" w:rsidR="00054A38" w:rsidRPr="00BC2894" w:rsidRDefault="00054A38" w:rsidP="00054A38">
      <w:pPr>
        <w:jc w:val="both"/>
        <w:rPr>
          <w:rFonts w:cstheme="minorHAnsi"/>
          <w:lang w:val="en-MY" w:eastAsia="en-AU"/>
        </w:rPr>
      </w:pPr>
      <w:r w:rsidRPr="00BC2894">
        <w:rPr>
          <w:rFonts w:cstheme="minorHAnsi"/>
          <w:lang w:val="en-MY" w:eastAsia="en-AU"/>
        </w:rPr>
        <w:t>Eight service providers are funded to deliver the ATC Program in all States and Territories except Victoria and the A</w:t>
      </w:r>
      <w:r>
        <w:rPr>
          <w:rFonts w:cstheme="minorHAnsi"/>
          <w:lang w:val="en-MY" w:eastAsia="en-AU"/>
        </w:rPr>
        <w:t>CT</w:t>
      </w:r>
      <w:r w:rsidRPr="00BC2894">
        <w:rPr>
          <w:rFonts w:cstheme="minorHAnsi"/>
          <w:lang w:val="en-MY" w:eastAsia="en-AU"/>
        </w:rPr>
        <w:t>. Annual program funding is approximately $7.3 million.</w:t>
      </w:r>
    </w:p>
    <w:p w14:paraId="35E5987E" w14:textId="77777777" w:rsidR="00054A38" w:rsidRDefault="00054A38" w:rsidP="001D06A0">
      <w:pPr>
        <w:rPr>
          <w:lang w:val="en-MY" w:eastAsia="en-AU"/>
        </w:rPr>
      </w:pPr>
    </w:p>
    <w:p w14:paraId="4B112E3B" w14:textId="77777777" w:rsidR="00054A38" w:rsidRDefault="00054A38">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60FD6D5F" w14:textId="63A4F9D4" w:rsidR="001D06A0" w:rsidRPr="00A22692" w:rsidRDefault="001D06A0" w:rsidP="001D06A0">
      <w:pPr>
        <w:rPr>
          <w:rFonts w:cstheme="minorHAnsi"/>
          <w:i/>
          <w:iCs/>
          <w:color w:val="1F497D" w:themeColor="text2"/>
          <w:sz w:val="20"/>
          <w:szCs w:val="20"/>
        </w:rPr>
      </w:pPr>
      <w:r w:rsidRPr="00A22692">
        <w:rPr>
          <w:rFonts w:cstheme="minorHAnsi"/>
          <w:i/>
          <w:iCs/>
          <w:color w:val="1F497D" w:themeColor="text2"/>
          <w:sz w:val="20"/>
          <w:szCs w:val="20"/>
        </w:rPr>
        <w:t>Table</w:t>
      </w:r>
      <w:r w:rsidR="00107B21">
        <w:rPr>
          <w:rFonts w:cstheme="minorHAnsi"/>
          <w:i/>
          <w:iCs/>
          <w:color w:val="1F497D" w:themeColor="text2"/>
          <w:sz w:val="20"/>
          <w:szCs w:val="20"/>
        </w:rPr>
        <w:t xml:space="preserve"> 1 -</w:t>
      </w:r>
      <w:r w:rsidRPr="00A22692">
        <w:rPr>
          <w:rFonts w:cstheme="minorHAnsi"/>
          <w:i/>
          <w:iCs/>
          <w:color w:val="1F497D" w:themeColor="text2"/>
          <w:sz w:val="20"/>
          <w:szCs w:val="20"/>
        </w:rPr>
        <w:t xml:space="preserve"> ATC Program Service Providers, Delivery Sites and Count of Case Workers (15 May 2023)</w:t>
      </w:r>
      <w:r w:rsidRPr="00A22692">
        <w:rPr>
          <w:rStyle w:val="FootnoteReference"/>
          <w:rFonts w:cstheme="minorHAnsi"/>
          <w:i/>
          <w:iCs/>
          <w:color w:val="1F497D" w:themeColor="text2"/>
          <w:sz w:val="20"/>
          <w:szCs w:val="20"/>
        </w:rPr>
        <w:footnoteReference w:id="13"/>
      </w:r>
    </w:p>
    <w:p w14:paraId="31F6B428" w14:textId="77777777" w:rsidR="00BC2894" w:rsidRPr="009D3D8B" w:rsidRDefault="00BC2894" w:rsidP="001D06A0">
      <w:pPr>
        <w:rPr>
          <w:i/>
          <w:iCs/>
          <w:color w:val="1F497D" w:themeColor="text2"/>
          <w:sz w:val="18"/>
          <w:szCs w:val="18"/>
        </w:rPr>
      </w:pPr>
    </w:p>
    <w:tbl>
      <w:tblPr>
        <w:tblStyle w:val="GridTable1Light-Accent1"/>
        <w:tblW w:w="0" w:type="auto"/>
        <w:tblLook w:val="04A0" w:firstRow="1" w:lastRow="0" w:firstColumn="1" w:lastColumn="0" w:noHBand="0" w:noVBand="1"/>
        <w:tblCaption w:val="Table 1"/>
        <w:tblDescription w:val="This table has a column listing adult through care service providers (lists 8) a column listing their delivery sites and a column with the number of case workers (FTE).  "/>
      </w:tblPr>
      <w:tblGrid>
        <w:gridCol w:w="3823"/>
        <w:gridCol w:w="2217"/>
        <w:gridCol w:w="3020"/>
      </w:tblGrid>
      <w:tr w:rsidR="001D06A0" w:rsidRPr="00A22692" w14:paraId="2A6E9B7E" w14:textId="77777777" w:rsidTr="00A2269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3" w:type="dxa"/>
          </w:tcPr>
          <w:p w14:paraId="7559B677" w14:textId="77777777" w:rsidR="001D06A0" w:rsidRPr="00A22692" w:rsidRDefault="001D06A0" w:rsidP="00877CCC">
            <w:pPr>
              <w:jc w:val="center"/>
              <w:rPr>
                <w:rFonts w:cstheme="minorHAnsi"/>
                <w:sz w:val="20"/>
                <w:szCs w:val="20"/>
                <w:lang w:val="en-MY" w:eastAsia="en-AU"/>
              </w:rPr>
            </w:pPr>
            <w:r w:rsidRPr="00A22692">
              <w:rPr>
                <w:rFonts w:cstheme="minorHAnsi"/>
                <w:sz w:val="20"/>
                <w:szCs w:val="20"/>
                <w:lang w:val="en-MY" w:eastAsia="en-AU"/>
              </w:rPr>
              <w:t>ATC Service Provider</w:t>
            </w:r>
          </w:p>
        </w:tc>
        <w:tc>
          <w:tcPr>
            <w:tcW w:w="2217" w:type="dxa"/>
          </w:tcPr>
          <w:p w14:paraId="0DB9F516" w14:textId="77777777" w:rsidR="001D06A0" w:rsidRPr="00A22692" w:rsidRDefault="001D06A0" w:rsidP="00877CC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A22692">
              <w:rPr>
                <w:rFonts w:cstheme="minorHAnsi"/>
                <w:sz w:val="20"/>
                <w:szCs w:val="20"/>
                <w:lang w:val="en-MY" w:eastAsia="en-AU"/>
              </w:rPr>
              <w:t>Delivery Sites</w:t>
            </w:r>
          </w:p>
        </w:tc>
        <w:tc>
          <w:tcPr>
            <w:tcW w:w="3020" w:type="dxa"/>
          </w:tcPr>
          <w:p w14:paraId="31FBF83A" w14:textId="77777777" w:rsidR="001D06A0" w:rsidRPr="00A22692" w:rsidRDefault="001D06A0" w:rsidP="00877CC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A22692">
              <w:rPr>
                <w:rFonts w:cstheme="minorHAnsi"/>
                <w:sz w:val="20"/>
                <w:szCs w:val="20"/>
                <w:lang w:val="en-MY" w:eastAsia="en-AU"/>
              </w:rPr>
              <w:t>Case Worker FTE</w:t>
            </w:r>
          </w:p>
        </w:tc>
      </w:tr>
      <w:tr w:rsidR="001D06A0" w:rsidRPr="00A22692" w14:paraId="619FC463" w14:textId="77777777" w:rsidTr="00A22692">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050031E"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Aboriginal Legal Rights Movement (ALRM)</w:t>
            </w:r>
          </w:p>
        </w:tc>
        <w:tc>
          <w:tcPr>
            <w:tcW w:w="2217" w:type="dxa"/>
            <w:vAlign w:val="center"/>
          </w:tcPr>
          <w:p w14:paraId="489487A4"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(SA) Adelaide</w:t>
            </w:r>
          </w:p>
        </w:tc>
        <w:tc>
          <w:tcPr>
            <w:tcW w:w="3020" w:type="dxa"/>
            <w:vAlign w:val="center"/>
          </w:tcPr>
          <w:p w14:paraId="05246E15" w14:textId="18A499BC" w:rsidR="001D06A0" w:rsidRPr="00A22692" w:rsidRDefault="001C7FE8"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5</w:t>
            </w:r>
            <w:r w:rsidR="001D06A0" w:rsidRPr="00A22692">
              <w:rPr>
                <w:rFonts w:cstheme="minorHAnsi"/>
                <w:b w:val="0"/>
                <w:bCs w:val="0"/>
                <w:sz w:val="20"/>
                <w:szCs w:val="20"/>
                <w:lang w:val="en-MY" w:eastAsia="en-AU"/>
              </w:rPr>
              <w:t xml:space="preserve"> [</w:t>
            </w:r>
            <w:r w:rsidRPr="00A22692">
              <w:rPr>
                <w:rFonts w:cstheme="minorHAnsi"/>
                <w:b w:val="0"/>
                <w:bCs w:val="0"/>
                <w:sz w:val="20"/>
                <w:szCs w:val="20"/>
                <w:lang w:val="en-MY" w:eastAsia="en-AU"/>
              </w:rPr>
              <w:t>of which 1 position vacant</w:t>
            </w:r>
            <w:r w:rsidR="001D06A0" w:rsidRPr="00A22692">
              <w:rPr>
                <w:rFonts w:cstheme="minorHAnsi"/>
                <w:b w:val="0"/>
                <w:bCs w:val="0"/>
                <w:sz w:val="20"/>
                <w:szCs w:val="20"/>
                <w:lang w:val="en-MY" w:eastAsia="en-AU"/>
              </w:rPr>
              <w:t>]</w:t>
            </w:r>
          </w:p>
        </w:tc>
      </w:tr>
      <w:tr w:rsidR="001D06A0" w:rsidRPr="00A22692" w14:paraId="6527F30C" w14:textId="77777777" w:rsidTr="00A22692">
        <w:trPr>
          <w:cnfStyle w:val="100000000000" w:firstRow="1" w:lastRow="0" w:firstColumn="0" w:lastColumn="0" w:oddVBand="0" w:evenVBand="0" w:oddHBand="0" w:evenHBand="0" w:firstRowFirstColumn="0" w:firstRowLastColumn="0" w:lastRowFirstColumn="0" w:lastRowLastColumn="0"/>
          <w:cantSplit/>
          <w:trHeight w:val="814"/>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93E02F9"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Aboriginal and Torres Strait Islander Legal Aid Service (ATSILS)</w:t>
            </w:r>
          </w:p>
        </w:tc>
        <w:tc>
          <w:tcPr>
            <w:tcW w:w="2217" w:type="dxa"/>
            <w:vAlign w:val="center"/>
          </w:tcPr>
          <w:p w14:paraId="6B04F1B5"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(QLD) Wacol, Murgon, Cairns, Rockhampton, Townsville</w:t>
            </w:r>
          </w:p>
        </w:tc>
        <w:tc>
          <w:tcPr>
            <w:tcW w:w="3020" w:type="dxa"/>
            <w:vAlign w:val="center"/>
          </w:tcPr>
          <w:p w14:paraId="37B99222" w14:textId="774B362F" w:rsidR="001D06A0" w:rsidRPr="00A22692" w:rsidRDefault="00024D33"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Pr>
                <w:rFonts w:cstheme="minorHAnsi"/>
                <w:b w:val="0"/>
                <w:bCs w:val="0"/>
                <w:sz w:val="20"/>
                <w:szCs w:val="20"/>
                <w:lang w:val="en-MY" w:eastAsia="en-AU"/>
              </w:rPr>
              <w:t>10</w:t>
            </w:r>
            <w:r w:rsidR="001D06A0" w:rsidRPr="00A22692">
              <w:rPr>
                <w:rFonts w:cstheme="minorHAnsi"/>
                <w:b w:val="0"/>
                <w:bCs w:val="0"/>
                <w:sz w:val="20"/>
                <w:szCs w:val="20"/>
                <w:lang w:val="en-MY" w:eastAsia="en-AU"/>
              </w:rPr>
              <w:t xml:space="preserve"> [of which 3 positions vacant]</w:t>
            </w:r>
            <w:r w:rsidR="001D06A0" w:rsidRPr="00A22692">
              <w:rPr>
                <w:rStyle w:val="FootnoteReference"/>
                <w:rFonts w:cstheme="minorHAnsi"/>
                <w:b w:val="0"/>
                <w:bCs w:val="0"/>
                <w:sz w:val="20"/>
                <w:szCs w:val="20"/>
                <w:lang w:val="en-MY" w:eastAsia="en-AU"/>
              </w:rPr>
              <w:footnoteReference w:id="14"/>
            </w:r>
          </w:p>
        </w:tc>
      </w:tr>
      <w:tr w:rsidR="001D06A0" w:rsidRPr="00A22692" w14:paraId="5A6A46AF" w14:textId="77777777" w:rsidTr="00A22692">
        <w:trPr>
          <w:cnfStyle w:val="100000000000" w:firstRow="1" w:lastRow="0" w:firstColumn="0" w:lastColumn="0" w:oddVBand="0" w:evenVBand="0" w:oddHBand="0" w:evenHBand="0" w:firstRowFirstColumn="0" w:firstRowLastColumn="0" w:lastRowFirstColumn="0" w:lastRowLastColumn="0"/>
          <w:cantSplit/>
          <w:trHeight w:val="529"/>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8A40540"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Circular Head Aboriginal Corporation (CHAC)</w:t>
            </w:r>
          </w:p>
        </w:tc>
        <w:tc>
          <w:tcPr>
            <w:tcW w:w="2217" w:type="dxa"/>
            <w:vAlign w:val="center"/>
          </w:tcPr>
          <w:p w14:paraId="576A45AF"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(TAS) Circular Head*</w:t>
            </w:r>
            <w:r w:rsidRPr="00A22692">
              <w:rPr>
                <w:rStyle w:val="FootnoteReference"/>
                <w:rFonts w:cstheme="minorHAnsi"/>
                <w:b w:val="0"/>
                <w:bCs w:val="0"/>
                <w:sz w:val="20"/>
                <w:szCs w:val="20"/>
                <w:lang w:val="en-MY" w:eastAsia="en-AU"/>
              </w:rPr>
              <w:footnoteReference w:id="15"/>
            </w:r>
          </w:p>
        </w:tc>
        <w:tc>
          <w:tcPr>
            <w:tcW w:w="3020" w:type="dxa"/>
            <w:vAlign w:val="center"/>
          </w:tcPr>
          <w:p w14:paraId="230037D2" w14:textId="77777777" w:rsidR="001D06A0" w:rsidRPr="00A22692" w:rsidRDefault="001D06A0"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2</w:t>
            </w:r>
          </w:p>
        </w:tc>
      </w:tr>
      <w:tr w:rsidR="001D06A0" w:rsidRPr="00A22692" w14:paraId="48BD33E8" w14:textId="77777777" w:rsidTr="00A22692">
        <w:trPr>
          <w:cnfStyle w:val="100000000000" w:firstRow="1" w:lastRow="0" w:firstColumn="0" w:lastColumn="0" w:oddVBand="0" w:evenVBand="0" w:oddHBand="0" w:evenHBand="0" w:firstRowFirstColumn="0" w:firstRowLastColumn="0" w:lastRowFirstColumn="0" w:lastRowLastColumn="0"/>
          <w:cantSplit/>
          <w:trHeight w:val="537"/>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A2687C8"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Community Restorative Centre (CRC)</w:t>
            </w:r>
          </w:p>
        </w:tc>
        <w:tc>
          <w:tcPr>
            <w:tcW w:w="2217" w:type="dxa"/>
            <w:vAlign w:val="center"/>
          </w:tcPr>
          <w:p w14:paraId="7333E62F"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(NSW) Broken Hill, Wilcannia*</w:t>
            </w:r>
            <w:r w:rsidRPr="00A22692">
              <w:rPr>
                <w:rStyle w:val="FootnoteReference"/>
                <w:rFonts w:cstheme="minorHAnsi"/>
                <w:b w:val="0"/>
                <w:bCs w:val="0"/>
                <w:sz w:val="20"/>
                <w:szCs w:val="20"/>
                <w:lang w:val="en-MY" w:eastAsia="en-AU"/>
              </w:rPr>
              <w:footnoteReference w:id="16"/>
            </w:r>
          </w:p>
        </w:tc>
        <w:tc>
          <w:tcPr>
            <w:tcW w:w="3020" w:type="dxa"/>
            <w:vAlign w:val="center"/>
          </w:tcPr>
          <w:p w14:paraId="291293CF" w14:textId="77777777" w:rsidR="001D06A0" w:rsidRPr="00A22692" w:rsidRDefault="001D06A0"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4</w:t>
            </w:r>
          </w:p>
        </w:tc>
      </w:tr>
      <w:tr w:rsidR="001D06A0" w:rsidRPr="00A22692" w14:paraId="1C3CEB91" w14:textId="77777777" w:rsidTr="00A2269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D7D1E9B"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Five Bridges</w:t>
            </w:r>
          </w:p>
        </w:tc>
        <w:tc>
          <w:tcPr>
            <w:tcW w:w="2217" w:type="dxa"/>
            <w:vAlign w:val="center"/>
          </w:tcPr>
          <w:p w14:paraId="640BD32F"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(QLD) Ipswich</w:t>
            </w:r>
          </w:p>
        </w:tc>
        <w:tc>
          <w:tcPr>
            <w:tcW w:w="3020" w:type="dxa"/>
            <w:vAlign w:val="center"/>
          </w:tcPr>
          <w:p w14:paraId="34B198BA" w14:textId="77777777" w:rsidR="001D06A0" w:rsidRPr="00A22692" w:rsidRDefault="001D06A0"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2</w:t>
            </w:r>
          </w:p>
        </w:tc>
      </w:tr>
      <w:tr w:rsidR="001D06A0" w:rsidRPr="00A22692" w14:paraId="67D505A3" w14:textId="77777777" w:rsidTr="00A22692">
        <w:trPr>
          <w:cnfStyle w:val="100000000000" w:firstRow="1" w:lastRow="0" w:firstColumn="0" w:lastColumn="0" w:oddVBand="0" w:evenVBand="0" w:oddHBand="0" w:evenHBand="0" w:firstRowFirstColumn="0" w:firstRowLastColumn="0" w:lastRowFirstColumn="0" w:lastRowLastColumn="0"/>
          <w:cantSplit/>
          <w:trHeight w:val="265"/>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825E4E7"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Nulsen (Outcare)</w:t>
            </w:r>
          </w:p>
        </w:tc>
        <w:tc>
          <w:tcPr>
            <w:tcW w:w="2217" w:type="dxa"/>
            <w:vAlign w:val="center"/>
          </w:tcPr>
          <w:p w14:paraId="10CB59D9"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(WA) Perth</w:t>
            </w:r>
          </w:p>
        </w:tc>
        <w:tc>
          <w:tcPr>
            <w:tcW w:w="3020" w:type="dxa"/>
            <w:vAlign w:val="center"/>
          </w:tcPr>
          <w:p w14:paraId="64428AD5" w14:textId="13B07472" w:rsidR="001D06A0" w:rsidRPr="00A22692" w:rsidRDefault="00024D33"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Pr>
                <w:rFonts w:cstheme="minorHAnsi"/>
                <w:b w:val="0"/>
                <w:bCs w:val="0"/>
                <w:sz w:val="20"/>
                <w:szCs w:val="20"/>
                <w:lang w:val="en-MY" w:eastAsia="en-AU"/>
              </w:rPr>
              <w:t>9</w:t>
            </w:r>
          </w:p>
        </w:tc>
      </w:tr>
      <w:tr w:rsidR="001D06A0" w:rsidRPr="00A22692" w14:paraId="54450B19" w14:textId="77777777" w:rsidTr="00A22692">
        <w:trPr>
          <w:cnfStyle w:val="100000000000" w:firstRow="1" w:lastRow="0" w:firstColumn="0" w:lastColumn="0" w:oddVBand="0" w:evenVBand="0" w:oddHBand="0" w:evenHBand="0" w:firstRowFirstColumn="0" w:firstRowLastColumn="0" w:lastRowFirstColumn="0" w:lastRowLastColumn="0"/>
          <w:cantSplit/>
          <w:trHeight w:val="539"/>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2462C82"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North Australian Aboriginal Justice Agency (NAAJA)</w:t>
            </w:r>
          </w:p>
        </w:tc>
        <w:tc>
          <w:tcPr>
            <w:tcW w:w="2217" w:type="dxa"/>
            <w:vAlign w:val="center"/>
          </w:tcPr>
          <w:p w14:paraId="09265F75"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(NT) Darwin, Alice Springs</w:t>
            </w:r>
          </w:p>
        </w:tc>
        <w:tc>
          <w:tcPr>
            <w:tcW w:w="3020" w:type="dxa"/>
            <w:vAlign w:val="center"/>
          </w:tcPr>
          <w:p w14:paraId="2028B218" w14:textId="77777777" w:rsidR="001D06A0" w:rsidRPr="00A22692" w:rsidRDefault="001D06A0" w:rsidP="00A2269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A22692">
              <w:rPr>
                <w:rFonts w:cstheme="minorHAnsi"/>
                <w:b w:val="0"/>
                <w:bCs w:val="0"/>
                <w:sz w:val="20"/>
                <w:szCs w:val="20"/>
                <w:lang w:val="en-MY" w:eastAsia="en-AU"/>
              </w:rPr>
              <w:t>9 [of which 2 vacant]</w:t>
            </w:r>
          </w:p>
        </w:tc>
      </w:tr>
      <w:tr w:rsidR="001D06A0" w:rsidRPr="00A22692" w14:paraId="743A2377" w14:textId="77777777" w:rsidTr="00054A38">
        <w:trPr>
          <w:cnfStyle w:val="100000000000" w:firstRow="1" w:lastRow="0" w:firstColumn="0" w:lastColumn="0" w:oddVBand="0" w:evenVBand="0" w:oddHBand="0" w:evenHBand="0" w:firstRowFirstColumn="0" w:firstRowLastColumn="0" w:lastRowFirstColumn="0" w:lastRowLastColumn="0"/>
          <w:cantSplit/>
          <w:trHeight w:val="51"/>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7C7A9C0" w14:textId="77777777" w:rsidR="001D06A0" w:rsidRPr="00A22692" w:rsidRDefault="001D06A0" w:rsidP="00A22692">
            <w:pPr>
              <w:rPr>
                <w:rFonts w:cstheme="minorHAnsi"/>
                <w:b w:val="0"/>
                <w:bCs w:val="0"/>
                <w:sz w:val="20"/>
                <w:szCs w:val="20"/>
                <w:lang w:val="en-MY" w:eastAsia="en-AU"/>
              </w:rPr>
            </w:pPr>
            <w:r w:rsidRPr="00A22692">
              <w:rPr>
                <w:rFonts w:cstheme="minorHAnsi"/>
                <w:b w:val="0"/>
                <w:bCs w:val="0"/>
                <w:sz w:val="20"/>
                <w:szCs w:val="20"/>
                <w:lang w:val="en-MY" w:eastAsia="en-AU"/>
              </w:rPr>
              <w:t>Regional Youth Support Service (RYSS)</w:t>
            </w:r>
          </w:p>
        </w:tc>
        <w:tc>
          <w:tcPr>
            <w:tcW w:w="2217" w:type="dxa"/>
            <w:vAlign w:val="center"/>
          </w:tcPr>
          <w:p w14:paraId="41C82BA0" w14:textId="77777777" w:rsidR="001D06A0" w:rsidRPr="00A22692" w:rsidRDefault="001D06A0" w:rsidP="00A226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(NSW) Gosford</w:t>
            </w:r>
          </w:p>
        </w:tc>
        <w:tc>
          <w:tcPr>
            <w:tcW w:w="3020" w:type="dxa"/>
            <w:vAlign w:val="center"/>
          </w:tcPr>
          <w:p w14:paraId="373E8326" w14:textId="77777777" w:rsidR="001D06A0" w:rsidRPr="00A22692" w:rsidRDefault="001D06A0" w:rsidP="00A22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A22692">
              <w:rPr>
                <w:rFonts w:cstheme="minorHAnsi"/>
                <w:b w:val="0"/>
                <w:bCs w:val="0"/>
                <w:sz w:val="20"/>
                <w:szCs w:val="20"/>
                <w:lang w:val="en-MY" w:eastAsia="en-AU"/>
              </w:rPr>
              <w:t>2</w:t>
            </w:r>
          </w:p>
        </w:tc>
      </w:tr>
    </w:tbl>
    <w:p w14:paraId="2093FD0C" w14:textId="77777777" w:rsidR="00BB4C95" w:rsidRDefault="009E5D3E" w:rsidP="00BB4C95">
      <w:pPr>
        <w:pStyle w:val="SUBHEAD2"/>
        <w:rPr>
          <w:rFonts w:asciiTheme="minorHAnsi" w:hAnsiTheme="minorHAnsi" w:cstheme="minorHAnsi"/>
          <w:lang w:val="en-MY" w:eastAsia="en-AU"/>
        </w:rPr>
      </w:pPr>
      <w:r w:rsidRPr="009E5D3E">
        <w:rPr>
          <w:rFonts w:asciiTheme="minorHAnsi" w:hAnsiTheme="minorHAnsi" w:cstheme="minorHAnsi"/>
          <w:lang w:val="en-MY" w:eastAsia="en-AU"/>
        </w:rPr>
        <w:t>ATC Model Core Elements</w:t>
      </w:r>
      <w:r w:rsidR="00D8792D">
        <w:rPr>
          <w:rFonts w:asciiTheme="minorHAnsi" w:hAnsiTheme="minorHAnsi" w:cstheme="minorHAnsi"/>
          <w:lang w:val="en-MY" w:eastAsia="en-AU"/>
        </w:rPr>
        <w:t xml:space="preserve"> and Standards</w:t>
      </w:r>
    </w:p>
    <w:p w14:paraId="1D374617" w14:textId="5679FAB6" w:rsidR="009E5D3E" w:rsidRPr="00BB4C95" w:rsidRDefault="009E5D3E" w:rsidP="00834FEF">
      <w:pPr>
        <w:spacing w:before="120" w:after="120"/>
        <w:jc w:val="both"/>
        <w:rPr>
          <w:b/>
          <w:smallCaps/>
          <w:lang w:val="en-MY" w:eastAsia="en-AU"/>
        </w:rPr>
      </w:pPr>
      <w:r w:rsidRPr="00BB4C95">
        <w:rPr>
          <w:lang w:val="en-MY" w:eastAsia="en-AU"/>
        </w:rPr>
        <w:t xml:space="preserve">The program model acknowledges the critical contributions </w:t>
      </w:r>
      <w:r w:rsidR="00D8792D" w:rsidRPr="00BB4C95">
        <w:rPr>
          <w:lang w:val="en-MY" w:eastAsia="en-AU"/>
        </w:rPr>
        <w:t xml:space="preserve">of three ‘core elements’: intensive case management and client support provided; the role of </w:t>
      </w:r>
      <w:r w:rsidRPr="00BB4C95">
        <w:rPr>
          <w:lang w:val="en-MY" w:eastAsia="en-AU"/>
        </w:rPr>
        <w:t>family, kin and community</w:t>
      </w:r>
      <w:r w:rsidR="00D8792D" w:rsidRPr="00BB4C95">
        <w:rPr>
          <w:lang w:val="en-MY" w:eastAsia="en-AU"/>
        </w:rPr>
        <w:t xml:space="preserve"> in supporting clients on their journey</w:t>
      </w:r>
      <w:r w:rsidRPr="00BB4C95">
        <w:rPr>
          <w:lang w:val="en-MY" w:eastAsia="en-AU"/>
        </w:rPr>
        <w:t xml:space="preserve">; and the range of available referral support </w:t>
      </w:r>
      <w:r w:rsidR="00D8792D" w:rsidRPr="00BB4C95">
        <w:rPr>
          <w:lang w:val="en-MY" w:eastAsia="en-AU"/>
        </w:rPr>
        <w:t>services</w:t>
      </w:r>
      <w:r w:rsidRPr="00BB4C95">
        <w:rPr>
          <w:lang w:val="en-MY" w:eastAsia="en-AU"/>
        </w:rPr>
        <w:t xml:space="preserve">. These key stakeholders are </w:t>
      </w:r>
      <w:r w:rsidR="004B0F3A" w:rsidRPr="00BB4C95">
        <w:rPr>
          <w:lang w:val="en-MY" w:eastAsia="en-AU"/>
        </w:rPr>
        <w:t xml:space="preserve">expected </w:t>
      </w:r>
      <w:r w:rsidRPr="00BB4C95">
        <w:rPr>
          <w:lang w:val="en-MY" w:eastAsia="en-AU"/>
        </w:rPr>
        <w:t>to collaborate to provide a holistic ‘wrap-around’ approach to support clients achieve their goals, with client-led and person-centred support at the centre.</w:t>
      </w:r>
    </w:p>
    <w:p w14:paraId="02EC11C8" w14:textId="77777777" w:rsidR="004E2F12" w:rsidRDefault="004E2F12" w:rsidP="009E5D3E">
      <w:pPr>
        <w:jc w:val="both"/>
        <w:rPr>
          <w:rFonts w:cstheme="minorHAnsi"/>
          <w:lang w:val="en-MY" w:eastAsia="en-AU"/>
        </w:rPr>
      </w:pPr>
    </w:p>
    <w:p w14:paraId="4F99F4DF" w14:textId="6D56E586" w:rsidR="004E2F12" w:rsidRDefault="004E2F12" w:rsidP="004E2F12">
      <w:pPr>
        <w:jc w:val="both"/>
        <w:rPr>
          <w:rFonts w:cstheme="minorHAnsi"/>
          <w:lang w:eastAsia="en-AU"/>
        </w:rPr>
      </w:pPr>
      <w:r w:rsidRPr="004E2F12">
        <w:rPr>
          <w:rFonts w:cstheme="minorHAnsi"/>
          <w:lang w:val="en-MY" w:eastAsia="en-AU"/>
        </w:rPr>
        <w:t xml:space="preserve">Figure </w:t>
      </w:r>
      <w:r>
        <w:rPr>
          <w:rFonts w:cstheme="minorHAnsi"/>
          <w:lang w:val="en-MY" w:eastAsia="en-AU"/>
        </w:rPr>
        <w:t>1</w:t>
      </w:r>
      <w:r w:rsidRPr="004E2F12">
        <w:rPr>
          <w:rFonts w:cstheme="minorHAnsi"/>
          <w:lang w:val="en-MY" w:eastAsia="en-AU"/>
        </w:rPr>
        <w:t xml:space="preserve"> overpage </w:t>
      </w:r>
      <w:r w:rsidR="009077D8">
        <w:rPr>
          <w:rFonts w:cstheme="minorHAnsi"/>
          <w:lang w:val="en-MY" w:eastAsia="en-AU"/>
        </w:rPr>
        <w:t xml:space="preserve">shows </w:t>
      </w:r>
      <w:r w:rsidRPr="004E2F12">
        <w:rPr>
          <w:rFonts w:cstheme="minorHAnsi"/>
          <w:lang w:val="en-MY" w:eastAsia="en-AU"/>
        </w:rPr>
        <w:t>the relationship between the</w:t>
      </w:r>
      <w:r>
        <w:rPr>
          <w:rFonts w:cstheme="minorHAnsi"/>
          <w:lang w:val="en-MY" w:eastAsia="en-AU"/>
        </w:rPr>
        <w:t xml:space="preserve">se </w:t>
      </w:r>
      <w:r w:rsidRPr="004E2F12">
        <w:rPr>
          <w:rFonts w:cstheme="minorHAnsi"/>
          <w:lang w:val="en-MY" w:eastAsia="en-AU"/>
        </w:rPr>
        <w:t>core elements (or activity streams) and the set of Model Standards that inform each stage of the through-care process from initial engagement and assessment, to pre-release and post-release stages.</w:t>
      </w:r>
      <w:r>
        <w:rPr>
          <w:rFonts w:cstheme="minorHAnsi"/>
          <w:lang w:val="en-MY" w:eastAsia="en-AU"/>
        </w:rPr>
        <w:t xml:space="preserve"> </w:t>
      </w:r>
      <w:r w:rsidRPr="004E2F12">
        <w:rPr>
          <w:rFonts w:cstheme="minorHAnsi"/>
          <w:lang w:val="en-MY" w:eastAsia="en-AU"/>
        </w:rPr>
        <w:t xml:space="preserve">The </w:t>
      </w:r>
      <w:r>
        <w:rPr>
          <w:rFonts w:cstheme="minorHAnsi"/>
          <w:lang w:val="en-MY" w:eastAsia="en-AU"/>
        </w:rPr>
        <w:t>m</w:t>
      </w:r>
      <w:r w:rsidRPr="004E2F12">
        <w:rPr>
          <w:rFonts w:cstheme="minorHAnsi"/>
          <w:lang w:val="en-MY" w:eastAsia="en-AU"/>
        </w:rPr>
        <w:t xml:space="preserve">odel acknowledges that the </w:t>
      </w:r>
      <w:r>
        <w:rPr>
          <w:rFonts w:cstheme="minorHAnsi"/>
          <w:lang w:val="en-MY" w:eastAsia="en-AU"/>
        </w:rPr>
        <w:t>m</w:t>
      </w:r>
      <w:r w:rsidRPr="004E2F12">
        <w:rPr>
          <w:rFonts w:cstheme="minorHAnsi"/>
          <w:lang w:val="en-MY" w:eastAsia="en-AU"/>
        </w:rPr>
        <w:t xml:space="preserve">odel </w:t>
      </w:r>
      <w:r>
        <w:rPr>
          <w:rFonts w:cstheme="minorHAnsi"/>
          <w:lang w:val="en-MY" w:eastAsia="en-AU"/>
        </w:rPr>
        <w:t>s</w:t>
      </w:r>
      <w:r w:rsidRPr="004E2F12">
        <w:rPr>
          <w:rFonts w:cstheme="minorHAnsi"/>
          <w:lang w:val="en-MY" w:eastAsia="en-AU"/>
        </w:rPr>
        <w:t>tandards may not be delivered in the order they are described, and that a range of factors (e.g. short sentences or timeliness of a referral) may require flexibility in the sequence of service provision.</w:t>
      </w:r>
      <w:r>
        <w:rPr>
          <w:rFonts w:cstheme="minorHAnsi"/>
          <w:lang w:val="en-MY" w:eastAsia="en-AU"/>
        </w:rPr>
        <w:t xml:space="preserve"> </w:t>
      </w:r>
      <w:r w:rsidRPr="004E2F12">
        <w:rPr>
          <w:rFonts w:cstheme="minorHAnsi"/>
          <w:lang w:val="en-US" w:eastAsia="en-AU"/>
        </w:rPr>
        <w:t xml:space="preserve">Specific adaptations to the Model Standards are also made for </w:t>
      </w:r>
      <w:r w:rsidRPr="004E2F12">
        <w:rPr>
          <w:rFonts w:cstheme="minorHAnsi"/>
          <w:lang w:eastAsia="en-AU"/>
        </w:rPr>
        <w:t xml:space="preserve">female prisoners to ensure that their needs and risks are addressed (often relating to the predominance of females as caregivers and victims of violence, shorter sentences and needing access to female-specific support). </w:t>
      </w:r>
    </w:p>
    <w:p w14:paraId="3D17DA5A" w14:textId="54A3C6DA" w:rsidR="0028372C" w:rsidRDefault="0028372C" w:rsidP="004E2F12">
      <w:pPr>
        <w:jc w:val="both"/>
        <w:rPr>
          <w:rFonts w:cstheme="minorHAnsi"/>
          <w:lang w:eastAsia="en-AU"/>
        </w:rPr>
      </w:pPr>
    </w:p>
    <w:p w14:paraId="57207534" w14:textId="77777777" w:rsidR="0028372C" w:rsidRDefault="0028372C" w:rsidP="004E2F12">
      <w:pPr>
        <w:jc w:val="both"/>
        <w:rPr>
          <w:rFonts w:cstheme="minorHAnsi"/>
          <w:lang w:val="en-MY" w:eastAsia="en-AU"/>
        </w:rPr>
        <w:sectPr w:rsidR="0028372C" w:rsidSect="00A04873">
          <w:pgSz w:w="11906" w:h="16838"/>
          <w:pgMar w:top="851" w:right="1418" w:bottom="1701" w:left="1418" w:header="1531" w:footer="737" w:gutter="0"/>
          <w:pgNumType w:start="1"/>
          <w:cols w:space="720"/>
          <w:docGrid w:linePitch="326"/>
        </w:sectPr>
      </w:pPr>
    </w:p>
    <w:p w14:paraId="1FCD1A0B" w14:textId="1D0E7917" w:rsidR="0028372C" w:rsidRDefault="00107B21" w:rsidP="004E2F12">
      <w:pPr>
        <w:jc w:val="both"/>
        <w:rPr>
          <w:rFonts w:cstheme="minorHAnsi"/>
          <w:i/>
          <w:iCs/>
          <w:color w:val="1F497D" w:themeColor="text2"/>
          <w:sz w:val="20"/>
          <w:szCs w:val="20"/>
        </w:rPr>
      </w:pPr>
      <w:r>
        <w:rPr>
          <w:rFonts w:cstheme="minorHAnsi"/>
          <w:i/>
          <w:iCs/>
          <w:color w:val="1F497D" w:themeColor="text2"/>
          <w:sz w:val="20"/>
          <w:szCs w:val="20"/>
        </w:rPr>
        <w:t xml:space="preserve">Figure 1 </w:t>
      </w:r>
      <w:r w:rsidRPr="00A22692">
        <w:rPr>
          <w:rFonts w:cstheme="minorHAnsi"/>
          <w:i/>
          <w:iCs/>
          <w:color w:val="1F497D" w:themeColor="text2"/>
          <w:sz w:val="20"/>
          <w:szCs w:val="20"/>
        </w:rPr>
        <w:t xml:space="preserve">– ATC </w:t>
      </w:r>
      <w:r>
        <w:rPr>
          <w:rFonts w:cstheme="minorHAnsi"/>
          <w:i/>
          <w:iCs/>
          <w:color w:val="1F497D" w:themeColor="text2"/>
          <w:sz w:val="20"/>
          <w:szCs w:val="20"/>
        </w:rPr>
        <w:t>Model Implementation Framework (Source: ABT Associates)</w:t>
      </w:r>
      <w:r w:rsidR="00C46B95" w:rsidRPr="00C46B95">
        <w:rPr>
          <w:rFonts w:cstheme="minorHAnsi"/>
          <w:noProof/>
          <w:lang w:eastAsia="en-AU"/>
        </w:rPr>
        <mc:AlternateContent>
          <mc:Choice Requires="wps">
            <w:drawing>
              <wp:anchor distT="0" distB="0" distL="114300" distR="114300" simplePos="0" relativeHeight="251658247" behindDoc="0" locked="0" layoutInCell="1" allowOverlap="1" wp14:anchorId="1876CBC5" wp14:editId="5429A6CC">
                <wp:simplePos x="0" y="0"/>
                <wp:positionH relativeFrom="column">
                  <wp:posOffset>26035</wp:posOffset>
                </wp:positionH>
                <wp:positionV relativeFrom="paragraph">
                  <wp:posOffset>440055</wp:posOffset>
                </wp:positionV>
                <wp:extent cx="1028700" cy="914400"/>
                <wp:effectExtent l="12700" t="12700" r="12700" b="12700"/>
                <wp:wrapNone/>
                <wp:docPr id="12" name="Oval 11">
                  <a:extLst xmlns:a="http://schemas.openxmlformats.org/drawingml/2006/main">
                    <a:ext uri="{FF2B5EF4-FFF2-40B4-BE49-F238E27FC236}">
                      <a16:creationId xmlns:a16="http://schemas.microsoft.com/office/drawing/2014/main" id="{2E033E34-AA86-95A3-F450-477E07EA0F1F}"/>
                    </a:ext>
                  </a:extLst>
                </wp:docPr>
                <wp:cNvGraphicFramePr/>
                <a:graphic xmlns:a="http://schemas.openxmlformats.org/drawingml/2006/main">
                  <a:graphicData uri="http://schemas.microsoft.com/office/word/2010/wordprocessingShape">
                    <wps:wsp>
                      <wps:cNvSpPr/>
                      <wps:spPr>
                        <a:xfrm>
                          <a:off x="0" y="0"/>
                          <a:ext cx="1028700" cy="914400"/>
                        </a:xfrm>
                        <a:prstGeom prst="ellipse">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BA9FE" w14:textId="77777777" w:rsidR="009C42F3" w:rsidRDefault="009C42F3" w:rsidP="00C46B95">
                            <w:pPr>
                              <w:jc w:val="center"/>
                              <w:rPr>
                                <w:rFonts w:hAnsi="Calibri"/>
                                <w:color w:val="FFFFFF" w:themeColor="light1"/>
                                <w:kern w:val="24"/>
                                <w:sz w:val="16"/>
                                <w:szCs w:val="16"/>
                                <w:lang w:val="en-US"/>
                              </w:rPr>
                            </w:pPr>
                            <w:r>
                              <w:rPr>
                                <w:rFonts w:hAnsi="Calibri"/>
                                <w:color w:val="FFFFFF" w:themeColor="light1"/>
                                <w:kern w:val="24"/>
                                <w:sz w:val="16"/>
                                <w:szCs w:val="16"/>
                                <w:lang w:val="en-US"/>
                              </w:rPr>
                              <w:t>Intensive Case Work &amp; Client Support</w:t>
                            </w:r>
                          </w:p>
                        </w:txbxContent>
                      </wps:txbx>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876CBC5" id="Oval 11" o:spid="_x0000_s1031" style="position:absolute;left:0;text-align:left;margin-left:2.05pt;margin-top:34.65pt;width:81pt;height:1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" fillcolor="#e36c0a [2409]" strokecolor="#f79646 [3209]" strokeweight="2pt">
                <v:textbox>
                  <w:txbxContent>
                    <w:p w14:paraId="7FBBA9FE" w14:textId="77777777" w:rsidR="009C42F3" w:rsidRDefault="009C42F3" w:rsidP="00C46B95">
                      <w:pPr>
                        <w:jc w:val="center"/>
                        <w:rPr>
                          <w:rFonts w:hAnsi="Calibri"/>
                          <w:color w:val="FFFFFF" w:themeColor="light1"/>
                          <w:kern w:val="24"/>
                          <w:sz w:val="16"/>
                          <w:szCs w:val="16"/>
                          <w:lang w:val="en-US"/>
                        </w:rPr>
                      </w:pPr>
                      <w:r>
                        <w:rPr>
                          <w:rFonts w:hAnsi="Calibri"/>
                          <w:color w:val="FFFFFF" w:themeColor="light1"/>
                          <w:kern w:val="24"/>
                          <w:sz w:val="16"/>
                          <w:szCs w:val="16"/>
                          <w:lang w:val="en-US"/>
                        </w:rPr>
                        <w:t>Intensive Case Work &amp; Client Support</w:t>
                      </w:r>
                    </w:p>
                  </w:txbxContent>
                </v:textbox>
              </v:oval>
            </w:pict>
          </mc:Fallback>
        </mc:AlternateContent>
      </w:r>
      <w:r w:rsidR="00C46B95" w:rsidRPr="00C46B95">
        <w:rPr>
          <w:rFonts w:cstheme="minorHAnsi"/>
          <w:noProof/>
          <w:lang w:eastAsia="en-AU"/>
        </w:rPr>
        <mc:AlternateContent>
          <mc:Choice Requires="wps">
            <w:drawing>
              <wp:anchor distT="0" distB="0" distL="114300" distR="114300" simplePos="0" relativeHeight="251658248" behindDoc="0" locked="0" layoutInCell="1" allowOverlap="1" wp14:anchorId="1DCB7AFA" wp14:editId="6D6785D2">
                <wp:simplePos x="0" y="0"/>
                <wp:positionH relativeFrom="column">
                  <wp:posOffset>26035</wp:posOffset>
                </wp:positionH>
                <wp:positionV relativeFrom="paragraph">
                  <wp:posOffset>1577975</wp:posOffset>
                </wp:positionV>
                <wp:extent cx="1028700" cy="914400"/>
                <wp:effectExtent l="12700" t="12700" r="12700" b="12700"/>
                <wp:wrapNone/>
                <wp:docPr id="13" name="Oval 12">
                  <a:extLst xmlns:a="http://schemas.openxmlformats.org/drawingml/2006/main">
                    <a:ext uri="{FF2B5EF4-FFF2-40B4-BE49-F238E27FC236}">
                      <a16:creationId xmlns:a16="http://schemas.microsoft.com/office/drawing/2014/main" id="{CF5333E0-7BC6-8CF2-AE4C-22B7AEC44F40}"/>
                    </a:ext>
                  </a:extLst>
                </wp:docPr>
                <wp:cNvGraphicFramePr/>
                <a:graphic xmlns:a="http://schemas.openxmlformats.org/drawingml/2006/main">
                  <a:graphicData uri="http://schemas.microsoft.com/office/word/2010/wordprocessingShape">
                    <wps:wsp>
                      <wps:cNvSpPr/>
                      <wps:spPr>
                        <a:xfrm>
                          <a:off x="0" y="0"/>
                          <a:ext cx="1028700" cy="914400"/>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56A4F" w14:textId="77777777" w:rsidR="009C42F3" w:rsidRDefault="009C42F3" w:rsidP="00C46B95">
                            <w:pPr>
                              <w:jc w:val="center"/>
                              <w:rPr>
                                <w:rFonts w:hAnsi="Calibri"/>
                                <w:color w:val="FFFFFF" w:themeColor="light1"/>
                                <w:kern w:val="24"/>
                                <w:sz w:val="16"/>
                                <w:szCs w:val="16"/>
                                <w:lang w:val="en-US"/>
                              </w:rPr>
                            </w:pPr>
                            <w:r>
                              <w:rPr>
                                <w:rFonts w:hAnsi="Calibri"/>
                                <w:color w:val="FFFFFF" w:themeColor="light1"/>
                                <w:kern w:val="24"/>
                                <w:sz w:val="16"/>
                                <w:szCs w:val="16"/>
                                <w:lang w:val="en-US"/>
                              </w:rPr>
                              <w:t>Family, Community &amp; Cultural Support</w:t>
                            </w:r>
                          </w:p>
                        </w:txbxContent>
                      </wps:txbx>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DCB7AFA" id="Oval 12" o:spid="_x0000_s1032" style="position:absolute;left:0;text-align:left;margin-left:2.05pt;margin-top:124.25pt;width:81pt;height:1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" fillcolor="#943634 [2405]" strokecolor="#943634 [2405]" strokeweight="2pt">
                <v:textbox>
                  <w:txbxContent>
                    <w:p w14:paraId="5D756A4F" w14:textId="77777777" w:rsidR="009C42F3" w:rsidRDefault="009C42F3" w:rsidP="00C46B95">
                      <w:pPr>
                        <w:jc w:val="center"/>
                        <w:rPr>
                          <w:rFonts w:hAnsi="Calibri"/>
                          <w:color w:val="FFFFFF" w:themeColor="light1"/>
                          <w:kern w:val="24"/>
                          <w:sz w:val="16"/>
                          <w:szCs w:val="16"/>
                          <w:lang w:val="en-US"/>
                        </w:rPr>
                      </w:pPr>
                      <w:r>
                        <w:rPr>
                          <w:rFonts w:hAnsi="Calibri"/>
                          <w:color w:val="FFFFFF" w:themeColor="light1"/>
                          <w:kern w:val="24"/>
                          <w:sz w:val="16"/>
                          <w:szCs w:val="16"/>
                          <w:lang w:val="en-US"/>
                        </w:rPr>
                        <w:t>Family, Community &amp; Cultural Support</w:t>
                      </w:r>
                    </w:p>
                  </w:txbxContent>
                </v:textbox>
              </v:oval>
            </w:pict>
          </mc:Fallback>
        </mc:AlternateContent>
      </w:r>
      <w:r w:rsidR="00C46B95" w:rsidRPr="00C46B95">
        <w:rPr>
          <w:rFonts w:cstheme="minorHAnsi"/>
          <w:noProof/>
          <w:lang w:eastAsia="en-AU"/>
        </w:rPr>
        <mc:AlternateContent>
          <mc:Choice Requires="wps">
            <w:drawing>
              <wp:anchor distT="0" distB="0" distL="114300" distR="114300" simplePos="0" relativeHeight="251658249" behindDoc="0" locked="0" layoutInCell="1" allowOverlap="1" wp14:anchorId="16FCCC43" wp14:editId="3785C765">
                <wp:simplePos x="0" y="0"/>
                <wp:positionH relativeFrom="column">
                  <wp:posOffset>22860</wp:posOffset>
                </wp:positionH>
                <wp:positionV relativeFrom="paragraph">
                  <wp:posOffset>2720340</wp:posOffset>
                </wp:positionV>
                <wp:extent cx="1033780" cy="914400"/>
                <wp:effectExtent l="12700" t="12700" r="7620" b="12700"/>
                <wp:wrapNone/>
                <wp:docPr id="14" name="Oval 13">
                  <a:extLst xmlns:a="http://schemas.openxmlformats.org/drawingml/2006/main">
                    <a:ext uri="{FF2B5EF4-FFF2-40B4-BE49-F238E27FC236}">
                      <a16:creationId xmlns:a16="http://schemas.microsoft.com/office/drawing/2014/main" id="{7A4B41F5-7AEC-EB23-5C6F-0A64B54452B1}"/>
                    </a:ext>
                  </a:extLst>
                </wp:docPr>
                <wp:cNvGraphicFramePr/>
                <a:graphic xmlns:a="http://schemas.openxmlformats.org/drawingml/2006/main">
                  <a:graphicData uri="http://schemas.microsoft.com/office/word/2010/wordprocessingShape">
                    <wps:wsp>
                      <wps:cNvSpPr/>
                      <wps:spPr>
                        <a:xfrm>
                          <a:off x="0" y="0"/>
                          <a:ext cx="1033780" cy="914400"/>
                        </a:xfrm>
                        <a:prstGeom prst="ellipse">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C4E42" w14:textId="7270CEDF" w:rsidR="009C42F3" w:rsidRDefault="009C42F3" w:rsidP="00C46B95">
                            <w:pPr>
                              <w:jc w:val="center"/>
                              <w:rPr>
                                <w:rFonts w:hAnsi="Calibri"/>
                                <w:color w:val="FFFFFF" w:themeColor="light1"/>
                                <w:kern w:val="24"/>
                                <w:sz w:val="16"/>
                                <w:szCs w:val="16"/>
                                <w:lang w:val="en-US"/>
                              </w:rPr>
                            </w:pPr>
                            <w:r w:rsidRPr="003F4124">
                              <w:rPr>
                                <w:rFonts w:hAnsi="Calibri"/>
                                <w:color w:val="FFFFFF" w:themeColor="light1"/>
                                <w:kern w:val="24"/>
                                <w:sz w:val="14"/>
                                <w:szCs w:val="14"/>
                                <w:lang w:val="en-US"/>
                              </w:rPr>
                              <w:t>Collaboration</w:t>
                            </w:r>
                            <w:r>
                              <w:rPr>
                                <w:rFonts w:hAnsi="Calibri"/>
                                <w:color w:val="FFFFFF" w:themeColor="light1"/>
                                <w:kern w:val="24"/>
                                <w:sz w:val="16"/>
                                <w:szCs w:val="16"/>
                                <w:lang w:val="en-US"/>
                              </w:rPr>
                              <w:t xml:space="preserve"> &amp;Supported Referrals</w:t>
                            </w:r>
                          </w:p>
                        </w:txbxContent>
                      </wps:txbx>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6FCCC43" id="Oval 13" o:spid="_x0000_s1033" style="position:absolute;left:0;text-align:left;margin-left:1.8pt;margin-top:214.2pt;width:81.4pt;height:1in;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" fillcolor="#5f497a [2407]" strokecolor="#5f497a [2407]" strokeweight="2pt">
                <v:textbox>
                  <w:txbxContent>
                    <w:p w14:paraId="7C7C4E42" w14:textId="7270CEDF" w:rsidR="009C42F3" w:rsidRDefault="009C42F3" w:rsidP="00C46B95">
                      <w:pPr>
                        <w:jc w:val="center"/>
                        <w:rPr>
                          <w:rFonts w:hAnsi="Calibri"/>
                          <w:color w:val="FFFFFF" w:themeColor="light1"/>
                          <w:kern w:val="24"/>
                          <w:sz w:val="16"/>
                          <w:szCs w:val="16"/>
                          <w:lang w:val="en-US"/>
                        </w:rPr>
                      </w:pPr>
                      <w:r w:rsidRPr="003F4124">
                        <w:rPr>
                          <w:rFonts w:hAnsi="Calibri"/>
                          <w:color w:val="FFFFFF" w:themeColor="light1"/>
                          <w:kern w:val="24"/>
                          <w:sz w:val="14"/>
                          <w:szCs w:val="14"/>
                          <w:lang w:val="en-US"/>
                        </w:rPr>
                        <w:t>Collaboration</w:t>
                      </w:r>
                      <w:r>
                        <w:rPr>
                          <w:rFonts w:hAnsi="Calibri"/>
                          <w:color w:val="FFFFFF" w:themeColor="light1"/>
                          <w:kern w:val="24"/>
                          <w:sz w:val="16"/>
                          <w:szCs w:val="16"/>
                          <w:lang w:val="en-US"/>
                        </w:rPr>
                        <w:t xml:space="preserve"> &amp;Supported Referrals</w:t>
                      </w:r>
                    </w:p>
                  </w:txbxContent>
                </v:textbox>
              </v:oval>
            </w:pict>
          </mc:Fallback>
        </mc:AlternateContent>
      </w:r>
      <w:r w:rsidR="00C46B95" w:rsidRPr="00C46B95">
        <w:rPr>
          <w:rFonts w:cstheme="minorHAnsi"/>
          <w:noProof/>
          <w:lang w:eastAsia="en-AU"/>
        </w:rPr>
        <mc:AlternateContent>
          <mc:Choice Requires="wps">
            <w:drawing>
              <wp:anchor distT="0" distB="0" distL="114300" distR="114300" simplePos="0" relativeHeight="251658273" behindDoc="0" locked="0" layoutInCell="1" allowOverlap="1" wp14:anchorId="7E85215F" wp14:editId="09A5A3A6">
                <wp:simplePos x="0" y="0"/>
                <wp:positionH relativeFrom="column">
                  <wp:posOffset>713105</wp:posOffset>
                </wp:positionH>
                <wp:positionV relativeFrom="paragraph">
                  <wp:posOffset>1321435</wp:posOffset>
                </wp:positionV>
                <wp:extent cx="0" cy="300355"/>
                <wp:effectExtent l="76200" t="25400" r="50800" b="17145"/>
                <wp:wrapNone/>
                <wp:docPr id="38" name="Straight Arrow Connector 37" descr="This ATC model implementation program As previously described" title="Figure 1 - continued">
                  <a:extLst xmlns:a="http://schemas.openxmlformats.org/drawingml/2006/main">
                    <a:ext uri="{FF2B5EF4-FFF2-40B4-BE49-F238E27FC236}">
                      <a16:creationId xmlns:a16="http://schemas.microsoft.com/office/drawing/2014/main" id="{A5966943-D866-F6D5-469D-420BB3BF874A}"/>
                    </a:ext>
                  </a:extLst>
                </wp:docPr>
                <wp:cNvGraphicFramePr/>
                <a:graphic xmlns:a="http://schemas.openxmlformats.org/drawingml/2006/main">
                  <a:graphicData uri="http://schemas.microsoft.com/office/word/2010/wordprocessingShape">
                    <wps:wsp>
                      <wps:cNvCnPr/>
                      <wps:spPr>
                        <a:xfrm flipV="1">
                          <a:off x="0" y="0"/>
                          <a:ext cx="0" cy="300355"/>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9DAFCB2" id="_x0000_t32" coordsize="21600,21600" o:spt="32" o:oned="t" path="m,l21600,21600e" filled="f">
                <v:path arrowok="t" fillok="f" o:connecttype="none"/>
                <o:lock v:ext="edit" shapetype="t"/>
              </v:shapetype>
              <v:shape id="Straight Arrow Connector 37" o:spid="_x0000_s1026" type="#_x0000_t32" alt="Title: Figure 1 - continued - Description: This ATC model implementation program As previously described" style="position:absolute;margin-left:56.15pt;margin-top:104.05pt;width:0;height:23.65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" strokecolor="black [3040]" strokeweight="2.5pt">
                <v:stroke endarrow="block"/>
              </v:shape>
            </w:pict>
          </mc:Fallback>
        </mc:AlternateContent>
      </w:r>
      <w:r w:rsidR="00C46B95" w:rsidRPr="00C46B95">
        <w:rPr>
          <w:rFonts w:cstheme="minorHAnsi"/>
          <w:noProof/>
          <w:lang w:eastAsia="en-AU"/>
        </w:rPr>
        <mc:AlternateContent>
          <mc:Choice Requires="wps">
            <w:drawing>
              <wp:anchor distT="0" distB="0" distL="114300" distR="114300" simplePos="0" relativeHeight="251658274" behindDoc="0" locked="0" layoutInCell="1" allowOverlap="1" wp14:anchorId="3D37FA78" wp14:editId="2C22C6EB">
                <wp:simplePos x="0" y="0"/>
                <wp:positionH relativeFrom="column">
                  <wp:posOffset>713105</wp:posOffset>
                </wp:positionH>
                <wp:positionV relativeFrom="paragraph">
                  <wp:posOffset>2450465</wp:posOffset>
                </wp:positionV>
                <wp:extent cx="0" cy="310515"/>
                <wp:effectExtent l="76200" t="0" r="88900" b="32385"/>
                <wp:wrapNone/>
                <wp:docPr id="39" name="Straight Arrow Connector 38" descr="As previously described" title="Figure 1">
                  <a:extLst xmlns:a="http://schemas.openxmlformats.org/drawingml/2006/main">
                    <a:ext uri="{FF2B5EF4-FFF2-40B4-BE49-F238E27FC236}">
                      <a16:creationId xmlns:a16="http://schemas.microsoft.com/office/drawing/2014/main" id="{070C44D2-E5D7-459C-62C9-8331487CCA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0515"/>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492765" id="Straight Arrow Connector 38" o:spid="_x0000_s1026" type="#_x0000_t32" alt="Title: Figure 1 - Description: As previously described" style="position:absolute;margin-left:56.15pt;margin-top:192.95pt;width:0;height:24.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" strokecolor="black [3040]" strokeweight="2.5pt">
                <v:stroke endarrow="block"/>
                <o:lock v:ext="edit" shapetype="f"/>
              </v:shape>
            </w:pict>
          </mc:Fallback>
        </mc:AlternateContent>
      </w:r>
      <w:r w:rsidR="00C46B95" w:rsidRPr="00C46B95">
        <w:rPr>
          <w:rFonts w:cstheme="minorHAnsi"/>
          <w:noProof/>
          <w:lang w:eastAsia="en-AU"/>
        </w:rPr>
        <mc:AlternateContent>
          <mc:Choice Requires="wps">
            <w:drawing>
              <wp:anchor distT="0" distB="0" distL="114300" distR="114300" simplePos="0" relativeHeight="251658275" behindDoc="0" locked="0" layoutInCell="1" allowOverlap="1" wp14:anchorId="748532B5" wp14:editId="459705A4">
                <wp:simplePos x="0" y="0"/>
                <wp:positionH relativeFrom="column">
                  <wp:posOffset>368300</wp:posOffset>
                </wp:positionH>
                <wp:positionV relativeFrom="paragraph">
                  <wp:posOffset>1321435</wp:posOffset>
                </wp:positionV>
                <wp:extent cx="0" cy="300355"/>
                <wp:effectExtent l="76200" t="25400" r="88900" b="29845"/>
                <wp:wrapNone/>
                <wp:docPr id="44" name="Straight Arrow Connector 43" descr="This ATC model implementation program flow diagram has 3 parts: the top row goes from left to right with the following boxes: intensive case work and client support (core element)) &gt; initial engagement,  assessment &gt; goal setting, intensive case work and support, coordinate release logistics, and review goals and plan &gt; manage release logistics, intensive case work and support, advocate for rights, review goals, and exit planning (final box top row). The intensive case work and client support box then has a 2 way flow to the next core element heading underneath: Family, Community &amp; Cultural Support. This flows 4 boxes on the right: engagement with family, kind and community &gt; facilitate access to cultural strenghthening programs, facilitate access to domestice and family violence support and engagement with family, kind and community (last box second row). The Family, Comunity and Cultural Support heading flows to the next core element of 'Collaboration and supported referrals'. This rows that flows to the right has the boxes: engagement with other services, and coordinate referrals &gt; facilitate attendance at appointments, facilitate participation in organised activities, facilitate access to safe and stable accommodation and facilitate access to AoD rehabiliation support. Underneath this flow diagram is the large box: Workforce training and development; data collection and reporting; monitoring and evaluation. There is another large box underneath this encompassing the diagram: Overarching Principles: Gender Specific, Person-Centred, Flexible, Trauma Informed, Sustainable, Strengths Based, Coordinated, Connection to Culture, Connected to Family, Kin and Community, Strong Workforce." title="Firgure 1 ">
                  <a:extLst xmlns:a="http://schemas.openxmlformats.org/drawingml/2006/main">
                    <a:ext uri="{FF2B5EF4-FFF2-40B4-BE49-F238E27FC236}">
                      <a16:creationId xmlns:a16="http://schemas.microsoft.com/office/drawing/2014/main" id="{3713227C-9629-148A-5675-A10FBEC22FBF}"/>
                    </a:ext>
                  </a:extLst>
                </wp:docPr>
                <wp:cNvGraphicFramePr/>
                <a:graphic xmlns:a="http://schemas.openxmlformats.org/drawingml/2006/main">
                  <a:graphicData uri="http://schemas.microsoft.com/office/word/2010/wordprocessingShape">
                    <wps:wsp>
                      <wps:cNvCnPr/>
                      <wps:spPr>
                        <a:xfrm flipV="1">
                          <a:off x="0" y="0"/>
                          <a:ext cx="0" cy="300355"/>
                        </a:xfrm>
                        <a:prstGeom prst="straightConnector1">
                          <a:avLst/>
                        </a:prstGeom>
                        <a:ln w="317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CA4748" id="Straight Arrow Connector 43" o:spid="_x0000_s1026" type="#_x0000_t32" alt="Title: Firgure 1  - Description: This ATC model implementation program flow diagram has 3 parts: the top row goes from left to right with the following boxes: intensive case work and client support (core element)) &gt; initial engagement,  assessment &gt; goal setting, intensive case work and support, coordinate release logistics, and review goals and plan &gt; manage release logistics, intensive case work and support, advocate for rights, review goals, and exit planning (final box top row). The intensive case work and client support box then has a 2 way flow to the next core element heading underneath: Family, Community &amp; Cultural Support. This flows 4 boxes on the right: engagement with family, kind and community &gt; facilitate access to cultural strenghthening programs, facilitate access to domestice and family violence support and engagement with family, kind and community (last box second row). The Family, Comunity and Cultural Support heading flows to the next core element of 'Collaboration and supported referrals'. This rows that flows to the right has the boxes: engagement with other services, and coordinate referrals &gt; facilitate attendance at appointments, facilitate participation in organised activities, facilitate access to safe and stable accommodation and facilitate access to AoD rehabiliation support. Underneath this flow diagram is the large box: Workforce training and development; data collection and reporting; monitoring and evaluation. There is another large box underneath this encompassing the diagram: Overarching Principles: Gender Specific, Person-Centred, Flexible, Trauma Informed, Sustainable, Strengths Based, Coordinated, Connection to Culture, Connected to Family, Kin and Community, Strong Workforce." style="position:absolute;margin-left:29pt;margin-top:104.05pt;width:0;height:23.65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" strokecolor="black [3213]" strokeweight="2.5pt">
                <v:stroke startarrow="block" endarrow="block"/>
              </v:shape>
            </w:pict>
          </mc:Fallback>
        </mc:AlternateContent>
      </w:r>
      <w:r w:rsidR="00C46B95" w:rsidRPr="00C46B95">
        <w:rPr>
          <w:rFonts w:cstheme="minorHAnsi"/>
          <w:noProof/>
          <w:lang w:eastAsia="en-AU"/>
        </w:rPr>
        <mc:AlternateContent>
          <mc:Choice Requires="wps">
            <w:drawing>
              <wp:anchor distT="0" distB="0" distL="114300" distR="114300" simplePos="0" relativeHeight="251658276" behindDoc="0" locked="0" layoutInCell="1" allowOverlap="1" wp14:anchorId="0C9DFC09" wp14:editId="38F7CB0B">
                <wp:simplePos x="0" y="0"/>
                <wp:positionH relativeFrom="column">
                  <wp:posOffset>1063625</wp:posOffset>
                </wp:positionH>
                <wp:positionV relativeFrom="paragraph">
                  <wp:posOffset>875030</wp:posOffset>
                </wp:positionV>
                <wp:extent cx="116840" cy="45085"/>
                <wp:effectExtent l="12700" t="38100" r="10160" b="43815"/>
                <wp:wrapNone/>
                <wp:docPr id="46" name="Right Arrow 45" descr="This ATC model implementation program flow diagram has 3 parts: the top row goes from left to right with the following boxes: intensive case work and client support (core element)) &gt; initial engagement,  assessment &gt; goal setting, intensive case work and support, coordinate release logistics, and review goals and plan &gt; manage release logistics, intensive case work and support, advocate for rights, review goals, and exit planning (final box top row). The intensive case work and client support box then has a 2 way flow to the next core element heading underneath: Family, Community &amp; Cultural Support. This flows 4 boxes on the right: engagement with family, kind and community &gt; facilitate access to cultural strenghthening programs, facilitate access to domestice and family violence support and engagement with family, kind and community (last box second row). The Family, Comunity and Cultural Support heading flows to the next core element of 'Collaboration and supported referrals'. This rows that flows to the right has the boxes: engagement with other services, and coordinate referrals &gt; facilitate attendance at appointments, facilitate participation in organised activities, facilitate access to safe and stable accommodation and facilitate access to AoD rehabiliation support. Underneath this flow diagram is the large box: Workforce training and development; data collection and reporting; monitoring and evaluation. There is another large box underneath this encompassing the diagram: Overarching Principles: Gender Specific, Person-Centred, Flexible, Trauma Informed, Sustainable, Strengths Based, Coordinated, Connection to Culture, Connected to Family, Kin and Community, Strong Workforce." title="Figure 1">
                  <a:extLst xmlns:a="http://schemas.openxmlformats.org/drawingml/2006/main">
                    <a:ext uri="{FF2B5EF4-FFF2-40B4-BE49-F238E27FC236}">
                      <a16:creationId xmlns:a16="http://schemas.microsoft.com/office/drawing/2014/main" id="{A404F204-4AC9-5C6D-3AC7-8F1F84086385}"/>
                    </a:ext>
                  </a:extLst>
                </wp:docPr>
                <wp:cNvGraphicFramePr/>
                <a:graphic xmlns:a="http://schemas.openxmlformats.org/drawingml/2006/main">
                  <a:graphicData uri="http://schemas.microsoft.com/office/word/2010/wordprocessingShape">
                    <wps:wsp>
                      <wps:cNvSpPr/>
                      <wps:spPr>
                        <a:xfrm>
                          <a:off x="0" y="0"/>
                          <a:ext cx="116840"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40679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alt="Title: Figure 1 - Description: This ATC model implementation program flow diagram has 3 parts: the top row goes from left to right with the following boxes: intensive case work and client support (core element)) &gt; initial engagement,  assessment &gt; goal setting, intensive case work and support, coordinate release logistics, and review goals and plan &gt; manage release logistics, intensive case work and support, advocate for rights, review goals, and exit planning (final box top row). The intensive case work and client support box then has a 2 way flow to the next core element heading underneath: Family, Community &amp; Cultural Support. This flows 4 boxes on the right: engagement with family, kind and community &gt; facilitate access to cultural strenghthening programs, facilitate access to domestice and family violence support and engagement with family, kind and community (last box second row). The Family, Comunity and Cultural Support heading flows to the next core element of 'Collaboration and supported referrals'. This rows that flows to the right has the boxes: engagement with other services, and coordinate referrals &gt; facilitate attendance at appointments, facilitate participation in organised activities, facilitate access to safe and stable accommodation and facilitate access to AoD rehabiliation support. Underneath this flow diagram is the large box: Workforce training and development; data collection and reporting; monitoring and evaluation. There is another large box underneath this encompassing the diagram: Overarching Principles: Gender Specific, Person-Centred, Flexible, Trauma Informed, Sustainable, Strengths Based, Coordinated, Connection to Culture, Connected to Family, Kin and Community, Strong Workforce." style="position:absolute;margin-left:83.75pt;margin-top:68.9pt;width:9.2pt;height:3.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" adj="17433"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77" behindDoc="0" locked="0" layoutInCell="1" allowOverlap="1" wp14:anchorId="13A14EE2" wp14:editId="41D08265">
                <wp:simplePos x="0" y="0"/>
                <wp:positionH relativeFrom="column">
                  <wp:posOffset>5365750</wp:posOffset>
                </wp:positionH>
                <wp:positionV relativeFrom="paragraph">
                  <wp:posOffset>875030</wp:posOffset>
                </wp:positionV>
                <wp:extent cx="116840" cy="45085"/>
                <wp:effectExtent l="12700" t="38100" r="10160" b="43815"/>
                <wp:wrapNone/>
                <wp:docPr id="48" name="Right Arrow 47" descr="As previously described." title="Figure 1 - continued">
                  <a:extLst xmlns:a="http://schemas.openxmlformats.org/drawingml/2006/main">
                    <a:ext uri="{FF2B5EF4-FFF2-40B4-BE49-F238E27FC236}">
                      <a16:creationId xmlns:a16="http://schemas.microsoft.com/office/drawing/2014/main" id="{E4B7EF0D-29C1-CA05-A79E-65A46120B7DA}"/>
                    </a:ext>
                  </a:extLst>
                </wp:docPr>
                <wp:cNvGraphicFramePr/>
                <a:graphic xmlns:a="http://schemas.openxmlformats.org/drawingml/2006/main">
                  <a:graphicData uri="http://schemas.microsoft.com/office/word/2010/wordprocessingShape">
                    <wps:wsp>
                      <wps:cNvSpPr/>
                      <wps:spPr>
                        <a:xfrm>
                          <a:off x="0" y="0"/>
                          <a:ext cx="116840"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A96578" id="Right Arrow 47" o:spid="_x0000_s1026" type="#_x0000_t13" alt="Title: Figure 1 - continued - Description: As previously described." style="position:absolute;margin-left:422.5pt;margin-top:68.9pt;width:9.2pt;height:3.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" adj="17433"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78" behindDoc="0" locked="0" layoutInCell="1" allowOverlap="1" wp14:anchorId="15CA5636" wp14:editId="0D85AFF3">
                <wp:simplePos x="0" y="0"/>
                <wp:positionH relativeFrom="column">
                  <wp:posOffset>1051560</wp:posOffset>
                </wp:positionH>
                <wp:positionV relativeFrom="paragraph">
                  <wp:posOffset>2040255</wp:posOffset>
                </wp:positionV>
                <wp:extent cx="1547495" cy="45085"/>
                <wp:effectExtent l="12700" t="38100" r="14605" b="43815"/>
                <wp:wrapNone/>
                <wp:docPr id="49" name="Right Arrow 48" descr="as previously described" title="Figure 1 - continued">
                  <a:extLst xmlns:a="http://schemas.openxmlformats.org/drawingml/2006/main">
                    <a:ext uri="{FF2B5EF4-FFF2-40B4-BE49-F238E27FC236}">
                      <a16:creationId xmlns:a16="http://schemas.microsoft.com/office/drawing/2014/main" id="{323A6829-BD4F-534E-35DA-475F19B657E5}"/>
                    </a:ext>
                  </a:extLst>
                </wp:docPr>
                <wp:cNvGraphicFramePr/>
                <a:graphic xmlns:a="http://schemas.openxmlformats.org/drawingml/2006/main">
                  <a:graphicData uri="http://schemas.microsoft.com/office/word/2010/wordprocessingShape">
                    <wps:wsp>
                      <wps:cNvSpPr/>
                      <wps:spPr>
                        <a:xfrm>
                          <a:off x="0" y="0"/>
                          <a:ext cx="1547495"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9419EA" id="Right Arrow 48" o:spid="_x0000_s1026" type="#_x0000_t13" alt="Title: Figure 1 - continued - Description: as previously described" style="position:absolute;margin-left:82.8pt;margin-top:160.65pt;width:121.85pt;height:3.5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" adj="21285"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79" behindDoc="0" locked="0" layoutInCell="1" allowOverlap="1" wp14:anchorId="2DBFDF0A" wp14:editId="45740627">
                <wp:simplePos x="0" y="0"/>
                <wp:positionH relativeFrom="column">
                  <wp:posOffset>1063625</wp:posOffset>
                </wp:positionH>
                <wp:positionV relativeFrom="paragraph">
                  <wp:posOffset>3195320</wp:posOffset>
                </wp:positionV>
                <wp:extent cx="1547495" cy="45085"/>
                <wp:effectExtent l="12700" t="38100" r="14605" b="43815"/>
                <wp:wrapNone/>
                <wp:docPr id="50" name="Right Arrow 49" descr="As previously described" title="Figure 1 - continued">
                  <a:extLst xmlns:a="http://schemas.openxmlformats.org/drawingml/2006/main">
                    <a:ext uri="{FF2B5EF4-FFF2-40B4-BE49-F238E27FC236}">
                      <a16:creationId xmlns:a16="http://schemas.microsoft.com/office/drawing/2014/main" id="{1F767B14-B81A-7C53-5159-23276E7E089B}"/>
                    </a:ext>
                  </a:extLst>
                </wp:docPr>
                <wp:cNvGraphicFramePr/>
                <a:graphic xmlns:a="http://schemas.openxmlformats.org/drawingml/2006/main">
                  <a:graphicData uri="http://schemas.microsoft.com/office/word/2010/wordprocessingShape">
                    <wps:wsp>
                      <wps:cNvSpPr/>
                      <wps:spPr>
                        <a:xfrm>
                          <a:off x="0" y="0"/>
                          <a:ext cx="1547495"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F799DA" id="Right Arrow 49" o:spid="_x0000_s1026" type="#_x0000_t13" alt="Title: Figure 1 - continued - Description: As previously described" style="position:absolute;margin-left:83.75pt;margin-top:251.6pt;width:121.85pt;height:3.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" adj="21285"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80" behindDoc="0" locked="0" layoutInCell="1" allowOverlap="1" wp14:anchorId="04C0408A" wp14:editId="4641EDBF">
                <wp:simplePos x="0" y="0"/>
                <wp:positionH relativeFrom="column">
                  <wp:posOffset>5341620</wp:posOffset>
                </wp:positionH>
                <wp:positionV relativeFrom="paragraph">
                  <wp:posOffset>2028190</wp:posOffset>
                </wp:positionV>
                <wp:extent cx="116840" cy="45085"/>
                <wp:effectExtent l="12700" t="38100" r="10160" b="43815"/>
                <wp:wrapNone/>
                <wp:docPr id="52" name="Right Arrow 51" descr="as previously described" title="Figure 1 - continued">
                  <a:extLst xmlns:a="http://schemas.openxmlformats.org/drawingml/2006/main">
                    <a:ext uri="{FF2B5EF4-FFF2-40B4-BE49-F238E27FC236}">
                      <a16:creationId xmlns:a16="http://schemas.microsoft.com/office/drawing/2014/main" id="{CEB74821-5003-0F8B-D477-AE9511E5D177}"/>
                    </a:ext>
                  </a:extLst>
                </wp:docPr>
                <wp:cNvGraphicFramePr/>
                <a:graphic xmlns:a="http://schemas.openxmlformats.org/drawingml/2006/main">
                  <a:graphicData uri="http://schemas.microsoft.com/office/word/2010/wordprocessingShape">
                    <wps:wsp>
                      <wps:cNvSpPr/>
                      <wps:spPr>
                        <a:xfrm>
                          <a:off x="0" y="0"/>
                          <a:ext cx="116840"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9BB8A1" id="Right Arrow 51" o:spid="_x0000_s1026" type="#_x0000_t13" alt="Title: Figure 1 - continued - Description: as previously described" style="position:absolute;margin-left:420.6pt;margin-top:159.7pt;width:9.2pt;height:3.5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" adj="17433"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81" behindDoc="0" locked="0" layoutInCell="1" allowOverlap="1" wp14:anchorId="535E608B" wp14:editId="72BBEE4E">
                <wp:simplePos x="0" y="0"/>
                <wp:positionH relativeFrom="column">
                  <wp:posOffset>5346700</wp:posOffset>
                </wp:positionH>
                <wp:positionV relativeFrom="paragraph">
                  <wp:posOffset>3182620</wp:posOffset>
                </wp:positionV>
                <wp:extent cx="116840" cy="45085"/>
                <wp:effectExtent l="12700" t="38100" r="10160" b="43815"/>
                <wp:wrapNone/>
                <wp:docPr id="53" name="Right Arrow 52" descr="as previously described" title="Figure 1">
                  <a:extLst xmlns:a="http://schemas.openxmlformats.org/drawingml/2006/main">
                    <a:ext uri="{FF2B5EF4-FFF2-40B4-BE49-F238E27FC236}">
                      <a16:creationId xmlns:a16="http://schemas.microsoft.com/office/drawing/2014/main" id="{46CCD4F3-2095-CFF5-0D6B-59D429A8400D}"/>
                    </a:ext>
                  </a:extLst>
                </wp:docPr>
                <wp:cNvGraphicFramePr/>
                <a:graphic xmlns:a="http://schemas.openxmlformats.org/drawingml/2006/main">
                  <a:graphicData uri="http://schemas.microsoft.com/office/word/2010/wordprocessingShape">
                    <wps:wsp>
                      <wps:cNvSpPr/>
                      <wps:spPr>
                        <a:xfrm>
                          <a:off x="0" y="0"/>
                          <a:ext cx="116840"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C4CDDA" id="Right Arrow 52" o:spid="_x0000_s1026" type="#_x0000_t13" alt="Title: Figure 1 - Description: as previously described" style="position:absolute;margin-left:421pt;margin-top:250.6pt;width:9.2pt;height:3.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" adj="17433" fillcolor="#c0504d [3205]" strokecolor="#622423 [1605]" strokeweight="2pt"/>
            </w:pict>
          </mc:Fallback>
        </mc:AlternateContent>
      </w:r>
      <w:r w:rsidR="00C46B95" w:rsidRPr="00C46B95">
        <w:rPr>
          <w:rFonts w:cstheme="minorHAnsi"/>
          <w:noProof/>
          <w:lang w:eastAsia="en-AU"/>
        </w:rPr>
        <mc:AlternateContent>
          <mc:Choice Requires="wps">
            <w:drawing>
              <wp:anchor distT="0" distB="0" distL="114300" distR="114300" simplePos="0" relativeHeight="251658282" behindDoc="0" locked="0" layoutInCell="1" allowOverlap="1" wp14:anchorId="39B898AE" wp14:editId="0D5516B0">
                <wp:simplePos x="0" y="0"/>
                <wp:positionH relativeFrom="column">
                  <wp:posOffset>2540635</wp:posOffset>
                </wp:positionH>
                <wp:positionV relativeFrom="paragraph">
                  <wp:posOffset>881380</wp:posOffset>
                </wp:positionV>
                <wp:extent cx="116840" cy="45085"/>
                <wp:effectExtent l="12700" t="38100" r="10160" b="43815"/>
                <wp:wrapNone/>
                <wp:docPr id="54" name="Right Arrow 53" descr="as previously described" title="Figure 1 - continued">
                  <a:extLst xmlns:a="http://schemas.openxmlformats.org/drawingml/2006/main">
                    <a:ext uri="{FF2B5EF4-FFF2-40B4-BE49-F238E27FC236}">
                      <a16:creationId xmlns:a16="http://schemas.microsoft.com/office/drawing/2014/main" id="{A740155B-06A9-9864-E139-9E75CCB085C0}"/>
                    </a:ext>
                  </a:extLst>
                </wp:docPr>
                <wp:cNvGraphicFramePr/>
                <a:graphic xmlns:a="http://schemas.openxmlformats.org/drawingml/2006/main">
                  <a:graphicData uri="http://schemas.microsoft.com/office/word/2010/wordprocessingShape">
                    <wps:wsp>
                      <wps:cNvSpPr/>
                      <wps:spPr>
                        <a:xfrm>
                          <a:off x="0" y="0"/>
                          <a:ext cx="116840" cy="45085"/>
                        </a:xfrm>
                        <a:prstGeom prst="rightArrow">
                          <a:avLst/>
                        </a:prstGeom>
                        <a:ln w="25400"/>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551AF2" id="Right Arrow 53" o:spid="_x0000_s1026" type="#_x0000_t13" alt="Title: Figure 1 - continued - Description: as previously described" style="position:absolute;margin-left:200.05pt;margin-top:69.4pt;width:9.2pt;height:3.5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" adj="17433" fillcolor="#c0504d [3205]" strokecolor="#622423 [1605]" strokeweight="2pt"/>
            </w:pict>
          </mc:Fallback>
        </mc:AlternateContent>
      </w:r>
    </w:p>
    <w:p w14:paraId="50569397" w14:textId="77777777" w:rsidR="003A031A" w:rsidRPr="00CD35A0" w:rsidRDefault="003A031A" w:rsidP="004E2F12">
      <w:pPr>
        <w:jc w:val="both"/>
        <w:rPr>
          <w:rFonts w:cstheme="minorHAnsi"/>
          <w:i/>
          <w:iCs/>
          <w:color w:val="1F497D" w:themeColor="text2"/>
          <w:sz w:val="20"/>
          <w:szCs w:val="20"/>
        </w:rPr>
      </w:pPr>
    </w:p>
    <w:p w14:paraId="78A80885" w14:textId="4EDD3C63" w:rsidR="00C46B95" w:rsidRPr="00C46B95" w:rsidRDefault="00CD35A0" w:rsidP="00C46B95">
      <w:pPr>
        <w:rPr>
          <w:rFonts w:cstheme="minorHAnsi"/>
          <w:lang w:val="en-MY" w:eastAsia="en-AU"/>
        </w:rPr>
      </w:pPr>
      <w:r w:rsidRPr="00C46B95">
        <w:rPr>
          <w:rFonts w:cstheme="minorHAnsi"/>
          <w:noProof/>
          <w:lang w:eastAsia="en-AU"/>
        </w:rPr>
        <mc:AlternateContent>
          <mc:Choice Requires="wps">
            <w:drawing>
              <wp:anchor distT="0" distB="0" distL="114300" distR="114300" simplePos="0" relativeHeight="251658243" behindDoc="0" locked="0" layoutInCell="1" allowOverlap="1" wp14:anchorId="75FC4C76" wp14:editId="2FD7976E">
                <wp:simplePos x="0" y="0"/>
                <wp:positionH relativeFrom="column">
                  <wp:posOffset>5442864</wp:posOffset>
                </wp:positionH>
                <wp:positionV relativeFrom="paragraph">
                  <wp:posOffset>15767</wp:posOffset>
                </wp:positionV>
                <wp:extent cx="3524250" cy="3761740"/>
                <wp:effectExtent l="50800" t="25400" r="69850" b="73660"/>
                <wp:wrapNone/>
                <wp:docPr id="51" name="Rectangle 50">
                  <a:extLst xmlns:a="http://schemas.openxmlformats.org/drawingml/2006/main">
                    <a:ext uri="{FF2B5EF4-FFF2-40B4-BE49-F238E27FC236}">
                      <a16:creationId xmlns:a16="http://schemas.microsoft.com/office/drawing/2014/main" id="{89D5EB3D-A5C7-DCFA-F3EC-38F1AA26A67E}"/>
                    </a:ext>
                  </a:extLst>
                </wp:docPr>
                <wp:cNvGraphicFramePr/>
                <a:graphic xmlns:a="http://schemas.openxmlformats.org/drawingml/2006/main">
                  <a:graphicData uri="http://schemas.microsoft.com/office/word/2010/wordprocessingShape">
                    <wps:wsp>
                      <wps:cNvSpPr/>
                      <wps:spPr>
                        <a:xfrm>
                          <a:off x="0" y="0"/>
                          <a:ext cx="3524250" cy="3761740"/>
                        </a:xfrm>
                        <a:prstGeom prst="rect">
                          <a:avLst/>
                        </a:prstGeom>
                        <a:gradFill>
                          <a:gsLst>
                            <a:gs pos="0">
                              <a:schemeClr val="accent3">
                                <a:lumMod val="110000"/>
                                <a:satMod val="105000"/>
                                <a:tint val="67000"/>
                                <a:alpha val="49876"/>
                              </a:schemeClr>
                            </a:gs>
                            <a:gs pos="100000">
                              <a:schemeClr val="accent3">
                                <a:lumMod val="105000"/>
                                <a:satMod val="103000"/>
                                <a:tint val="73000"/>
                              </a:schemeClr>
                            </a:gs>
                            <a:gs pos="100000">
                              <a:schemeClr val="accent3">
                                <a:lumMod val="105000"/>
                                <a:satMod val="109000"/>
                                <a:tint val="81000"/>
                              </a:schemeClr>
                            </a:gs>
                          </a:gsLst>
                        </a:gradFill>
                      </wps:spPr>
                      <wps:style>
                        <a:lnRef idx="1">
                          <a:schemeClr val="accent3"/>
                        </a:lnRef>
                        <a:fillRef idx="2">
                          <a:schemeClr val="accent3"/>
                        </a:fillRef>
                        <a:effectRef idx="1">
                          <a:schemeClr val="accent3"/>
                        </a:effectRef>
                        <a:fontRef idx="minor">
                          <a:schemeClr val="dk1"/>
                        </a:fontRef>
                      </wps:style>
                      <wps:txbx>
                        <w:txbxContent>
                          <w:p w14:paraId="0FE10E34" w14:textId="77777777" w:rsidR="009C42F3" w:rsidRDefault="009C42F3" w:rsidP="00C46B95">
                            <w:pPr>
                              <w:jc w:val="center"/>
                              <w:rPr>
                                <w:rFonts w:hAnsi="Calibri"/>
                                <w:color w:val="000000" w:themeColor="dark1"/>
                                <w:kern w:val="24"/>
                                <w:sz w:val="20"/>
                                <w:szCs w:val="20"/>
                                <w:lang w:val="en-US"/>
                              </w:rPr>
                            </w:pPr>
                          </w:p>
                          <w:p w14:paraId="0C8CF45C" w14:textId="77777777" w:rsidR="009C42F3" w:rsidRDefault="009C42F3" w:rsidP="00C46B95">
                            <w:pPr>
                              <w:jc w:val="center"/>
                              <w:rPr>
                                <w:rFonts w:hAnsi="Calibri"/>
                                <w:color w:val="000000" w:themeColor="dark1"/>
                                <w:kern w:val="24"/>
                                <w:sz w:val="20"/>
                                <w:szCs w:val="20"/>
                                <w:lang w:val="en-US"/>
                              </w:rPr>
                            </w:pPr>
                          </w:p>
                          <w:p w14:paraId="5978E40D" w14:textId="77777777" w:rsidR="009C42F3" w:rsidRDefault="009C42F3" w:rsidP="00C46B95">
                            <w:pPr>
                              <w:jc w:val="center"/>
                              <w:rPr>
                                <w:rFonts w:hAnsi="Calibri"/>
                                <w:color w:val="000000" w:themeColor="dark1"/>
                                <w:kern w:val="24"/>
                                <w:sz w:val="20"/>
                                <w:szCs w:val="20"/>
                                <w:lang w:val="en-US"/>
                              </w:rPr>
                            </w:pPr>
                          </w:p>
                          <w:p w14:paraId="42031834" w14:textId="77777777" w:rsidR="009C42F3" w:rsidRDefault="009C42F3" w:rsidP="00C46B95">
                            <w:pPr>
                              <w:jc w:val="center"/>
                              <w:rPr>
                                <w:rFonts w:hAnsi="Calibri"/>
                                <w:color w:val="000000" w:themeColor="dark1"/>
                                <w:kern w:val="24"/>
                                <w:sz w:val="20"/>
                                <w:szCs w:val="20"/>
                                <w:lang w:val="en-US"/>
                              </w:rPr>
                            </w:pPr>
                          </w:p>
                          <w:p w14:paraId="06ECC632" w14:textId="77777777" w:rsidR="009C42F3" w:rsidRDefault="009C42F3" w:rsidP="00C46B95">
                            <w:pPr>
                              <w:jc w:val="center"/>
                              <w:rPr>
                                <w:rFonts w:hAnsi="Calibri"/>
                                <w:color w:val="000000" w:themeColor="dark1"/>
                                <w:kern w:val="24"/>
                                <w:sz w:val="20"/>
                                <w:szCs w:val="20"/>
                                <w:lang w:val="en-US"/>
                              </w:rPr>
                            </w:pPr>
                          </w:p>
                          <w:p w14:paraId="699FDF32" w14:textId="77777777" w:rsidR="009C42F3" w:rsidRDefault="009C42F3" w:rsidP="00C46B95">
                            <w:pPr>
                              <w:jc w:val="center"/>
                              <w:rPr>
                                <w:rFonts w:hAnsi="Calibri"/>
                                <w:color w:val="000000" w:themeColor="dark1"/>
                                <w:kern w:val="24"/>
                                <w:sz w:val="20"/>
                                <w:szCs w:val="20"/>
                                <w:lang w:val="en-US"/>
                              </w:rPr>
                            </w:pPr>
                          </w:p>
                          <w:p w14:paraId="505BE7FF" w14:textId="77777777" w:rsidR="009C42F3" w:rsidRDefault="009C42F3" w:rsidP="00C46B95">
                            <w:pPr>
                              <w:jc w:val="center"/>
                              <w:rPr>
                                <w:rFonts w:hAnsi="Calibri"/>
                                <w:color w:val="000000" w:themeColor="dark1"/>
                                <w:kern w:val="24"/>
                                <w:sz w:val="20"/>
                                <w:szCs w:val="20"/>
                                <w:lang w:val="en-US"/>
                              </w:rPr>
                            </w:pPr>
                          </w:p>
                          <w:p w14:paraId="5CEFFB48" w14:textId="77777777" w:rsidR="009C42F3" w:rsidRDefault="009C42F3" w:rsidP="00C46B95">
                            <w:pPr>
                              <w:jc w:val="center"/>
                              <w:rPr>
                                <w:rFonts w:hAnsi="Calibri"/>
                                <w:color w:val="000000" w:themeColor="dark1"/>
                                <w:kern w:val="24"/>
                                <w:sz w:val="20"/>
                                <w:szCs w:val="20"/>
                                <w:lang w:val="en-US"/>
                              </w:rPr>
                            </w:pPr>
                          </w:p>
                          <w:p w14:paraId="622BAA79" w14:textId="77777777" w:rsidR="009C42F3" w:rsidRDefault="009C42F3" w:rsidP="00C46B95">
                            <w:pPr>
                              <w:jc w:val="center"/>
                              <w:rPr>
                                <w:rFonts w:hAnsi="Calibri"/>
                                <w:color w:val="000000" w:themeColor="dark1"/>
                                <w:kern w:val="24"/>
                                <w:sz w:val="20"/>
                                <w:szCs w:val="20"/>
                                <w:lang w:val="en-US"/>
                              </w:rPr>
                            </w:pPr>
                          </w:p>
                          <w:p w14:paraId="3AA91109" w14:textId="77777777" w:rsidR="009C42F3" w:rsidRDefault="009C42F3" w:rsidP="00C46B95">
                            <w:pPr>
                              <w:jc w:val="center"/>
                              <w:rPr>
                                <w:rFonts w:hAnsi="Calibri"/>
                                <w:color w:val="000000" w:themeColor="dark1"/>
                                <w:kern w:val="24"/>
                                <w:sz w:val="20"/>
                                <w:szCs w:val="20"/>
                                <w:lang w:val="en-US"/>
                              </w:rPr>
                            </w:pPr>
                          </w:p>
                          <w:p w14:paraId="16680E44" w14:textId="77777777" w:rsidR="009C42F3" w:rsidRDefault="009C42F3" w:rsidP="00C46B95">
                            <w:pPr>
                              <w:jc w:val="center"/>
                              <w:rPr>
                                <w:rFonts w:hAnsi="Calibri"/>
                                <w:color w:val="000000" w:themeColor="dark1"/>
                                <w:kern w:val="24"/>
                                <w:sz w:val="20"/>
                                <w:szCs w:val="20"/>
                                <w:lang w:val="en-US"/>
                              </w:rPr>
                            </w:pPr>
                          </w:p>
                          <w:p w14:paraId="358D50A5" w14:textId="77777777" w:rsidR="009C42F3" w:rsidRDefault="009C42F3" w:rsidP="00C46B95">
                            <w:pPr>
                              <w:jc w:val="center"/>
                              <w:rPr>
                                <w:rFonts w:hAnsi="Calibri"/>
                                <w:color w:val="000000" w:themeColor="dark1"/>
                                <w:kern w:val="24"/>
                                <w:sz w:val="20"/>
                                <w:szCs w:val="20"/>
                                <w:lang w:val="en-US"/>
                              </w:rPr>
                            </w:pPr>
                          </w:p>
                          <w:p w14:paraId="18CFC20D" w14:textId="77777777" w:rsidR="009C42F3" w:rsidRDefault="009C42F3" w:rsidP="00C46B95">
                            <w:pPr>
                              <w:jc w:val="center"/>
                              <w:rPr>
                                <w:rFonts w:hAnsi="Calibri"/>
                                <w:color w:val="000000" w:themeColor="dark1"/>
                                <w:kern w:val="24"/>
                                <w:sz w:val="20"/>
                                <w:szCs w:val="20"/>
                                <w:lang w:val="en-US"/>
                              </w:rPr>
                            </w:pPr>
                          </w:p>
                          <w:p w14:paraId="38586B35" w14:textId="77777777" w:rsidR="009C42F3" w:rsidRDefault="009C42F3" w:rsidP="00C46B95">
                            <w:pPr>
                              <w:jc w:val="center"/>
                              <w:rPr>
                                <w:rFonts w:hAnsi="Calibri"/>
                                <w:color w:val="000000" w:themeColor="dark1"/>
                                <w:kern w:val="24"/>
                                <w:sz w:val="20"/>
                                <w:szCs w:val="20"/>
                                <w:lang w:val="en-US"/>
                              </w:rPr>
                            </w:pPr>
                          </w:p>
                          <w:p w14:paraId="605C35B3" w14:textId="77777777" w:rsidR="009C42F3" w:rsidRDefault="009C42F3" w:rsidP="00C46B95">
                            <w:pPr>
                              <w:jc w:val="center"/>
                              <w:rPr>
                                <w:rFonts w:hAnsi="Calibri"/>
                                <w:color w:val="000000" w:themeColor="dark1"/>
                                <w:kern w:val="24"/>
                                <w:sz w:val="20"/>
                                <w:szCs w:val="20"/>
                                <w:lang w:val="en-US"/>
                              </w:rPr>
                            </w:pPr>
                          </w:p>
                          <w:p w14:paraId="26CDBF79" w14:textId="77777777" w:rsidR="009C42F3" w:rsidRDefault="009C42F3" w:rsidP="00C46B95">
                            <w:pPr>
                              <w:jc w:val="center"/>
                              <w:rPr>
                                <w:rFonts w:hAnsi="Calibri"/>
                                <w:color w:val="000000" w:themeColor="dark1"/>
                                <w:kern w:val="24"/>
                                <w:sz w:val="20"/>
                                <w:szCs w:val="20"/>
                                <w:lang w:val="en-US"/>
                              </w:rPr>
                            </w:pPr>
                          </w:p>
                          <w:p w14:paraId="68E13BF5" w14:textId="77777777" w:rsidR="009C42F3" w:rsidRDefault="009C42F3" w:rsidP="00C46B95">
                            <w:pPr>
                              <w:jc w:val="center"/>
                              <w:rPr>
                                <w:rFonts w:hAnsi="Calibri"/>
                                <w:color w:val="000000" w:themeColor="dark1"/>
                                <w:kern w:val="24"/>
                                <w:sz w:val="20"/>
                                <w:szCs w:val="20"/>
                                <w:lang w:val="en-US"/>
                              </w:rPr>
                            </w:pPr>
                          </w:p>
                          <w:p w14:paraId="01CBE6EA" w14:textId="77777777" w:rsidR="009C42F3" w:rsidRDefault="009C42F3" w:rsidP="00C46B95">
                            <w:pPr>
                              <w:jc w:val="center"/>
                              <w:rPr>
                                <w:rFonts w:hAnsi="Calibri"/>
                                <w:color w:val="000000" w:themeColor="dark1"/>
                                <w:kern w:val="24"/>
                                <w:sz w:val="20"/>
                                <w:szCs w:val="20"/>
                                <w:lang w:val="en-US"/>
                              </w:rPr>
                            </w:pPr>
                          </w:p>
                          <w:p w14:paraId="1FE7202B" w14:textId="77777777" w:rsidR="009C42F3" w:rsidRDefault="009C42F3" w:rsidP="00C46B95">
                            <w:pPr>
                              <w:jc w:val="center"/>
                              <w:rPr>
                                <w:rFonts w:hAnsi="Calibri"/>
                                <w:color w:val="000000" w:themeColor="dark1"/>
                                <w:kern w:val="24"/>
                                <w:sz w:val="20"/>
                                <w:szCs w:val="20"/>
                                <w:lang w:val="en-US"/>
                              </w:rPr>
                            </w:pPr>
                          </w:p>
                          <w:p w14:paraId="5C6C1C44" w14:textId="77777777" w:rsidR="009C42F3" w:rsidRDefault="009C42F3" w:rsidP="00C46B95">
                            <w:pPr>
                              <w:jc w:val="center"/>
                              <w:rPr>
                                <w:rFonts w:hAnsi="Calibri"/>
                                <w:color w:val="000000" w:themeColor="dark1"/>
                                <w:kern w:val="24"/>
                                <w:sz w:val="20"/>
                                <w:szCs w:val="20"/>
                                <w:lang w:val="en-US"/>
                              </w:rPr>
                            </w:pPr>
                          </w:p>
                          <w:p w14:paraId="25B516AD" w14:textId="77777777" w:rsidR="009C42F3" w:rsidRDefault="009C42F3" w:rsidP="00C46B95">
                            <w:pPr>
                              <w:jc w:val="center"/>
                              <w:rPr>
                                <w:rFonts w:hAnsi="Calibri"/>
                                <w:color w:val="000000" w:themeColor="dark1"/>
                                <w:kern w:val="24"/>
                                <w:sz w:val="20"/>
                                <w:szCs w:val="20"/>
                                <w:lang w:val="en-US"/>
                              </w:rPr>
                            </w:pPr>
                          </w:p>
                          <w:p w14:paraId="6A92A4B8" w14:textId="77777777" w:rsidR="009C42F3" w:rsidRDefault="009C42F3" w:rsidP="00C46B95">
                            <w:pPr>
                              <w:jc w:val="center"/>
                              <w:rPr>
                                <w:rFonts w:hAnsi="Calibri"/>
                                <w:color w:val="000000" w:themeColor="dark1"/>
                                <w:kern w:val="24"/>
                                <w:sz w:val="20"/>
                                <w:szCs w:val="20"/>
                                <w:lang w:val="en-US"/>
                              </w:rPr>
                            </w:pPr>
                          </w:p>
                          <w:p w14:paraId="3337C4C6" w14:textId="2F33A01F"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Post-Release</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FC4C76" id="Rectangle 50" o:spid="_x0000_s1034" style="position:absolute;margin-left:428.55pt;margin-top:1.25pt;width:277.5pt;height:29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" fillcolor="#bcd190 [2166]" strokecolor="#94b64e [3046]">
                <v:fill color2="#adc878 [2614]" o:opacity2="32686f" rotate="t" angle="180" colors="0 #cadbaf;1 #c1d4a1;1 #b9d091" focus="100%" type="gradient"/>
                <v:shadow on="t" color="black" opacity="24903f" origin=",.5" offset="0,.55556mm"/>
                <v:textbox>
                  <w:txbxContent>
                    <w:p w14:paraId="0FE10E34" w14:textId="77777777" w:rsidR="009C42F3" w:rsidRDefault="009C42F3" w:rsidP="00C46B95">
                      <w:pPr>
                        <w:jc w:val="center"/>
                        <w:rPr>
                          <w:rFonts w:hAnsi="Calibri"/>
                          <w:color w:val="000000" w:themeColor="dark1"/>
                          <w:kern w:val="24"/>
                          <w:sz w:val="20"/>
                          <w:szCs w:val="20"/>
                          <w:lang w:val="en-US"/>
                        </w:rPr>
                      </w:pPr>
                    </w:p>
                    <w:p w14:paraId="0C8CF45C" w14:textId="77777777" w:rsidR="009C42F3" w:rsidRDefault="009C42F3" w:rsidP="00C46B95">
                      <w:pPr>
                        <w:jc w:val="center"/>
                        <w:rPr>
                          <w:rFonts w:hAnsi="Calibri"/>
                          <w:color w:val="000000" w:themeColor="dark1"/>
                          <w:kern w:val="24"/>
                          <w:sz w:val="20"/>
                          <w:szCs w:val="20"/>
                          <w:lang w:val="en-US"/>
                        </w:rPr>
                      </w:pPr>
                    </w:p>
                    <w:p w14:paraId="5978E40D" w14:textId="77777777" w:rsidR="009C42F3" w:rsidRDefault="009C42F3" w:rsidP="00C46B95">
                      <w:pPr>
                        <w:jc w:val="center"/>
                        <w:rPr>
                          <w:rFonts w:hAnsi="Calibri"/>
                          <w:color w:val="000000" w:themeColor="dark1"/>
                          <w:kern w:val="24"/>
                          <w:sz w:val="20"/>
                          <w:szCs w:val="20"/>
                          <w:lang w:val="en-US"/>
                        </w:rPr>
                      </w:pPr>
                    </w:p>
                    <w:p w14:paraId="42031834" w14:textId="77777777" w:rsidR="009C42F3" w:rsidRDefault="009C42F3" w:rsidP="00C46B95">
                      <w:pPr>
                        <w:jc w:val="center"/>
                        <w:rPr>
                          <w:rFonts w:hAnsi="Calibri"/>
                          <w:color w:val="000000" w:themeColor="dark1"/>
                          <w:kern w:val="24"/>
                          <w:sz w:val="20"/>
                          <w:szCs w:val="20"/>
                          <w:lang w:val="en-US"/>
                        </w:rPr>
                      </w:pPr>
                    </w:p>
                    <w:p w14:paraId="06ECC632" w14:textId="77777777" w:rsidR="009C42F3" w:rsidRDefault="009C42F3" w:rsidP="00C46B95">
                      <w:pPr>
                        <w:jc w:val="center"/>
                        <w:rPr>
                          <w:rFonts w:hAnsi="Calibri"/>
                          <w:color w:val="000000" w:themeColor="dark1"/>
                          <w:kern w:val="24"/>
                          <w:sz w:val="20"/>
                          <w:szCs w:val="20"/>
                          <w:lang w:val="en-US"/>
                        </w:rPr>
                      </w:pPr>
                    </w:p>
                    <w:p w14:paraId="699FDF32" w14:textId="77777777" w:rsidR="009C42F3" w:rsidRDefault="009C42F3" w:rsidP="00C46B95">
                      <w:pPr>
                        <w:jc w:val="center"/>
                        <w:rPr>
                          <w:rFonts w:hAnsi="Calibri"/>
                          <w:color w:val="000000" w:themeColor="dark1"/>
                          <w:kern w:val="24"/>
                          <w:sz w:val="20"/>
                          <w:szCs w:val="20"/>
                          <w:lang w:val="en-US"/>
                        </w:rPr>
                      </w:pPr>
                    </w:p>
                    <w:p w14:paraId="505BE7FF" w14:textId="77777777" w:rsidR="009C42F3" w:rsidRDefault="009C42F3" w:rsidP="00C46B95">
                      <w:pPr>
                        <w:jc w:val="center"/>
                        <w:rPr>
                          <w:rFonts w:hAnsi="Calibri"/>
                          <w:color w:val="000000" w:themeColor="dark1"/>
                          <w:kern w:val="24"/>
                          <w:sz w:val="20"/>
                          <w:szCs w:val="20"/>
                          <w:lang w:val="en-US"/>
                        </w:rPr>
                      </w:pPr>
                    </w:p>
                    <w:p w14:paraId="5CEFFB48" w14:textId="77777777" w:rsidR="009C42F3" w:rsidRDefault="009C42F3" w:rsidP="00C46B95">
                      <w:pPr>
                        <w:jc w:val="center"/>
                        <w:rPr>
                          <w:rFonts w:hAnsi="Calibri"/>
                          <w:color w:val="000000" w:themeColor="dark1"/>
                          <w:kern w:val="24"/>
                          <w:sz w:val="20"/>
                          <w:szCs w:val="20"/>
                          <w:lang w:val="en-US"/>
                        </w:rPr>
                      </w:pPr>
                    </w:p>
                    <w:p w14:paraId="622BAA79" w14:textId="77777777" w:rsidR="009C42F3" w:rsidRDefault="009C42F3" w:rsidP="00C46B95">
                      <w:pPr>
                        <w:jc w:val="center"/>
                        <w:rPr>
                          <w:rFonts w:hAnsi="Calibri"/>
                          <w:color w:val="000000" w:themeColor="dark1"/>
                          <w:kern w:val="24"/>
                          <w:sz w:val="20"/>
                          <w:szCs w:val="20"/>
                          <w:lang w:val="en-US"/>
                        </w:rPr>
                      </w:pPr>
                    </w:p>
                    <w:p w14:paraId="3AA91109" w14:textId="77777777" w:rsidR="009C42F3" w:rsidRDefault="009C42F3" w:rsidP="00C46B95">
                      <w:pPr>
                        <w:jc w:val="center"/>
                        <w:rPr>
                          <w:rFonts w:hAnsi="Calibri"/>
                          <w:color w:val="000000" w:themeColor="dark1"/>
                          <w:kern w:val="24"/>
                          <w:sz w:val="20"/>
                          <w:szCs w:val="20"/>
                          <w:lang w:val="en-US"/>
                        </w:rPr>
                      </w:pPr>
                    </w:p>
                    <w:p w14:paraId="16680E44" w14:textId="77777777" w:rsidR="009C42F3" w:rsidRDefault="009C42F3" w:rsidP="00C46B95">
                      <w:pPr>
                        <w:jc w:val="center"/>
                        <w:rPr>
                          <w:rFonts w:hAnsi="Calibri"/>
                          <w:color w:val="000000" w:themeColor="dark1"/>
                          <w:kern w:val="24"/>
                          <w:sz w:val="20"/>
                          <w:szCs w:val="20"/>
                          <w:lang w:val="en-US"/>
                        </w:rPr>
                      </w:pPr>
                    </w:p>
                    <w:p w14:paraId="358D50A5" w14:textId="77777777" w:rsidR="009C42F3" w:rsidRDefault="009C42F3" w:rsidP="00C46B95">
                      <w:pPr>
                        <w:jc w:val="center"/>
                        <w:rPr>
                          <w:rFonts w:hAnsi="Calibri"/>
                          <w:color w:val="000000" w:themeColor="dark1"/>
                          <w:kern w:val="24"/>
                          <w:sz w:val="20"/>
                          <w:szCs w:val="20"/>
                          <w:lang w:val="en-US"/>
                        </w:rPr>
                      </w:pPr>
                    </w:p>
                    <w:p w14:paraId="18CFC20D" w14:textId="77777777" w:rsidR="009C42F3" w:rsidRDefault="009C42F3" w:rsidP="00C46B95">
                      <w:pPr>
                        <w:jc w:val="center"/>
                        <w:rPr>
                          <w:rFonts w:hAnsi="Calibri"/>
                          <w:color w:val="000000" w:themeColor="dark1"/>
                          <w:kern w:val="24"/>
                          <w:sz w:val="20"/>
                          <w:szCs w:val="20"/>
                          <w:lang w:val="en-US"/>
                        </w:rPr>
                      </w:pPr>
                    </w:p>
                    <w:p w14:paraId="38586B35" w14:textId="77777777" w:rsidR="009C42F3" w:rsidRDefault="009C42F3" w:rsidP="00C46B95">
                      <w:pPr>
                        <w:jc w:val="center"/>
                        <w:rPr>
                          <w:rFonts w:hAnsi="Calibri"/>
                          <w:color w:val="000000" w:themeColor="dark1"/>
                          <w:kern w:val="24"/>
                          <w:sz w:val="20"/>
                          <w:szCs w:val="20"/>
                          <w:lang w:val="en-US"/>
                        </w:rPr>
                      </w:pPr>
                    </w:p>
                    <w:p w14:paraId="605C35B3" w14:textId="77777777" w:rsidR="009C42F3" w:rsidRDefault="009C42F3" w:rsidP="00C46B95">
                      <w:pPr>
                        <w:jc w:val="center"/>
                        <w:rPr>
                          <w:rFonts w:hAnsi="Calibri"/>
                          <w:color w:val="000000" w:themeColor="dark1"/>
                          <w:kern w:val="24"/>
                          <w:sz w:val="20"/>
                          <w:szCs w:val="20"/>
                          <w:lang w:val="en-US"/>
                        </w:rPr>
                      </w:pPr>
                    </w:p>
                    <w:p w14:paraId="26CDBF79" w14:textId="77777777" w:rsidR="009C42F3" w:rsidRDefault="009C42F3" w:rsidP="00C46B95">
                      <w:pPr>
                        <w:jc w:val="center"/>
                        <w:rPr>
                          <w:rFonts w:hAnsi="Calibri"/>
                          <w:color w:val="000000" w:themeColor="dark1"/>
                          <w:kern w:val="24"/>
                          <w:sz w:val="20"/>
                          <w:szCs w:val="20"/>
                          <w:lang w:val="en-US"/>
                        </w:rPr>
                      </w:pPr>
                    </w:p>
                    <w:p w14:paraId="68E13BF5" w14:textId="77777777" w:rsidR="009C42F3" w:rsidRDefault="009C42F3" w:rsidP="00C46B95">
                      <w:pPr>
                        <w:jc w:val="center"/>
                        <w:rPr>
                          <w:rFonts w:hAnsi="Calibri"/>
                          <w:color w:val="000000" w:themeColor="dark1"/>
                          <w:kern w:val="24"/>
                          <w:sz w:val="20"/>
                          <w:szCs w:val="20"/>
                          <w:lang w:val="en-US"/>
                        </w:rPr>
                      </w:pPr>
                    </w:p>
                    <w:p w14:paraId="01CBE6EA" w14:textId="77777777" w:rsidR="009C42F3" w:rsidRDefault="009C42F3" w:rsidP="00C46B95">
                      <w:pPr>
                        <w:jc w:val="center"/>
                        <w:rPr>
                          <w:rFonts w:hAnsi="Calibri"/>
                          <w:color w:val="000000" w:themeColor="dark1"/>
                          <w:kern w:val="24"/>
                          <w:sz w:val="20"/>
                          <w:szCs w:val="20"/>
                          <w:lang w:val="en-US"/>
                        </w:rPr>
                      </w:pPr>
                    </w:p>
                    <w:p w14:paraId="1FE7202B" w14:textId="77777777" w:rsidR="009C42F3" w:rsidRDefault="009C42F3" w:rsidP="00C46B95">
                      <w:pPr>
                        <w:jc w:val="center"/>
                        <w:rPr>
                          <w:rFonts w:hAnsi="Calibri"/>
                          <w:color w:val="000000" w:themeColor="dark1"/>
                          <w:kern w:val="24"/>
                          <w:sz w:val="20"/>
                          <w:szCs w:val="20"/>
                          <w:lang w:val="en-US"/>
                        </w:rPr>
                      </w:pPr>
                    </w:p>
                    <w:p w14:paraId="5C6C1C44" w14:textId="77777777" w:rsidR="009C42F3" w:rsidRDefault="009C42F3" w:rsidP="00C46B95">
                      <w:pPr>
                        <w:jc w:val="center"/>
                        <w:rPr>
                          <w:rFonts w:hAnsi="Calibri"/>
                          <w:color w:val="000000" w:themeColor="dark1"/>
                          <w:kern w:val="24"/>
                          <w:sz w:val="20"/>
                          <w:szCs w:val="20"/>
                          <w:lang w:val="en-US"/>
                        </w:rPr>
                      </w:pPr>
                    </w:p>
                    <w:p w14:paraId="25B516AD" w14:textId="77777777" w:rsidR="009C42F3" w:rsidRDefault="009C42F3" w:rsidP="00C46B95">
                      <w:pPr>
                        <w:jc w:val="center"/>
                        <w:rPr>
                          <w:rFonts w:hAnsi="Calibri"/>
                          <w:color w:val="000000" w:themeColor="dark1"/>
                          <w:kern w:val="24"/>
                          <w:sz w:val="20"/>
                          <w:szCs w:val="20"/>
                          <w:lang w:val="en-US"/>
                        </w:rPr>
                      </w:pPr>
                    </w:p>
                    <w:p w14:paraId="6A92A4B8" w14:textId="77777777" w:rsidR="009C42F3" w:rsidRDefault="009C42F3" w:rsidP="00C46B95">
                      <w:pPr>
                        <w:jc w:val="center"/>
                        <w:rPr>
                          <w:rFonts w:hAnsi="Calibri"/>
                          <w:color w:val="000000" w:themeColor="dark1"/>
                          <w:kern w:val="24"/>
                          <w:sz w:val="20"/>
                          <w:szCs w:val="20"/>
                          <w:lang w:val="en-US"/>
                        </w:rPr>
                      </w:pPr>
                    </w:p>
                    <w:p w14:paraId="3337C4C6" w14:textId="2F33A01F"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Post-Release</w:t>
                      </w:r>
                    </w:p>
                  </w:txbxContent>
                </v:textbox>
              </v:rect>
            </w:pict>
          </mc:Fallback>
        </mc:AlternateContent>
      </w:r>
      <w:r w:rsidRPr="00C46B95">
        <w:rPr>
          <w:rFonts w:cstheme="minorHAnsi"/>
          <w:noProof/>
          <w:lang w:eastAsia="en-AU"/>
        </w:rPr>
        <mc:AlternateContent>
          <mc:Choice Requires="wps">
            <w:drawing>
              <wp:anchor distT="0" distB="0" distL="114300" distR="114300" simplePos="0" relativeHeight="251658244" behindDoc="0" locked="0" layoutInCell="1" allowOverlap="1" wp14:anchorId="1B54E677" wp14:editId="24D43A75">
                <wp:simplePos x="0" y="0"/>
                <wp:positionH relativeFrom="column">
                  <wp:posOffset>2599303</wp:posOffset>
                </wp:positionH>
                <wp:positionV relativeFrom="paragraph">
                  <wp:posOffset>15767</wp:posOffset>
                </wp:positionV>
                <wp:extent cx="2799715" cy="3761740"/>
                <wp:effectExtent l="50800" t="25400" r="57785" b="73660"/>
                <wp:wrapNone/>
                <wp:docPr id="47" name="Rectangle 46">
                  <a:extLst xmlns:a="http://schemas.openxmlformats.org/drawingml/2006/main">
                    <a:ext uri="{FF2B5EF4-FFF2-40B4-BE49-F238E27FC236}">
                      <a16:creationId xmlns:a16="http://schemas.microsoft.com/office/drawing/2014/main" id="{82E0267B-6B32-2757-FFDD-BB454BC4DE5B}"/>
                    </a:ext>
                  </a:extLst>
                </wp:docPr>
                <wp:cNvGraphicFramePr/>
                <a:graphic xmlns:a="http://schemas.openxmlformats.org/drawingml/2006/main">
                  <a:graphicData uri="http://schemas.microsoft.com/office/word/2010/wordprocessingShape">
                    <wps:wsp>
                      <wps:cNvSpPr/>
                      <wps:spPr>
                        <a:xfrm>
                          <a:off x="0" y="0"/>
                          <a:ext cx="2799715" cy="3761740"/>
                        </a:xfrm>
                        <a:prstGeom prst="rect">
                          <a:avLst/>
                        </a:prstGeom>
                        <a:gradFill>
                          <a:gsLst>
                            <a:gs pos="0">
                              <a:schemeClr val="accent3">
                                <a:lumMod val="110000"/>
                                <a:satMod val="105000"/>
                                <a:tint val="67000"/>
                                <a:alpha val="49876"/>
                              </a:schemeClr>
                            </a:gs>
                            <a:gs pos="100000">
                              <a:schemeClr val="accent3">
                                <a:lumMod val="105000"/>
                                <a:satMod val="103000"/>
                                <a:tint val="73000"/>
                              </a:schemeClr>
                            </a:gs>
                            <a:gs pos="100000">
                              <a:schemeClr val="accent3">
                                <a:lumMod val="105000"/>
                                <a:satMod val="109000"/>
                                <a:tint val="81000"/>
                              </a:schemeClr>
                            </a:gs>
                          </a:gsLst>
                        </a:gradFill>
                      </wps:spPr>
                      <wps:style>
                        <a:lnRef idx="1">
                          <a:schemeClr val="accent3"/>
                        </a:lnRef>
                        <a:fillRef idx="2">
                          <a:schemeClr val="accent3"/>
                        </a:fillRef>
                        <a:effectRef idx="1">
                          <a:schemeClr val="accent3"/>
                        </a:effectRef>
                        <a:fontRef idx="minor">
                          <a:schemeClr val="dk1"/>
                        </a:fontRef>
                      </wps:style>
                      <wps:txbx>
                        <w:txbxContent>
                          <w:p w14:paraId="38AC3990" w14:textId="77777777" w:rsidR="009C42F3" w:rsidRDefault="009C42F3" w:rsidP="00C46B95">
                            <w:pPr>
                              <w:jc w:val="center"/>
                              <w:rPr>
                                <w:rFonts w:hAnsi="Calibri"/>
                                <w:color w:val="000000" w:themeColor="dark1"/>
                                <w:kern w:val="24"/>
                                <w:sz w:val="20"/>
                                <w:szCs w:val="20"/>
                                <w:lang w:val="en-US"/>
                              </w:rPr>
                            </w:pPr>
                          </w:p>
                          <w:p w14:paraId="3C4B0277" w14:textId="77777777" w:rsidR="009C42F3" w:rsidRDefault="009C42F3" w:rsidP="00C46B95">
                            <w:pPr>
                              <w:jc w:val="center"/>
                              <w:rPr>
                                <w:rFonts w:hAnsi="Calibri"/>
                                <w:color w:val="000000" w:themeColor="dark1"/>
                                <w:kern w:val="24"/>
                                <w:sz w:val="20"/>
                                <w:szCs w:val="20"/>
                                <w:lang w:val="en-US"/>
                              </w:rPr>
                            </w:pPr>
                          </w:p>
                          <w:p w14:paraId="3814EEA5" w14:textId="77777777" w:rsidR="009C42F3" w:rsidRDefault="009C42F3" w:rsidP="00C46B95">
                            <w:pPr>
                              <w:jc w:val="center"/>
                              <w:rPr>
                                <w:rFonts w:hAnsi="Calibri"/>
                                <w:color w:val="000000" w:themeColor="dark1"/>
                                <w:kern w:val="24"/>
                                <w:sz w:val="20"/>
                                <w:szCs w:val="20"/>
                                <w:lang w:val="en-US"/>
                              </w:rPr>
                            </w:pPr>
                          </w:p>
                          <w:p w14:paraId="16E83070" w14:textId="77777777" w:rsidR="009C42F3" w:rsidRDefault="009C42F3" w:rsidP="00C46B95">
                            <w:pPr>
                              <w:jc w:val="center"/>
                              <w:rPr>
                                <w:rFonts w:hAnsi="Calibri"/>
                                <w:color w:val="000000" w:themeColor="dark1"/>
                                <w:kern w:val="24"/>
                                <w:sz w:val="20"/>
                                <w:szCs w:val="20"/>
                                <w:lang w:val="en-US"/>
                              </w:rPr>
                            </w:pPr>
                          </w:p>
                          <w:p w14:paraId="0FBD789A" w14:textId="77777777" w:rsidR="009C42F3" w:rsidRDefault="009C42F3" w:rsidP="00C46B95">
                            <w:pPr>
                              <w:jc w:val="center"/>
                              <w:rPr>
                                <w:rFonts w:hAnsi="Calibri"/>
                                <w:color w:val="000000" w:themeColor="dark1"/>
                                <w:kern w:val="24"/>
                                <w:sz w:val="20"/>
                                <w:szCs w:val="20"/>
                                <w:lang w:val="en-US"/>
                              </w:rPr>
                            </w:pPr>
                          </w:p>
                          <w:p w14:paraId="0CC4FB1E" w14:textId="77777777" w:rsidR="009C42F3" w:rsidRDefault="009C42F3" w:rsidP="00C46B95">
                            <w:pPr>
                              <w:jc w:val="center"/>
                              <w:rPr>
                                <w:rFonts w:hAnsi="Calibri"/>
                                <w:color w:val="000000" w:themeColor="dark1"/>
                                <w:kern w:val="24"/>
                                <w:sz w:val="20"/>
                                <w:szCs w:val="20"/>
                                <w:lang w:val="en-US"/>
                              </w:rPr>
                            </w:pPr>
                          </w:p>
                          <w:p w14:paraId="34ECC680" w14:textId="77777777" w:rsidR="009C42F3" w:rsidRDefault="009C42F3" w:rsidP="00C46B95">
                            <w:pPr>
                              <w:jc w:val="center"/>
                              <w:rPr>
                                <w:rFonts w:hAnsi="Calibri"/>
                                <w:color w:val="000000" w:themeColor="dark1"/>
                                <w:kern w:val="24"/>
                                <w:sz w:val="20"/>
                                <w:szCs w:val="20"/>
                                <w:lang w:val="en-US"/>
                              </w:rPr>
                            </w:pPr>
                          </w:p>
                          <w:p w14:paraId="498161A0" w14:textId="77777777" w:rsidR="009C42F3" w:rsidRDefault="009C42F3" w:rsidP="00C46B95">
                            <w:pPr>
                              <w:jc w:val="center"/>
                              <w:rPr>
                                <w:rFonts w:hAnsi="Calibri"/>
                                <w:color w:val="000000" w:themeColor="dark1"/>
                                <w:kern w:val="24"/>
                                <w:sz w:val="20"/>
                                <w:szCs w:val="20"/>
                                <w:lang w:val="en-US"/>
                              </w:rPr>
                            </w:pPr>
                          </w:p>
                          <w:p w14:paraId="0BFC440A" w14:textId="77777777" w:rsidR="009C42F3" w:rsidRDefault="009C42F3" w:rsidP="00C46B95">
                            <w:pPr>
                              <w:jc w:val="center"/>
                              <w:rPr>
                                <w:rFonts w:hAnsi="Calibri"/>
                                <w:color w:val="000000" w:themeColor="dark1"/>
                                <w:kern w:val="24"/>
                                <w:sz w:val="20"/>
                                <w:szCs w:val="20"/>
                                <w:lang w:val="en-US"/>
                              </w:rPr>
                            </w:pPr>
                          </w:p>
                          <w:p w14:paraId="6FA35CBC" w14:textId="77777777" w:rsidR="009C42F3" w:rsidRDefault="009C42F3" w:rsidP="00C46B95">
                            <w:pPr>
                              <w:jc w:val="center"/>
                              <w:rPr>
                                <w:rFonts w:hAnsi="Calibri"/>
                                <w:color w:val="000000" w:themeColor="dark1"/>
                                <w:kern w:val="24"/>
                                <w:sz w:val="20"/>
                                <w:szCs w:val="20"/>
                                <w:lang w:val="en-US"/>
                              </w:rPr>
                            </w:pPr>
                          </w:p>
                          <w:p w14:paraId="7B817B9B" w14:textId="77777777" w:rsidR="009C42F3" w:rsidRDefault="009C42F3" w:rsidP="00C46B95">
                            <w:pPr>
                              <w:jc w:val="center"/>
                              <w:rPr>
                                <w:rFonts w:hAnsi="Calibri"/>
                                <w:color w:val="000000" w:themeColor="dark1"/>
                                <w:kern w:val="24"/>
                                <w:sz w:val="20"/>
                                <w:szCs w:val="20"/>
                                <w:lang w:val="en-US"/>
                              </w:rPr>
                            </w:pPr>
                          </w:p>
                          <w:p w14:paraId="2D277AB8" w14:textId="77777777" w:rsidR="009C42F3" w:rsidRDefault="009C42F3" w:rsidP="00C46B95">
                            <w:pPr>
                              <w:jc w:val="center"/>
                              <w:rPr>
                                <w:rFonts w:hAnsi="Calibri"/>
                                <w:color w:val="000000" w:themeColor="dark1"/>
                                <w:kern w:val="24"/>
                                <w:sz w:val="20"/>
                                <w:szCs w:val="20"/>
                                <w:lang w:val="en-US"/>
                              </w:rPr>
                            </w:pPr>
                          </w:p>
                          <w:p w14:paraId="181A2F4F" w14:textId="77777777" w:rsidR="009C42F3" w:rsidRDefault="009C42F3" w:rsidP="00C46B95">
                            <w:pPr>
                              <w:jc w:val="center"/>
                              <w:rPr>
                                <w:rFonts w:hAnsi="Calibri"/>
                                <w:color w:val="000000" w:themeColor="dark1"/>
                                <w:kern w:val="24"/>
                                <w:sz w:val="20"/>
                                <w:szCs w:val="20"/>
                                <w:lang w:val="en-US"/>
                              </w:rPr>
                            </w:pPr>
                          </w:p>
                          <w:p w14:paraId="6BE6600F" w14:textId="77777777" w:rsidR="009C42F3" w:rsidRDefault="009C42F3" w:rsidP="00C46B95">
                            <w:pPr>
                              <w:jc w:val="center"/>
                              <w:rPr>
                                <w:rFonts w:hAnsi="Calibri"/>
                                <w:color w:val="000000" w:themeColor="dark1"/>
                                <w:kern w:val="24"/>
                                <w:sz w:val="20"/>
                                <w:szCs w:val="20"/>
                                <w:lang w:val="en-US"/>
                              </w:rPr>
                            </w:pPr>
                          </w:p>
                          <w:p w14:paraId="1B83EC9E" w14:textId="77777777" w:rsidR="009C42F3" w:rsidRDefault="009C42F3" w:rsidP="00C46B95">
                            <w:pPr>
                              <w:jc w:val="center"/>
                              <w:rPr>
                                <w:rFonts w:hAnsi="Calibri"/>
                                <w:color w:val="000000" w:themeColor="dark1"/>
                                <w:kern w:val="24"/>
                                <w:sz w:val="20"/>
                                <w:szCs w:val="20"/>
                                <w:lang w:val="en-US"/>
                              </w:rPr>
                            </w:pPr>
                          </w:p>
                          <w:p w14:paraId="70FA0264" w14:textId="77777777" w:rsidR="009C42F3" w:rsidRDefault="009C42F3" w:rsidP="00C46B95">
                            <w:pPr>
                              <w:jc w:val="center"/>
                              <w:rPr>
                                <w:rFonts w:hAnsi="Calibri"/>
                                <w:color w:val="000000" w:themeColor="dark1"/>
                                <w:kern w:val="24"/>
                                <w:sz w:val="20"/>
                                <w:szCs w:val="20"/>
                                <w:lang w:val="en-US"/>
                              </w:rPr>
                            </w:pPr>
                          </w:p>
                          <w:p w14:paraId="61A46F23" w14:textId="77777777" w:rsidR="009C42F3" w:rsidRDefault="009C42F3" w:rsidP="00C46B95">
                            <w:pPr>
                              <w:jc w:val="center"/>
                              <w:rPr>
                                <w:rFonts w:hAnsi="Calibri"/>
                                <w:color w:val="000000" w:themeColor="dark1"/>
                                <w:kern w:val="24"/>
                                <w:sz w:val="20"/>
                                <w:szCs w:val="20"/>
                                <w:lang w:val="en-US"/>
                              </w:rPr>
                            </w:pPr>
                          </w:p>
                          <w:p w14:paraId="037DBF4D" w14:textId="77777777" w:rsidR="009C42F3" w:rsidRDefault="009C42F3" w:rsidP="00C46B95">
                            <w:pPr>
                              <w:jc w:val="center"/>
                              <w:rPr>
                                <w:rFonts w:hAnsi="Calibri"/>
                                <w:color w:val="000000" w:themeColor="dark1"/>
                                <w:kern w:val="24"/>
                                <w:sz w:val="20"/>
                                <w:szCs w:val="20"/>
                                <w:lang w:val="en-US"/>
                              </w:rPr>
                            </w:pPr>
                          </w:p>
                          <w:p w14:paraId="22339C61" w14:textId="77777777" w:rsidR="009C42F3" w:rsidRDefault="009C42F3" w:rsidP="00C46B95">
                            <w:pPr>
                              <w:jc w:val="center"/>
                              <w:rPr>
                                <w:rFonts w:hAnsi="Calibri"/>
                                <w:color w:val="000000" w:themeColor="dark1"/>
                                <w:kern w:val="24"/>
                                <w:sz w:val="20"/>
                                <w:szCs w:val="20"/>
                                <w:lang w:val="en-US"/>
                              </w:rPr>
                            </w:pPr>
                          </w:p>
                          <w:p w14:paraId="5C4C909C" w14:textId="77777777" w:rsidR="009C42F3" w:rsidRDefault="009C42F3" w:rsidP="00C46B95">
                            <w:pPr>
                              <w:jc w:val="center"/>
                              <w:rPr>
                                <w:rFonts w:hAnsi="Calibri"/>
                                <w:color w:val="000000" w:themeColor="dark1"/>
                                <w:kern w:val="24"/>
                                <w:sz w:val="20"/>
                                <w:szCs w:val="20"/>
                                <w:lang w:val="en-US"/>
                              </w:rPr>
                            </w:pPr>
                          </w:p>
                          <w:p w14:paraId="4949731F" w14:textId="77777777" w:rsidR="009C42F3" w:rsidRDefault="009C42F3" w:rsidP="00C46B95">
                            <w:pPr>
                              <w:jc w:val="center"/>
                              <w:rPr>
                                <w:rFonts w:hAnsi="Calibri"/>
                                <w:color w:val="000000" w:themeColor="dark1"/>
                                <w:kern w:val="24"/>
                                <w:sz w:val="20"/>
                                <w:szCs w:val="20"/>
                                <w:lang w:val="en-US"/>
                              </w:rPr>
                            </w:pPr>
                          </w:p>
                          <w:p w14:paraId="18B60C14" w14:textId="77777777" w:rsidR="009C42F3" w:rsidRDefault="009C42F3" w:rsidP="00C46B95">
                            <w:pPr>
                              <w:jc w:val="center"/>
                              <w:rPr>
                                <w:rFonts w:hAnsi="Calibri"/>
                                <w:color w:val="000000" w:themeColor="dark1"/>
                                <w:kern w:val="24"/>
                                <w:sz w:val="20"/>
                                <w:szCs w:val="20"/>
                                <w:lang w:val="en-US"/>
                              </w:rPr>
                            </w:pPr>
                          </w:p>
                          <w:p w14:paraId="7D84A576" w14:textId="21D237DE"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Pre-Release</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B54E677" id="Rectangle 46" o:spid="_x0000_s1035" style="position:absolute;margin-left:204.65pt;margin-top:1.25pt;width:220.45pt;height:296.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" fillcolor="#bcd190 [2166]" strokecolor="#94b64e [3046]">
                <v:fill color2="#adc878 [2614]" o:opacity2="32686f" rotate="t" angle="180" colors="0 #cadbaf;1 #c1d4a1;1 #b9d091" focus="100%" type="gradient"/>
                <v:shadow on="t" color="black" opacity="24903f" origin=",.5" offset="0,.55556mm"/>
                <v:textbox>
                  <w:txbxContent>
                    <w:p w14:paraId="38AC3990" w14:textId="77777777" w:rsidR="009C42F3" w:rsidRDefault="009C42F3" w:rsidP="00C46B95">
                      <w:pPr>
                        <w:jc w:val="center"/>
                        <w:rPr>
                          <w:rFonts w:hAnsi="Calibri"/>
                          <w:color w:val="000000" w:themeColor="dark1"/>
                          <w:kern w:val="24"/>
                          <w:sz w:val="20"/>
                          <w:szCs w:val="20"/>
                          <w:lang w:val="en-US"/>
                        </w:rPr>
                      </w:pPr>
                    </w:p>
                    <w:p w14:paraId="3C4B0277" w14:textId="77777777" w:rsidR="009C42F3" w:rsidRDefault="009C42F3" w:rsidP="00C46B95">
                      <w:pPr>
                        <w:jc w:val="center"/>
                        <w:rPr>
                          <w:rFonts w:hAnsi="Calibri"/>
                          <w:color w:val="000000" w:themeColor="dark1"/>
                          <w:kern w:val="24"/>
                          <w:sz w:val="20"/>
                          <w:szCs w:val="20"/>
                          <w:lang w:val="en-US"/>
                        </w:rPr>
                      </w:pPr>
                    </w:p>
                    <w:p w14:paraId="3814EEA5" w14:textId="77777777" w:rsidR="009C42F3" w:rsidRDefault="009C42F3" w:rsidP="00C46B95">
                      <w:pPr>
                        <w:jc w:val="center"/>
                        <w:rPr>
                          <w:rFonts w:hAnsi="Calibri"/>
                          <w:color w:val="000000" w:themeColor="dark1"/>
                          <w:kern w:val="24"/>
                          <w:sz w:val="20"/>
                          <w:szCs w:val="20"/>
                          <w:lang w:val="en-US"/>
                        </w:rPr>
                      </w:pPr>
                    </w:p>
                    <w:p w14:paraId="16E83070" w14:textId="77777777" w:rsidR="009C42F3" w:rsidRDefault="009C42F3" w:rsidP="00C46B95">
                      <w:pPr>
                        <w:jc w:val="center"/>
                        <w:rPr>
                          <w:rFonts w:hAnsi="Calibri"/>
                          <w:color w:val="000000" w:themeColor="dark1"/>
                          <w:kern w:val="24"/>
                          <w:sz w:val="20"/>
                          <w:szCs w:val="20"/>
                          <w:lang w:val="en-US"/>
                        </w:rPr>
                      </w:pPr>
                    </w:p>
                    <w:p w14:paraId="0FBD789A" w14:textId="77777777" w:rsidR="009C42F3" w:rsidRDefault="009C42F3" w:rsidP="00C46B95">
                      <w:pPr>
                        <w:jc w:val="center"/>
                        <w:rPr>
                          <w:rFonts w:hAnsi="Calibri"/>
                          <w:color w:val="000000" w:themeColor="dark1"/>
                          <w:kern w:val="24"/>
                          <w:sz w:val="20"/>
                          <w:szCs w:val="20"/>
                          <w:lang w:val="en-US"/>
                        </w:rPr>
                      </w:pPr>
                    </w:p>
                    <w:p w14:paraId="0CC4FB1E" w14:textId="77777777" w:rsidR="009C42F3" w:rsidRDefault="009C42F3" w:rsidP="00C46B95">
                      <w:pPr>
                        <w:jc w:val="center"/>
                        <w:rPr>
                          <w:rFonts w:hAnsi="Calibri"/>
                          <w:color w:val="000000" w:themeColor="dark1"/>
                          <w:kern w:val="24"/>
                          <w:sz w:val="20"/>
                          <w:szCs w:val="20"/>
                          <w:lang w:val="en-US"/>
                        </w:rPr>
                      </w:pPr>
                    </w:p>
                    <w:p w14:paraId="34ECC680" w14:textId="77777777" w:rsidR="009C42F3" w:rsidRDefault="009C42F3" w:rsidP="00C46B95">
                      <w:pPr>
                        <w:jc w:val="center"/>
                        <w:rPr>
                          <w:rFonts w:hAnsi="Calibri"/>
                          <w:color w:val="000000" w:themeColor="dark1"/>
                          <w:kern w:val="24"/>
                          <w:sz w:val="20"/>
                          <w:szCs w:val="20"/>
                          <w:lang w:val="en-US"/>
                        </w:rPr>
                      </w:pPr>
                    </w:p>
                    <w:p w14:paraId="498161A0" w14:textId="77777777" w:rsidR="009C42F3" w:rsidRDefault="009C42F3" w:rsidP="00C46B95">
                      <w:pPr>
                        <w:jc w:val="center"/>
                        <w:rPr>
                          <w:rFonts w:hAnsi="Calibri"/>
                          <w:color w:val="000000" w:themeColor="dark1"/>
                          <w:kern w:val="24"/>
                          <w:sz w:val="20"/>
                          <w:szCs w:val="20"/>
                          <w:lang w:val="en-US"/>
                        </w:rPr>
                      </w:pPr>
                    </w:p>
                    <w:p w14:paraId="0BFC440A" w14:textId="77777777" w:rsidR="009C42F3" w:rsidRDefault="009C42F3" w:rsidP="00C46B95">
                      <w:pPr>
                        <w:jc w:val="center"/>
                        <w:rPr>
                          <w:rFonts w:hAnsi="Calibri"/>
                          <w:color w:val="000000" w:themeColor="dark1"/>
                          <w:kern w:val="24"/>
                          <w:sz w:val="20"/>
                          <w:szCs w:val="20"/>
                          <w:lang w:val="en-US"/>
                        </w:rPr>
                      </w:pPr>
                    </w:p>
                    <w:p w14:paraId="6FA35CBC" w14:textId="77777777" w:rsidR="009C42F3" w:rsidRDefault="009C42F3" w:rsidP="00C46B95">
                      <w:pPr>
                        <w:jc w:val="center"/>
                        <w:rPr>
                          <w:rFonts w:hAnsi="Calibri"/>
                          <w:color w:val="000000" w:themeColor="dark1"/>
                          <w:kern w:val="24"/>
                          <w:sz w:val="20"/>
                          <w:szCs w:val="20"/>
                          <w:lang w:val="en-US"/>
                        </w:rPr>
                      </w:pPr>
                    </w:p>
                    <w:p w14:paraId="7B817B9B" w14:textId="77777777" w:rsidR="009C42F3" w:rsidRDefault="009C42F3" w:rsidP="00C46B95">
                      <w:pPr>
                        <w:jc w:val="center"/>
                        <w:rPr>
                          <w:rFonts w:hAnsi="Calibri"/>
                          <w:color w:val="000000" w:themeColor="dark1"/>
                          <w:kern w:val="24"/>
                          <w:sz w:val="20"/>
                          <w:szCs w:val="20"/>
                          <w:lang w:val="en-US"/>
                        </w:rPr>
                      </w:pPr>
                    </w:p>
                    <w:p w14:paraId="2D277AB8" w14:textId="77777777" w:rsidR="009C42F3" w:rsidRDefault="009C42F3" w:rsidP="00C46B95">
                      <w:pPr>
                        <w:jc w:val="center"/>
                        <w:rPr>
                          <w:rFonts w:hAnsi="Calibri"/>
                          <w:color w:val="000000" w:themeColor="dark1"/>
                          <w:kern w:val="24"/>
                          <w:sz w:val="20"/>
                          <w:szCs w:val="20"/>
                          <w:lang w:val="en-US"/>
                        </w:rPr>
                      </w:pPr>
                    </w:p>
                    <w:p w14:paraId="181A2F4F" w14:textId="77777777" w:rsidR="009C42F3" w:rsidRDefault="009C42F3" w:rsidP="00C46B95">
                      <w:pPr>
                        <w:jc w:val="center"/>
                        <w:rPr>
                          <w:rFonts w:hAnsi="Calibri"/>
                          <w:color w:val="000000" w:themeColor="dark1"/>
                          <w:kern w:val="24"/>
                          <w:sz w:val="20"/>
                          <w:szCs w:val="20"/>
                          <w:lang w:val="en-US"/>
                        </w:rPr>
                      </w:pPr>
                    </w:p>
                    <w:p w14:paraId="6BE6600F" w14:textId="77777777" w:rsidR="009C42F3" w:rsidRDefault="009C42F3" w:rsidP="00C46B95">
                      <w:pPr>
                        <w:jc w:val="center"/>
                        <w:rPr>
                          <w:rFonts w:hAnsi="Calibri"/>
                          <w:color w:val="000000" w:themeColor="dark1"/>
                          <w:kern w:val="24"/>
                          <w:sz w:val="20"/>
                          <w:szCs w:val="20"/>
                          <w:lang w:val="en-US"/>
                        </w:rPr>
                      </w:pPr>
                    </w:p>
                    <w:p w14:paraId="1B83EC9E" w14:textId="77777777" w:rsidR="009C42F3" w:rsidRDefault="009C42F3" w:rsidP="00C46B95">
                      <w:pPr>
                        <w:jc w:val="center"/>
                        <w:rPr>
                          <w:rFonts w:hAnsi="Calibri"/>
                          <w:color w:val="000000" w:themeColor="dark1"/>
                          <w:kern w:val="24"/>
                          <w:sz w:val="20"/>
                          <w:szCs w:val="20"/>
                          <w:lang w:val="en-US"/>
                        </w:rPr>
                      </w:pPr>
                    </w:p>
                    <w:p w14:paraId="70FA0264" w14:textId="77777777" w:rsidR="009C42F3" w:rsidRDefault="009C42F3" w:rsidP="00C46B95">
                      <w:pPr>
                        <w:jc w:val="center"/>
                        <w:rPr>
                          <w:rFonts w:hAnsi="Calibri"/>
                          <w:color w:val="000000" w:themeColor="dark1"/>
                          <w:kern w:val="24"/>
                          <w:sz w:val="20"/>
                          <w:szCs w:val="20"/>
                          <w:lang w:val="en-US"/>
                        </w:rPr>
                      </w:pPr>
                    </w:p>
                    <w:p w14:paraId="61A46F23" w14:textId="77777777" w:rsidR="009C42F3" w:rsidRDefault="009C42F3" w:rsidP="00C46B95">
                      <w:pPr>
                        <w:jc w:val="center"/>
                        <w:rPr>
                          <w:rFonts w:hAnsi="Calibri"/>
                          <w:color w:val="000000" w:themeColor="dark1"/>
                          <w:kern w:val="24"/>
                          <w:sz w:val="20"/>
                          <w:szCs w:val="20"/>
                          <w:lang w:val="en-US"/>
                        </w:rPr>
                      </w:pPr>
                    </w:p>
                    <w:p w14:paraId="037DBF4D" w14:textId="77777777" w:rsidR="009C42F3" w:rsidRDefault="009C42F3" w:rsidP="00C46B95">
                      <w:pPr>
                        <w:jc w:val="center"/>
                        <w:rPr>
                          <w:rFonts w:hAnsi="Calibri"/>
                          <w:color w:val="000000" w:themeColor="dark1"/>
                          <w:kern w:val="24"/>
                          <w:sz w:val="20"/>
                          <w:szCs w:val="20"/>
                          <w:lang w:val="en-US"/>
                        </w:rPr>
                      </w:pPr>
                    </w:p>
                    <w:p w14:paraId="22339C61" w14:textId="77777777" w:rsidR="009C42F3" w:rsidRDefault="009C42F3" w:rsidP="00C46B95">
                      <w:pPr>
                        <w:jc w:val="center"/>
                        <w:rPr>
                          <w:rFonts w:hAnsi="Calibri"/>
                          <w:color w:val="000000" w:themeColor="dark1"/>
                          <w:kern w:val="24"/>
                          <w:sz w:val="20"/>
                          <w:szCs w:val="20"/>
                          <w:lang w:val="en-US"/>
                        </w:rPr>
                      </w:pPr>
                    </w:p>
                    <w:p w14:paraId="5C4C909C" w14:textId="77777777" w:rsidR="009C42F3" w:rsidRDefault="009C42F3" w:rsidP="00C46B95">
                      <w:pPr>
                        <w:jc w:val="center"/>
                        <w:rPr>
                          <w:rFonts w:hAnsi="Calibri"/>
                          <w:color w:val="000000" w:themeColor="dark1"/>
                          <w:kern w:val="24"/>
                          <w:sz w:val="20"/>
                          <w:szCs w:val="20"/>
                          <w:lang w:val="en-US"/>
                        </w:rPr>
                      </w:pPr>
                    </w:p>
                    <w:p w14:paraId="4949731F" w14:textId="77777777" w:rsidR="009C42F3" w:rsidRDefault="009C42F3" w:rsidP="00C46B95">
                      <w:pPr>
                        <w:jc w:val="center"/>
                        <w:rPr>
                          <w:rFonts w:hAnsi="Calibri"/>
                          <w:color w:val="000000" w:themeColor="dark1"/>
                          <w:kern w:val="24"/>
                          <w:sz w:val="20"/>
                          <w:szCs w:val="20"/>
                          <w:lang w:val="en-US"/>
                        </w:rPr>
                      </w:pPr>
                    </w:p>
                    <w:p w14:paraId="18B60C14" w14:textId="77777777" w:rsidR="009C42F3" w:rsidRDefault="009C42F3" w:rsidP="00C46B95">
                      <w:pPr>
                        <w:jc w:val="center"/>
                        <w:rPr>
                          <w:rFonts w:hAnsi="Calibri"/>
                          <w:color w:val="000000" w:themeColor="dark1"/>
                          <w:kern w:val="24"/>
                          <w:sz w:val="20"/>
                          <w:szCs w:val="20"/>
                          <w:lang w:val="en-US"/>
                        </w:rPr>
                      </w:pPr>
                    </w:p>
                    <w:p w14:paraId="7D84A576" w14:textId="21D237DE"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Pre-Release</w:t>
                      </w:r>
                    </w:p>
                  </w:txbxContent>
                </v:textbox>
              </v:rect>
            </w:pict>
          </mc:Fallback>
        </mc:AlternateContent>
      </w:r>
      <w:r w:rsidRPr="00C46B95">
        <w:rPr>
          <w:rFonts w:cstheme="minorHAnsi"/>
          <w:noProof/>
          <w:lang w:eastAsia="en-AU"/>
        </w:rPr>
        <mc:AlternateContent>
          <mc:Choice Requires="wps">
            <w:drawing>
              <wp:anchor distT="0" distB="0" distL="114300" distR="114300" simplePos="0" relativeHeight="251658245" behindDoc="0" locked="0" layoutInCell="1" allowOverlap="1" wp14:anchorId="3D24D590" wp14:editId="736A2DFE">
                <wp:simplePos x="0" y="0"/>
                <wp:positionH relativeFrom="column">
                  <wp:posOffset>1149644</wp:posOffset>
                </wp:positionH>
                <wp:positionV relativeFrom="paragraph">
                  <wp:posOffset>15767</wp:posOffset>
                </wp:positionV>
                <wp:extent cx="1393825" cy="3761740"/>
                <wp:effectExtent l="50800" t="25400" r="66675" b="73660"/>
                <wp:wrapNone/>
                <wp:docPr id="45" name="Rectangle 44">
                  <a:extLst xmlns:a="http://schemas.openxmlformats.org/drawingml/2006/main">
                    <a:ext uri="{FF2B5EF4-FFF2-40B4-BE49-F238E27FC236}">
                      <a16:creationId xmlns:a16="http://schemas.microsoft.com/office/drawing/2014/main" id="{628F8B94-13A9-0697-94A6-40C895880226}"/>
                    </a:ext>
                  </a:extLst>
                </wp:docPr>
                <wp:cNvGraphicFramePr/>
                <a:graphic xmlns:a="http://schemas.openxmlformats.org/drawingml/2006/main">
                  <a:graphicData uri="http://schemas.microsoft.com/office/word/2010/wordprocessingShape">
                    <wps:wsp>
                      <wps:cNvSpPr/>
                      <wps:spPr>
                        <a:xfrm>
                          <a:off x="0" y="0"/>
                          <a:ext cx="1393825" cy="3761740"/>
                        </a:xfrm>
                        <a:prstGeom prst="rect">
                          <a:avLst/>
                        </a:prstGeom>
                        <a:gradFill>
                          <a:gsLst>
                            <a:gs pos="0">
                              <a:schemeClr val="accent3">
                                <a:lumMod val="110000"/>
                                <a:satMod val="105000"/>
                                <a:tint val="67000"/>
                                <a:alpha val="49876"/>
                              </a:schemeClr>
                            </a:gs>
                            <a:gs pos="100000">
                              <a:schemeClr val="accent3">
                                <a:lumMod val="105000"/>
                                <a:satMod val="103000"/>
                                <a:tint val="73000"/>
                              </a:schemeClr>
                            </a:gs>
                            <a:gs pos="100000">
                              <a:schemeClr val="accent3">
                                <a:lumMod val="105000"/>
                                <a:satMod val="109000"/>
                                <a:tint val="81000"/>
                              </a:schemeClr>
                            </a:gs>
                          </a:gsLst>
                        </a:gradFill>
                      </wps:spPr>
                      <wps:style>
                        <a:lnRef idx="1">
                          <a:schemeClr val="accent3"/>
                        </a:lnRef>
                        <a:fillRef idx="2">
                          <a:schemeClr val="accent3"/>
                        </a:fillRef>
                        <a:effectRef idx="1">
                          <a:schemeClr val="accent3"/>
                        </a:effectRef>
                        <a:fontRef idx="minor">
                          <a:schemeClr val="dk1"/>
                        </a:fontRef>
                      </wps:style>
                      <wps:txbx>
                        <w:txbxContent>
                          <w:p w14:paraId="5688AFCA" w14:textId="77777777" w:rsidR="009C42F3" w:rsidRDefault="009C42F3" w:rsidP="00C46B95">
                            <w:pPr>
                              <w:jc w:val="center"/>
                              <w:rPr>
                                <w:rFonts w:hAnsi="Calibri"/>
                                <w:color w:val="000000" w:themeColor="dark1"/>
                                <w:kern w:val="24"/>
                                <w:sz w:val="20"/>
                                <w:szCs w:val="20"/>
                                <w:lang w:val="en-US"/>
                              </w:rPr>
                            </w:pPr>
                          </w:p>
                          <w:p w14:paraId="4F47DF10" w14:textId="77777777" w:rsidR="009C42F3" w:rsidRDefault="009C42F3" w:rsidP="00C46B95">
                            <w:pPr>
                              <w:jc w:val="center"/>
                              <w:rPr>
                                <w:rFonts w:hAnsi="Calibri"/>
                                <w:color w:val="000000" w:themeColor="dark1"/>
                                <w:kern w:val="24"/>
                                <w:sz w:val="20"/>
                                <w:szCs w:val="20"/>
                                <w:lang w:val="en-US"/>
                              </w:rPr>
                            </w:pPr>
                          </w:p>
                          <w:p w14:paraId="65037C5A" w14:textId="77777777" w:rsidR="009C42F3" w:rsidRDefault="009C42F3" w:rsidP="00C46B95">
                            <w:pPr>
                              <w:jc w:val="center"/>
                              <w:rPr>
                                <w:rFonts w:hAnsi="Calibri"/>
                                <w:color w:val="000000" w:themeColor="dark1"/>
                                <w:kern w:val="24"/>
                                <w:sz w:val="20"/>
                                <w:szCs w:val="20"/>
                                <w:lang w:val="en-US"/>
                              </w:rPr>
                            </w:pPr>
                          </w:p>
                          <w:p w14:paraId="46EC4355" w14:textId="77777777" w:rsidR="009C42F3" w:rsidRDefault="009C42F3" w:rsidP="00C46B95">
                            <w:pPr>
                              <w:jc w:val="center"/>
                              <w:rPr>
                                <w:rFonts w:hAnsi="Calibri"/>
                                <w:color w:val="000000" w:themeColor="dark1"/>
                                <w:kern w:val="24"/>
                                <w:sz w:val="20"/>
                                <w:szCs w:val="20"/>
                                <w:lang w:val="en-US"/>
                              </w:rPr>
                            </w:pPr>
                          </w:p>
                          <w:p w14:paraId="59D7BBB4" w14:textId="77777777" w:rsidR="009C42F3" w:rsidRDefault="009C42F3" w:rsidP="00C46B95">
                            <w:pPr>
                              <w:jc w:val="center"/>
                              <w:rPr>
                                <w:rFonts w:hAnsi="Calibri"/>
                                <w:color w:val="000000" w:themeColor="dark1"/>
                                <w:kern w:val="24"/>
                                <w:sz w:val="20"/>
                                <w:szCs w:val="20"/>
                                <w:lang w:val="en-US"/>
                              </w:rPr>
                            </w:pPr>
                          </w:p>
                          <w:p w14:paraId="39190309" w14:textId="77777777" w:rsidR="009C42F3" w:rsidRDefault="009C42F3" w:rsidP="00C46B95">
                            <w:pPr>
                              <w:jc w:val="center"/>
                              <w:rPr>
                                <w:rFonts w:hAnsi="Calibri"/>
                                <w:color w:val="000000" w:themeColor="dark1"/>
                                <w:kern w:val="24"/>
                                <w:sz w:val="20"/>
                                <w:szCs w:val="20"/>
                                <w:lang w:val="en-US"/>
                              </w:rPr>
                            </w:pPr>
                          </w:p>
                          <w:p w14:paraId="0FE5D10B" w14:textId="77777777" w:rsidR="009C42F3" w:rsidRDefault="009C42F3" w:rsidP="00C46B95">
                            <w:pPr>
                              <w:jc w:val="center"/>
                              <w:rPr>
                                <w:rFonts w:hAnsi="Calibri"/>
                                <w:color w:val="000000" w:themeColor="dark1"/>
                                <w:kern w:val="24"/>
                                <w:sz w:val="20"/>
                                <w:szCs w:val="20"/>
                                <w:lang w:val="en-US"/>
                              </w:rPr>
                            </w:pPr>
                          </w:p>
                          <w:p w14:paraId="2585EA6D" w14:textId="77777777" w:rsidR="009C42F3" w:rsidRDefault="009C42F3" w:rsidP="00C46B95">
                            <w:pPr>
                              <w:jc w:val="center"/>
                              <w:rPr>
                                <w:rFonts w:hAnsi="Calibri"/>
                                <w:color w:val="000000" w:themeColor="dark1"/>
                                <w:kern w:val="24"/>
                                <w:sz w:val="20"/>
                                <w:szCs w:val="20"/>
                                <w:lang w:val="en-US"/>
                              </w:rPr>
                            </w:pPr>
                          </w:p>
                          <w:p w14:paraId="2F87D62D" w14:textId="77777777" w:rsidR="009C42F3" w:rsidRDefault="009C42F3" w:rsidP="00C46B95">
                            <w:pPr>
                              <w:jc w:val="center"/>
                              <w:rPr>
                                <w:rFonts w:hAnsi="Calibri"/>
                                <w:color w:val="000000" w:themeColor="dark1"/>
                                <w:kern w:val="24"/>
                                <w:sz w:val="20"/>
                                <w:szCs w:val="20"/>
                                <w:lang w:val="en-US"/>
                              </w:rPr>
                            </w:pPr>
                          </w:p>
                          <w:p w14:paraId="1DAF4963" w14:textId="77777777" w:rsidR="009C42F3" w:rsidRDefault="009C42F3" w:rsidP="00C46B95">
                            <w:pPr>
                              <w:jc w:val="center"/>
                              <w:rPr>
                                <w:rFonts w:hAnsi="Calibri"/>
                                <w:color w:val="000000" w:themeColor="dark1"/>
                                <w:kern w:val="24"/>
                                <w:sz w:val="20"/>
                                <w:szCs w:val="20"/>
                                <w:lang w:val="en-US"/>
                              </w:rPr>
                            </w:pPr>
                          </w:p>
                          <w:p w14:paraId="3DF05D90" w14:textId="77777777" w:rsidR="009C42F3" w:rsidRDefault="009C42F3" w:rsidP="00C46B95">
                            <w:pPr>
                              <w:jc w:val="center"/>
                              <w:rPr>
                                <w:rFonts w:hAnsi="Calibri"/>
                                <w:color w:val="000000" w:themeColor="dark1"/>
                                <w:kern w:val="24"/>
                                <w:sz w:val="20"/>
                                <w:szCs w:val="20"/>
                                <w:lang w:val="en-US"/>
                              </w:rPr>
                            </w:pPr>
                          </w:p>
                          <w:p w14:paraId="0976456F" w14:textId="77777777" w:rsidR="009C42F3" w:rsidRDefault="009C42F3" w:rsidP="00C46B95">
                            <w:pPr>
                              <w:jc w:val="center"/>
                              <w:rPr>
                                <w:rFonts w:hAnsi="Calibri"/>
                                <w:color w:val="000000" w:themeColor="dark1"/>
                                <w:kern w:val="24"/>
                                <w:sz w:val="20"/>
                                <w:szCs w:val="20"/>
                                <w:lang w:val="en-US"/>
                              </w:rPr>
                            </w:pPr>
                          </w:p>
                          <w:p w14:paraId="0994D445" w14:textId="77777777" w:rsidR="009C42F3" w:rsidRDefault="009C42F3" w:rsidP="00C46B95">
                            <w:pPr>
                              <w:jc w:val="center"/>
                              <w:rPr>
                                <w:rFonts w:hAnsi="Calibri"/>
                                <w:color w:val="000000" w:themeColor="dark1"/>
                                <w:kern w:val="24"/>
                                <w:sz w:val="20"/>
                                <w:szCs w:val="20"/>
                                <w:lang w:val="en-US"/>
                              </w:rPr>
                            </w:pPr>
                          </w:p>
                          <w:p w14:paraId="6F01CBAF" w14:textId="77777777" w:rsidR="009C42F3" w:rsidRDefault="009C42F3" w:rsidP="00C46B95">
                            <w:pPr>
                              <w:jc w:val="center"/>
                              <w:rPr>
                                <w:rFonts w:hAnsi="Calibri"/>
                                <w:color w:val="000000" w:themeColor="dark1"/>
                                <w:kern w:val="24"/>
                                <w:sz w:val="20"/>
                                <w:szCs w:val="20"/>
                                <w:lang w:val="en-US"/>
                              </w:rPr>
                            </w:pPr>
                          </w:p>
                          <w:p w14:paraId="3A75840F" w14:textId="77777777" w:rsidR="009C42F3" w:rsidRDefault="009C42F3" w:rsidP="00C46B95">
                            <w:pPr>
                              <w:jc w:val="center"/>
                              <w:rPr>
                                <w:rFonts w:hAnsi="Calibri"/>
                                <w:color w:val="000000" w:themeColor="dark1"/>
                                <w:kern w:val="24"/>
                                <w:sz w:val="20"/>
                                <w:szCs w:val="20"/>
                                <w:lang w:val="en-US"/>
                              </w:rPr>
                            </w:pPr>
                          </w:p>
                          <w:p w14:paraId="51088CCE" w14:textId="77777777" w:rsidR="009C42F3" w:rsidRDefault="009C42F3" w:rsidP="00C46B95">
                            <w:pPr>
                              <w:jc w:val="center"/>
                              <w:rPr>
                                <w:rFonts w:hAnsi="Calibri"/>
                                <w:color w:val="000000" w:themeColor="dark1"/>
                                <w:kern w:val="24"/>
                                <w:sz w:val="20"/>
                                <w:szCs w:val="20"/>
                                <w:lang w:val="en-US"/>
                              </w:rPr>
                            </w:pPr>
                          </w:p>
                          <w:p w14:paraId="5C560C67" w14:textId="77777777" w:rsidR="009C42F3" w:rsidRDefault="009C42F3" w:rsidP="00C46B95">
                            <w:pPr>
                              <w:jc w:val="center"/>
                              <w:rPr>
                                <w:rFonts w:hAnsi="Calibri"/>
                                <w:color w:val="000000" w:themeColor="dark1"/>
                                <w:kern w:val="24"/>
                                <w:sz w:val="20"/>
                                <w:szCs w:val="20"/>
                                <w:lang w:val="en-US"/>
                              </w:rPr>
                            </w:pPr>
                          </w:p>
                          <w:p w14:paraId="252DDDA7" w14:textId="77777777" w:rsidR="009C42F3" w:rsidRDefault="009C42F3" w:rsidP="00C46B95">
                            <w:pPr>
                              <w:jc w:val="center"/>
                              <w:rPr>
                                <w:rFonts w:hAnsi="Calibri"/>
                                <w:color w:val="000000" w:themeColor="dark1"/>
                                <w:kern w:val="24"/>
                                <w:sz w:val="20"/>
                                <w:szCs w:val="20"/>
                                <w:lang w:val="en-US"/>
                              </w:rPr>
                            </w:pPr>
                          </w:p>
                          <w:p w14:paraId="06F2360A" w14:textId="77777777" w:rsidR="009C42F3" w:rsidRDefault="009C42F3" w:rsidP="00C46B95">
                            <w:pPr>
                              <w:jc w:val="center"/>
                              <w:rPr>
                                <w:rFonts w:hAnsi="Calibri"/>
                                <w:color w:val="000000" w:themeColor="dark1"/>
                                <w:kern w:val="24"/>
                                <w:sz w:val="20"/>
                                <w:szCs w:val="20"/>
                                <w:lang w:val="en-US"/>
                              </w:rPr>
                            </w:pPr>
                          </w:p>
                          <w:p w14:paraId="1D4894A7" w14:textId="77777777" w:rsidR="009C42F3" w:rsidRDefault="009C42F3" w:rsidP="00C46B95">
                            <w:pPr>
                              <w:jc w:val="center"/>
                              <w:rPr>
                                <w:rFonts w:hAnsi="Calibri"/>
                                <w:color w:val="000000" w:themeColor="dark1"/>
                                <w:kern w:val="24"/>
                                <w:sz w:val="20"/>
                                <w:szCs w:val="20"/>
                                <w:lang w:val="en-US"/>
                              </w:rPr>
                            </w:pPr>
                          </w:p>
                          <w:p w14:paraId="13EA7D5A" w14:textId="77777777" w:rsidR="009C42F3" w:rsidRDefault="009C42F3" w:rsidP="00C46B95">
                            <w:pPr>
                              <w:jc w:val="center"/>
                              <w:rPr>
                                <w:rFonts w:hAnsi="Calibri"/>
                                <w:color w:val="000000" w:themeColor="dark1"/>
                                <w:kern w:val="24"/>
                                <w:sz w:val="20"/>
                                <w:szCs w:val="20"/>
                                <w:lang w:val="en-US"/>
                              </w:rPr>
                            </w:pPr>
                          </w:p>
                          <w:p w14:paraId="64CC8F49" w14:textId="047B9407"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Initial Engagement &amp; Assessment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24D590" id="Rectangle 44" o:spid="_x0000_s1036" style="position:absolute;margin-left:90.5pt;margin-top:1.25pt;width:109.75pt;height:296.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" fillcolor="#bcd190 [2166]" strokecolor="#94b64e [3046]">
                <v:fill color2="#adc878 [2614]" o:opacity2="32686f" rotate="t" angle="180" colors="0 #cadbaf;1 #c1d4a1;1 #b9d091" focus="100%" type="gradient"/>
                <v:shadow on="t" color="black" opacity="24903f" origin=",.5" offset="0,.55556mm"/>
                <v:textbox>
                  <w:txbxContent>
                    <w:p w14:paraId="5688AFCA" w14:textId="77777777" w:rsidR="009C42F3" w:rsidRDefault="009C42F3" w:rsidP="00C46B95">
                      <w:pPr>
                        <w:jc w:val="center"/>
                        <w:rPr>
                          <w:rFonts w:hAnsi="Calibri"/>
                          <w:color w:val="000000" w:themeColor="dark1"/>
                          <w:kern w:val="24"/>
                          <w:sz w:val="20"/>
                          <w:szCs w:val="20"/>
                          <w:lang w:val="en-US"/>
                        </w:rPr>
                      </w:pPr>
                    </w:p>
                    <w:p w14:paraId="4F47DF10" w14:textId="77777777" w:rsidR="009C42F3" w:rsidRDefault="009C42F3" w:rsidP="00C46B95">
                      <w:pPr>
                        <w:jc w:val="center"/>
                        <w:rPr>
                          <w:rFonts w:hAnsi="Calibri"/>
                          <w:color w:val="000000" w:themeColor="dark1"/>
                          <w:kern w:val="24"/>
                          <w:sz w:val="20"/>
                          <w:szCs w:val="20"/>
                          <w:lang w:val="en-US"/>
                        </w:rPr>
                      </w:pPr>
                    </w:p>
                    <w:p w14:paraId="65037C5A" w14:textId="77777777" w:rsidR="009C42F3" w:rsidRDefault="009C42F3" w:rsidP="00C46B95">
                      <w:pPr>
                        <w:jc w:val="center"/>
                        <w:rPr>
                          <w:rFonts w:hAnsi="Calibri"/>
                          <w:color w:val="000000" w:themeColor="dark1"/>
                          <w:kern w:val="24"/>
                          <w:sz w:val="20"/>
                          <w:szCs w:val="20"/>
                          <w:lang w:val="en-US"/>
                        </w:rPr>
                      </w:pPr>
                    </w:p>
                    <w:p w14:paraId="46EC4355" w14:textId="77777777" w:rsidR="009C42F3" w:rsidRDefault="009C42F3" w:rsidP="00C46B95">
                      <w:pPr>
                        <w:jc w:val="center"/>
                        <w:rPr>
                          <w:rFonts w:hAnsi="Calibri"/>
                          <w:color w:val="000000" w:themeColor="dark1"/>
                          <w:kern w:val="24"/>
                          <w:sz w:val="20"/>
                          <w:szCs w:val="20"/>
                          <w:lang w:val="en-US"/>
                        </w:rPr>
                      </w:pPr>
                    </w:p>
                    <w:p w14:paraId="59D7BBB4" w14:textId="77777777" w:rsidR="009C42F3" w:rsidRDefault="009C42F3" w:rsidP="00C46B95">
                      <w:pPr>
                        <w:jc w:val="center"/>
                        <w:rPr>
                          <w:rFonts w:hAnsi="Calibri"/>
                          <w:color w:val="000000" w:themeColor="dark1"/>
                          <w:kern w:val="24"/>
                          <w:sz w:val="20"/>
                          <w:szCs w:val="20"/>
                          <w:lang w:val="en-US"/>
                        </w:rPr>
                      </w:pPr>
                    </w:p>
                    <w:p w14:paraId="39190309" w14:textId="77777777" w:rsidR="009C42F3" w:rsidRDefault="009C42F3" w:rsidP="00C46B95">
                      <w:pPr>
                        <w:jc w:val="center"/>
                        <w:rPr>
                          <w:rFonts w:hAnsi="Calibri"/>
                          <w:color w:val="000000" w:themeColor="dark1"/>
                          <w:kern w:val="24"/>
                          <w:sz w:val="20"/>
                          <w:szCs w:val="20"/>
                          <w:lang w:val="en-US"/>
                        </w:rPr>
                      </w:pPr>
                    </w:p>
                    <w:p w14:paraId="0FE5D10B" w14:textId="77777777" w:rsidR="009C42F3" w:rsidRDefault="009C42F3" w:rsidP="00C46B95">
                      <w:pPr>
                        <w:jc w:val="center"/>
                        <w:rPr>
                          <w:rFonts w:hAnsi="Calibri"/>
                          <w:color w:val="000000" w:themeColor="dark1"/>
                          <w:kern w:val="24"/>
                          <w:sz w:val="20"/>
                          <w:szCs w:val="20"/>
                          <w:lang w:val="en-US"/>
                        </w:rPr>
                      </w:pPr>
                    </w:p>
                    <w:p w14:paraId="2585EA6D" w14:textId="77777777" w:rsidR="009C42F3" w:rsidRDefault="009C42F3" w:rsidP="00C46B95">
                      <w:pPr>
                        <w:jc w:val="center"/>
                        <w:rPr>
                          <w:rFonts w:hAnsi="Calibri"/>
                          <w:color w:val="000000" w:themeColor="dark1"/>
                          <w:kern w:val="24"/>
                          <w:sz w:val="20"/>
                          <w:szCs w:val="20"/>
                          <w:lang w:val="en-US"/>
                        </w:rPr>
                      </w:pPr>
                    </w:p>
                    <w:p w14:paraId="2F87D62D" w14:textId="77777777" w:rsidR="009C42F3" w:rsidRDefault="009C42F3" w:rsidP="00C46B95">
                      <w:pPr>
                        <w:jc w:val="center"/>
                        <w:rPr>
                          <w:rFonts w:hAnsi="Calibri"/>
                          <w:color w:val="000000" w:themeColor="dark1"/>
                          <w:kern w:val="24"/>
                          <w:sz w:val="20"/>
                          <w:szCs w:val="20"/>
                          <w:lang w:val="en-US"/>
                        </w:rPr>
                      </w:pPr>
                    </w:p>
                    <w:p w14:paraId="1DAF4963" w14:textId="77777777" w:rsidR="009C42F3" w:rsidRDefault="009C42F3" w:rsidP="00C46B95">
                      <w:pPr>
                        <w:jc w:val="center"/>
                        <w:rPr>
                          <w:rFonts w:hAnsi="Calibri"/>
                          <w:color w:val="000000" w:themeColor="dark1"/>
                          <w:kern w:val="24"/>
                          <w:sz w:val="20"/>
                          <w:szCs w:val="20"/>
                          <w:lang w:val="en-US"/>
                        </w:rPr>
                      </w:pPr>
                    </w:p>
                    <w:p w14:paraId="3DF05D90" w14:textId="77777777" w:rsidR="009C42F3" w:rsidRDefault="009C42F3" w:rsidP="00C46B95">
                      <w:pPr>
                        <w:jc w:val="center"/>
                        <w:rPr>
                          <w:rFonts w:hAnsi="Calibri"/>
                          <w:color w:val="000000" w:themeColor="dark1"/>
                          <w:kern w:val="24"/>
                          <w:sz w:val="20"/>
                          <w:szCs w:val="20"/>
                          <w:lang w:val="en-US"/>
                        </w:rPr>
                      </w:pPr>
                    </w:p>
                    <w:p w14:paraId="0976456F" w14:textId="77777777" w:rsidR="009C42F3" w:rsidRDefault="009C42F3" w:rsidP="00C46B95">
                      <w:pPr>
                        <w:jc w:val="center"/>
                        <w:rPr>
                          <w:rFonts w:hAnsi="Calibri"/>
                          <w:color w:val="000000" w:themeColor="dark1"/>
                          <w:kern w:val="24"/>
                          <w:sz w:val="20"/>
                          <w:szCs w:val="20"/>
                          <w:lang w:val="en-US"/>
                        </w:rPr>
                      </w:pPr>
                    </w:p>
                    <w:p w14:paraId="0994D445" w14:textId="77777777" w:rsidR="009C42F3" w:rsidRDefault="009C42F3" w:rsidP="00C46B95">
                      <w:pPr>
                        <w:jc w:val="center"/>
                        <w:rPr>
                          <w:rFonts w:hAnsi="Calibri"/>
                          <w:color w:val="000000" w:themeColor="dark1"/>
                          <w:kern w:val="24"/>
                          <w:sz w:val="20"/>
                          <w:szCs w:val="20"/>
                          <w:lang w:val="en-US"/>
                        </w:rPr>
                      </w:pPr>
                    </w:p>
                    <w:p w14:paraId="6F01CBAF" w14:textId="77777777" w:rsidR="009C42F3" w:rsidRDefault="009C42F3" w:rsidP="00C46B95">
                      <w:pPr>
                        <w:jc w:val="center"/>
                        <w:rPr>
                          <w:rFonts w:hAnsi="Calibri"/>
                          <w:color w:val="000000" w:themeColor="dark1"/>
                          <w:kern w:val="24"/>
                          <w:sz w:val="20"/>
                          <w:szCs w:val="20"/>
                          <w:lang w:val="en-US"/>
                        </w:rPr>
                      </w:pPr>
                    </w:p>
                    <w:p w14:paraId="3A75840F" w14:textId="77777777" w:rsidR="009C42F3" w:rsidRDefault="009C42F3" w:rsidP="00C46B95">
                      <w:pPr>
                        <w:jc w:val="center"/>
                        <w:rPr>
                          <w:rFonts w:hAnsi="Calibri"/>
                          <w:color w:val="000000" w:themeColor="dark1"/>
                          <w:kern w:val="24"/>
                          <w:sz w:val="20"/>
                          <w:szCs w:val="20"/>
                          <w:lang w:val="en-US"/>
                        </w:rPr>
                      </w:pPr>
                    </w:p>
                    <w:p w14:paraId="51088CCE" w14:textId="77777777" w:rsidR="009C42F3" w:rsidRDefault="009C42F3" w:rsidP="00C46B95">
                      <w:pPr>
                        <w:jc w:val="center"/>
                        <w:rPr>
                          <w:rFonts w:hAnsi="Calibri"/>
                          <w:color w:val="000000" w:themeColor="dark1"/>
                          <w:kern w:val="24"/>
                          <w:sz w:val="20"/>
                          <w:szCs w:val="20"/>
                          <w:lang w:val="en-US"/>
                        </w:rPr>
                      </w:pPr>
                    </w:p>
                    <w:p w14:paraId="5C560C67" w14:textId="77777777" w:rsidR="009C42F3" w:rsidRDefault="009C42F3" w:rsidP="00C46B95">
                      <w:pPr>
                        <w:jc w:val="center"/>
                        <w:rPr>
                          <w:rFonts w:hAnsi="Calibri"/>
                          <w:color w:val="000000" w:themeColor="dark1"/>
                          <w:kern w:val="24"/>
                          <w:sz w:val="20"/>
                          <w:szCs w:val="20"/>
                          <w:lang w:val="en-US"/>
                        </w:rPr>
                      </w:pPr>
                    </w:p>
                    <w:p w14:paraId="252DDDA7" w14:textId="77777777" w:rsidR="009C42F3" w:rsidRDefault="009C42F3" w:rsidP="00C46B95">
                      <w:pPr>
                        <w:jc w:val="center"/>
                        <w:rPr>
                          <w:rFonts w:hAnsi="Calibri"/>
                          <w:color w:val="000000" w:themeColor="dark1"/>
                          <w:kern w:val="24"/>
                          <w:sz w:val="20"/>
                          <w:szCs w:val="20"/>
                          <w:lang w:val="en-US"/>
                        </w:rPr>
                      </w:pPr>
                    </w:p>
                    <w:p w14:paraId="06F2360A" w14:textId="77777777" w:rsidR="009C42F3" w:rsidRDefault="009C42F3" w:rsidP="00C46B95">
                      <w:pPr>
                        <w:jc w:val="center"/>
                        <w:rPr>
                          <w:rFonts w:hAnsi="Calibri"/>
                          <w:color w:val="000000" w:themeColor="dark1"/>
                          <w:kern w:val="24"/>
                          <w:sz w:val="20"/>
                          <w:szCs w:val="20"/>
                          <w:lang w:val="en-US"/>
                        </w:rPr>
                      </w:pPr>
                    </w:p>
                    <w:p w14:paraId="1D4894A7" w14:textId="77777777" w:rsidR="009C42F3" w:rsidRDefault="009C42F3" w:rsidP="00C46B95">
                      <w:pPr>
                        <w:jc w:val="center"/>
                        <w:rPr>
                          <w:rFonts w:hAnsi="Calibri"/>
                          <w:color w:val="000000" w:themeColor="dark1"/>
                          <w:kern w:val="24"/>
                          <w:sz w:val="20"/>
                          <w:szCs w:val="20"/>
                          <w:lang w:val="en-US"/>
                        </w:rPr>
                      </w:pPr>
                    </w:p>
                    <w:p w14:paraId="13EA7D5A" w14:textId="77777777" w:rsidR="009C42F3" w:rsidRDefault="009C42F3" w:rsidP="00C46B95">
                      <w:pPr>
                        <w:jc w:val="center"/>
                        <w:rPr>
                          <w:rFonts w:hAnsi="Calibri"/>
                          <w:color w:val="000000" w:themeColor="dark1"/>
                          <w:kern w:val="24"/>
                          <w:sz w:val="20"/>
                          <w:szCs w:val="20"/>
                          <w:lang w:val="en-US"/>
                        </w:rPr>
                      </w:pPr>
                    </w:p>
                    <w:p w14:paraId="64CC8F49" w14:textId="047B9407"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Initial Engagement &amp; Assessment</w:t>
                      </w:r>
                    </w:p>
                  </w:txbxContent>
                </v:textbox>
              </v:rect>
            </w:pict>
          </mc:Fallback>
        </mc:AlternateContent>
      </w:r>
      <w:r w:rsidRPr="00C46B95">
        <w:rPr>
          <w:rFonts w:cstheme="minorHAnsi"/>
          <w:noProof/>
          <w:lang w:eastAsia="en-AU"/>
        </w:rPr>
        <mc:AlternateContent>
          <mc:Choice Requires="wps">
            <w:drawing>
              <wp:anchor distT="0" distB="0" distL="114300" distR="114300" simplePos="0" relativeHeight="251658246" behindDoc="0" locked="0" layoutInCell="1" allowOverlap="1" wp14:anchorId="2E3ABDB1" wp14:editId="6D2D0055">
                <wp:simplePos x="0" y="0"/>
                <wp:positionH relativeFrom="column">
                  <wp:posOffset>1069</wp:posOffset>
                </wp:positionH>
                <wp:positionV relativeFrom="paragraph">
                  <wp:posOffset>15767</wp:posOffset>
                </wp:positionV>
                <wp:extent cx="1099820" cy="3762173"/>
                <wp:effectExtent l="50800" t="25400" r="68580" b="73660"/>
                <wp:wrapNone/>
                <wp:docPr id="3" name="Rectangle 2">
                  <a:extLst xmlns:a="http://schemas.openxmlformats.org/drawingml/2006/main">
                    <a:ext uri="{FF2B5EF4-FFF2-40B4-BE49-F238E27FC236}">
                      <a16:creationId xmlns:a16="http://schemas.microsoft.com/office/drawing/2014/main" id="{4E62B1C4-8FAA-8E54-1206-FA7599BF0C7F}"/>
                    </a:ext>
                  </a:extLst>
                </wp:docPr>
                <wp:cNvGraphicFramePr/>
                <a:graphic xmlns:a="http://schemas.openxmlformats.org/drawingml/2006/main">
                  <a:graphicData uri="http://schemas.microsoft.com/office/word/2010/wordprocessingShape">
                    <wps:wsp>
                      <wps:cNvSpPr/>
                      <wps:spPr>
                        <a:xfrm>
                          <a:off x="0" y="0"/>
                          <a:ext cx="1099820" cy="3762173"/>
                        </a:xfrm>
                        <a:prstGeom prst="rect">
                          <a:avLst/>
                        </a:prstGeom>
                        <a:gradFill>
                          <a:gsLst>
                            <a:gs pos="0">
                              <a:schemeClr val="accent3">
                                <a:lumMod val="110000"/>
                                <a:satMod val="105000"/>
                                <a:tint val="67000"/>
                                <a:alpha val="49876"/>
                              </a:schemeClr>
                            </a:gs>
                            <a:gs pos="100000">
                              <a:schemeClr val="accent3">
                                <a:lumMod val="105000"/>
                                <a:satMod val="103000"/>
                                <a:tint val="73000"/>
                              </a:schemeClr>
                            </a:gs>
                            <a:gs pos="100000">
                              <a:schemeClr val="accent3">
                                <a:lumMod val="105000"/>
                                <a:satMod val="109000"/>
                                <a:tint val="81000"/>
                              </a:schemeClr>
                            </a:gs>
                          </a:gsLst>
                        </a:gradFill>
                      </wps:spPr>
                      <wps:style>
                        <a:lnRef idx="1">
                          <a:schemeClr val="accent3"/>
                        </a:lnRef>
                        <a:fillRef idx="2">
                          <a:schemeClr val="accent3"/>
                        </a:fillRef>
                        <a:effectRef idx="1">
                          <a:schemeClr val="accent3"/>
                        </a:effectRef>
                        <a:fontRef idx="minor">
                          <a:schemeClr val="dk1"/>
                        </a:fontRef>
                      </wps:style>
                      <wps:txbx>
                        <w:txbxContent>
                          <w:p w14:paraId="439842E8" w14:textId="77777777" w:rsidR="009C42F3" w:rsidRDefault="009C42F3" w:rsidP="00C46B95">
                            <w:pPr>
                              <w:jc w:val="center"/>
                              <w:rPr>
                                <w:rFonts w:hAnsi="Calibri"/>
                                <w:color w:val="000000" w:themeColor="dark1"/>
                                <w:kern w:val="24"/>
                                <w:sz w:val="20"/>
                                <w:szCs w:val="20"/>
                                <w:lang w:val="en-US"/>
                              </w:rPr>
                            </w:pPr>
                          </w:p>
                          <w:p w14:paraId="456E1690" w14:textId="77777777" w:rsidR="009C42F3" w:rsidRDefault="009C42F3" w:rsidP="00C46B95">
                            <w:pPr>
                              <w:jc w:val="center"/>
                              <w:rPr>
                                <w:rFonts w:hAnsi="Calibri"/>
                                <w:color w:val="000000" w:themeColor="dark1"/>
                                <w:kern w:val="24"/>
                                <w:sz w:val="20"/>
                                <w:szCs w:val="20"/>
                                <w:lang w:val="en-US"/>
                              </w:rPr>
                            </w:pPr>
                          </w:p>
                          <w:p w14:paraId="4875F03E" w14:textId="77777777" w:rsidR="009C42F3" w:rsidRDefault="009C42F3" w:rsidP="00C46B95">
                            <w:pPr>
                              <w:jc w:val="center"/>
                              <w:rPr>
                                <w:rFonts w:hAnsi="Calibri"/>
                                <w:color w:val="000000" w:themeColor="dark1"/>
                                <w:kern w:val="24"/>
                                <w:sz w:val="20"/>
                                <w:szCs w:val="20"/>
                                <w:lang w:val="en-US"/>
                              </w:rPr>
                            </w:pPr>
                          </w:p>
                          <w:p w14:paraId="428F2239" w14:textId="77777777" w:rsidR="009C42F3" w:rsidRDefault="009C42F3" w:rsidP="00C46B95">
                            <w:pPr>
                              <w:jc w:val="center"/>
                              <w:rPr>
                                <w:rFonts w:hAnsi="Calibri"/>
                                <w:color w:val="000000" w:themeColor="dark1"/>
                                <w:kern w:val="24"/>
                                <w:sz w:val="20"/>
                                <w:szCs w:val="20"/>
                                <w:lang w:val="en-US"/>
                              </w:rPr>
                            </w:pPr>
                          </w:p>
                          <w:p w14:paraId="6CFB3E5B" w14:textId="77777777" w:rsidR="009C42F3" w:rsidRDefault="009C42F3" w:rsidP="00C46B95">
                            <w:pPr>
                              <w:jc w:val="center"/>
                              <w:rPr>
                                <w:rFonts w:hAnsi="Calibri"/>
                                <w:color w:val="000000" w:themeColor="dark1"/>
                                <w:kern w:val="24"/>
                                <w:sz w:val="20"/>
                                <w:szCs w:val="20"/>
                                <w:lang w:val="en-US"/>
                              </w:rPr>
                            </w:pPr>
                          </w:p>
                          <w:p w14:paraId="3393340B" w14:textId="77777777" w:rsidR="009C42F3" w:rsidRDefault="009C42F3" w:rsidP="00C46B95">
                            <w:pPr>
                              <w:jc w:val="center"/>
                              <w:rPr>
                                <w:rFonts w:hAnsi="Calibri"/>
                                <w:color w:val="000000" w:themeColor="dark1"/>
                                <w:kern w:val="24"/>
                                <w:sz w:val="20"/>
                                <w:szCs w:val="20"/>
                                <w:lang w:val="en-US"/>
                              </w:rPr>
                            </w:pPr>
                          </w:p>
                          <w:p w14:paraId="0B5D3BC9" w14:textId="77777777" w:rsidR="009C42F3" w:rsidRDefault="009C42F3" w:rsidP="00C46B95">
                            <w:pPr>
                              <w:jc w:val="center"/>
                              <w:rPr>
                                <w:rFonts w:hAnsi="Calibri"/>
                                <w:color w:val="000000" w:themeColor="dark1"/>
                                <w:kern w:val="24"/>
                                <w:sz w:val="20"/>
                                <w:szCs w:val="20"/>
                                <w:lang w:val="en-US"/>
                              </w:rPr>
                            </w:pPr>
                          </w:p>
                          <w:p w14:paraId="18E78A78" w14:textId="77777777" w:rsidR="009C42F3" w:rsidRDefault="009C42F3" w:rsidP="00C46B95">
                            <w:pPr>
                              <w:jc w:val="center"/>
                              <w:rPr>
                                <w:rFonts w:hAnsi="Calibri"/>
                                <w:color w:val="000000" w:themeColor="dark1"/>
                                <w:kern w:val="24"/>
                                <w:sz w:val="20"/>
                                <w:szCs w:val="20"/>
                                <w:lang w:val="en-US"/>
                              </w:rPr>
                            </w:pPr>
                          </w:p>
                          <w:p w14:paraId="79AE1C42" w14:textId="77777777" w:rsidR="009C42F3" w:rsidRDefault="009C42F3" w:rsidP="00C46B95">
                            <w:pPr>
                              <w:jc w:val="center"/>
                              <w:rPr>
                                <w:rFonts w:hAnsi="Calibri"/>
                                <w:color w:val="000000" w:themeColor="dark1"/>
                                <w:kern w:val="24"/>
                                <w:sz w:val="20"/>
                                <w:szCs w:val="20"/>
                                <w:lang w:val="en-US"/>
                              </w:rPr>
                            </w:pPr>
                          </w:p>
                          <w:p w14:paraId="4E3B21E0" w14:textId="77777777" w:rsidR="009C42F3" w:rsidRDefault="009C42F3" w:rsidP="00C46B95">
                            <w:pPr>
                              <w:jc w:val="center"/>
                              <w:rPr>
                                <w:rFonts w:hAnsi="Calibri"/>
                                <w:color w:val="000000" w:themeColor="dark1"/>
                                <w:kern w:val="24"/>
                                <w:sz w:val="20"/>
                                <w:szCs w:val="20"/>
                                <w:lang w:val="en-US"/>
                              </w:rPr>
                            </w:pPr>
                          </w:p>
                          <w:p w14:paraId="7D1526CA" w14:textId="77777777" w:rsidR="009C42F3" w:rsidRDefault="009C42F3" w:rsidP="00C46B95">
                            <w:pPr>
                              <w:jc w:val="center"/>
                              <w:rPr>
                                <w:rFonts w:hAnsi="Calibri"/>
                                <w:color w:val="000000" w:themeColor="dark1"/>
                                <w:kern w:val="24"/>
                                <w:sz w:val="20"/>
                                <w:szCs w:val="20"/>
                                <w:lang w:val="en-US"/>
                              </w:rPr>
                            </w:pPr>
                          </w:p>
                          <w:p w14:paraId="14771F96" w14:textId="77777777" w:rsidR="009C42F3" w:rsidRDefault="009C42F3" w:rsidP="00C46B95">
                            <w:pPr>
                              <w:jc w:val="center"/>
                              <w:rPr>
                                <w:rFonts w:hAnsi="Calibri"/>
                                <w:color w:val="000000" w:themeColor="dark1"/>
                                <w:kern w:val="24"/>
                                <w:sz w:val="20"/>
                                <w:szCs w:val="20"/>
                                <w:lang w:val="en-US"/>
                              </w:rPr>
                            </w:pPr>
                          </w:p>
                          <w:p w14:paraId="5328D63D" w14:textId="77777777" w:rsidR="009C42F3" w:rsidRDefault="009C42F3" w:rsidP="00C46B95">
                            <w:pPr>
                              <w:jc w:val="center"/>
                              <w:rPr>
                                <w:rFonts w:hAnsi="Calibri"/>
                                <w:color w:val="000000" w:themeColor="dark1"/>
                                <w:kern w:val="24"/>
                                <w:sz w:val="20"/>
                                <w:szCs w:val="20"/>
                                <w:lang w:val="en-US"/>
                              </w:rPr>
                            </w:pPr>
                          </w:p>
                          <w:p w14:paraId="54C2D005" w14:textId="77777777" w:rsidR="009C42F3" w:rsidRDefault="009C42F3" w:rsidP="00C46B95">
                            <w:pPr>
                              <w:jc w:val="center"/>
                              <w:rPr>
                                <w:rFonts w:hAnsi="Calibri"/>
                                <w:color w:val="000000" w:themeColor="dark1"/>
                                <w:kern w:val="24"/>
                                <w:sz w:val="20"/>
                                <w:szCs w:val="20"/>
                                <w:lang w:val="en-US"/>
                              </w:rPr>
                            </w:pPr>
                          </w:p>
                          <w:p w14:paraId="04B67F2E" w14:textId="77777777" w:rsidR="009C42F3" w:rsidRDefault="009C42F3" w:rsidP="00C46B95">
                            <w:pPr>
                              <w:jc w:val="center"/>
                              <w:rPr>
                                <w:rFonts w:hAnsi="Calibri"/>
                                <w:color w:val="000000" w:themeColor="dark1"/>
                                <w:kern w:val="24"/>
                                <w:sz w:val="20"/>
                                <w:szCs w:val="20"/>
                                <w:lang w:val="en-US"/>
                              </w:rPr>
                            </w:pPr>
                          </w:p>
                          <w:p w14:paraId="41A2147F" w14:textId="77777777" w:rsidR="009C42F3" w:rsidRDefault="009C42F3" w:rsidP="00C46B95">
                            <w:pPr>
                              <w:jc w:val="center"/>
                              <w:rPr>
                                <w:rFonts w:hAnsi="Calibri"/>
                                <w:color w:val="000000" w:themeColor="dark1"/>
                                <w:kern w:val="24"/>
                                <w:sz w:val="20"/>
                                <w:szCs w:val="20"/>
                                <w:lang w:val="en-US"/>
                              </w:rPr>
                            </w:pPr>
                          </w:p>
                          <w:p w14:paraId="4D9D4037" w14:textId="77777777" w:rsidR="009C42F3" w:rsidRDefault="009C42F3" w:rsidP="00C46B95">
                            <w:pPr>
                              <w:jc w:val="center"/>
                              <w:rPr>
                                <w:rFonts w:hAnsi="Calibri"/>
                                <w:color w:val="000000" w:themeColor="dark1"/>
                                <w:kern w:val="24"/>
                                <w:sz w:val="20"/>
                                <w:szCs w:val="20"/>
                                <w:lang w:val="en-US"/>
                              </w:rPr>
                            </w:pPr>
                          </w:p>
                          <w:p w14:paraId="5F4415F1" w14:textId="77777777" w:rsidR="009C42F3" w:rsidRDefault="009C42F3" w:rsidP="00C46B95">
                            <w:pPr>
                              <w:jc w:val="center"/>
                              <w:rPr>
                                <w:rFonts w:hAnsi="Calibri"/>
                                <w:color w:val="000000" w:themeColor="dark1"/>
                                <w:kern w:val="24"/>
                                <w:sz w:val="20"/>
                                <w:szCs w:val="20"/>
                                <w:lang w:val="en-US"/>
                              </w:rPr>
                            </w:pPr>
                          </w:p>
                          <w:p w14:paraId="0B1F42FB" w14:textId="77777777" w:rsidR="009C42F3" w:rsidRDefault="009C42F3" w:rsidP="00C46B95">
                            <w:pPr>
                              <w:jc w:val="center"/>
                              <w:rPr>
                                <w:rFonts w:hAnsi="Calibri"/>
                                <w:color w:val="000000" w:themeColor="dark1"/>
                                <w:kern w:val="24"/>
                                <w:sz w:val="20"/>
                                <w:szCs w:val="20"/>
                                <w:lang w:val="en-US"/>
                              </w:rPr>
                            </w:pPr>
                          </w:p>
                          <w:p w14:paraId="03FC0B44" w14:textId="77777777" w:rsidR="009C42F3" w:rsidRDefault="009C42F3" w:rsidP="00C46B95">
                            <w:pPr>
                              <w:jc w:val="center"/>
                              <w:rPr>
                                <w:rFonts w:hAnsi="Calibri"/>
                                <w:color w:val="000000" w:themeColor="dark1"/>
                                <w:kern w:val="24"/>
                                <w:sz w:val="20"/>
                                <w:szCs w:val="20"/>
                                <w:lang w:val="en-US"/>
                              </w:rPr>
                            </w:pPr>
                          </w:p>
                          <w:p w14:paraId="114A7B68" w14:textId="77777777" w:rsidR="009C42F3" w:rsidRDefault="009C42F3" w:rsidP="00C46B95">
                            <w:pPr>
                              <w:jc w:val="center"/>
                              <w:rPr>
                                <w:rFonts w:hAnsi="Calibri"/>
                                <w:color w:val="000000" w:themeColor="dark1"/>
                                <w:kern w:val="24"/>
                                <w:sz w:val="20"/>
                                <w:szCs w:val="20"/>
                                <w:lang w:val="en-US"/>
                              </w:rPr>
                            </w:pPr>
                          </w:p>
                          <w:p w14:paraId="7AAE7772" w14:textId="77777777" w:rsidR="009C42F3" w:rsidRDefault="009C42F3" w:rsidP="00C46B95">
                            <w:pPr>
                              <w:rPr>
                                <w:rFonts w:hAnsi="Calibri"/>
                                <w:color w:val="000000" w:themeColor="dark1"/>
                                <w:kern w:val="24"/>
                                <w:sz w:val="20"/>
                                <w:szCs w:val="20"/>
                                <w:lang w:val="en-US"/>
                              </w:rPr>
                            </w:pPr>
                            <w:r>
                              <w:rPr>
                                <w:rFonts w:hAnsi="Calibri"/>
                                <w:color w:val="000000" w:themeColor="dark1"/>
                                <w:kern w:val="24"/>
                                <w:sz w:val="20"/>
                                <w:szCs w:val="20"/>
                                <w:lang w:val="en-US"/>
                              </w:rPr>
                              <w:t xml:space="preserve">  </w:t>
                            </w:r>
                          </w:p>
                          <w:p w14:paraId="16A1C142" w14:textId="2BCD3672" w:rsidR="009C42F3" w:rsidRDefault="009C42F3" w:rsidP="00C46B95">
                            <w:pPr>
                              <w:rPr>
                                <w:rFonts w:hAnsi="Calibri"/>
                                <w:color w:val="000000" w:themeColor="dark1"/>
                                <w:kern w:val="24"/>
                                <w:sz w:val="20"/>
                                <w:szCs w:val="20"/>
                                <w:lang w:val="en-US"/>
                              </w:rPr>
                            </w:pPr>
                            <w:r>
                              <w:rPr>
                                <w:rFonts w:hAnsi="Calibri"/>
                                <w:color w:val="000000" w:themeColor="dark1"/>
                                <w:kern w:val="24"/>
                                <w:sz w:val="20"/>
                                <w:szCs w:val="20"/>
                                <w:lang w:val="en-US"/>
                              </w:rPr>
                              <w:t>Core Elements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E3ABDB1" id="Rectangle 2" o:spid="_x0000_s1037" style="position:absolute;margin-left:.1pt;margin-top:1.25pt;width:86.6pt;height:29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" fillcolor="#bcd190 [2166]" strokecolor="#94b64e [3046]">
                <v:fill color2="#adc878 [2614]" o:opacity2="32686f" rotate="t" angle="180" colors="0 #cadbaf;1 #c1d4a1;1 #b9d091" focus="100%" type="gradient"/>
                <v:shadow on="t" color="black" opacity="24903f" origin=",.5" offset="0,.55556mm"/>
                <v:textbox>
                  <w:txbxContent>
                    <w:p w14:paraId="439842E8" w14:textId="77777777" w:rsidR="009C42F3" w:rsidRDefault="009C42F3" w:rsidP="00C46B95">
                      <w:pPr>
                        <w:jc w:val="center"/>
                        <w:rPr>
                          <w:rFonts w:hAnsi="Calibri"/>
                          <w:color w:val="000000" w:themeColor="dark1"/>
                          <w:kern w:val="24"/>
                          <w:sz w:val="20"/>
                          <w:szCs w:val="20"/>
                          <w:lang w:val="en-US"/>
                        </w:rPr>
                      </w:pPr>
                    </w:p>
                    <w:p w14:paraId="456E1690" w14:textId="77777777" w:rsidR="009C42F3" w:rsidRDefault="009C42F3" w:rsidP="00C46B95">
                      <w:pPr>
                        <w:jc w:val="center"/>
                        <w:rPr>
                          <w:rFonts w:hAnsi="Calibri"/>
                          <w:color w:val="000000" w:themeColor="dark1"/>
                          <w:kern w:val="24"/>
                          <w:sz w:val="20"/>
                          <w:szCs w:val="20"/>
                          <w:lang w:val="en-US"/>
                        </w:rPr>
                      </w:pPr>
                    </w:p>
                    <w:p w14:paraId="4875F03E" w14:textId="77777777" w:rsidR="009C42F3" w:rsidRDefault="009C42F3" w:rsidP="00C46B95">
                      <w:pPr>
                        <w:jc w:val="center"/>
                        <w:rPr>
                          <w:rFonts w:hAnsi="Calibri"/>
                          <w:color w:val="000000" w:themeColor="dark1"/>
                          <w:kern w:val="24"/>
                          <w:sz w:val="20"/>
                          <w:szCs w:val="20"/>
                          <w:lang w:val="en-US"/>
                        </w:rPr>
                      </w:pPr>
                    </w:p>
                    <w:p w14:paraId="428F2239" w14:textId="77777777" w:rsidR="009C42F3" w:rsidRDefault="009C42F3" w:rsidP="00C46B95">
                      <w:pPr>
                        <w:jc w:val="center"/>
                        <w:rPr>
                          <w:rFonts w:hAnsi="Calibri"/>
                          <w:color w:val="000000" w:themeColor="dark1"/>
                          <w:kern w:val="24"/>
                          <w:sz w:val="20"/>
                          <w:szCs w:val="20"/>
                          <w:lang w:val="en-US"/>
                        </w:rPr>
                      </w:pPr>
                    </w:p>
                    <w:p w14:paraId="6CFB3E5B" w14:textId="77777777" w:rsidR="009C42F3" w:rsidRDefault="009C42F3" w:rsidP="00C46B95">
                      <w:pPr>
                        <w:jc w:val="center"/>
                        <w:rPr>
                          <w:rFonts w:hAnsi="Calibri"/>
                          <w:color w:val="000000" w:themeColor="dark1"/>
                          <w:kern w:val="24"/>
                          <w:sz w:val="20"/>
                          <w:szCs w:val="20"/>
                          <w:lang w:val="en-US"/>
                        </w:rPr>
                      </w:pPr>
                    </w:p>
                    <w:p w14:paraId="3393340B" w14:textId="77777777" w:rsidR="009C42F3" w:rsidRDefault="009C42F3" w:rsidP="00C46B95">
                      <w:pPr>
                        <w:jc w:val="center"/>
                        <w:rPr>
                          <w:rFonts w:hAnsi="Calibri"/>
                          <w:color w:val="000000" w:themeColor="dark1"/>
                          <w:kern w:val="24"/>
                          <w:sz w:val="20"/>
                          <w:szCs w:val="20"/>
                          <w:lang w:val="en-US"/>
                        </w:rPr>
                      </w:pPr>
                    </w:p>
                    <w:p w14:paraId="0B5D3BC9" w14:textId="77777777" w:rsidR="009C42F3" w:rsidRDefault="009C42F3" w:rsidP="00C46B95">
                      <w:pPr>
                        <w:jc w:val="center"/>
                        <w:rPr>
                          <w:rFonts w:hAnsi="Calibri"/>
                          <w:color w:val="000000" w:themeColor="dark1"/>
                          <w:kern w:val="24"/>
                          <w:sz w:val="20"/>
                          <w:szCs w:val="20"/>
                          <w:lang w:val="en-US"/>
                        </w:rPr>
                      </w:pPr>
                    </w:p>
                    <w:p w14:paraId="18E78A78" w14:textId="77777777" w:rsidR="009C42F3" w:rsidRDefault="009C42F3" w:rsidP="00C46B95">
                      <w:pPr>
                        <w:jc w:val="center"/>
                        <w:rPr>
                          <w:rFonts w:hAnsi="Calibri"/>
                          <w:color w:val="000000" w:themeColor="dark1"/>
                          <w:kern w:val="24"/>
                          <w:sz w:val="20"/>
                          <w:szCs w:val="20"/>
                          <w:lang w:val="en-US"/>
                        </w:rPr>
                      </w:pPr>
                    </w:p>
                    <w:p w14:paraId="79AE1C42" w14:textId="77777777" w:rsidR="009C42F3" w:rsidRDefault="009C42F3" w:rsidP="00C46B95">
                      <w:pPr>
                        <w:jc w:val="center"/>
                        <w:rPr>
                          <w:rFonts w:hAnsi="Calibri"/>
                          <w:color w:val="000000" w:themeColor="dark1"/>
                          <w:kern w:val="24"/>
                          <w:sz w:val="20"/>
                          <w:szCs w:val="20"/>
                          <w:lang w:val="en-US"/>
                        </w:rPr>
                      </w:pPr>
                    </w:p>
                    <w:p w14:paraId="4E3B21E0" w14:textId="77777777" w:rsidR="009C42F3" w:rsidRDefault="009C42F3" w:rsidP="00C46B95">
                      <w:pPr>
                        <w:jc w:val="center"/>
                        <w:rPr>
                          <w:rFonts w:hAnsi="Calibri"/>
                          <w:color w:val="000000" w:themeColor="dark1"/>
                          <w:kern w:val="24"/>
                          <w:sz w:val="20"/>
                          <w:szCs w:val="20"/>
                          <w:lang w:val="en-US"/>
                        </w:rPr>
                      </w:pPr>
                    </w:p>
                    <w:p w14:paraId="7D1526CA" w14:textId="77777777" w:rsidR="009C42F3" w:rsidRDefault="009C42F3" w:rsidP="00C46B95">
                      <w:pPr>
                        <w:jc w:val="center"/>
                        <w:rPr>
                          <w:rFonts w:hAnsi="Calibri"/>
                          <w:color w:val="000000" w:themeColor="dark1"/>
                          <w:kern w:val="24"/>
                          <w:sz w:val="20"/>
                          <w:szCs w:val="20"/>
                          <w:lang w:val="en-US"/>
                        </w:rPr>
                      </w:pPr>
                    </w:p>
                    <w:p w14:paraId="14771F96" w14:textId="77777777" w:rsidR="009C42F3" w:rsidRDefault="009C42F3" w:rsidP="00C46B95">
                      <w:pPr>
                        <w:jc w:val="center"/>
                        <w:rPr>
                          <w:rFonts w:hAnsi="Calibri"/>
                          <w:color w:val="000000" w:themeColor="dark1"/>
                          <w:kern w:val="24"/>
                          <w:sz w:val="20"/>
                          <w:szCs w:val="20"/>
                          <w:lang w:val="en-US"/>
                        </w:rPr>
                      </w:pPr>
                    </w:p>
                    <w:p w14:paraId="5328D63D" w14:textId="77777777" w:rsidR="009C42F3" w:rsidRDefault="009C42F3" w:rsidP="00C46B95">
                      <w:pPr>
                        <w:jc w:val="center"/>
                        <w:rPr>
                          <w:rFonts w:hAnsi="Calibri"/>
                          <w:color w:val="000000" w:themeColor="dark1"/>
                          <w:kern w:val="24"/>
                          <w:sz w:val="20"/>
                          <w:szCs w:val="20"/>
                          <w:lang w:val="en-US"/>
                        </w:rPr>
                      </w:pPr>
                    </w:p>
                    <w:p w14:paraId="54C2D005" w14:textId="77777777" w:rsidR="009C42F3" w:rsidRDefault="009C42F3" w:rsidP="00C46B95">
                      <w:pPr>
                        <w:jc w:val="center"/>
                        <w:rPr>
                          <w:rFonts w:hAnsi="Calibri"/>
                          <w:color w:val="000000" w:themeColor="dark1"/>
                          <w:kern w:val="24"/>
                          <w:sz w:val="20"/>
                          <w:szCs w:val="20"/>
                          <w:lang w:val="en-US"/>
                        </w:rPr>
                      </w:pPr>
                    </w:p>
                    <w:p w14:paraId="04B67F2E" w14:textId="77777777" w:rsidR="009C42F3" w:rsidRDefault="009C42F3" w:rsidP="00C46B95">
                      <w:pPr>
                        <w:jc w:val="center"/>
                        <w:rPr>
                          <w:rFonts w:hAnsi="Calibri"/>
                          <w:color w:val="000000" w:themeColor="dark1"/>
                          <w:kern w:val="24"/>
                          <w:sz w:val="20"/>
                          <w:szCs w:val="20"/>
                          <w:lang w:val="en-US"/>
                        </w:rPr>
                      </w:pPr>
                    </w:p>
                    <w:p w14:paraId="41A2147F" w14:textId="77777777" w:rsidR="009C42F3" w:rsidRDefault="009C42F3" w:rsidP="00C46B95">
                      <w:pPr>
                        <w:jc w:val="center"/>
                        <w:rPr>
                          <w:rFonts w:hAnsi="Calibri"/>
                          <w:color w:val="000000" w:themeColor="dark1"/>
                          <w:kern w:val="24"/>
                          <w:sz w:val="20"/>
                          <w:szCs w:val="20"/>
                          <w:lang w:val="en-US"/>
                        </w:rPr>
                      </w:pPr>
                    </w:p>
                    <w:p w14:paraId="4D9D4037" w14:textId="77777777" w:rsidR="009C42F3" w:rsidRDefault="009C42F3" w:rsidP="00C46B95">
                      <w:pPr>
                        <w:jc w:val="center"/>
                        <w:rPr>
                          <w:rFonts w:hAnsi="Calibri"/>
                          <w:color w:val="000000" w:themeColor="dark1"/>
                          <w:kern w:val="24"/>
                          <w:sz w:val="20"/>
                          <w:szCs w:val="20"/>
                          <w:lang w:val="en-US"/>
                        </w:rPr>
                      </w:pPr>
                    </w:p>
                    <w:p w14:paraId="5F4415F1" w14:textId="77777777" w:rsidR="009C42F3" w:rsidRDefault="009C42F3" w:rsidP="00C46B95">
                      <w:pPr>
                        <w:jc w:val="center"/>
                        <w:rPr>
                          <w:rFonts w:hAnsi="Calibri"/>
                          <w:color w:val="000000" w:themeColor="dark1"/>
                          <w:kern w:val="24"/>
                          <w:sz w:val="20"/>
                          <w:szCs w:val="20"/>
                          <w:lang w:val="en-US"/>
                        </w:rPr>
                      </w:pPr>
                    </w:p>
                    <w:p w14:paraId="0B1F42FB" w14:textId="77777777" w:rsidR="009C42F3" w:rsidRDefault="009C42F3" w:rsidP="00C46B95">
                      <w:pPr>
                        <w:jc w:val="center"/>
                        <w:rPr>
                          <w:rFonts w:hAnsi="Calibri"/>
                          <w:color w:val="000000" w:themeColor="dark1"/>
                          <w:kern w:val="24"/>
                          <w:sz w:val="20"/>
                          <w:szCs w:val="20"/>
                          <w:lang w:val="en-US"/>
                        </w:rPr>
                      </w:pPr>
                    </w:p>
                    <w:p w14:paraId="03FC0B44" w14:textId="77777777" w:rsidR="009C42F3" w:rsidRDefault="009C42F3" w:rsidP="00C46B95">
                      <w:pPr>
                        <w:jc w:val="center"/>
                        <w:rPr>
                          <w:rFonts w:hAnsi="Calibri"/>
                          <w:color w:val="000000" w:themeColor="dark1"/>
                          <w:kern w:val="24"/>
                          <w:sz w:val="20"/>
                          <w:szCs w:val="20"/>
                          <w:lang w:val="en-US"/>
                        </w:rPr>
                      </w:pPr>
                    </w:p>
                    <w:p w14:paraId="114A7B68" w14:textId="77777777" w:rsidR="009C42F3" w:rsidRDefault="009C42F3" w:rsidP="00C46B95">
                      <w:pPr>
                        <w:jc w:val="center"/>
                        <w:rPr>
                          <w:rFonts w:hAnsi="Calibri"/>
                          <w:color w:val="000000" w:themeColor="dark1"/>
                          <w:kern w:val="24"/>
                          <w:sz w:val="20"/>
                          <w:szCs w:val="20"/>
                          <w:lang w:val="en-US"/>
                        </w:rPr>
                      </w:pPr>
                    </w:p>
                    <w:p w14:paraId="7AAE7772" w14:textId="77777777" w:rsidR="009C42F3" w:rsidRDefault="009C42F3" w:rsidP="00C46B95">
                      <w:pPr>
                        <w:rPr>
                          <w:rFonts w:hAnsi="Calibri"/>
                          <w:color w:val="000000" w:themeColor="dark1"/>
                          <w:kern w:val="24"/>
                          <w:sz w:val="20"/>
                          <w:szCs w:val="20"/>
                          <w:lang w:val="en-US"/>
                        </w:rPr>
                      </w:pPr>
                      <w:r>
                        <w:rPr>
                          <w:rFonts w:hAnsi="Calibri"/>
                          <w:color w:val="000000" w:themeColor="dark1"/>
                          <w:kern w:val="24"/>
                          <w:sz w:val="20"/>
                          <w:szCs w:val="20"/>
                          <w:lang w:val="en-US"/>
                        </w:rPr>
                        <w:t xml:space="preserve">  </w:t>
                      </w:r>
                    </w:p>
                    <w:p w14:paraId="16A1C142" w14:textId="2BCD3672" w:rsidR="009C42F3" w:rsidRDefault="009C42F3" w:rsidP="00C46B95">
                      <w:pPr>
                        <w:rPr>
                          <w:rFonts w:hAnsi="Calibri"/>
                          <w:color w:val="000000" w:themeColor="dark1"/>
                          <w:kern w:val="24"/>
                          <w:sz w:val="20"/>
                          <w:szCs w:val="20"/>
                          <w:lang w:val="en-US"/>
                        </w:rPr>
                      </w:pPr>
                      <w:r>
                        <w:rPr>
                          <w:rFonts w:hAnsi="Calibri"/>
                          <w:color w:val="000000" w:themeColor="dark1"/>
                          <w:kern w:val="24"/>
                          <w:sz w:val="20"/>
                          <w:szCs w:val="20"/>
                          <w:lang w:val="en-US"/>
                        </w:rPr>
                        <w:t>Core Elements</w:t>
                      </w:r>
                    </w:p>
                  </w:txbxContent>
                </v:textbox>
              </v:rect>
            </w:pict>
          </mc:Fallback>
        </mc:AlternateContent>
      </w:r>
    </w:p>
    <w:p w14:paraId="1CC2ACBC" w14:textId="0B9416DA" w:rsidR="00C46B95" w:rsidRPr="00C46B95" w:rsidRDefault="00C46B95" w:rsidP="00C46B95">
      <w:pPr>
        <w:rPr>
          <w:rFonts w:cstheme="minorHAnsi"/>
          <w:lang w:val="en-MY" w:eastAsia="en-AU"/>
        </w:rPr>
      </w:pPr>
    </w:p>
    <w:p w14:paraId="3067B943" w14:textId="14377700" w:rsidR="00C46B95" w:rsidRPr="00C46B95" w:rsidRDefault="003F4124" w:rsidP="00C46B95">
      <w:pPr>
        <w:rPr>
          <w:rFonts w:cstheme="minorHAnsi"/>
          <w:lang w:val="en-MY" w:eastAsia="en-AU"/>
        </w:rPr>
      </w:pPr>
      <w:r w:rsidRPr="00C46B95">
        <w:rPr>
          <w:rFonts w:cstheme="minorHAnsi"/>
          <w:noProof/>
          <w:lang w:eastAsia="en-AU"/>
        </w:rPr>
        <mc:AlternateContent>
          <mc:Choice Requires="wps">
            <w:drawing>
              <wp:anchor distT="0" distB="0" distL="114300" distR="114300" simplePos="0" relativeHeight="251658250" behindDoc="0" locked="0" layoutInCell="1" allowOverlap="1" wp14:anchorId="35447C38" wp14:editId="537EBA4F">
                <wp:simplePos x="0" y="0"/>
                <wp:positionH relativeFrom="column">
                  <wp:posOffset>1210310</wp:posOffset>
                </wp:positionH>
                <wp:positionV relativeFrom="paragraph">
                  <wp:posOffset>49530</wp:posOffset>
                </wp:positionV>
                <wp:extent cx="652780" cy="583565"/>
                <wp:effectExtent l="12700" t="12700" r="7620" b="13335"/>
                <wp:wrapNone/>
                <wp:docPr id="15" name="Rounded Rectangle 14">
                  <a:extLst xmlns:a="http://schemas.openxmlformats.org/drawingml/2006/main">
                    <a:ext uri="{FF2B5EF4-FFF2-40B4-BE49-F238E27FC236}">
                      <a16:creationId xmlns:a16="http://schemas.microsoft.com/office/drawing/2014/main" id="{D64EB447-4F01-47AC-7980-DA2DE3534A1E}"/>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339F4" w14:textId="7841BE3B"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Initial </w:t>
                            </w:r>
                            <w:r>
                              <w:rPr>
                                <w:rFonts w:hAnsi="Calibri"/>
                                <w:color w:val="FFFFFF" w:themeColor="light1"/>
                                <w:kern w:val="24"/>
                                <w:sz w:val="13"/>
                                <w:szCs w:val="13"/>
                                <w:lang w:val="en-US"/>
                              </w:rPr>
                              <w:t>Engagem’t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447C38" id="Rounded Rectangle 14" o:spid="_x0000_s1038" style="position:absolute;margin-left:95.3pt;margin-top:3.9pt;width:51.4pt;height:45.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" fillcolor="#e36c0a [2409]" strokecolor="#f79646 [3209]" strokeweight="2pt">
                <v:textbox>
                  <w:txbxContent>
                    <w:p w14:paraId="47D339F4" w14:textId="7841BE3B"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Initial </w:t>
                      </w:r>
                      <w:proofErr w:type="spellStart"/>
                      <w:r>
                        <w:rPr>
                          <w:rFonts w:hAnsi="Calibri"/>
                          <w:color w:val="FFFFFF" w:themeColor="light1"/>
                          <w:kern w:val="24"/>
                          <w:sz w:val="13"/>
                          <w:szCs w:val="13"/>
                          <w:lang w:val="en-US"/>
                        </w:rPr>
                        <w:t>Engagem’t</w:t>
                      </w:r>
                      <w:proofErr w:type="spellEnd"/>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1" behindDoc="0" locked="0" layoutInCell="1" allowOverlap="1" wp14:anchorId="7F4AFF00" wp14:editId="3FBE3AD2">
                <wp:simplePos x="0" y="0"/>
                <wp:positionH relativeFrom="column">
                  <wp:posOffset>1915795</wp:posOffset>
                </wp:positionH>
                <wp:positionV relativeFrom="paragraph">
                  <wp:posOffset>49530</wp:posOffset>
                </wp:positionV>
                <wp:extent cx="652780" cy="583565"/>
                <wp:effectExtent l="12700" t="12700" r="7620" b="13335"/>
                <wp:wrapNone/>
                <wp:docPr id="16" name="Rounded Rectangle 15">
                  <a:extLst xmlns:a="http://schemas.openxmlformats.org/drawingml/2006/main">
                    <a:ext uri="{FF2B5EF4-FFF2-40B4-BE49-F238E27FC236}">
                      <a16:creationId xmlns:a16="http://schemas.microsoft.com/office/drawing/2014/main" id="{220BF209-F752-6CA0-1415-3DADE9ED4133}"/>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328C6" w14:textId="3D9F1317" w:rsidR="009C42F3" w:rsidRDefault="009C42F3" w:rsidP="00C46B95">
                            <w:pPr>
                              <w:jc w:val="center"/>
                              <w:rPr>
                                <w:rFonts w:hAnsi="Calibri"/>
                                <w:color w:val="FFFFFF" w:themeColor="light1"/>
                                <w:kern w:val="24"/>
                                <w:sz w:val="13"/>
                                <w:szCs w:val="13"/>
                                <w:lang w:val="en-US"/>
                              </w:rPr>
                            </w:pPr>
                            <w:r>
                              <w:rPr>
                                <w:rFonts w:hAnsi="Calibri"/>
                                <w:color w:val="FFFFFF" w:themeColor="light1"/>
                                <w:kern w:val="24"/>
                                <w:sz w:val="13"/>
                                <w:szCs w:val="13"/>
                                <w:lang w:val="en-US"/>
                              </w:rPr>
                              <w:t>Assessm’t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F4AFF00" id="Rounded Rectangle 15" o:spid="_x0000_s1039" style="position:absolute;margin-left:150.85pt;margin-top:3.9pt;width:51.4pt;height:45.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" fillcolor="#e36c0a [2409]" strokecolor="#f79646 [3209]" strokeweight="2pt">
                <v:textbox>
                  <w:txbxContent>
                    <w:p w14:paraId="0D6328C6" w14:textId="3D9F1317" w:rsidR="009C42F3" w:rsidRDefault="009C42F3" w:rsidP="00C46B95">
                      <w:pPr>
                        <w:jc w:val="center"/>
                        <w:rPr>
                          <w:rFonts w:hAnsi="Calibri"/>
                          <w:color w:val="FFFFFF" w:themeColor="light1"/>
                          <w:kern w:val="24"/>
                          <w:sz w:val="13"/>
                          <w:szCs w:val="13"/>
                          <w:lang w:val="en-US"/>
                        </w:rPr>
                      </w:pPr>
                      <w:proofErr w:type="spellStart"/>
                      <w:r>
                        <w:rPr>
                          <w:rFonts w:hAnsi="Calibri"/>
                          <w:color w:val="FFFFFF" w:themeColor="light1"/>
                          <w:kern w:val="24"/>
                          <w:sz w:val="13"/>
                          <w:szCs w:val="13"/>
                          <w:lang w:val="en-US"/>
                        </w:rPr>
                        <w:t>Assessm’t</w:t>
                      </w:r>
                      <w:proofErr w:type="spellEnd"/>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2" behindDoc="0" locked="0" layoutInCell="1" allowOverlap="1" wp14:anchorId="6F1DC62F" wp14:editId="7FE3671F">
                <wp:simplePos x="0" y="0"/>
                <wp:positionH relativeFrom="column">
                  <wp:posOffset>2631440</wp:posOffset>
                </wp:positionH>
                <wp:positionV relativeFrom="paragraph">
                  <wp:posOffset>49530</wp:posOffset>
                </wp:positionV>
                <wp:extent cx="652780" cy="583565"/>
                <wp:effectExtent l="12700" t="12700" r="7620" b="13335"/>
                <wp:wrapNone/>
                <wp:docPr id="17" name="Rounded Rectangle 16">
                  <a:extLst xmlns:a="http://schemas.openxmlformats.org/drawingml/2006/main">
                    <a:ext uri="{FF2B5EF4-FFF2-40B4-BE49-F238E27FC236}">
                      <a16:creationId xmlns:a16="http://schemas.microsoft.com/office/drawing/2014/main" id="{6C212698-1DA1-9998-550D-988845B0761F}"/>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FF352"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Goal Setting</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F1DC62F" id="Rounded Rectangle 16" o:spid="_x0000_s1040" style="position:absolute;margin-left:207.2pt;margin-top:3.9pt;width:51.4pt;height:45.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" fillcolor="#e36c0a [2409]" strokecolor="#f79646 [3209]" strokeweight="2pt">
                <v:textbox>
                  <w:txbxContent>
                    <w:p w14:paraId="301FF352"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Goal Setting</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3" behindDoc="0" locked="0" layoutInCell="1" allowOverlap="1" wp14:anchorId="5E8FEA8A" wp14:editId="220F95F7">
                <wp:simplePos x="0" y="0"/>
                <wp:positionH relativeFrom="column">
                  <wp:posOffset>3317240</wp:posOffset>
                </wp:positionH>
                <wp:positionV relativeFrom="paragraph">
                  <wp:posOffset>59055</wp:posOffset>
                </wp:positionV>
                <wp:extent cx="652780" cy="583565"/>
                <wp:effectExtent l="12700" t="12700" r="7620" b="13335"/>
                <wp:wrapNone/>
                <wp:docPr id="18" name="Rounded Rectangle 17">
                  <a:extLst xmlns:a="http://schemas.openxmlformats.org/drawingml/2006/main">
                    <a:ext uri="{FF2B5EF4-FFF2-40B4-BE49-F238E27FC236}">
                      <a16:creationId xmlns:a16="http://schemas.microsoft.com/office/drawing/2014/main" id="{43C1667C-2B7F-0B7E-2F84-51A48C7CD9B3}"/>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65DE4"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Intensive Case Work &amp; Support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E8FEA8A" id="Rounded Rectangle 17" o:spid="_x0000_s1041" style="position:absolute;margin-left:261.2pt;margin-top:4.65pt;width:51.4pt;height:45.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" fillcolor="#e36c0a [2409]" strokecolor="#f79646 [3209]" strokeweight="2pt">
                <v:textbox>
                  <w:txbxContent>
                    <w:p w14:paraId="54C65DE4"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Intensive Case Work &amp; Support</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4" behindDoc="0" locked="0" layoutInCell="1" allowOverlap="1" wp14:anchorId="0624FBE2" wp14:editId="2EDCF79E">
                <wp:simplePos x="0" y="0"/>
                <wp:positionH relativeFrom="column">
                  <wp:posOffset>4013200</wp:posOffset>
                </wp:positionH>
                <wp:positionV relativeFrom="paragraph">
                  <wp:posOffset>59055</wp:posOffset>
                </wp:positionV>
                <wp:extent cx="652780" cy="583565"/>
                <wp:effectExtent l="12700" t="12700" r="7620" b="13335"/>
                <wp:wrapNone/>
                <wp:docPr id="19" name="Rounded Rectangle 18">
                  <a:extLst xmlns:a="http://schemas.openxmlformats.org/drawingml/2006/main">
                    <a:ext uri="{FF2B5EF4-FFF2-40B4-BE49-F238E27FC236}">
                      <a16:creationId xmlns:a16="http://schemas.microsoft.com/office/drawing/2014/main" id="{DFACBA2B-B5E4-196D-9E1D-ACE1344C146B}"/>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CCA25" w14:textId="77777777" w:rsidR="009C42F3" w:rsidRPr="001808B5" w:rsidRDefault="009C42F3" w:rsidP="00C46B95">
                            <w:pPr>
                              <w:jc w:val="center"/>
                              <w:rPr>
                                <w:rFonts w:hAnsi="Calibri"/>
                                <w:color w:val="FFFFFF" w:themeColor="light1"/>
                                <w:kern w:val="24"/>
                                <w:sz w:val="12"/>
                                <w:szCs w:val="12"/>
                                <w:lang w:val="en-US"/>
                              </w:rPr>
                            </w:pPr>
                            <w:r w:rsidRPr="001808B5">
                              <w:rPr>
                                <w:rFonts w:hAnsi="Calibri"/>
                                <w:color w:val="FFFFFF" w:themeColor="light1"/>
                                <w:kern w:val="24"/>
                                <w:sz w:val="12"/>
                                <w:szCs w:val="12"/>
                                <w:lang w:val="en-US"/>
                              </w:rPr>
                              <w:t>Coordinate Release Logistics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624FBE2" id="Rounded Rectangle 18" o:spid="_x0000_s1042" style="position:absolute;margin-left:316pt;margin-top:4.65pt;width:51.4pt;height:45.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" fillcolor="#e36c0a [2409]" strokecolor="#f79646 [3209]" strokeweight="2pt">
                <v:textbox>
                  <w:txbxContent>
                    <w:p w14:paraId="590CCA25" w14:textId="77777777" w:rsidR="009C42F3" w:rsidRPr="001808B5" w:rsidRDefault="009C42F3" w:rsidP="00C46B95">
                      <w:pPr>
                        <w:jc w:val="center"/>
                        <w:rPr>
                          <w:rFonts w:hAnsi="Calibri"/>
                          <w:color w:val="FFFFFF" w:themeColor="light1"/>
                          <w:kern w:val="24"/>
                          <w:sz w:val="12"/>
                          <w:szCs w:val="12"/>
                          <w:lang w:val="en-US"/>
                        </w:rPr>
                      </w:pPr>
                      <w:r w:rsidRPr="001808B5">
                        <w:rPr>
                          <w:rFonts w:hAnsi="Calibri"/>
                          <w:color w:val="FFFFFF" w:themeColor="light1"/>
                          <w:kern w:val="24"/>
                          <w:sz w:val="12"/>
                          <w:szCs w:val="12"/>
                          <w:lang w:val="en-US"/>
                        </w:rPr>
                        <w:t>Coordinate Release Logistics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5" behindDoc="0" locked="0" layoutInCell="1" allowOverlap="1" wp14:anchorId="47DDB71B" wp14:editId="12F7805C">
                <wp:simplePos x="0" y="0"/>
                <wp:positionH relativeFrom="column">
                  <wp:posOffset>4728845</wp:posOffset>
                </wp:positionH>
                <wp:positionV relativeFrom="paragraph">
                  <wp:posOffset>69215</wp:posOffset>
                </wp:positionV>
                <wp:extent cx="652780" cy="583565"/>
                <wp:effectExtent l="12700" t="12700" r="7620" b="13335"/>
                <wp:wrapNone/>
                <wp:docPr id="20" name="Rounded Rectangle 19">
                  <a:extLst xmlns:a="http://schemas.openxmlformats.org/drawingml/2006/main">
                    <a:ext uri="{FF2B5EF4-FFF2-40B4-BE49-F238E27FC236}">
                      <a16:creationId xmlns:a16="http://schemas.microsoft.com/office/drawing/2014/main" id="{D322DDE2-ECC2-2290-9D29-8C66837EE175}"/>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3D0D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Review Goals &amp; Plan</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7DDB71B" id="Rounded Rectangle 19" o:spid="_x0000_s1043" style="position:absolute;margin-left:372.35pt;margin-top:5.45pt;width:51.4pt;height:45.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" fillcolor="#e36c0a [2409]" strokecolor="#f79646 [3209]" strokeweight="2pt">
                <v:textbox>
                  <w:txbxContent>
                    <w:p w14:paraId="5AB3D0D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Review Goals &amp; Plan</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6" behindDoc="0" locked="0" layoutInCell="1" allowOverlap="1" wp14:anchorId="166E4963" wp14:editId="3C03FB66">
                <wp:simplePos x="0" y="0"/>
                <wp:positionH relativeFrom="column">
                  <wp:posOffset>5444490</wp:posOffset>
                </wp:positionH>
                <wp:positionV relativeFrom="paragraph">
                  <wp:posOffset>69215</wp:posOffset>
                </wp:positionV>
                <wp:extent cx="652780" cy="583565"/>
                <wp:effectExtent l="12700" t="12700" r="7620" b="13335"/>
                <wp:wrapNone/>
                <wp:docPr id="21" name="Rounded Rectangle 20">
                  <a:extLst xmlns:a="http://schemas.openxmlformats.org/drawingml/2006/main">
                    <a:ext uri="{FF2B5EF4-FFF2-40B4-BE49-F238E27FC236}">
                      <a16:creationId xmlns:a16="http://schemas.microsoft.com/office/drawing/2014/main" id="{711CB929-AA1B-71A4-74ED-6C57DACA1851}"/>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0D64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Manage Release Logistics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66E4963" id="Rounded Rectangle 20" o:spid="_x0000_s1044" style="position:absolute;margin-left:428.7pt;margin-top:5.45pt;width:51.4pt;height:45.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" fillcolor="#e36c0a [2409]" strokecolor="#f79646 [3209]" strokeweight="2pt">
                <v:textbox>
                  <w:txbxContent>
                    <w:p w14:paraId="3F60D64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Manage Release Logistics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7" behindDoc="0" locked="0" layoutInCell="1" allowOverlap="1" wp14:anchorId="0C6C1A25" wp14:editId="7FD057CF">
                <wp:simplePos x="0" y="0"/>
                <wp:positionH relativeFrom="column">
                  <wp:posOffset>6149975</wp:posOffset>
                </wp:positionH>
                <wp:positionV relativeFrom="paragraph">
                  <wp:posOffset>79375</wp:posOffset>
                </wp:positionV>
                <wp:extent cx="652780" cy="583565"/>
                <wp:effectExtent l="12700" t="12700" r="7620" b="13335"/>
                <wp:wrapNone/>
                <wp:docPr id="22" name="Rounded Rectangle 21">
                  <a:extLst xmlns:a="http://schemas.openxmlformats.org/drawingml/2006/main">
                    <a:ext uri="{FF2B5EF4-FFF2-40B4-BE49-F238E27FC236}">
                      <a16:creationId xmlns:a16="http://schemas.microsoft.com/office/drawing/2014/main" id="{5AE5BFAF-F766-A9B7-C51F-628D2BB30FBE}"/>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91E6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Intensive Case Work &amp; Support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C6C1A25" id="Rounded Rectangle 21" o:spid="_x0000_s1045" style="position:absolute;margin-left:484.25pt;margin-top:6.25pt;width:51.4pt;height:45.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" fillcolor="#e36c0a [2409]" strokecolor="#f79646 [3209]" strokeweight="2pt">
                <v:textbox>
                  <w:txbxContent>
                    <w:p w14:paraId="01091E6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Intensive Case Work &amp; Support</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8" behindDoc="0" locked="0" layoutInCell="1" allowOverlap="1" wp14:anchorId="1D84089F" wp14:editId="76C5A5A5">
                <wp:simplePos x="0" y="0"/>
                <wp:positionH relativeFrom="column">
                  <wp:posOffset>6855460</wp:posOffset>
                </wp:positionH>
                <wp:positionV relativeFrom="paragraph">
                  <wp:posOffset>69215</wp:posOffset>
                </wp:positionV>
                <wp:extent cx="652780" cy="583565"/>
                <wp:effectExtent l="12700" t="12700" r="7620" b="13335"/>
                <wp:wrapNone/>
                <wp:docPr id="23" name="Rounded Rectangle 22">
                  <a:extLst xmlns:a="http://schemas.openxmlformats.org/drawingml/2006/main">
                    <a:ext uri="{FF2B5EF4-FFF2-40B4-BE49-F238E27FC236}">
                      <a16:creationId xmlns:a16="http://schemas.microsoft.com/office/drawing/2014/main" id="{5AA26C8D-1E01-FB12-E1F4-9C09182EBEEB}"/>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079F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Advocate for Rights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D84089F" id="Rounded Rectangle 22" o:spid="_x0000_s1046" style="position:absolute;margin-left:539.8pt;margin-top:5.45pt;width:51.4pt;height:45.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" fillcolor="#e36c0a [2409]" strokecolor="#f79646 [3209]" strokeweight="2pt">
                <v:textbox>
                  <w:txbxContent>
                    <w:p w14:paraId="55E079F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Advocate for Rights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59" behindDoc="0" locked="0" layoutInCell="1" allowOverlap="1" wp14:anchorId="03F411F2" wp14:editId="1770981D">
                <wp:simplePos x="0" y="0"/>
                <wp:positionH relativeFrom="column">
                  <wp:posOffset>7551420</wp:posOffset>
                </wp:positionH>
                <wp:positionV relativeFrom="paragraph">
                  <wp:posOffset>69215</wp:posOffset>
                </wp:positionV>
                <wp:extent cx="652780" cy="583565"/>
                <wp:effectExtent l="12700" t="12700" r="7620" b="13335"/>
                <wp:wrapNone/>
                <wp:docPr id="24" name="Rounded Rectangle 23">
                  <a:extLst xmlns:a="http://schemas.openxmlformats.org/drawingml/2006/main">
                    <a:ext uri="{FF2B5EF4-FFF2-40B4-BE49-F238E27FC236}">
                      <a16:creationId xmlns:a16="http://schemas.microsoft.com/office/drawing/2014/main" id="{04DC05BA-D32F-D6E0-3E13-B9DE62DE8E01}"/>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3A7B7"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Review Goals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3F411F2" id="Rounded Rectangle 23" o:spid="_x0000_s1047" style="position:absolute;margin-left:594.6pt;margin-top:5.45pt;width:51.4pt;height:45.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" fillcolor="#e36c0a [2409]" strokecolor="#f79646 [3209]" strokeweight="2pt">
                <v:textbox>
                  <w:txbxContent>
                    <w:p w14:paraId="1FB3A7B7"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Review Goals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0" behindDoc="0" locked="0" layoutInCell="1" allowOverlap="1" wp14:anchorId="3A9B638D" wp14:editId="55885D09">
                <wp:simplePos x="0" y="0"/>
                <wp:positionH relativeFrom="column">
                  <wp:posOffset>8257319</wp:posOffset>
                </wp:positionH>
                <wp:positionV relativeFrom="paragraph">
                  <wp:posOffset>59055</wp:posOffset>
                </wp:positionV>
                <wp:extent cx="652780" cy="583565"/>
                <wp:effectExtent l="12700" t="12700" r="7620" b="13335"/>
                <wp:wrapNone/>
                <wp:docPr id="25" name="Rounded Rectangle 24">
                  <a:extLst xmlns:a="http://schemas.openxmlformats.org/drawingml/2006/main">
                    <a:ext uri="{FF2B5EF4-FFF2-40B4-BE49-F238E27FC236}">
                      <a16:creationId xmlns:a16="http://schemas.microsoft.com/office/drawing/2014/main" id="{FAF35F97-2BFC-DE60-6929-5249CE83ABF9}"/>
                    </a:ext>
                  </a:extLst>
                </wp:docPr>
                <wp:cNvGraphicFramePr/>
                <a:graphic xmlns:a="http://schemas.openxmlformats.org/drawingml/2006/main">
                  <a:graphicData uri="http://schemas.microsoft.com/office/word/2010/wordprocessingShape">
                    <wps:wsp>
                      <wps:cNvSpPr/>
                      <wps:spPr>
                        <a:xfrm>
                          <a:off x="0" y="0"/>
                          <a:ext cx="652780" cy="58356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5D22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Exit Planning</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A9B638D" id="Rounded Rectangle 24" o:spid="_x0000_s1048" style="position:absolute;margin-left:650.2pt;margin-top:4.65pt;width:51.4pt;height:45.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" fillcolor="#e36c0a [2409]" strokecolor="#f79646 [3209]" strokeweight="2pt">
                <v:textbox>
                  <w:txbxContent>
                    <w:p w14:paraId="4A35D22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Exit Planning</w:t>
                      </w:r>
                    </w:p>
                  </w:txbxContent>
                </v:textbox>
              </v:roundrect>
            </w:pict>
          </mc:Fallback>
        </mc:AlternateContent>
      </w:r>
    </w:p>
    <w:p w14:paraId="707BF6D5" w14:textId="43962BE0" w:rsidR="00C46B95" w:rsidRPr="00C46B95" w:rsidRDefault="00C46B95" w:rsidP="00C46B95">
      <w:pPr>
        <w:rPr>
          <w:rFonts w:cstheme="minorHAnsi"/>
          <w:lang w:val="en-MY" w:eastAsia="en-AU"/>
        </w:rPr>
      </w:pPr>
    </w:p>
    <w:p w14:paraId="05C16573" w14:textId="2902E689" w:rsidR="00C46B95" w:rsidRPr="00C46B95" w:rsidRDefault="00C46B95" w:rsidP="00C46B95">
      <w:pPr>
        <w:rPr>
          <w:rFonts w:cstheme="minorHAnsi"/>
          <w:lang w:val="en-MY" w:eastAsia="en-AU"/>
        </w:rPr>
      </w:pPr>
    </w:p>
    <w:p w14:paraId="0BE2A5EC" w14:textId="5B54376C" w:rsidR="00C46B95" w:rsidRPr="00C46B95" w:rsidRDefault="00C46B95" w:rsidP="00C46B95">
      <w:pPr>
        <w:rPr>
          <w:rFonts w:cstheme="minorHAnsi"/>
          <w:lang w:val="en-MY" w:eastAsia="en-AU"/>
        </w:rPr>
      </w:pPr>
    </w:p>
    <w:p w14:paraId="609C5162" w14:textId="7AD934A7" w:rsidR="00C46B95" w:rsidRPr="00C46B95" w:rsidRDefault="00C46B95" w:rsidP="00C46B95">
      <w:pPr>
        <w:rPr>
          <w:rFonts w:cstheme="minorHAnsi"/>
          <w:lang w:val="en-MY" w:eastAsia="en-AU"/>
        </w:rPr>
      </w:pPr>
    </w:p>
    <w:p w14:paraId="3FFF508E" w14:textId="7968BE04" w:rsidR="00C46B95" w:rsidRPr="00C46B95" w:rsidRDefault="00C46B95" w:rsidP="00C46B95">
      <w:pPr>
        <w:rPr>
          <w:rFonts w:cstheme="minorHAnsi"/>
          <w:lang w:val="en-MY" w:eastAsia="en-AU"/>
        </w:rPr>
      </w:pPr>
    </w:p>
    <w:p w14:paraId="72DB2C31" w14:textId="0B345C01" w:rsidR="00C46B95" w:rsidRDefault="003F4124" w:rsidP="00C46B95">
      <w:pPr>
        <w:tabs>
          <w:tab w:val="left" w:pos="4445"/>
        </w:tabs>
        <w:rPr>
          <w:rFonts w:cstheme="minorHAnsi"/>
          <w:lang w:val="en-MY" w:eastAsia="en-AU"/>
        </w:rPr>
      </w:pPr>
      <w:r w:rsidRPr="00C46B95">
        <w:rPr>
          <w:rFonts w:cstheme="minorHAnsi"/>
          <w:noProof/>
          <w:lang w:eastAsia="en-AU"/>
        </w:rPr>
        <mc:AlternateContent>
          <mc:Choice Requires="wps">
            <w:drawing>
              <wp:anchor distT="0" distB="0" distL="114300" distR="114300" simplePos="0" relativeHeight="251658264" behindDoc="0" locked="0" layoutInCell="1" allowOverlap="1" wp14:anchorId="2D26E3CD" wp14:editId="6B660D91">
                <wp:simplePos x="0" y="0"/>
                <wp:positionH relativeFrom="column">
                  <wp:posOffset>7819390</wp:posOffset>
                </wp:positionH>
                <wp:positionV relativeFrom="paragraph">
                  <wp:posOffset>106045</wp:posOffset>
                </wp:positionV>
                <wp:extent cx="1091565" cy="533400"/>
                <wp:effectExtent l="12700" t="12700" r="13335" b="12700"/>
                <wp:wrapNone/>
                <wp:docPr id="29" name="Rounded Rectangle 28">
                  <a:extLst xmlns:a="http://schemas.openxmlformats.org/drawingml/2006/main">
                    <a:ext uri="{FF2B5EF4-FFF2-40B4-BE49-F238E27FC236}">
                      <a16:creationId xmlns:a16="http://schemas.microsoft.com/office/drawing/2014/main" id="{8A74AD81-190F-DCED-F691-0AB26C0E62B1}"/>
                    </a:ext>
                  </a:extLst>
                </wp:docPr>
                <wp:cNvGraphicFramePr/>
                <a:graphic xmlns:a="http://schemas.openxmlformats.org/drawingml/2006/main">
                  <a:graphicData uri="http://schemas.microsoft.com/office/word/2010/wordprocessingShape">
                    <wps:wsp>
                      <wps:cNvSpPr/>
                      <wps:spPr>
                        <a:xfrm>
                          <a:off x="0" y="0"/>
                          <a:ext cx="1091565" cy="533400"/>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85725"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Family, Kin &amp; Community</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D26E3CD" id="Rounded Rectangle 28" o:spid="_x0000_s1049" style="position:absolute;margin-left:615.7pt;margin-top:8.35pt;width:85.95pt;height:4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" fillcolor="#943634 [2405]" strokecolor="#943634 [2405]" strokeweight="2pt">
                <v:textbox>
                  <w:txbxContent>
                    <w:p w14:paraId="28585725"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Family, Kin &amp; Community</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3" behindDoc="0" locked="0" layoutInCell="1" allowOverlap="1" wp14:anchorId="3666EA88" wp14:editId="452351B6">
                <wp:simplePos x="0" y="0"/>
                <wp:positionH relativeFrom="column">
                  <wp:posOffset>6656070</wp:posOffset>
                </wp:positionH>
                <wp:positionV relativeFrom="paragraph">
                  <wp:posOffset>115570</wp:posOffset>
                </wp:positionV>
                <wp:extent cx="1064260" cy="533400"/>
                <wp:effectExtent l="12700" t="12700" r="15240" b="12700"/>
                <wp:wrapNone/>
                <wp:docPr id="28" name="Rounded Rectangle 27">
                  <a:extLst xmlns:a="http://schemas.openxmlformats.org/drawingml/2006/main">
                    <a:ext uri="{FF2B5EF4-FFF2-40B4-BE49-F238E27FC236}">
                      <a16:creationId xmlns:a16="http://schemas.microsoft.com/office/drawing/2014/main" id="{C1ADB496-BA36-334E-90FC-D782F3F3EBAE}"/>
                    </a:ext>
                  </a:extLst>
                </wp:docPr>
                <wp:cNvGraphicFramePr/>
                <a:graphic xmlns:a="http://schemas.openxmlformats.org/drawingml/2006/main">
                  <a:graphicData uri="http://schemas.microsoft.com/office/word/2010/wordprocessingShape">
                    <wps:wsp>
                      <wps:cNvSpPr/>
                      <wps:spPr>
                        <a:xfrm>
                          <a:off x="0" y="0"/>
                          <a:ext cx="1064260" cy="533400"/>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6ADD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Domestic &amp; Family Violence Support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666EA88" id="Rounded Rectangle 27" o:spid="_x0000_s1050" style="position:absolute;margin-left:524.1pt;margin-top:9.1pt;width:83.8pt;height: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" fillcolor="#943634 [2405]" strokecolor="#943634 [2405]" strokeweight="2pt">
                <v:textbox>
                  <w:txbxContent>
                    <w:p w14:paraId="5056ADD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Domestic &amp; Family Violence Support</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2" behindDoc="0" locked="0" layoutInCell="1" allowOverlap="1" wp14:anchorId="2A30F2B5" wp14:editId="77028B74">
                <wp:simplePos x="0" y="0"/>
                <wp:positionH relativeFrom="column">
                  <wp:posOffset>5463540</wp:posOffset>
                </wp:positionH>
                <wp:positionV relativeFrom="paragraph">
                  <wp:posOffset>115570</wp:posOffset>
                </wp:positionV>
                <wp:extent cx="1091565" cy="533400"/>
                <wp:effectExtent l="12700" t="12700" r="13335" b="12700"/>
                <wp:wrapNone/>
                <wp:docPr id="27" name="Rounded Rectangle 26">
                  <a:extLst xmlns:a="http://schemas.openxmlformats.org/drawingml/2006/main">
                    <a:ext uri="{FF2B5EF4-FFF2-40B4-BE49-F238E27FC236}">
                      <a16:creationId xmlns:a16="http://schemas.microsoft.com/office/drawing/2014/main" id="{84FC0275-823D-D6AB-0D4D-B45F220263FF}"/>
                    </a:ext>
                  </a:extLst>
                </wp:docPr>
                <wp:cNvGraphicFramePr/>
                <a:graphic xmlns:a="http://schemas.openxmlformats.org/drawingml/2006/main">
                  <a:graphicData uri="http://schemas.microsoft.com/office/word/2010/wordprocessingShape">
                    <wps:wsp>
                      <wps:cNvSpPr/>
                      <wps:spPr>
                        <a:xfrm>
                          <a:off x="0" y="0"/>
                          <a:ext cx="1091565" cy="533400"/>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A7DBD"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Cultural Strengthening Programs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A30F2B5" id="Rounded Rectangle 26" o:spid="_x0000_s1051" style="position:absolute;margin-left:430.2pt;margin-top:9.1pt;width:85.95pt;height:4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" fillcolor="#943634 [2405]" strokecolor="#943634 [2405]" strokeweight="2pt">
                <v:textbox>
                  <w:txbxContent>
                    <w:p w14:paraId="611A7DBD"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Cultural Strengthening Programs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1" behindDoc="0" locked="0" layoutInCell="1" allowOverlap="1" wp14:anchorId="1C594F1F" wp14:editId="37ACE743">
                <wp:simplePos x="0" y="0"/>
                <wp:positionH relativeFrom="column">
                  <wp:posOffset>2641379</wp:posOffset>
                </wp:positionH>
                <wp:positionV relativeFrom="paragraph">
                  <wp:posOffset>115570</wp:posOffset>
                </wp:positionV>
                <wp:extent cx="2752725" cy="533400"/>
                <wp:effectExtent l="12700" t="12700" r="15875" b="12700"/>
                <wp:wrapNone/>
                <wp:docPr id="26" name="Rounded Rectangle 25">
                  <a:extLst xmlns:a="http://schemas.openxmlformats.org/drawingml/2006/main">
                    <a:ext uri="{FF2B5EF4-FFF2-40B4-BE49-F238E27FC236}">
                      <a16:creationId xmlns:a16="http://schemas.microsoft.com/office/drawing/2014/main" id="{AF308F14-C21C-AED3-76E3-53C6A0B1A0FD}"/>
                    </a:ext>
                  </a:extLst>
                </wp:docPr>
                <wp:cNvGraphicFramePr/>
                <a:graphic xmlns:a="http://schemas.openxmlformats.org/drawingml/2006/main">
                  <a:graphicData uri="http://schemas.microsoft.com/office/word/2010/wordprocessingShape">
                    <wps:wsp>
                      <wps:cNvSpPr/>
                      <wps:spPr>
                        <a:xfrm>
                          <a:off x="0" y="0"/>
                          <a:ext cx="2752725" cy="533400"/>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BDE44"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Family, Kin &amp; Community</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C594F1F" id="Rounded Rectangle 25" o:spid="_x0000_s1052" style="position:absolute;margin-left:208pt;margin-top:9.1pt;width:216.75pt;height:4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" fillcolor="#943634 [2405]" strokecolor="#943634 [2405]" strokeweight="2pt">
                <v:textbox>
                  <w:txbxContent>
                    <w:p w14:paraId="0DCBDE44"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Family, Kin &amp; Community</w:t>
                      </w:r>
                    </w:p>
                  </w:txbxContent>
                </v:textbox>
              </v:roundrect>
            </w:pict>
          </mc:Fallback>
        </mc:AlternateContent>
      </w:r>
      <w:r w:rsidR="00C46B95">
        <w:rPr>
          <w:rFonts w:cstheme="minorHAnsi"/>
          <w:lang w:val="en-MY" w:eastAsia="en-AU"/>
        </w:rPr>
        <w:tab/>
      </w:r>
    </w:p>
    <w:p w14:paraId="133D22CF" w14:textId="4DC4E8EF" w:rsidR="00C46B95" w:rsidRPr="00C46B95" w:rsidRDefault="003F4124" w:rsidP="00C46B95">
      <w:pPr>
        <w:tabs>
          <w:tab w:val="left" w:pos="4445"/>
        </w:tabs>
        <w:rPr>
          <w:rFonts w:cstheme="minorHAnsi"/>
          <w:lang w:val="en-MY" w:eastAsia="en-AU"/>
        </w:rPr>
        <w:sectPr w:rsidR="00C46B95" w:rsidRPr="00C46B95" w:rsidSect="00A04873">
          <w:headerReference w:type="default" r:id="rId13"/>
          <w:pgSz w:w="16838" w:h="11906" w:orient="landscape"/>
          <w:pgMar w:top="1418" w:right="1701" w:bottom="1418" w:left="851" w:header="1531" w:footer="737" w:gutter="0"/>
          <w:cols w:space="720"/>
          <w:docGrid w:linePitch="326"/>
        </w:sectPr>
      </w:pPr>
      <w:r w:rsidRPr="00C46B95">
        <w:rPr>
          <w:rFonts w:cstheme="minorHAnsi"/>
          <w:noProof/>
          <w:lang w:eastAsia="en-AU"/>
        </w:rPr>
        <mc:AlternateContent>
          <mc:Choice Requires="wps">
            <w:drawing>
              <wp:anchor distT="0" distB="0" distL="114300" distR="114300" simplePos="0" relativeHeight="251658272" behindDoc="0" locked="0" layoutInCell="1" allowOverlap="1" wp14:anchorId="5DE35F4B" wp14:editId="534E9D49">
                <wp:simplePos x="0" y="0"/>
                <wp:positionH relativeFrom="column">
                  <wp:posOffset>-3672</wp:posOffset>
                </wp:positionH>
                <wp:positionV relativeFrom="paragraph">
                  <wp:posOffset>2736463</wp:posOffset>
                </wp:positionV>
                <wp:extent cx="8971749" cy="462915"/>
                <wp:effectExtent l="50800" t="25400" r="58420" b="70485"/>
                <wp:wrapNone/>
                <wp:docPr id="37" name="Rounded Rectangle 36">
                  <a:extLst xmlns:a="http://schemas.openxmlformats.org/drawingml/2006/main">
                    <a:ext uri="{FF2B5EF4-FFF2-40B4-BE49-F238E27FC236}">
                      <a16:creationId xmlns:a16="http://schemas.microsoft.com/office/drawing/2014/main" id="{97A7EABC-B76A-45B9-8F72-035563DA0CEC}"/>
                    </a:ext>
                  </a:extLst>
                </wp:docPr>
                <wp:cNvGraphicFramePr/>
                <a:graphic xmlns:a="http://schemas.openxmlformats.org/drawingml/2006/main">
                  <a:graphicData uri="http://schemas.microsoft.com/office/word/2010/wordprocessingShape">
                    <wps:wsp>
                      <wps:cNvSpPr/>
                      <wps:spPr>
                        <a:xfrm>
                          <a:off x="0" y="0"/>
                          <a:ext cx="8971749" cy="46291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3B3EAAF" w14:textId="77777777" w:rsidR="009C42F3" w:rsidRDefault="009C42F3" w:rsidP="00C46B95">
                            <w:pPr>
                              <w:jc w:val="center"/>
                              <w:rPr>
                                <w:rFonts w:hAnsi="Calibri"/>
                                <w:color w:val="000000" w:themeColor="dark1"/>
                                <w:kern w:val="24"/>
                                <w:sz w:val="18"/>
                                <w:szCs w:val="18"/>
                                <w:lang w:val="en-US"/>
                              </w:rPr>
                            </w:pPr>
                            <w:r>
                              <w:rPr>
                                <w:rFonts w:hAnsi="Calibri"/>
                                <w:color w:val="000000" w:themeColor="dark1"/>
                                <w:kern w:val="24"/>
                                <w:sz w:val="18"/>
                                <w:szCs w:val="18"/>
                                <w:lang w:val="en-US"/>
                              </w:rPr>
                              <w:t>Overarching Principles</w:t>
                            </w:r>
                          </w:p>
                          <w:p w14:paraId="083F1B56" w14:textId="77777777" w:rsidR="009C42F3" w:rsidRDefault="009C42F3" w:rsidP="00C46B95">
                            <w:pPr>
                              <w:jc w:val="center"/>
                              <w:rPr>
                                <w:rFonts w:hAnsi="Calibri"/>
                                <w:color w:val="000000" w:themeColor="dark1"/>
                                <w:kern w:val="24"/>
                                <w:sz w:val="17"/>
                                <w:szCs w:val="17"/>
                                <w:lang w:val="en-US"/>
                              </w:rPr>
                            </w:pPr>
                            <w:r>
                              <w:rPr>
                                <w:rFonts w:hAnsi="Calibri"/>
                                <w:color w:val="000000" w:themeColor="dark1"/>
                                <w:kern w:val="24"/>
                                <w:sz w:val="17"/>
                                <w:szCs w:val="17"/>
                                <w:lang w:val="en-US"/>
                              </w:rPr>
                              <w:t>Gender Specific | Person-Centred | Flexible | Trauma Informed | Sustainable | Strengths Based | Coordinated | Connected to Culture | Connected to Family, Kin &amp; Community | Strong Workforce</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DE35F4B" id="Rounded Rectangle 36" o:spid="_x0000_s1053" style="position:absolute;margin-left:-.3pt;margin-top:215.45pt;width:706.45pt;height:36.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" fillcolor="#a7bfde [1620]" strokecolor="#4579b8 [3044]">
                <v:fill color2="#e4ecf5 [500]" rotate="t" angle="180" colors="0 #a3c4ff;22938f #bfd5ff;1 #e5eeff" focus="100%" type="gradient"/>
                <v:shadow on="t" color="black" opacity="24903f" origin=",.5" offset="0,.55556mm"/>
                <v:textbox>
                  <w:txbxContent>
                    <w:p w14:paraId="63B3EAAF" w14:textId="77777777" w:rsidR="009C42F3" w:rsidRDefault="009C42F3" w:rsidP="00C46B95">
                      <w:pPr>
                        <w:jc w:val="center"/>
                        <w:rPr>
                          <w:rFonts w:hAnsi="Calibri"/>
                          <w:color w:val="000000" w:themeColor="dark1"/>
                          <w:kern w:val="24"/>
                          <w:sz w:val="18"/>
                          <w:szCs w:val="18"/>
                          <w:lang w:val="en-US"/>
                        </w:rPr>
                      </w:pPr>
                      <w:r>
                        <w:rPr>
                          <w:rFonts w:hAnsi="Calibri"/>
                          <w:color w:val="000000" w:themeColor="dark1"/>
                          <w:kern w:val="24"/>
                          <w:sz w:val="18"/>
                          <w:szCs w:val="18"/>
                          <w:lang w:val="en-US"/>
                        </w:rPr>
                        <w:t>Overarching Principles</w:t>
                      </w:r>
                    </w:p>
                    <w:p w14:paraId="083F1B56" w14:textId="77777777" w:rsidR="009C42F3" w:rsidRDefault="009C42F3" w:rsidP="00C46B95">
                      <w:pPr>
                        <w:jc w:val="center"/>
                        <w:rPr>
                          <w:rFonts w:hAnsi="Calibri"/>
                          <w:color w:val="000000" w:themeColor="dark1"/>
                          <w:kern w:val="24"/>
                          <w:sz w:val="17"/>
                          <w:szCs w:val="17"/>
                          <w:lang w:val="en-US"/>
                        </w:rPr>
                      </w:pPr>
                      <w:r>
                        <w:rPr>
                          <w:rFonts w:hAnsi="Calibri"/>
                          <w:color w:val="000000" w:themeColor="dark1"/>
                          <w:kern w:val="24"/>
                          <w:sz w:val="17"/>
                          <w:szCs w:val="17"/>
                          <w:lang w:val="en-US"/>
                        </w:rPr>
                        <w:t>Gender Specific | Person-</w:t>
                      </w:r>
                      <w:proofErr w:type="spellStart"/>
                      <w:r>
                        <w:rPr>
                          <w:rFonts w:hAnsi="Calibri"/>
                          <w:color w:val="000000" w:themeColor="dark1"/>
                          <w:kern w:val="24"/>
                          <w:sz w:val="17"/>
                          <w:szCs w:val="17"/>
                          <w:lang w:val="en-US"/>
                        </w:rPr>
                        <w:t>Centred</w:t>
                      </w:r>
                      <w:proofErr w:type="spellEnd"/>
                      <w:r>
                        <w:rPr>
                          <w:rFonts w:hAnsi="Calibri"/>
                          <w:color w:val="000000" w:themeColor="dark1"/>
                          <w:kern w:val="24"/>
                          <w:sz w:val="17"/>
                          <w:szCs w:val="17"/>
                          <w:lang w:val="en-US"/>
                        </w:rPr>
                        <w:t xml:space="preserve"> | Flexible | Trauma Informed | Sustainable | Strengths Based | Coordinated | Connected to Culture | Connected to Family, Kin &amp; Community | Strong Workforce</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71" behindDoc="0" locked="0" layoutInCell="1" allowOverlap="1" wp14:anchorId="00A08194" wp14:editId="366B7404">
                <wp:simplePos x="0" y="0"/>
                <wp:positionH relativeFrom="column">
                  <wp:posOffset>-4776</wp:posOffset>
                </wp:positionH>
                <wp:positionV relativeFrom="paragraph">
                  <wp:posOffset>2174350</wp:posOffset>
                </wp:positionV>
                <wp:extent cx="8971749" cy="462915"/>
                <wp:effectExtent l="0" t="0" r="0" b="0"/>
                <wp:wrapNone/>
                <wp:docPr id="36" name="Rounded Rectangle 35">
                  <a:extLst xmlns:a="http://schemas.openxmlformats.org/drawingml/2006/main">
                    <a:ext uri="{FF2B5EF4-FFF2-40B4-BE49-F238E27FC236}">
                      <a16:creationId xmlns:a16="http://schemas.microsoft.com/office/drawing/2014/main" id="{51201B53-B89B-F4DD-67DC-D705B2B0E454}"/>
                    </a:ext>
                  </a:extLst>
                </wp:docPr>
                <wp:cNvGraphicFramePr/>
                <a:graphic xmlns:a="http://schemas.openxmlformats.org/drawingml/2006/main">
                  <a:graphicData uri="http://schemas.microsoft.com/office/word/2010/wordprocessingShape">
                    <wps:wsp>
                      <wps:cNvSpPr/>
                      <wps:spPr>
                        <a:xfrm>
                          <a:off x="0" y="0"/>
                          <a:ext cx="8971749" cy="462915"/>
                        </a:xfrm>
                        <a:prstGeom prst="roundRect">
                          <a:avLst/>
                        </a:prstGeom>
                        <a:gradFill>
                          <a:gsLst>
                            <a:gs pos="0">
                              <a:schemeClr val="accent3">
                                <a:lumMod val="110000"/>
                                <a:satMod val="105000"/>
                                <a:tint val="67000"/>
                                <a:alpha val="49876"/>
                              </a:schemeClr>
                            </a:gs>
                            <a:gs pos="100000">
                              <a:schemeClr val="accent3">
                                <a:lumMod val="105000"/>
                                <a:satMod val="103000"/>
                                <a:tint val="73000"/>
                              </a:schemeClr>
                            </a:gs>
                            <a:gs pos="17000">
                              <a:schemeClr val="accent3">
                                <a:lumMod val="105000"/>
                                <a:satMod val="109000"/>
                                <a:tint val="81000"/>
                              </a:schemeClr>
                            </a:gs>
                          </a:gsLst>
                          <a:lin ang="5400000" scaled="0"/>
                        </a:gradFill>
                        <a:ln>
                          <a:noFill/>
                        </a:ln>
                      </wps:spPr>
                      <wps:style>
                        <a:lnRef idx="0">
                          <a:scrgbClr r="0" g="0" b="0"/>
                        </a:lnRef>
                        <a:fillRef idx="0">
                          <a:scrgbClr r="0" g="0" b="0"/>
                        </a:fillRef>
                        <a:effectRef idx="0">
                          <a:scrgbClr r="0" g="0" b="0"/>
                        </a:effectRef>
                        <a:fontRef idx="minor">
                          <a:schemeClr val="dk1"/>
                        </a:fontRef>
                      </wps:style>
                      <wps:txbx>
                        <w:txbxContent>
                          <w:p w14:paraId="666E2756" w14:textId="77777777"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Workforce Training and Development</w:t>
                            </w:r>
                          </w:p>
                          <w:p w14:paraId="6A128637" w14:textId="00B62320"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Data Collection &amp; Reporting | Monitoring &amp; Evaluation</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0A08194" id="Rounded Rectangle 35" o:spid="_x0000_s1054" style="position:absolute;margin-left:-.4pt;margin-top:171.2pt;width:706.45pt;height:36.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" fillcolor="#bcd190 [2166]" stroked="f">
                <v:fill color2="#b5cd85 [2358]" o:opacity2="32686f" colors="0 #cadbaf;11141f #b9d091;1 #c1d4a1" focus="100%" type="gradient">
                  <o:fill v:ext="view" type="gradientUnscaled"/>
                </v:fill>
                <v:textbox>
                  <w:txbxContent>
                    <w:p w14:paraId="666E2756" w14:textId="77777777"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Workforce Training and Development</w:t>
                      </w:r>
                    </w:p>
                    <w:p w14:paraId="6A128637" w14:textId="00B62320" w:rsidR="009C42F3" w:rsidRDefault="009C42F3" w:rsidP="00C46B95">
                      <w:pPr>
                        <w:jc w:val="center"/>
                        <w:rPr>
                          <w:rFonts w:hAnsi="Calibri"/>
                          <w:color w:val="000000" w:themeColor="dark1"/>
                          <w:kern w:val="24"/>
                          <w:sz w:val="20"/>
                          <w:szCs w:val="20"/>
                          <w:lang w:val="en-US"/>
                        </w:rPr>
                      </w:pPr>
                      <w:r>
                        <w:rPr>
                          <w:rFonts w:hAnsi="Calibri"/>
                          <w:color w:val="000000" w:themeColor="dark1"/>
                          <w:kern w:val="24"/>
                          <w:sz w:val="20"/>
                          <w:szCs w:val="20"/>
                          <w:lang w:val="en-US"/>
                        </w:rPr>
                        <w:t>Data Collection &amp; Reporting | Monitoring &amp; Evaluation</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5" behindDoc="0" locked="0" layoutInCell="1" allowOverlap="1" wp14:anchorId="751771FE" wp14:editId="1DD9AA65">
                <wp:simplePos x="0" y="0"/>
                <wp:positionH relativeFrom="column">
                  <wp:posOffset>2642870</wp:posOffset>
                </wp:positionH>
                <wp:positionV relativeFrom="paragraph">
                  <wp:posOffset>1042035</wp:posOffset>
                </wp:positionV>
                <wp:extent cx="1334135" cy="655955"/>
                <wp:effectExtent l="12700" t="12700" r="12065" b="17145"/>
                <wp:wrapNone/>
                <wp:docPr id="30" name="Rounded Rectangle 29">
                  <a:extLst xmlns:a="http://schemas.openxmlformats.org/drawingml/2006/main">
                    <a:ext uri="{FF2B5EF4-FFF2-40B4-BE49-F238E27FC236}">
                      <a16:creationId xmlns:a16="http://schemas.microsoft.com/office/drawing/2014/main" id="{2E6631CB-599F-EF2D-07DC-E2A54A04DA56}"/>
                    </a:ext>
                  </a:extLst>
                </wp:docPr>
                <wp:cNvGraphicFramePr/>
                <a:graphic xmlns:a="http://schemas.openxmlformats.org/drawingml/2006/main">
                  <a:graphicData uri="http://schemas.microsoft.com/office/word/2010/wordprocessingShape">
                    <wps:wsp>
                      <wps:cNvSpPr/>
                      <wps:spPr>
                        <a:xfrm>
                          <a:off x="0" y="0"/>
                          <a:ext cx="1334135"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3DCD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Other Services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51771FE" id="Rounded Rectangle 29" o:spid="_x0000_s1055" style="position:absolute;margin-left:208.1pt;margin-top:82.05pt;width:105.05pt;height:51.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" fillcolor="#5f497a [2407]" strokecolor="#5f497a [2407]" strokeweight="2pt">
                <v:textbox>
                  <w:txbxContent>
                    <w:p w14:paraId="6013DCD6"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Engagement with Other Services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6" behindDoc="0" locked="0" layoutInCell="1" allowOverlap="1" wp14:anchorId="1E989ACB" wp14:editId="7243D985">
                <wp:simplePos x="0" y="0"/>
                <wp:positionH relativeFrom="column">
                  <wp:posOffset>4023995</wp:posOffset>
                </wp:positionH>
                <wp:positionV relativeFrom="paragraph">
                  <wp:posOffset>1042035</wp:posOffset>
                </wp:positionV>
                <wp:extent cx="1372870" cy="655955"/>
                <wp:effectExtent l="12700" t="12700" r="11430" b="17145"/>
                <wp:wrapNone/>
                <wp:docPr id="31" name="Rounded Rectangle 30">
                  <a:extLst xmlns:a="http://schemas.openxmlformats.org/drawingml/2006/main">
                    <a:ext uri="{FF2B5EF4-FFF2-40B4-BE49-F238E27FC236}">
                      <a16:creationId xmlns:a16="http://schemas.microsoft.com/office/drawing/2014/main" id="{C794C7D0-FA86-843C-F65E-D02445529CF3}"/>
                    </a:ext>
                  </a:extLst>
                </wp:docPr>
                <wp:cNvGraphicFramePr/>
                <a:graphic xmlns:a="http://schemas.openxmlformats.org/drawingml/2006/main">
                  <a:graphicData uri="http://schemas.microsoft.com/office/word/2010/wordprocessingShape">
                    <wps:wsp>
                      <wps:cNvSpPr/>
                      <wps:spPr>
                        <a:xfrm>
                          <a:off x="0" y="0"/>
                          <a:ext cx="1372870"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BF8F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Coordinate Referrals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989ACB" id="Rounded Rectangle 30" o:spid="_x0000_s1056" style="position:absolute;margin-left:316.85pt;margin-top:82.05pt;width:108.1pt;height:51.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" fillcolor="#5f497a [2407]" strokecolor="#5f497a [2407]" strokeweight="2pt">
                <v:textbox>
                  <w:txbxContent>
                    <w:p w14:paraId="750BF8F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Coordinate Referrals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7" behindDoc="0" locked="0" layoutInCell="1" allowOverlap="1" wp14:anchorId="778E95D9" wp14:editId="2FFCBFD9">
                <wp:simplePos x="0" y="0"/>
                <wp:positionH relativeFrom="column">
                  <wp:posOffset>5474970</wp:posOffset>
                </wp:positionH>
                <wp:positionV relativeFrom="paragraph">
                  <wp:posOffset>1032510</wp:posOffset>
                </wp:positionV>
                <wp:extent cx="800100" cy="655955"/>
                <wp:effectExtent l="12700" t="12700" r="12700" b="17145"/>
                <wp:wrapNone/>
                <wp:docPr id="32" name="Rounded Rectangle 31">
                  <a:extLst xmlns:a="http://schemas.openxmlformats.org/drawingml/2006/main">
                    <a:ext uri="{FF2B5EF4-FFF2-40B4-BE49-F238E27FC236}">
                      <a16:creationId xmlns:a16="http://schemas.microsoft.com/office/drawing/2014/main" id="{0DBE07CB-E7A8-7B67-9730-95539F09CA22}"/>
                    </a:ext>
                  </a:extLst>
                </wp:docPr>
                <wp:cNvGraphicFramePr/>
                <a:graphic xmlns:a="http://schemas.openxmlformats.org/drawingml/2006/main">
                  <a:graphicData uri="http://schemas.microsoft.com/office/word/2010/wordprocessingShape">
                    <wps:wsp>
                      <wps:cNvSpPr/>
                      <wps:spPr>
                        <a:xfrm>
                          <a:off x="0" y="0"/>
                          <a:ext cx="800100"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C471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Attendance at Appointments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78E95D9" id="Rounded Rectangle 31" o:spid="_x0000_s1057" style="position:absolute;margin-left:431.1pt;margin-top:81.3pt;width:63pt;height:51.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" fillcolor="#5f497a [2407]" strokecolor="#5f497a [2407]" strokeweight="2pt">
                <v:textbox>
                  <w:txbxContent>
                    <w:p w14:paraId="675C471F"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Attendance at Appointments</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8" behindDoc="0" locked="0" layoutInCell="1" allowOverlap="1" wp14:anchorId="08F36856" wp14:editId="0E58BD54">
                <wp:simplePos x="0" y="0"/>
                <wp:positionH relativeFrom="column">
                  <wp:posOffset>6320155</wp:posOffset>
                </wp:positionH>
                <wp:positionV relativeFrom="paragraph">
                  <wp:posOffset>1032510</wp:posOffset>
                </wp:positionV>
                <wp:extent cx="800100" cy="655955"/>
                <wp:effectExtent l="12700" t="12700" r="12700" b="17145"/>
                <wp:wrapNone/>
                <wp:docPr id="33" name="Rounded Rectangle 32">
                  <a:extLst xmlns:a="http://schemas.openxmlformats.org/drawingml/2006/main">
                    <a:ext uri="{FF2B5EF4-FFF2-40B4-BE49-F238E27FC236}">
                      <a16:creationId xmlns:a16="http://schemas.microsoft.com/office/drawing/2014/main" id="{ADEC32D4-4012-7231-89B8-246360C32A5A}"/>
                    </a:ext>
                  </a:extLst>
                </wp:docPr>
                <wp:cNvGraphicFramePr/>
                <a:graphic xmlns:a="http://schemas.openxmlformats.org/drawingml/2006/main">
                  <a:graphicData uri="http://schemas.microsoft.com/office/word/2010/wordprocessingShape">
                    <wps:wsp>
                      <wps:cNvSpPr/>
                      <wps:spPr>
                        <a:xfrm>
                          <a:off x="0" y="0"/>
                          <a:ext cx="800100"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14D19"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Facilitate Participation in Organised Activities </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8F36856" id="Rounded Rectangle 32" o:spid="_x0000_s1058" style="position:absolute;margin-left:497.65pt;margin-top:81.3pt;width:63pt;height:51.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" fillcolor="#5f497a [2407]" strokecolor="#5f497a [2407]" strokeweight="2pt">
                <v:textbox>
                  <w:txbxContent>
                    <w:p w14:paraId="5A214D19"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Facilitate Participation in </w:t>
                      </w:r>
                      <w:proofErr w:type="spellStart"/>
                      <w:r>
                        <w:rPr>
                          <w:rFonts w:hAnsi="Calibri"/>
                          <w:color w:val="FFFFFF" w:themeColor="light1"/>
                          <w:kern w:val="24"/>
                          <w:sz w:val="14"/>
                          <w:szCs w:val="14"/>
                          <w:lang w:val="en-US"/>
                        </w:rPr>
                        <w:t>Organised</w:t>
                      </w:r>
                      <w:proofErr w:type="spellEnd"/>
                      <w:r>
                        <w:rPr>
                          <w:rFonts w:hAnsi="Calibri"/>
                          <w:color w:val="FFFFFF" w:themeColor="light1"/>
                          <w:kern w:val="24"/>
                          <w:sz w:val="14"/>
                          <w:szCs w:val="14"/>
                          <w:lang w:val="en-US"/>
                        </w:rPr>
                        <w:t xml:space="preserve"> Activities </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69" behindDoc="0" locked="0" layoutInCell="1" allowOverlap="1" wp14:anchorId="114C39A6" wp14:editId="7D63FCA7">
                <wp:simplePos x="0" y="0"/>
                <wp:positionH relativeFrom="column">
                  <wp:posOffset>7164705</wp:posOffset>
                </wp:positionH>
                <wp:positionV relativeFrom="paragraph">
                  <wp:posOffset>1042035</wp:posOffset>
                </wp:positionV>
                <wp:extent cx="838835" cy="655955"/>
                <wp:effectExtent l="12700" t="12700" r="12065" b="17145"/>
                <wp:wrapNone/>
                <wp:docPr id="34" name="Rounded Rectangle 33">
                  <a:extLst xmlns:a="http://schemas.openxmlformats.org/drawingml/2006/main">
                    <a:ext uri="{FF2B5EF4-FFF2-40B4-BE49-F238E27FC236}">
                      <a16:creationId xmlns:a16="http://schemas.microsoft.com/office/drawing/2014/main" id="{380F2CAE-1B39-CC02-1282-9C8F9C8B78D9}"/>
                    </a:ext>
                  </a:extLst>
                </wp:docPr>
                <wp:cNvGraphicFramePr/>
                <a:graphic xmlns:a="http://schemas.openxmlformats.org/drawingml/2006/main">
                  <a:graphicData uri="http://schemas.microsoft.com/office/word/2010/wordprocessingShape">
                    <wps:wsp>
                      <wps:cNvSpPr/>
                      <wps:spPr>
                        <a:xfrm>
                          <a:off x="0" y="0"/>
                          <a:ext cx="838835"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793F2"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Safe &amp; Stable Accommodation</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14C39A6" id="Rounded Rectangle 33" o:spid="_x0000_s1059" style="position:absolute;margin-left:564.15pt;margin-top:82.05pt;width:66.05pt;height:51.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" fillcolor="#5f497a [2407]" strokecolor="#5f497a [2407]" strokeweight="2pt">
                <v:textbox>
                  <w:txbxContent>
                    <w:p w14:paraId="4A9793F2"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Safe &amp; Stable Accommodation</w:t>
                      </w:r>
                    </w:p>
                  </w:txbxContent>
                </v:textbox>
              </v:roundrect>
            </w:pict>
          </mc:Fallback>
        </mc:AlternateContent>
      </w:r>
      <w:r w:rsidRPr="00C46B95">
        <w:rPr>
          <w:rFonts w:cstheme="minorHAnsi"/>
          <w:noProof/>
          <w:lang w:eastAsia="en-AU"/>
        </w:rPr>
        <mc:AlternateContent>
          <mc:Choice Requires="wps">
            <w:drawing>
              <wp:anchor distT="0" distB="0" distL="114300" distR="114300" simplePos="0" relativeHeight="251658270" behindDoc="0" locked="0" layoutInCell="1" allowOverlap="1" wp14:anchorId="70C70D57" wp14:editId="7FE09B42">
                <wp:simplePos x="0" y="0"/>
                <wp:positionH relativeFrom="column">
                  <wp:posOffset>8049260</wp:posOffset>
                </wp:positionH>
                <wp:positionV relativeFrom="paragraph">
                  <wp:posOffset>1042256</wp:posOffset>
                </wp:positionV>
                <wp:extent cx="876300" cy="655955"/>
                <wp:effectExtent l="12700" t="12700" r="12700" b="17145"/>
                <wp:wrapNone/>
                <wp:docPr id="35" name="Rounded Rectangle 34">
                  <a:extLst xmlns:a="http://schemas.openxmlformats.org/drawingml/2006/main">
                    <a:ext uri="{FF2B5EF4-FFF2-40B4-BE49-F238E27FC236}">
                      <a16:creationId xmlns:a16="http://schemas.microsoft.com/office/drawing/2014/main" id="{98043D89-854A-F997-E33D-93F15BA200E8}"/>
                    </a:ext>
                  </a:extLst>
                </wp:docPr>
                <wp:cNvGraphicFramePr/>
                <a:graphic xmlns:a="http://schemas.openxmlformats.org/drawingml/2006/main">
                  <a:graphicData uri="http://schemas.microsoft.com/office/word/2010/wordprocessingShape">
                    <wps:wsp>
                      <wps:cNvSpPr/>
                      <wps:spPr>
                        <a:xfrm>
                          <a:off x="0" y="0"/>
                          <a:ext cx="876300" cy="655955"/>
                        </a:xfrm>
                        <a:prstGeom prst="round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378E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Facilitate Access to AoD Rehabilitation Support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0C70D57" id="Rounded Rectangle 34" o:spid="_x0000_s1060" style="position:absolute;margin-left:633.8pt;margin-top:82.05pt;width:69pt;height:51.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" fillcolor="#5f497a [2407]" strokecolor="#5f497a [2407]" strokeweight="2pt">
                <v:textbox>
                  <w:txbxContent>
                    <w:p w14:paraId="341378EA" w14:textId="77777777" w:rsidR="009C42F3" w:rsidRDefault="009C42F3" w:rsidP="00C46B95">
                      <w:pPr>
                        <w:jc w:val="center"/>
                        <w:rPr>
                          <w:rFonts w:hAnsi="Calibri"/>
                          <w:color w:val="FFFFFF" w:themeColor="light1"/>
                          <w:kern w:val="24"/>
                          <w:sz w:val="14"/>
                          <w:szCs w:val="14"/>
                          <w:lang w:val="en-US"/>
                        </w:rPr>
                      </w:pPr>
                      <w:r>
                        <w:rPr>
                          <w:rFonts w:hAnsi="Calibri"/>
                          <w:color w:val="FFFFFF" w:themeColor="light1"/>
                          <w:kern w:val="24"/>
                          <w:sz w:val="14"/>
                          <w:szCs w:val="14"/>
                          <w:lang w:val="en-US"/>
                        </w:rPr>
                        <w:t xml:space="preserve">Facilitate Access to </w:t>
                      </w:r>
                      <w:proofErr w:type="spellStart"/>
                      <w:r>
                        <w:rPr>
                          <w:rFonts w:hAnsi="Calibri"/>
                          <w:color w:val="FFFFFF" w:themeColor="light1"/>
                          <w:kern w:val="24"/>
                          <w:sz w:val="14"/>
                          <w:szCs w:val="14"/>
                          <w:lang w:val="en-US"/>
                        </w:rPr>
                        <w:t>AoD</w:t>
                      </w:r>
                      <w:proofErr w:type="spellEnd"/>
                      <w:r>
                        <w:rPr>
                          <w:rFonts w:hAnsi="Calibri"/>
                          <w:color w:val="FFFFFF" w:themeColor="light1"/>
                          <w:kern w:val="24"/>
                          <w:sz w:val="14"/>
                          <w:szCs w:val="14"/>
                          <w:lang w:val="en-US"/>
                        </w:rPr>
                        <w:t xml:space="preserve"> Rehabilitation Support</w:t>
                      </w:r>
                    </w:p>
                  </w:txbxContent>
                </v:textbox>
              </v:roundrect>
            </w:pict>
          </mc:Fallback>
        </mc:AlternateContent>
      </w:r>
    </w:p>
    <w:p w14:paraId="7FFCB635" w14:textId="7E164302" w:rsidR="004E2F12" w:rsidRDefault="004E2F12" w:rsidP="004E2F12">
      <w:pPr>
        <w:jc w:val="both"/>
        <w:rPr>
          <w:rFonts w:cstheme="minorHAnsi"/>
          <w:lang w:val="en-MY" w:eastAsia="en-AU"/>
        </w:rPr>
      </w:pPr>
      <w:r w:rsidRPr="004E2F12">
        <w:rPr>
          <w:rFonts w:cstheme="minorHAnsi"/>
          <w:lang w:val="en-US" w:eastAsia="en-AU"/>
        </w:rPr>
        <w:t xml:space="preserve">The Client Support Plan </w:t>
      </w:r>
      <w:r w:rsidR="009077D8">
        <w:rPr>
          <w:rFonts w:cstheme="minorHAnsi"/>
          <w:lang w:val="en-US" w:eastAsia="en-AU"/>
        </w:rPr>
        <w:t xml:space="preserve">(developed at Goal Setting) </w:t>
      </w:r>
      <w:r w:rsidRPr="004E2F12">
        <w:rPr>
          <w:rFonts w:cstheme="minorHAnsi"/>
          <w:lang w:val="en-US" w:eastAsia="en-AU"/>
        </w:rPr>
        <w:t xml:space="preserve">is an important tool in supporting and documenting the goal setting process for all clients. The Client Support Plan assists the ATC Case Worker to clarify the support requirements of a client and can be reviewed and revised as the client’s needs and goals change. The appropriate length of time between plan reviews may vary according to the evolving circumstances of the </w:t>
      </w:r>
      <w:r w:rsidR="00A6555D" w:rsidRPr="004E2F12">
        <w:rPr>
          <w:rFonts w:cstheme="minorHAnsi"/>
          <w:lang w:val="en-US" w:eastAsia="en-AU"/>
        </w:rPr>
        <w:t>client</w:t>
      </w:r>
      <w:r w:rsidR="00A6555D">
        <w:rPr>
          <w:rFonts w:cstheme="minorHAnsi"/>
          <w:lang w:val="en-US" w:eastAsia="en-AU"/>
        </w:rPr>
        <w:t xml:space="preserve"> but</w:t>
      </w:r>
      <w:r w:rsidRPr="004E2F12">
        <w:rPr>
          <w:rFonts w:cstheme="minorHAnsi"/>
          <w:lang w:val="en-US" w:eastAsia="en-AU"/>
        </w:rPr>
        <w:t xml:space="preserve"> should be iterative during pre-release and no less than every </w:t>
      </w:r>
      <w:r w:rsidR="00F338B3">
        <w:rPr>
          <w:rFonts w:cstheme="minorHAnsi"/>
          <w:lang w:val="en-US" w:eastAsia="en-AU"/>
        </w:rPr>
        <w:t xml:space="preserve">three </w:t>
      </w:r>
      <w:r w:rsidRPr="004E2F12">
        <w:rPr>
          <w:rFonts w:cstheme="minorHAnsi"/>
          <w:lang w:val="en-US" w:eastAsia="en-AU"/>
        </w:rPr>
        <w:t xml:space="preserve">months post-release. </w:t>
      </w:r>
    </w:p>
    <w:p w14:paraId="6BC360A4" w14:textId="77777777" w:rsidR="00BB4C95" w:rsidRDefault="004E2F12" w:rsidP="00BB4C95">
      <w:pPr>
        <w:pStyle w:val="SUBHEAD2"/>
        <w:rPr>
          <w:rFonts w:asciiTheme="minorHAnsi" w:hAnsiTheme="minorHAnsi" w:cstheme="minorHAnsi"/>
          <w:lang w:val="en-MY" w:eastAsia="en-AU"/>
        </w:rPr>
      </w:pPr>
      <w:r w:rsidRPr="004E2F12">
        <w:rPr>
          <w:rFonts w:asciiTheme="minorHAnsi" w:hAnsiTheme="minorHAnsi" w:cstheme="minorHAnsi"/>
          <w:lang w:val="en-MY" w:eastAsia="en-AU"/>
        </w:rPr>
        <w:t>ATC Model Enablers</w:t>
      </w:r>
    </w:p>
    <w:p w14:paraId="5A2F62BD" w14:textId="4D41AE2A" w:rsidR="00505338" w:rsidRPr="00BB4C95" w:rsidRDefault="004E2F12" w:rsidP="004D2E41">
      <w:pPr>
        <w:spacing w:before="120" w:after="120"/>
        <w:jc w:val="both"/>
        <w:rPr>
          <w:b/>
          <w:smallCaps/>
          <w:lang w:val="en-MY" w:eastAsia="en-AU"/>
        </w:rPr>
      </w:pPr>
      <w:r w:rsidRPr="00BB4C95">
        <w:rPr>
          <w:lang w:val="en-MY" w:eastAsia="en-AU"/>
        </w:rPr>
        <w:t xml:space="preserve">Workforce development and data management are regarded as key enablers in support of delivery of the ATC </w:t>
      </w:r>
      <w:r w:rsidR="00F338B3" w:rsidRPr="00BB4C95">
        <w:rPr>
          <w:lang w:val="en-MY" w:eastAsia="en-AU"/>
        </w:rPr>
        <w:t>m</w:t>
      </w:r>
      <w:r w:rsidRPr="00BB4C95">
        <w:rPr>
          <w:lang w:val="en-MY" w:eastAsia="en-AU"/>
        </w:rPr>
        <w:t>odel core elements.</w:t>
      </w:r>
      <w:r w:rsidR="00505338" w:rsidRPr="00BB4C95">
        <w:rPr>
          <w:lang w:val="en-MY" w:eastAsia="en-AU"/>
        </w:rPr>
        <w:t xml:space="preserve"> </w:t>
      </w:r>
      <w:r w:rsidRPr="00BB4C95">
        <w:rPr>
          <w:lang w:val="en-MY" w:eastAsia="en-AU"/>
        </w:rPr>
        <w:t>The ATC model requires that at minimum an ATC team should comprise an ATC Manager</w:t>
      </w:r>
      <w:r w:rsidR="00505338" w:rsidRPr="00BB4C95">
        <w:rPr>
          <w:lang w:val="en-MY" w:eastAsia="en-AU"/>
        </w:rPr>
        <w:t xml:space="preserve"> or Coordinator</w:t>
      </w:r>
      <w:r w:rsidRPr="00BB4C95">
        <w:rPr>
          <w:lang w:val="en-MY" w:eastAsia="en-AU"/>
        </w:rPr>
        <w:t>, ATC Case Workers and identified specialist positions as relevant</w:t>
      </w:r>
      <w:r w:rsidR="00505338" w:rsidRPr="00BB4C95">
        <w:rPr>
          <w:lang w:val="en-MY" w:eastAsia="en-AU"/>
        </w:rPr>
        <w:t xml:space="preserve"> (for example, a case worker with a disability services or mental health services specialisation)</w:t>
      </w:r>
      <w:r w:rsidRPr="00BB4C95">
        <w:rPr>
          <w:lang w:val="en-MY" w:eastAsia="en-AU"/>
        </w:rPr>
        <w:t>. Consistent with the IAS</w:t>
      </w:r>
      <w:r w:rsidR="00505338" w:rsidRPr="00BB4C95">
        <w:rPr>
          <w:lang w:val="en-MY" w:eastAsia="en-AU"/>
        </w:rPr>
        <w:t>,</w:t>
      </w:r>
      <w:r w:rsidRPr="00BB4C95">
        <w:rPr>
          <w:lang w:val="en-MY" w:eastAsia="en-AU"/>
        </w:rPr>
        <w:t xml:space="preserve"> ATC service providers should apply affirmative measures regarding the recruitment of Indigenous staff.</w:t>
      </w:r>
      <w:r w:rsidR="00505338" w:rsidRPr="00BB4C95">
        <w:rPr>
          <w:lang w:val="en-MY" w:eastAsia="en-AU"/>
        </w:rPr>
        <w:t xml:space="preserve"> </w:t>
      </w:r>
    </w:p>
    <w:p w14:paraId="13AA302A" w14:textId="77777777" w:rsidR="00745F83" w:rsidRDefault="004E2F12" w:rsidP="004E2F12">
      <w:pPr>
        <w:jc w:val="both"/>
        <w:rPr>
          <w:rFonts w:cstheme="minorHAnsi"/>
          <w:lang w:val="en-MY" w:eastAsia="en-AU"/>
        </w:rPr>
      </w:pPr>
      <w:r w:rsidRPr="00B21295">
        <w:rPr>
          <w:rFonts w:cstheme="minorHAnsi"/>
          <w:lang w:val="en-MY" w:eastAsia="en-AU"/>
        </w:rPr>
        <w:t>Training requirements for the ATC workforce should be inclusive of mandatory Core Training and Orientation together with ongoing Professional Development for employees to strengthen their practice and capabilities.</w:t>
      </w:r>
      <w:r w:rsidR="00505338" w:rsidRPr="00B21295">
        <w:rPr>
          <w:rStyle w:val="FootnoteReference"/>
          <w:rFonts w:cstheme="minorHAnsi"/>
          <w:lang w:val="en-MY" w:eastAsia="en-AU"/>
        </w:rPr>
        <w:footnoteReference w:id="17"/>
      </w:r>
      <w:r w:rsidR="00505338" w:rsidRPr="00B21295">
        <w:rPr>
          <w:rFonts w:cstheme="minorHAnsi"/>
          <w:lang w:val="en-MY" w:eastAsia="en-AU"/>
        </w:rPr>
        <w:t xml:space="preserve"> </w:t>
      </w:r>
      <w:r w:rsidRPr="00B21295">
        <w:rPr>
          <w:rFonts w:cstheme="minorHAnsi"/>
          <w:lang w:val="en-MY" w:eastAsia="en-AU"/>
        </w:rPr>
        <w:t>Ongoing support and supervision for ATC workers may include standard line-management supervision, in conjunction with clinical and cultural supervision to ensure the social and emotional well-being of staff operating in challenging contexts.</w:t>
      </w:r>
    </w:p>
    <w:p w14:paraId="27630486" w14:textId="77777777" w:rsidR="00745F83" w:rsidRDefault="00745F83" w:rsidP="004E2F12">
      <w:pPr>
        <w:jc w:val="both"/>
        <w:rPr>
          <w:rFonts w:cstheme="minorHAnsi"/>
          <w:lang w:val="en-MY" w:eastAsia="en-AU"/>
        </w:rPr>
      </w:pPr>
    </w:p>
    <w:p w14:paraId="02738181" w14:textId="03066526" w:rsidR="007570A0" w:rsidRPr="00B21295" w:rsidRDefault="004E2F12" w:rsidP="004E2F12">
      <w:pPr>
        <w:jc w:val="both"/>
        <w:rPr>
          <w:rFonts w:cstheme="minorHAnsi"/>
          <w:lang w:val="en-MY" w:eastAsia="en-AU"/>
        </w:rPr>
      </w:pPr>
      <w:r w:rsidRPr="00B21295">
        <w:rPr>
          <w:rFonts w:cstheme="minorHAnsi"/>
          <w:lang w:val="en-MY" w:eastAsia="en-AU"/>
        </w:rPr>
        <w:t xml:space="preserve">A minimum data set has been designed to reflect the information required to understand ATC outcomes, whilst minimising the administrative burden on ATC service providers. To enable robust monitoring and evaluation of ATC services, including meaningful performance reporting and outcome evaluation, ATC service providers must implement appropriate policies, procedures, and information and communication technology (ICT) to manage the data </w:t>
      </w:r>
      <w:r w:rsidR="007570A0" w:rsidRPr="00B21295">
        <w:rPr>
          <w:rFonts w:cstheme="minorHAnsi"/>
          <w:lang w:val="en-MY" w:eastAsia="en-AU"/>
        </w:rPr>
        <w:t>collection and monitoring processes</w:t>
      </w:r>
      <w:r w:rsidRPr="00B21295">
        <w:rPr>
          <w:rFonts w:cstheme="minorHAnsi"/>
          <w:lang w:val="en-MY" w:eastAsia="en-AU"/>
        </w:rPr>
        <w:t>.</w:t>
      </w:r>
      <w:r w:rsidR="00505338" w:rsidRPr="00B21295">
        <w:rPr>
          <w:rStyle w:val="FootnoteReference"/>
          <w:rFonts w:cstheme="minorHAnsi"/>
          <w:lang w:val="en-MY" w:eastAsia="en-AU"/>
        </w:rPr>
        <w:footnoteReference w:id="18"/>
      </w:r>
    </w:p>
    <w:p w14:paraId="2897EF42" w14:textId="77777777" w:rsidR="007570A0" w:rsidRPr="00B21295" w:rsidRDefault="007570A0" w:rsidP="004E2F12">
      <w:pPr>
        <w:jc w:val="both"/>
        <w:rPr>
          <w:rFonts w:cstheme="minorHAnsi"/>
          <w:lang w:val="en-MY" w:eastAsia="en-AU"/>
        </w:rPr>
      </w:pPr>
    </w:p>
    <w:p w14:paraId="72DE2EAB" w14:textId="532D8BC3" w:rsidR="007570A0" w:rsidRPr="00B21295" w:rsidRDefault="004E2F12" w:rsidP="004E2F12">
      <w:pPr>
        <w:jc w:val="both"/>
        <w:rPr>
          <w:rFonts w:cstheme="minorHAnsi"/>
          <w:lang w:val="en-MY" w:eastAsia="en-AU"/>
        </w:rPr>
      </w:pPr>
      <w:r w:rsidRPr="00B21295">
        <w:rPr>
          <w:rFonts w:cstheme="minorHAnsi"/>
          <w:lang w:val="en-MY" w:eastAsia="en-AU"/>
        </w:rPr>
        <w:t>ATC data collection forms are organised into three excel workbooks, known as the Minimum Data Set</w:t>
      </w:r>
      <w:r w:rsidR="007570A0" w:rsidRPr="00B21295">
        <w:rPr>
          <w:rFonts w:cstheme="minorHAnsi"/>
          <w:lang w:val="en-MY" w:eastAsia="en-AU"/>
        </w:rPr>
        <w:t>, including</w:t>
      </w:r>
      <w:r w:rsidRPr="00B21295">
        <w:rPr>
          <w:rFonts w:cstheme="minorHAnsi"/>
          <w:lang w:val="en-MY" w:eastAsia="en-AU"/>
        </w:rPr>
        <w:t>:</w:t>
      </w:r>
    </w:p>
    <w:p w14:paraId="3E3B2079" w14:textId="77777777" w:rsidR="007570A0" w:rsidRPr="00B21295" w:rsidRDefault="007570A0" w:rsidP="004E2F12">
      <w:pPr>
        <w:jc w:val="both"/>
        <w:rPr>
          <w:rFonts w:cstheme="minorHAnsi"/>
          <w:lang w:val="en-MY" w:eastAsia="en-AU"/>
        </w:rPr>
      </w:pPr>
    </w:p>
    <w:p w14:paraId="006997A2" w14:textId="50B155F3" w:rsidR="004E2F12" w:rsidRDefault="004E2F12" w:rsidP="00B77817">
      <w:pPr>
        <w:pStyle w:val="ListParagraph"/>
        <w:numPr>
          <w:ilvl w:val="0"/>
          <w:numId w:val="58"/>
        </w:numPr>
        <w:jc w:val="both"/>
        <w:rPr>
          <w:rFonts w:cstheme="minorHAnsi"/>
          <w:lang w:val="en-MY" w:eastAsia="en-AU"/>
        </w:rPr>
      </w:pPr>
      <w:r w:rsidRPr="00B21295">
        <w:rPr>
          <w:rFonts w:cstheme="minorHAnsi"/>
          <w:b/>
          <w:bCs/>
          <w:lang w:val="en-MY" w:eastAsia="en-AU"/>
        </w:rPr>
        <w:t>An Organisation Wide Reporting Template</w:t>
      </w:r>
      <w:r w:rsidRPr="00B21295">
        <w:rPr>
          <w:rFonts w:cstheme="minorHAnsi"/>
          <w:lang w:val="en-MY" w:eastAsia="en-AU"/>
        </w:rPr>
        <w:t xml:space="preserve"> –</w:t>
      </w:r>
      <w:r w:rsidRPr="00B21295">
        <w:rPr>
          <w:rFonts w:cstheme="minorHAnsi"/>
          <w:b/>
          <w:bCs/>
          <w:lang w:val="en-MY" w:eastAsia="en-AU"/>
        </w:rPr>
        <w:t xml:space="preserve"> </w:t>
      </w:r>
      <w:r w:rsidRPr="00B21295">
        <w:rPr>
          <w:rFonts w:cstheme="minorHAnsi"/>
          <w:lang w:val="en-MY" w:eastAsia="en-AU"/>
        </w:rPr>
        <w:t>Consisting of a Stats Reporting Form (covering information on client demographics, offences, pre-release and post release duration, reoffending, program outcomes, services offered and client exit information) and a Qualitative Reporting Form (detailing information on client feedback,</w:t>
      </w:r>
      <w:r w:rsidRPr="007570A0">
        <w:rPr>
          <w:rFonts w:cstheme="minorHAnsi"/>
          <w:lang w:val="en-MY" w:eastAsia="en-AU"/>
        </w:rPr>
        <w:t xml:space="preserve"> challenging aspects of case management, staff suggestions or lessons learnt, and any client case studies).</w:t>
      </w:r>
    </w:p>
    <w:p w14:paraId="53EBD126" w14:textId="77777777" w:rsidR="00667263" w:rsidRPr="007570A0" w:rsidRDefault="00667263" w:rsidP="00667263">
      <w:pPr>
        <w:pStyle w:val="ListParagraph"/>
        <w:jc w:val="both"/>
        <w:rPr>
          <w:rFonts w:cstheme="minorHAnsi"/>
          <w:lang w:val="en-MY" w:eastAsia="en-AU"/>
        </w:rPr>
      </w:pPr>
    </w:p>
    <w:p w14:paraId="251F4781" w14:textId="2254B821" w:rsidR="004E2F12" w:rsidRPr="007570A0" w:rsidRDefault="004E2F12" w:rsidP="00B77817">
      <w:pPr>
        <w:pStyle w:val="ListParagraph"/>
        <w:numPr>
          <w:ilvl w:val="0"/>
          <w:numId w:val="58"/>
        </w:numPr>
        <w:jc w:val="both"/>
        <w:rPr>
          <w:rFonts w:cstheme="minorHAnsi"/>
          <w:lang w:val="en-MY" w:eastAsia="en-AU"/>
        </w:rPr>
      </w:pPr>
      <w:r w:rsidRPr="00CE793B">
        <w:rPr>
          <w:rFonts w:cstheme="minorHAnsi"/>
          <w:b/>
          <w:bCs/>
          <w:lang w:val="en-MY" w:eastAsia="en-AU"/>
        </w:rPr>
        <w:t>A Manager Reporting Template</w:t>
      </w:r>
      <w:r w:rsidRPr="003A031A">
        <w:rPr>
          <w:rFonts w:cstheme="minorHAnsi"/>
          <w:lang w:val="en-MY" w:eastAsia="en-AU"/>
        </w:rPr>
        <w:t xml:space="preserve"> –</w:t>
      </w:r>
      <w:r w:rsidRPr="007570A0">
        <w:rPr>
          <w:rFonts w:cstheme="minorHAnsi"/>
          <w:lang w:val="en-MY" w:eastAsia="en-AU"/>
        </w:rPr>
        <w:t xml:space="preserve"> Consisting of a Manager Report Form (detailing information on case</w:t>
      </w:r>
      <w:r w:rsidR="00694565">
        <w:rPr>
          <w:rFonts w:cstheme="minorHAnsi"/>
          <w:lang w:val="en-MY" w:eastAsia="en-AU"/>
        </w:rPr>
        <w:t>-</w:t>
      </w:r>
      <w:r w:rsidRPr="007570A0">
        <w:rPr>
          <w:rFonts w:cstheme="minorHAnsi"/>
          <w:lang w:val="en-MY" w:eastAsia="en-AU"/>
        </w:rPr>
        <w:t>loads, required trainings, management, cultural, and clinical supervision completed) and a Dates List (with the required dates for clients in the ATC program and some demographic data such as date of enrolment, date of release from prison, date of exit from program, date of returning to prison if it occurs, age and gender of clients).</w:t>
      </w:r>
    </w:p>
    <w:p w14:paraId="6FAC6042" w14:textId="77777777" w:rsidR="004E2F12" w:rsidRDefault="004E2F12" w:rsidP="004E2F12">
      <w:pPr>
        <w:jc w:val="both"/>
        <w:rPr>
          <w:rFonts w:cstheme="minorHAnsi"/>
          <w:lang w:val="en-MY" w:eastAsia="en-AU"/>
        </w:rPr>
      </w:pPr>
    </w:p>
    <w:p w14:paraId="76740DD7" w14:textId="77777777" w:rsidR="004E2F12" w:rsidRPr="007570A0" w:rsidRDefault="004E2F12" w:rsidP="00B77817">
      <w:pPr>
        <w:pStyle w:val="ListParagraph"/>
        <w:numPr>
          <w:ilvl w:val="0"/>
          <w:numId w:val="58"/>
        </w:numPr>
        <w:jc w:val="both"/>
        <w:rPr>
          <w:rFonts w:cstheme="minorHAnsi"/>
          <w:lang w:val="en-MY" w:eastAsia="en-AU"/>
        </w:rPr>
      </w:pPr>
      <w:r w:rsidRPr="00CE793B">
        <w:rPr>
          <w:rFonts w:cstheme="minorHAnsi"/>
          <w:b/>
          <w:bCs/>
          <w:lang w:val="en-MY" w:eastAsia="en-AU"/>
        </w:rPr>
        <w:t>An (Optional) Case Worker Reporting Template</w:t>
      </w:r>
      <w:r w:rsidRPr="003A031A">
        <w:rPr>
          <w:rFonts w:cstheme="minorHAnsi"/>
          <w:lang w:val="en-MY" w:eastAsia="en-AU"/>
        </w:rPr>
        <w:t>,</w:t>
      </w:r>
      <w:r w:rsidRPr="007570A0">
        <w:rPr>
          <w:rFonts w:cstheme="minorHAnsi"/>
          <w:lang w:val="en-MY" w:eastAsia="en-AU"/>
        </w:rPr>
        <w:t xml:space="preserve"> with the same two spreadsheets used for organization-wide reporting (but designed for ATC Case Workers to fill out periodically).</w:t>
      </w:r>
    </w:p>
    <w:p w14:paraId="27F76167" w14:textId="77777777" w:rsidR="00667263" w:rsidRDefault="00667263" w:rsidP="00667263">
      <w:pPr>
        <w:jc w:val="both"/>
        <w:rPr>
          <w:rFonts w:cstheme="minorHAnsi"/>
          <w:lang w:val="en-MY" w:eastAsia="en-AU"/>
        </w:rPr>
      </w:pPr>
    </w:p>
    <w:p w14:paraId="5D43D61B" w14:textId="27453182" w:rsidR="004E2F12" w:rsidRDefault="00667263" w:rsidP="00667263">
      <w:pPr>
        <w:jc w:val="both"/>
        <w:rPr>
          <w:rFonts w:cstheme="minorHAnsi"/>
          <w:lang w:val="en-MY" w:eastAsia="en-AU"/>
        </w:rPr>
      </w:pPr>
      <w:r w:rsidRPr="004E2F12">
        <w:rPr>
          <w:rFonts w:cstheme="minorHAnsi"/>
          <w:lang w:val="en-MY" w:eastAsia="en-AU"/>
        </w:rPr>
        <w:t>To ensure program monitoring feeds into a broader program improvement cycle, it is suggested that ATC service providers develop and implement a quality improvement system.</w:t>
      </w:r>
      <w:r>
        <w:rPr>
          <w:rFonts w:cstheme="minorHAnsi"/>
          <w:lang w:val="en-MY" w:eastAsia="en-AU"/>
        </w:rPr>
        <w:t xml:space="preserve"> </w:t>
      </w:r>
      <w:r w:rsidR="004E2F12" w:rsidRPr="00667263">
        <w:rPr>
          <w:rFonts w:cstheme="minorHAnsi"/>
          <w:lang w:val="en-MY" w:eastAsia="en-AU"/>
        </w:rPr>
        <w:t xml:space="preserve">The ATC </w:t>
      </w:r>
      <w:r w:rsidR="00F338B3">
        <w:rPr>
          <w:rFonts w:cstheme="minorHAnsi"/>
          <w:lang w:val="en-MY" w:eastAsia="en-AU"/>
        </w:rPr>
        <w:t>p</w:t>
      </w:r>
      <w:r w:rsidR="004E2F12" w:rsidRPr="00667263">
        <w:rPr>
          <w:rFonts w:cstheme="minorHAnsi"/>
          <w:lang w:val="en-MY" w:eastAsia="en-AU"/>
        </w:rPr>
        <w:t xml:space="preserve">rogram is </w:t>
      </w:r>
      <w:r>
        <w:rPr>
          <w:rFonts w:cstheme="minorHAnsi"/>
          <w:lang w:val="en-MY" w:eastAsia="en-AU"/>
        </w:rPr>
        <w:t xml:space="preserve">intended to be </w:t>
      </w:r>
      <w:r w:rsidR="004E2F12" w:rsidRPr="00667263">
        <w:rPr>
          <w:rFonts w:cstheme="minorHAnsi"/>
          <w:lang w:val="en-MY" w:eastAsia="en-AU"/>
        </w:rPr>
        <w:t>monitored every six months through:</w:t>
      </w:r>
    </w:p>
    <w:p w14:paraId="457F0A1C" w14:textId="77777777" w:rsidR="00667263" w:rsidRPr="00667263" w:rsidRDefault="00667263" w:rsidP="00667263">
      <w:pPr>
        <w:jc w:val="both"/>
        <w:rPr>
          <w:rFonts w:cstheme="minorHAnsi"/>
          <w:lang w:val="en-MY" w:eastAsia="en-AU"/>
        </w:rPr>
      </w:pPr>
    </w:p>
    <w:p w14:paraId="0E79C452" w14:textId="77777777" w:rsidR="004E2F12" w:rsidRDefault="004E2F12" w:rsidP="00B77817">
      <w:pPr>
        <w:pStyle w:val="ListParagraph"/>
        <w:numPr>
          <w:ilvl w:val="0"/>
          <w:numId w:val="59"/>
        </w:numPr>
        <w:jc w:val="both"/>
        <w:rPr>
          <w:rFonts w:cstheme="minorHAnsi"/>
          <w:lang w:val="en-MY" w:eastAsia="en-AU"/>
        </w:rPr>
      </w:pPr>
      <w:r w:rsidRPr="00CE793B">
        <w:rPr>
          <w:rFonts w:cstheme="minorHAnsi"/>
          <w:b/>
          <w:bCs/>
          <w:lang w:val="en-MY" w:eastAsia="en-AU"/>
        </w:rPr>
        <w:t>Quantitative Reporting</w:t>
      </w:r>
      <w:r w:rsidRPr="003A031A">
        <w:rPr>
          <w:rFonts w:cstheme="minorHAnsi"/>
          <w:lang w:val="en-MY" w:eastAsia="en-AU"/>
        </w:rPr>
        <w:t xml:space="preserve"> –</w:t>
      </w:r>
      <w:r w:rsidRPr="00667263">
        <w:rPr>
          <w:rFonts w:cstheme="minorHAnsi"/>
          <w:b/>
          <w:bCs/>
          <w:lang w:val="en-MY" w:eastAsia="en-AU"/>
        </w:rPr>
        <w:t xml:space="preserve"> </w:t>
      </w:r>
      <w:r w:rsidRPr="007570A0">
        <w:rPr>
          <w:rFonts w:cstheme="minorHAnsi"/>
          <w:lang w:val="en-MY" w:eastAsia="en-AU"/>
        </w:rPr>
        <w:t xml:space="preserve">Information provided on the number of active clients, client demographics, offences, pre-release and post release duration, reoffending, Program outcomes, services offered, client exit information, staff numbers, staff training and supervision. </w:t>
      </w:r>
    </w:p>
    <w:p w14:paraId="4AEDA654" w14:textId="77777777" w:rsidR="00667263" w:rsidRPr="007570A0" w:rsidRDefault="00667263" w:rsidP="00667263">
      <w:pPr>
        <w:pStyle w:val="ListParagraph"/>
        <w:jc w:val="both"/>
        <w:rPr>
          <w:rFonts w:cstheme="minorHAnsi"/>
          <w:lang w:val="en-MY" w:eastAsia="en-AU"/>
        </w:rPr>
      </w:pPr>
    </w:p>
    <w:p w14:paraId="2A36ED0B" w14:textId="226CFC28" w:rsidR="007F3712" w:rsidRPr="004B3A44" w:rsidRDefault="004E2F12" w:rsidP="00B77817">
      <w:pPr>
        <w:pStyle w:val="ListParagraph"/>
        <w:numPr>
          <w:ilvl w:val="0"/>
          <w:numId w:val="59"/>
        </w:numPr>
        <w:jc w:val="both"/>
        <w:rPr>
          <w:rFonts w:cstheme="minorHAnsi"/>
          <w:lang w:val="en-MY" w:eastAsia="en-AU"/>
        </w:rPr>
      </w:pPr>
      <w:r w:rsidRPr="00CE793B">
        <w:rPr>
          <w:rFonts w:cstheme="minorHAnsi"/>
          <w:b/>
          <w:bCs/>
          <w:lang w:val="en-MY" w:eastAsia="en-AU"/>
        </w:rPr>
        <w:t>Qualitative Reporting</w:t>
      </w:r>
      <w:r w:rsidRPr="003A031A">
        <w:rPr>
          <w:rFonts w:cstheme="minorHAnsi"/>
          <w:lang w:val="en-MY" w:eastAsia="en-AU"/>
        </w:rPr>
        <w:t xml:space="preserve"> -</w:t>
      </w:r>
      <w:r w:rsidRPr="007570A0">
        <w:rPr>
          <w:rFonts w:cstheme="minorHAnsi"/>
          <w:lang w:val="en-MY" w:eastAsia="en-AU"/>
        </w:rPr>
        <w:t xml:space="preserve"> Information on client feedback, client case studies, new ways of working, challenging aspects of case management and staff suggestions or lessons learnt.</w:t>
      </w:r>
      <w:r w:rsidR="008C5182">
        <w:rPr>
          <w:rFonts w:cstheme="minorHAnsi"/>
          <w:lang w:val="en-MY" w:eastAsia="en-AU"/>
        </w:rPr>
        <w:t xml:space="preserve"> Additional q</w:t>
      </w:r>
      <w:r w:rsidRPr="008C5182">
        <w:rPr>
          <w:rFonts w:cstheme="minorHAnsi"/>
          <w:lang w:val="en-MY" w:eastAsia="en-AU"/>
        </w:rPr>
        <w:t>ualitative information self-assessing how implementation of the Program aligns with or deviates from the documented model</w:t>
      </w:r>
      <w:r w:rsidR="008C5182">
        <w:rPr>
          <w:rFonts w:cstheme="minorHAnsi"/>
          <w:lang w:val="en-MY" w:eastAsia="en-AU"/>
        </w:rPr>
        <w:t xml:space="preserve"> </w:t>
      </w:r>
      <w:r w:rsidRPr="008C5182">
        <w:rPr>
          <w:rFonts w:cstheme="minorHAnsi"/>
          <w:lang w:val="en-MY" w:eastAsia="en-AU"/>
        </w:rPr>
        <w:t>based on staff suggestions and other feedback</w:t>
      </w:r>
      <w:r w:rsidR="008C5182">
        <w:rPr>
          <w:rFonts w:cstheme="minorHAnsi"/>
          <w:lang w:val="en-MY" w:eastAsia="en-AU"/>
        </w:rPr>
        <w:t xml:space="preserve"> may also be included</w:t>
      </w:r>
      <w:r w:rsidRPr="008C5182">
        <w:rPr>
          <w:rFonts w:cstheme="minorHAnsi"/>
          <w:lang w:val="en-MY" w:eastAsia="en-AU"/>
        </w:rPr>
        <w:t>.</w:t>
      </w:r>
    </w:p>
    <w:p w14:paraId="7C45F143" w14:textId="77777777" w:rsidR="002F6224" w:rsidRDefault="007F3712" w:rsidP="002F6224">
      <w:pPr>
        <w:pStyle w:val="SUBHEAD2"/>
        <w:rPr>
          <w:rFonts w:asciiTheme="minorHAnsi" w:hAnsiTheme="minorHAnsi" w:cstheme="minorHAnsi"/>
          <w:lang w:val="en-MY" w:eastAsia="en-AU"/>
        </w:rPr>
      </w:pPr>
      <w:r w:rsidRPr="00E96309">
        <w:rPr>
          <w:rFonts w:asciiTheme="minorHAnsi" w:hAnsiTheme="minorHAnsi" w:cstheme="minorHAnsi"/>
          <w:lang w:val="en-MY" w:eastAsia="en-AU"/>
        </w:rPr>
        <w:t>ATC Model Theory of Change</w:t>
      </w:r>
    </w:p>
    <w:p w14:paraId="1AAC66D7" w14:textId="5646FC32" w:rsidR="007F3712" w:rsidRPr="002F6224" w:rsidRDefault="0074234C" w:rsidP="004D2E41">
      <w:pPr>
        <w:spacing w:before="120" w:after="120"/>
        <w:jc w:val="both"/>
        <w:rPr>
          <w:b/>
          <w:smallCaps/>
          <w:lang w:val="en-US" w:eastAsia="en-AU"/>
        </w:rPr>
      </w:pPr>
      <w:r w:rsidRPr="002F6224">
        <w:rPr>
          <w:lang w:val="en-US" w:eastAsia="en-AU"/>
        </w:rPr>
        <w:t xml:space="preserve">The ATC model’s theory of change (ToC) is a key </w:t>
      </w:r>
      <w:r w:rsidR="007F3712" w:rsidRPr="002F6224">
        <w:rPr>
          <w:lang w:val="en-US" w:eastAsia="en-AU"/>
        </w:rPr>
        <w:t>out</w:t>
      </w:r>
      <w:r w:rsidRPr="002F6224">
        <w:rPr>
          <w:lang w:val="en-US" w:eastAsia="en-AU"/>
        </w:rPr>
        <w:t xml:space="preserve">put </w:t>
      </w:r>
      <w:r w:rsidR="007F3712" w:rsidRPr="002F6224">
        <w:rPr>
          <w:lang w:val="en-US" w:eastAsia="en-AU"/>
        </w:rPr>
        <w:t xml:space="preserve">of </w:t>
      </w:r>
      <w:r w:rsidRPr="002F6224">
        <w:rPr>
          <w:lang w:val="en-US" w:eastAsia="en-AU"/>
        </w:rPr>
        <w:t xml:space="preserve">the program’s </w:t>
      </w:r>
      <w:r w:rsidR="007F3712" w:rsidRPr="002F6224">
        <w:rPr>
          <w:lang w:val="en-US" w:eastAsia="en-AU"/>
        </w:rPr>
        <w:t>co-design process involving Indigenous end-users, existing Commonwealth funded adult through-care service providers, community groups, and non-government organisations.</w:t>
      </w:r>
      <w:r w:rsidRPr="002F6224">
        <w:rPr>
          <w:lang w:val="en-US" w:eastAsia="en-AU"/>
        </w:rPr>
        <w:t xml:space="preserve"> </w:t>
      </w:r>
      <w:r w:rsidR="007F3712" w:rsidRPr="002F6224">
        <w:rPr>
          <w:lang w:val="en-US" w:eastAsia="en-AU"/>
        </w:rPr>
        <w:t xml:space="preserve">As stated in the ATC </w:t>
      </w:r>
      <w:r w:rsidR="00F338B3" w:rsidRPr="002F6224">
        <w:rPr>
          <w:lang w:val="en-US" w:eastAsia="en-AU"/>
        </w:rPr>
        <w:t>m</w:t>
      </w:r>
      <w:r w:rsidR="007F3712" w:rsidRPr="002F6224">
        <w:rPr>
          <w:lang w:val="en-US" w:eastAsia="en-AU"/>
        </w:rPr>
        <w:t xml:space="preserve">odel documentation, the ToC for delivering the ATC </w:t>
      </w:r>
      <w:r w:rsidR="00F338B3" w:rsidRPr="002F6224">
        <w:rPr>
          <w:lang w:val="en-US" w:eastAsia="en-AU"/>
        </w:rPr>
        <w:t>p</w:t>
      </w:r>
      <w:r w:rsidR="007F3712" w:rsidRPr="002F6224">
        <w:rPr>
          <w:lang w:val="en-US" w:eastAsia="en-AU"/>
        </w:rPr>
        <w:t>rogram is:</w:t>
      </w:r>
    </w:p>
    <w:p w14:paraId="62F20BC9" w14:textId="1CDE9679" w:rsidR="007F3712" w:rsidRPr="00900673" w:rsidRDefault="007F3712" w:rsidP="007F3712">
      <w:pPr>
        <w:jc w:val="both"/>
        <w:rPr>
          <w:rFonts w:cstheme="minorHAnsi"/>
          <w:b/>
          <w:bCs/>
          <w:i/>
          <w:iCs/>
          <w:lang w:val="en-US" w:eastAsia="en-AU"/>
        </w:rPr>
      </w:pPr>
      <w:r w:rsidRPr="00E96309">
        <w:rPr>
          <w:rFonts w:cstheme="minorHAnsi"/>
          <w:b/>
          <w:bCs/>
          <w:i/>
          <w:iCs/>
          <w:lang w:val="en-US" w:eastAsia="en-AU"/>
        </w:rPr>
        <w:t xml:space="preserve">A </w:t>
      </w:r>
      <w:r w:rsidR="00A6555D" w:rsidRPr="00E96309">
        <w:rPr>
          <w:rFonts w:cstheme="minorHAnsi"/>
          <w:b/>
          <w:bCs/>
          <w:i/>
          <w:iCs/>
          <w:lang w:val="en-US" w:eastAsia="en-AU"/>
        </w:rPr>
        <w:t>culturally safe</w:t>
      </w:r>
      <w:r w:rsidR="0074234C" w:rsidRPr="00900673">
        <w:rPr>
          <w:rStyle w:val="FootnoteReference"/>
          <w:rFonts w:cstheme="minorHAnsi"/>
          <w:b/>
          <w:bCs/>
          <w:i/>
          <w:iCs/>
          <w:lang w:val="en-US" w:eastAsia="en-AU"/>
        </w:rPr>
        <w:footnoteReference w:id="19"/>
      </w:r>
      <w:r w:rsidRPr="00E96309">
        <w:rPr>
          <w:rFonts w:cstheme="minorHAnsi"/>
          <w:b/>
          <w:bCs/>
          <w:i/>
          <w:iCs/>
          <w:lang w:val="en-US" w:eastAsia="en-AU"/>
        </w:rPr>
        <w:t xml:space="preserve"> adult through-care journey for Aboriginal and Torres Strait Islanders that considers social and individual needs and risks, will support improved social and emotional wellbeing and connection to country, community and family, and ultimately lead to a reduction in the occurrence and severity of reoffending.</w:t>
      </w:r>
    </w:p>
    <w:p w14:paraId="0D479D07" w14:textId="77777777" w:rsidR="0074234C" w:rsidRDefault="0074234C" w:rsidP="007F3712">
      <w:pPr>
        <w:jc w:val="both"/>
        <w:rPr>
          <w:rFonts w:cstheme="minorHAnsi"/>
          <w:i/>
          <w:iCs/>
          <w:lang w:val="en-US" w:eastAsia="en-AU"/>
        </w:rPr>
      </w:pPr>
    </w:p>
    <w:p w14:paraId="54FABA69" w14:textId="62BB1368" w:rsidR="0074234C" w:rsidRDefault="00B054F9" w:rsidP="007F3712">
      <w:pPr>
        <w:jc w:val="both"/>
        <w:rPr>
          <w:rFonts w:cstheme="minorHAnsi"/>
          <w:lang w:val="en-US" w:eastAsia="en-AU"/>
        </w:rPr>
      </w:pPr>
      <w:r w:rsidRPr="00E96309">
        <w:rPr>
          <w:rFonts w:cstheme="minorHAnsi"/>
          <w:lang w:val="en-US" w:eastAsia="en-AU"/>
        </w:rPr>
        <w:t xml:space="preserve">The reintegration suggested by the ToC refers </w:t>
      </w:r>
      <w:r>
        <w:rPr>
          <w:rFonts w:cstheme="minorHAnsi"/>
          <w:lang w:val="en-US" w:eastAsia="en-AU"/>
        </w:rPr>
        <w:t xml:space="preserve">to </w:t>
      </w:r>
      <w:r w:rsidRPr="00E96309">
        <w:rPr>
          <w:rFonts w:cstheme="minorHAnsi"/>
          <w:lang w:val="en-US" w:eastAsia="en-AU"/>
        </w:rPr>
        <w:t>a client’s transition out of prison and back to community where they can make pro-social choices and decisions about their life, leading to a reduction in the incidence of recidivism.</w:t>
      </w:r>
      <w:r>
        <w:rPr>
          <w:rFonts w:cstheme="minorHAnsi"/>
          <w:lang w:val="en-US" w:eastAsia="en-AU"/>
        </w:rPr>
        <w:t xml:space="preserve"> </w:t>
      </w:r>
      <w:r w:rsidR="007F3712" w:rsidRPr="00E96309">
        <w:rPr>
          <w:rFonts w:cstheme="minorHAnsi"/>
          <w:lang w:val="en-US" w:eastAsia="en-AU"/>
        </w:rPr>
        <w:t xml:space="preserve">The stated aims of the ATC </w:t>
      </w:r>
      <w:r w:rsidR="0074234C">
        <w:rPr>
          <w:rFonts w:cstheme="minorHAnsi"/>
          <w:lang w:val="en-US" w:eastAsia="en-AU"/>
        </w:rPr>
        <w:t>model</w:t>
      </w:r>
      <w:r w:rsidR="007F3712" w:rsidRPr="00E96309">
        <w:rPr>
          <w:rFonts w:cstheme="minorHAnsi"/>
          <w:lang w:val="en-US" w:eastAsia="en-AU"/>
        </w:rPr>
        <w:t xml:space="preserve"> </w:t>
      </w:r>
      <w:r w:rsidR="0074234C">
        <w:rPr>
          <w:rFonts w:cstheme="minorHAnsi"/>
          <w:lang w:val="en-US" w:eastAsia="en-AU"/>
        </w:rPr>
        <w:t xml:space="preserve">according to this theory </w:t>
      </w:r>
      <w:r w:rsidR="007F3712" w:rsidRPr="00E96309">
        <w:rPr>
          <w:rFonts w:cstheme="minorHAnsi"/>
          <w:lang w:val="en-US" w:eastAsia="en-AU"/>
        </w:rPr>
        <w:t>are to</w:t>
      </w:r>
      <w:r w:rsidR="0074234C">
        <w:rPr>
          <w:rFonts w:cstheme="minorHAnsi"/>
          <w:lang w:val="en-US" w:eastAsia="en-AU"/>
        </w:rPr>
        <w:t>:</w:t>
      </w:r>
    </w:p>
    <w:p w14:paraId="4CA742CE" w14:textId="77777777" w:rsidR="0074234C" w:rsidRDefault="0074234C" w:rsidP="007F3712">
      <w:pPr>
        <w:jc w:val="both"/>
        <w:rPr>
          <w:rFonts w:cstheme="minorHAnsi"/>
          <w:lang w:val="en-US" w:eastAsia="en-AU"/>
        </w:rPr>
      </w:pPr>
    </w:p>
    <w:p w14:paraId="63747608" w14:textId="77777777" w:rsidR="0074234C" w:rsidRDefault="007F3712" w:rsidP="00B77817">
      <w:pPr>
        <w:pStyle w:val="ListParagraph"/>
        <w:numPr>
          <w:ilvl w:val="0"/>
          <w:numId w:val="63"/>
        </w:numPr>
        <w:jc w:val="both"/>
        <w:rPr>
          <w:rFonts w:cstheme="minorHAnsi"/>
          <w:lang w:val="en-US" w:eastAsia="en-AU"/>
        </w:rPr>
      </w:pPr>
      <w:r w:rsidRPr="0074234C">
        <w:rPr>
          <w:rFonts w:cstheme="minorHAnsi"/>
          <w:lang w:val="en-US" w:eastAsia="en-AU"/>
        </w:rPr>
        <w:t>Reduce the frequency and severity of re-offending incidences and consequent recidivism among Indigenous adults.</w:t>
      </w:r>
    </w:p>
    <w:p w14:paraId="5BC49A6E" w14:textId="77777777" w:rsidR="0074234C" w:rsidRDefault="0074234C" w:rsidP="0074234C">
      <w:pPr>
        <w:pStyle w:val="ListParagraph"/>
        <w:jc w:val="both"/>
        <w:rPr>
          <w:rFonts w:cstheme="minorHAnsi"/>
          <w:lang w:val="en-US" w:eastAsia="en-AU"/>
        </w:rPr>
      </w:pPr>
    </w:p>
    <w:p w14:paraId="2322A4C9" w14:textId="3B4F120E" w:rsidR="007F3712" w:rsidRPr="0074234C" w:rsidRDefault="007F3712" w:rsidP="00B77817">
      <w:pPr>
        <w:pStyle w:val="ListParagraph"/>
        <w:numPr>
          <w:ilvl w:val="0"/>
          <w:numId w:val="63"/>
        </w:numPr>
        <w:jc w:val="both"/>
        <w:rPr>
          <w:rFonts w:cstheme="minorHAnsi"/>
          <w:lang w:val="en-US" w:eastAsia="en-AU"/>
        </w:rPr>
      </w:pPr>
      <w:r w:rsidRPr="0074234C">
        <w:rPr>
          <w:rFonts w:cstheme="minorHAnsi"/>
          <w:lang w:val="en-US" w:eastAsia="en-AU"/>
        </w:rPr>
        <w:t>Ensure Indigenous people in prison, or who have exited prison with high and complex needs, receive the services they need for successful and culturally competent reintegration into the community, including addressing the underlying risk factors and any gender-specific needs and experiences of females.</w:t>
      </w:r>
    </w:p>
    <w:p w14:paraId="210A8E04" w14:textId="77777777" w:rsidR="0074234C" w:rsidRDefault="0074234C" w:rsidP="007F3712">
      <w:pPr>
        <w:jc w:val="both"/>
        <w:rPr>
          <w:rFonts w:cstheme="minorHAnsi"/>
          <w:lang w:val="en-US" w:eastAsia="en-AU"/>
        </w:rPr>
      </w:pPr>
    </w:p>
    <w:p w14:paraId="5117014B" w14:textId="5563DC90" w:rsidR="007F3712" w:rsidRPr="00E96309" w:rsidRDefault="007F3712" w:rsidP="007F3712">
      <w:pPr>
        <w:jc w:val="both"/>
        <w:rPr>
          <w:rFonts w:cstheme="minorHAnsi"/>
          <w:lang w:val="en-US" w:eastAsia="en-AU"/>
        </w:rPr>
      </w:pPr>
      <w:r w:rsidRPr="00E96309">
        <w:rPr>
          <w:rFonts w:cstheme="minorHAnsi"/>
          <w:lang w:val="en-US" w:eastAsia="en-AU"/>
        </w:rPr>
        <w:t xml:space="preserve">Figure </w:t>
      </w:r>
      <w:r w:rsidR="00900673">
        <w:rPr>
          <w:rFonts w:cstheme="minorHAnsi"/>
          <w:lang w:val="en-US" w:eastAsia="en-AU"/>
        </w:rPr>
        <w:t>2</w:t>
      </w:r>
      <w:r w:rsidRPr="00E96309">
        <w:rPr>
          <w:rFonts w:cstheme="minorHAnsi"/>
          <w:lang w:val="en-US" w:eastAsia="en-AU"/>
        </w:rPr>
        <w:t xml:space="preserve"> overpage presents the program logic </w:t>
      </w:r>
      <w:r w:rsidR="00B054F9">
        <w:rPr>
          <w:rFonts w:cstheme="minorHAnsi"/>
          <w:lang w:val="en-US" w:eastAsia="en-AU"/>
        </w:rPr>
        <w:t xml:space="preserve">based on the agreed ToC </w:t>
      </w:r>
      <w:r w:rsidRPr="00E96309">
        <w:rPr>
          <w:rFonts w:cstheme="minorHAnsi"/>
          <w:lang w:val="en-US" w:eastAsia="en-AU"/>
        </w:rPr>
        <w:t>developed through the co-design process, where:</w:t>
      </w:r>
    </w:p>
    <w:p w14:paraId="1EDAD5B3" w14:textId="77777777" w:rsidR="00B054F9" w:rsidRDefault="00B054F9" w:rsidP="007F3712">
      <w:pPr>
        <w:jc w:val="both"/>
        <w:rPr>
          <w:rFonts w:cstheme="minorHAnsi"/>
          <w:lang w:val="en-US" w:eastAsia="en-AU"/>
        </w:rPr>
      </w:pPr>
    </w:p>
    <w:p w14:paraId="7A9982D8" w14:textId="041E70D2" w:rsidR="007F3712" w:rsidRPr="00B054F9" w:rsidRDefault="007F3712" w:rsidP="00B77817">
      <w:pPr>
        <w:pStyle w:val="ListParagraph"/>
        <w:numPr>
          <w:ilvl w:val="0"/>
          <w:numId w:val="64"/>
        </w:numPr>
        <w:jc w:val="both"/>
        <w:rPr>
          <w:rFonts w:cstheme="minorHAnsi"/>
          <w:lang w:val="en-US" w:eastAsia="en-AU"/>
        </w:rPr>
      </w:pPr>
      <w:r w:rsidRPr="00BC0E6C">
        <w:rPr>
          <w:rFonts w:cstheme="minorHAnsi"/>
          <w:b/>
          <w:bCs/>
          <w:lang w:val="en-US" w:eastAsia="en-AU"/>
        </w:rPr>
        <w:t>Program Inputs</w:t>
      </w:r>
      <w:r w:rsidRPr="00B054F9">
        <w:rPr>
          <w:rFonts w:cstheme="minorHAnsi"/>
          <w:lang w:val="en-US" w:eastAsia="en-AU"/>
        </w:rPr>
        <w:t xml:space="preserve"> – Includes program design, funding and the resources and enablers such as workforce required to deliver the program.  </w:t>
      </w:r>
    </w:p>
    <w:p w14:paraId="0ADF4CA0" w14:textId="77777777" w:rsidR="00B054F9" w:rsidRDefault="00B054F9" w:rsidP="007F3712">
      <w:pPr>
        <w:jc w:val="both"/>
        <w:rPr>
          <w:rFonts w:cstheme="minorHAnsi"/>
          <w:lang w:val="en-US" w:eastAsia="en-AU"/>
        </w:rPr>
      </w:pPr>
    </w:p>
    <w:p w14:paraId="6E3D882F" w14:textId="717BF8F1" w:rsidR="007F3712" w:rsidRPr="00B054F9" w:rsidRDefault="007F3712" w:rsidP="00B77817">
      <w:pPr>
        <w:pStyle w:val="ListParagraph"/>
        <w:numPr>
          <w:ilvl w:val="0"/>
          <w:numId w:val="64"/>
        </w:numPr>
        <w:jc w:val="both"/>
        <w:rPr>
          <w:rFonts w:cstheme="minorHAnsi"/>
          <w:lang w:val="en-US" w:eastAsia="en-AU"/>
        </w:rPr>
      </w:pPr>
      <w:r w:rsidRPr="00BC0E6C">
        <w:rPr>
          <w:rFonts w:cstheme="minorHAnsi"/>
          <w:b/>
          <w:bCs/>
          <w:lang w:val="en-US" w:eastAsia="en-AU"/>
        </w:rPr>
        <w:t>Program Outputs</w:t>
      </w:r>
      <w:r w:rsidRPr="00B054F9">
        <w:rPr>
          <w:rFonts w:cstheme="minorHAnsi"/>
          <w:lang w:val="en-US" w:eastAsia="en-AU"/>
        </w:rPr>
        <w:t xml:space="preserve"> – The application of program principles and other core elements of the ATC Model related to case management; family, </w:t>
      </w:r>
      <w:r w:rsidR="00B96C7E" w:rsidRPr="00B054F9">
        <w:rPr>
          <w:rFonts w:cstheme="minorHAnsi"/>
          <w:lang w:val="en-US" w:eastAsia="en-AU"/>
        </w:rPr>
        <w:t>community,</w:t>
      </w:r>
      <w:r w:rsidRPr="00B054F9">
        <w:rPr>
          <w:rFonts w:cstheme="minorHAnsi"/>
          <w:lang w:val="en-US" w:eastAsia="en-AU"/>
        </w:rPr>
        <w:t xml:space="preserve"> and cultural support; and collaboration with external service providers.</w:t>
      </w:r>
    </w:p>
    <w:p w14:paraId="010970D4" w14:textId="77777777" w:rsidR="00B054F9" w:rsidRDefault="00B054F9" w:rsidP="007F3712">
      <w:pPr>
        <w:jc w:val="both"/>
        <w:rPr>
          <w:rFonts w:cstheme="minorHAnsi"/>
          <w:lang w:val="en-US" w:eastAsia="en-AU"/>
        </w:rPr>
      </w:pPr>
    </w:p>
    <w:p w14:paraId="499E6CAF" w14:textId="338B4601" w:rsidR="007F3712" w:rsidRPr="00B054F9" w:rsidRDefault="007F3712" w:rsidP="00B77817">
      <w:pPr>
        <w:pStyle w:val="ListParagraph"/>
        <w:numPr>
          <w:ilvl w:val="0"/>
          <w:numId w:val="64"/>
        </w:numPr>
        <w:jc w:val="both"/>
        <w:rPr>
          <w:rFonts w:cstheme="minorHAnsi"/>
          <w:lang w:val="en-US" w:eastAsia="en-AU"/>
        </w:rPr>
      </w:pPr>
      <w:r w:rsidRPr="00BC0E6C">
        <w:rPr>
          <w:rFonts w:cstheme="minorHAnsi"/>
          <w:b/>
          <w:bCs/>
          <w:lang w:val="en-US" w:eastAsia="en-AU"/>
        </w:rPr>
        <w:t>Program Outcomes</w:t>
      </w:r>
      <w:r w:rsidRPr="00B054F9">
        <w:rPr>
          <w:rFonts w:cstheme="minorHAnsi"/>
          <w:lang w:val="en-US" w:eastAsia="en-AU"/>
        </w:rPr>
        <w:t xml:space="preserve"> – The immediate effects of the case management, engagement and referral processes in terms of the achievement of short to-medium term client goals along their journey.</w:t>
      </w:r>
    </w:p>
    <w:p w14:paraId="6D04F1E0" w14:textId="77777777" w:rsidR="00B054F9" w:rsidRDefault="00B054F9" w:rsidP="007F3712">
      <w:pPr>
        <w:jc w:val="both"/>
        <w:rPr>
          <w:rFonts w:cstheme="minorHAnsi"/>
          <w:lang w:val="en-US" w:eastAsia="en-AU"/>
        </w:rPr>
      </w:pPr>
    </w:p>
    <w:p w14:paraId="6E937147" w14:textId="296D9A38" w:rsidR="00B054F9" w:rsidRPr="00B054F9" w:rsidRDefault="007F3712" w:rsidP="00B77817">
      <w:pPr>
        <w:pStyle w:val="ListParagraph"/>
        <w:numPr>
          <w:ilvl w:val="0"/>
          <w:numId w:val="64"/>
        </w:numPr>
        <w:jc w:val="both"/>
        <w:rPr>
          <w:rFonts w:cstheme="minorHAnsi"/>
          <w:lang w:val="en-US" w:eastAsia="en-AU"/>
        </w:rPr>
      </w:pPr>
      <w:r w:rsidRPr="00BC0E6C">
        <w:rPr>
          <w:rFonts w:cstheme="minorHAnsi"/>
          <w:b/>
          <w:bCs/>
          <w:lang w:val="en-US" w:eastAsia="en-AU"/>
        </w:rPr>
        <w:t>Program Impacts</w:t>
      </w:r>
      <w:r w:rsidRPr="00B054F9">
        <w:rPr>
          <w:rFonts w:cstheme="minorHAnsi"/>
          <w:lang w:val="en-US" w:eastAsia="en-AU"/>
        </w:rPr>
        <w:t xml:space="preserve"> – The resulting longer-term consequences of the achievement of client goals on personal empowerment and meaningful connection with social and cultural institutions, leading to a reduction in anti-social and criminal behaviours.</w:t>
      </w:r>
    </w:p>
    <w:p w14:paraId="4BD21B0F" w14:textId="77777777" w:rsidR="00B054F9" w:rsidRDefault="00B054F9" w:rsidP="007F3712">
      <w:pPr>
        <w:jc w:val="both"/>
        <w:rPr>
          <w:rFonts w:cstheme="minorHAnsi"/>
          <w:lang w:val="en-US" w:eastAsia="en-AU"/>
        </w:rPr>
      </w:pPr>
    </w:p>
    <w:p w14:paraId="76BA815D" w14:textId="6C01CB30" w:rsidR="00B054F9" w:rsidRPr="007F3712" w:rsidRDefault="00B054F9" w:rsidP="007F3712">
      <w:pPr>
        <w:jc w:val="both"/>
        <w:rPr>
          <w:rFonts w:cstheme="minorHAnsi"/>
          <w:lang w:val="en-US" w:eastAsia="en-AU"/>
        </w:rPr>
      </w:pPr>
      <w:r w:rsidRPr="00E96309">
        <w:rPr>
          <w:rFonts w:cstheme="minorHAnsi"/>
          <w:lang w:val="en-US" w:eastAsia="en-AU"/>
        </w:rPr>
        <w:t>The program logic supports program planning, delivery, monitoring and evaluation by defining the activities that comprise each program and the changes that are expected to result from them.</w:t>
      </w:r>
    </w:p>
    <w:p w14:paraId="4F6EF44C" w14:textId="77777777" w:rsidR="00EE155C" w:rsidRDefault="00EE155C" w:rsidP="00E710F8">
      <w:pPr>
        <w:pStyle w:val="Heading2"/>
        <w:rPr>
          <w:rFonts w:cstheme="minorHAnsi"/>
          <w:lang w:val="en-MY"/>
        </w:rPr>
        <w:sectPr w:rsidR="00EE155C" w:rsidSect="00A04873">
          <w:headerReference w:type="default" r:id="rId14"/>
          <w:pgSz w:w="11906" w:h="16838"/>
          <w:pgMar w:top="851" w:right="1418" w:bottom="1701" w:left="1418" w:header="1531" w:footer="737" w:gutter="0"/>
          <w:cols w:space="720"/>
          <w:docGrid w:linePitch="326"/>
        </w:sectPr>
      </w:pPr>
    </w:p>
    <w:p w14:paraId="5B7DCC55" w14:textId="017EFD74" w:rsidR="00922FA8" w:rsidRPr="00922FA8" w:rsidRDefault="00107B21" w:rsidP="00107B21">
      <w:pPr>
        <w:jc w:val="both"/>
        <w:rPr>
          <w:rFonts w:cstheme="minorHAnsi"/>
          <w:i/>
          <w:iCs/>
          <w:color w:val="1F497D" w:themeColor="text2"/>
          <w:sz w:val="20"/>
          <w:szCs w:val="20"/>
        </w:rPr>
      </w:pPr>
      <w:r>
        <w:rPr>
          <w:rFonts w:cstheme="minorHAnsi"/>
          <w:i/>
          <w:iCs/>
          <w:color w:val="1F497D" w:themeColor="text2"/>
          <w:sz w:val="20"/>
          <w:szCs w:val="20"/>
        </w:rPr>
        <w:t xml:space="preserve">Figure 2 </w:t>
      </w:r>
      <w:r w:rsidRPr="00A22692">
        <w:rPr>
          <w:rFonts w:cstheme="minorHAnsi"/>
          <w:i/>
          <w:iCs/>
          <w:color w:val="1F497D" w:themeColor="text2"/>
          <w:sz w:val="20"/>
          <w:szCs w:val="20"/>
        </w:rPr>
        <w:t xml:space="preserve">– ATC </w:t>
      </w:r>
      <w:r>
        <w:rPr>
          <w:rFonts w:cstheme="minorHAnsi"/>
          <w:i/>
          <w:iCs/>
          <w:color w:val="1F497D" w:themeColor="text2"/>
          <w:sz w:val="20"/>
          <w:szCs w:val="20"/>
        </w:rPr>
        <w:t>Model Program Logic (Source: ABT Associates)</w:t>
      </w:r>
    </w:p>
    <w:p w14:paraId="2C382A91" w14:textId="77777777" w:rsidR="00922FA8" w:rsidRPr="007868BF" w:rsidRDefault="00922FA8" w:rsidP="00922FA8"/>
    <w:p w14:paraId="336C0045" w14:textId="14A8C2B7" w:rsidR="00EE155C" w:rsidRPr="00EE155C" w:rsidRDefault="00EE155C" w:rsidP="00EE155C">
      <w:pPr>
        <w:rPr>
          <w:lang w:val="en-MY"/>
        </w:rPr>
      </w:pPr>
      <w:r>
        <w:rPr>
          <w:noProof/>
          <w:lang w:eastAsia="en-AU"/>
        </w:rPr>
        <w:drawing>
          <wp:inline distT="0" distB="0" distL="0" distR="0" wp14:anchorId="209C5C35" wp14:editId="7351EBE5">
            <wp:extent cx="9575165" cy="4840941"/>
            <wp:effectExtent l="0" t="0" r="6985" b="0"/>
            <wp:docPr id="1090857990" name="Picture 1" descr="Program model logic for ATC. Flow diagram with four boxes from left to right. Box 1: inputs: workforce, recruitment, training and development; funding and service model; strategies and tools; data collection processes; administrative arrangements; service coordination. Box 2: outputs: principles applied and model implemented; client action plans; case work and client support; referrals to services; client participation; family participation; agency support; staff supervision; rlease logistics. Box 3: increased participation in organised activities; improved connection to culture and family; pathways to safe and stable housing; improved mental and physical health; AoD harm minimisation; avoidance of DFV; client needs and risks addressed; and improved SEWB. Box 4: clients empowered, increased cultural connection and leadership, reduced recidivism, reduced severity of offending, greater length of time between offences. Two boxes underneath list assumptions: available human and financial resourcing, appropriate client and stakeholder engagement, data access, accuracy and quality, and supportive policy and governance. External factors: capacity of local external agencies and service providers to support the model, PESTLE and market factor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57990" name="Picture 1090857990"/>
                    <pic:cNvPicPr/>
                  </pic:nvPicPr>
                  <pic:blipFill rotWithShape="1">
                    <a:blip r:embed="rId15"/>
                    <a:srcRect l="28532" t="43043" r="22291" b="17266"/>
                    <a:stretch/>
                  </pic:blipFill>
                  <pic:spPr bwMode="auto">
                    <a:xfrm>
                      <a:off x="0" y="0"/>
                      <a:ext cx="9594232" cy="4850581"/>
                    </a:xfrm>
                    <a:prstGeom prst="rect">
                      <a:avLst/>
                    </a:prstGeom>
                    <a:ln>
                      <a:noFill/>
                    </a:ln>
                    <a:extLst>
                      <a:ext uri="{53640926-AAD7-44D8-BBD7-CCE9431645EC}">
                        <a14:shadowObscured xmlns:a14="http://schemas.microsoft.com/office/drawing/2010/main"/>
                      </a:ext>
                    </a:extLst>
                  </pic:spPr>
                </pic:pic>
              </a:graphicData>
            </a:graphic>
          </wp:inline>
        </w:drawing>
      </w:r>
    </w:p>
    <w:p w14:paraId="7B4696F7" w14:textId="77777777" w:rsidR="00EE155C" w:rsidRPr="00EE155C" w:rsidRDefault="00EE155C" w:rsidP="00EE155C">
      <w:pPr>
        <w:rPr>
          <w:lang w:val="en-MY"/>
        </w:rPr>
      </w:pPr>
    </w:p>
    <w:p w14:paraId="6E9EE50B" w14:textId="77777777" w:rsidR="00EE155C" w:rsidRPr="00EE155C" w:rsidRDefault="00EE155C" w:rsidP="00EE155C">
      <w:pPr>
        <w:rPr>
          <w:lang w:val="en-MY"/>
        </w:rPr>
        <w:sectPr w:rsidR="00EE155C" w:rsidRPr="00EE155C" w:rsidSect="00A04873">
          <w:headerReference w:type="default" r:id="rId16"/>
          <w:pgSz w:w="16838" w:h="11906" w:orient="landscape"/>
          <w:pgMar w:top="1418" w:right="1701" w:bottom="1418" w:left="851" w:header="1531" w:footer="737" w:gutter="0"/>
          <w:cols w:space="720"/>
          <w:docGrid w:linePitch="326"/>
        </w:sectPr>
      </w:pPr>
    </w:p>
    <w:p w14:paraId="756F8430" w14:textId="5E973FEE" w:rsidR="001D06A0" w:rsidRPr="00BC2894" w:rsidRDefault="001D06A0" w:rsidP="00E710F8">
      <w:pPr>
        <w:pStyle w:val="Heading2"/>
        <w:rPr>
          <w:rFonts w:cstheme="minorHAnsi"/>
          <w:lang w:val="en-MY"/>
        </w:rPr>
      </w:pPr>
      <w:bookmarkStart w:id="21" w:name="_Toc150784195"/>
      <w:r w:rsidRPr="00BC2894">
        <w:rPr>
          <w:rFonts w:cstheme="minorHAnsi"/>
          <w:lang w:val="en-MY"/>
        </w:rPr>
        <w:t>Youth Through Care Program</w:t>
      </w:r>
      <w:bookmarkEnd w:id="21"/>
    </w:p>
    <w:p w14:paraId="522F1E4C" w14:textId="3EF93CFB" w:rsidR="001D06A0" w:rsidRDefault="001D06A0" w:rsidP="00BC2894">
      <w:pPr>
        <w:jc w:val="both"/>
        <w:rPr>
          <w:rFonts w:cstheme="minorHAnsi"/>
          <w:lang w:val="en-MY" w:eastAsia="en-AU"/>
        </w:rPr>
      </w:pPr>
      <w:r w:rsidRPr="00BC2894">
        <w:rPr>
          <w:rFonts w:cstheme="minorHAnsi"/>
          <w:lang w:val="en-MY" w:eastAsia="en-AU"/>
        </w:rPr>
        <w:t xml:space="preserve">The YTC Program was also developed following an extensive co-design process and initially trialled between 2019 and 2021 in Queensland, the Northern Territory and Victoria. Like the ATC </w:t>
      </w:r>
      <w:r w:rsidR="00F338B3">
        <w:rPr>
          <w:rFonts w:cstheme="minorHAnsi"/>
          <w:lang w:val="en-MY" w:eastAsia="en-AU"/>
        </w:rPr>
        <w:t>m</w:t>
      </w:r>
      <w:r w:rsidRPr="00BC2894">
        <w:rPr>
          <w:rFonts w:cstheme="minorHAnsi"/>
          <w:lang w:val="en-MY" w:eastAsia="en-AU"/>
        </w:rPr>
        <w:t xml:space="preserve">odel, the YTC </w:t>
      </w:r>
      <w:r w:rsidR="00F338B3">
        <w:rPr>
          <w:rFonts w:cstheme="minorHAnsi"/>
          <w:lang w:val="en-MY" w:eastAsia="en-AU"/>
        </w:rPr>
        <w:t>model</w:t>
      </w:r>
      <w:r w:rsidRPr="00BC2894">
        <w:rPr>
          <w:rFonts w:cstheme="minorHAnsi"/>
          <w:lang w:val="en-MY" w:eastAsia="en-AU"/>
        </w:rPr>
        <w:t xml:space="preserve"> is intended to be client-centred, holistic, culturally safe, </w:t>
      </w:r>
      <w:r w:rsidR="00F338B3">
        <w:rPr>
          <w:rFonts w:cstheme="minorHAnsi"/>
          <w:lang w:val="en-MY" w:eastAsia="en-AU"/>
        </w:rPr>
        <w:t xml:space="preserve">and </w:t>
      </w:r>
      <w:r w:rsidRPr="00BC2894">
        <w:rPr>
          <w:rFonts w:cstheme="minorHAnsi"/>
          <w:lang w:val="en-MY" w:eastAsia="en-AU"/>
        </w:rPr>
        <w:t xml:space="preserve">trauma-informed, </w:t>
      </w:r>
      <w:r w:rsidR="00997390">
        <w:rPr>
          <w:rFonts w:cstheme="minorHAnsi"/>
          <w:lang w:val="en-MY" w:eastAsia="en-AU"/>
        </w:rPr>
        <w:t>supporting</w:t>
      </w:r>
      <w:r w:rsidRPr="00BC2894">
        <w:rPr>
          <w:rFonts w:cstheme="minorHAnsi"/>
          <w:lang w:val="en-MY" w:eastAsia="en-AU"/>
        </w:rPr>
        <w:t xml:space="preserve"> Indigenous youth exiting detention. It aims to intensively support young people following their initial contact with correctional services, until they have reintegrated into the community.</w:t>
      </w:r>
    </w:p>
    <w:p w14:paraId="448F35CC" w14:textId="77777777" w:rsidR="00E710F8" w:rsidRPr="00BC2894" w:rsidRDefault="00E710F8" w:rsidP="00BC2894">
      <w:pPr>
        <w:jc w:val="both"/>
        <w:rPr>
          <w:rFonts w:cstheme="minorHAnsi"/>
          <w:lang w:val="en-MY" w:eastAsia="en-AU"/>
        </w:rPr>
      </w:pPr>
    </w:p>
    <w:p w14:paraId="74AA22FF" w14:textId="24807FA8" w:rsidR="001D06A0" w:rsidRDefault="001D06A0" w:rsidP="00BC2894">
      <w:pPr>
        <w:jc w:val="both"/>
        <w:rPr>
          <w:rFonts w:cstheme="minorHAnsi"/>
          <w:lang w:val="en-MY" w:eastAsia="en-AU"/>
        </w:rPr>
      </w:pPr>
      <w:r w:rsidRPr="00BC2894">
        <w:rPr>
          <w:rFonts w:cstheme="minorHAnsi"/>
          <w:lang w:val="en-MY" w:eastAsia="en-AU"/>
        </w:rPr>
        <w:t xml:space="preserve">Access to the program is similarly voluntary, with places intended to be offered to Indigenous youth aged 10 to 17 years (at </w:t>
      </w:r>
      <w:r w:rsidR="00F338B3">
        <w:rPr>
          <w:rFonts w:cstheme="minorHAnsi"/>
          <w:lang w:val="en-MY" w:eastAsia="en-AU"/>
        </w:rPr>
        <w:t xml:space="preserve">the </w:t>
      </w:r>
      <w:r w:rsidRPr="00BC2894">
        <w:rPr>
          <w:rFonts w:cstheme="minorHAnsi"/>
          <w:lang w:val="en-MY" w:eastAsia="en-AU"/>
        </w:rPr>
        <w:t xml:space="preserve">time of intake) and either sentenced or on remand in selected youth detention facilities. The YTC model intends to prioritise early engagement with prospective clients, ideally at the moment of entry into the detention system, and continuing throughout the period of detention through to release and a minimum of 12 months post-release. Like the ATC model, the intensity of support typically increases around the time of release, although YTC case workers must be aware of elevated risk factors affecting youth which may require additional supports (e.g. transitioning to an adult prison, increased vulnerability associated with release at holiday times, family or community factors, or particular health requirements). </w:t>
      </w:r>
    </w:p>
    <w:p w14:paraId="318A4A25" w14:textId="77777777" w:rsidR="00E710F8" w:rsidRPr="00BC2894" w:rsidRDefault="00E710F8" w:rsidP="00BC2894">
      <w:pPr>
        <w:jc w:val="both"/>
        <w:rPr>
          <w:rFonts w:cstheme="minorHAnsi"/>
          <w:lang w:val="en-MY" w:eastAsia="en-AU"/>
        </w:rPr>
      </w:pPr>
    </w:p>
    <w:p w14:paraId="1130E3A2" w14:textId="7EB65E02" w:rsidR="001D06A0" w:rsidRDefault="001D06A0" w:rsidP="00BC2894">
      <w:pPr>
        <w:jc w:val="both"/>
        <w:rPr>
          <w:rFonts w:cstheme="minorHAnsi"/>
          <w:lang w:val="en-MY" w:eastAsia="en-AU"/>
        </w:rPr>
      </w:pPr>
      <w:r w:rsidRPr="00BC2894">
        <w:rPr>
          <w:rFonts w:cstheme="minorHAnsi"/>
          <w:lang w:val="en-MY" w:eastAsia="en-AU"/>
        </w:rPr>
        <w:t xml:space="preserve">Given the range of elevated risk factors and the vulnerability of the client base, the YTC model encourages providers to refer to their detention facility risk assessment policies and the relevant State or Territory based Work Health and Safety procedures when conducting client risk assessments. YTC staff must also comply with the prevailing child safety, working with children, and mandatory reporting legislation in their relevant State or Territory. For clients with dual child protection and youth justice orders, providers should work closely with </w:t>
      </w:r>
      <w:r w:rsidR="00694565">
        <w:rPr>
          <w:rFonts w:cstheme="minorHAnsi"/>
          <w:lang w:val="en-MY" w:eastAsia="en-AU"/>
        </w:rPr>
        <w:t>c</w:t>
      </w:r>
      <w:r w:rsidRPr="00BC2894">
        <w:rPr>
          <w:rFonts w:cstheme="minorHAnsi"/>
          <w:lang w:val="en-MY" w:eastAsia="en-AU"/>
        </w:rPr>
        <w:t xml:space="preserve">hild </w:t>
      </w:r>
      <w:r w:rsidR="00694565">
        <w:rPr>
          <w:rFonts w:cstheme="minorHAnsi"/>
          <w:lang w:val="en-MY" w:eastAsia="en-AU"/>
        </w:rPr>
        <w:t>p</w:t>
      </w:r>
      <w:r w:rsidRPr="00BC2894">
        <w:rPr>
          <w:rFonts w:cstheme="minorHAnsi"/>
          <w:lang w:val="en-MY" w:eastAsia="en-AU"/>
        </w:rPr>
        <w:t xml:space="preserve">rotection </w:t>
      </w:r>
      <w:r w:rsidR="00694565">
        <w:rPr>
          <w:rFonts w:cstheme="minorHAnsi"/>
          <w:lang w:val="en-MY" w:eastAsia="en-AU"/>
        </w:rPr>
        <w:t>c</w:t>
      </w:r>
      <w:r w:rsidRPr="00BC2894">
        <w:rPr>
          <w:rFonts w:cstheme="minorHAnsi"/>
          <w:lang w:val="en-MY" w:eastAsia="en-AU"/>
        </w:rPr>
        <w:t>ase</w:t>
      </w:r>
      <w:r w:rsidR="00694565">
        <w:rPr>
          <w:rFonts w:cstheme="minorHAnsi"/>
          <w:lang w:val="en-MY" w:eastAsia="en-AU"/>
        </w:rPr>
        <w:t xml:space="preserve"> </w:t>
      </w:r>
      <w:r w:rsidRPr="00BC2894">
        <w:rPr>
          <w:rFonts w:cstheme="minorHAnsi"/>
          <w:lang w:val="en-MY" w:eastAsia="en-AU"/>
        </w:rPr>
        <w:t>workers to ensure holistic risk assessments are conducted</w:t>
      </w:r>
      <w:r w:rsidR="00BC2894">
        <w:rPr>
          <w:rFonts w:cstheme="minorHAnsi"/>
          <w:lang w:val="en-MY" w:eastAsia="en-AU"/>
        </w:rPr>
        <w:t>.</w:t>
      </w:r>
      <w:r w:rsidR="006314D9">
        <w:rPr>
          <w:rStyle w:val="FootnoteReference"/>
          <w:rFonts w:cstheme="minorHAnsi"/>
          <w:lang w:val="en-MY" w:eastAsia="en-AU"/>
        </w:rPr>
        <w:footnoteReference w:id="20"/>
      </w:r>
      <w:r w:rsidR="006314D9">
        <w:rPr>
          <w:rFonts w:cstheme="minorHAnsi"/>
          <w:lang w:val="en-MY" w:eastAsia="en-AU"/>
        </w:rPr>
        <w:t xml:space="preserve"> </w:t>
      </w:r>
      <w:r w:rsidRPr="00BC2894">
        <w:rPr>
          <w:rFonts w:cstheme="minorHAnsi"/>
          <w:lang w:val="en-MY" w:eastAsia="en-AU"/>
        </w:rPr>
        <w:t xml:space="preserve">The YTC </w:t>
      </w:r>
      <w:r w:rsidR="00F338B3">
        <w:rPr>
          <w:rFonts w:cstheme="minorHAnsi"/>
          <w:lang w:val="en-MY" w:eastAsia="en-AU"/>
        </w:rPr>
        <w:t>m</w:t>
      </w:r>
      <w:r w:rsidRPr="00BC2894">
        <w:rPr>
          <w:rFonts w:cstheme="minorHAnsi"/>
          <w:lang w:val="en-MY" w:eastAsia="en-AU"/>
        </w:rPr>
        <w:t>odel was initially trial</w:t>
      </w:r>
      <w:r w:rsidR="009077D8">
        <w:rPr>
          <w:rFonts w:cstheme="minorHAnsi"/>
          <w:lang w:val="en-MY" w:eastAsia="en-AU"/>
        </w:rPr>
        <w:t>l</w:t>
      </w:r>
      <w:r w:rsidRPr="00BC2894">
        <w:rPr>
          <w:rFonts w:cstheme="minorHAnsi"/>
          <w:lang w:val="en-MY" w:eastAsia="en-AU"/>
        </w:rPr>
        <w:t xml:space="preserve">ed between 2019 and 2021, with service contracts then extended until June 2024. There are three providers funded to deliver the YTC services for approximately $2.8 million per annum. </w:t>
      </w:r>
    </w:p>
    <w:p w14:paraId="4110F061" w14:textId="77777777" w:rsidR="00BC2894" w:rsidRPr="00BC2894" w:rsidRDefault="00BC2894" w:rsidP="00BC2894">
      <w:pPr>
        <w:jc w:val="both"/>
        <w:rPr>
          <w:rFonts w:cstheme="minorHAnsi"/>
          <w:lang w:val="en-MY" w:eastAsia="en-AU"/>
        </w:rPr>
      </w:pPr>
    </w:p>
    <w:p w14:paraId="1B997860" w14:textId="08595EF8" w:rsidR="001D06A0" w:rsidRPr="00574B92" w:rsidRDefault="001D06A0" w:rsidP="001D06A0">
      <w:pPr>
        <w:rPr>
          <w:rFonts w:cstheme="minorHAnsi"/>
          <w:i/>
          <w:iCs/>
          <w:color w:val="1F497D" w:themeColor="text2"/>
          <w:sz w:val="20"/>
          <w:szCs w:val="20"/>
        </w:rPr>
      </w:pPr>
      <w:r w:rsidRPr="00574B92">
        <w:rPr>
          <w:rFonts w:cstheme="minorHAnsi"/>
          <w:i/>
          <w:iCs/>
          <w:color w:val="1F497D" w:themeColor="text2"/>
          <w:sz w:val="20"/>
          <w:szCs w:val="20"/>
        </w:rPr>
        <w:t>Table 2 – YTC Program Service Providers, Delivery Sites and Count of Case Workers</w:t>
      </w:r>
      <w:r w:rsidR="00A86B37" w:rsidRPr="00574B92">
        <w:rPr>
          <w:rFonts w:cstheme="minorHAnsi"/>
          <w:i/>
          <w:iCs/>
          <w:color w:val="1F497D" w:themeColor="text2"/>
          <w:sz w:val="20"/>
          <w:szCs w:val="20"/>
        </w:rPr>
        <w:t xml:space="preserve"> (at 15 May 2023) </w:t>
      </w:r>
      <w:r w:rsidRPr="00574B92">
        <w:rPr>
          <w:rStyle w:val="FootnoteReference"/>
          <w:rFonts w:cstheme="minorHAnsi"/>
          <w:i/>
          <w:iCs/>
          <w:color w:val="1F497D" w:themeColor="text2"/>
          <w:sz w:val="20"/>
          <w:szCs w:val="20"/>
        </w:rPr>
        <w:footnoteReference w:id="21"/>
      </w:r>
    </w:p>
    <w:p w14:paraId="2CBC8AB3" w14:textId="77777777" w:rsidR="00BC2894" w:rsidRPr="00574B92" w:rsidRDefault="00BC2894" w:rsidP="001D06A0">
      <w:pPr>
        <w:rPr>
          <w:rFonts w:cstheme="minorHAnsi"/>
          <w:i/>
          <w:iCs/>
          <w:color w:val="1F497D" w:themeColor="text2"/>
          <w:sz w:val="20"/>
          <w:szCs w:val="20"/>
        </w:rPr>
      </w:pPr>
    </w:p>
    <w:tbl>
      <w:tblPr>
        <w:tblStyle w:val="GridTable1Light-Accent1"/>
        <w:tblW w:w="0" w:type="auto"/>
        <w:tblLook w:val="04A0" w:firstRow="1" w:lastRow="0" w:firstColumn="1" w:lastColumn="0" w:noHBand="0" w:noVBand="1"/>
        <w:tblCaption w:val="Table 2 - YTC Program Service Providers - delivery sites and count of case workers"/>
        <w:tblDescription w:val="The table lists the 3 youth through care service providers, their delivery sites and case workers (FTE). The table has 3 columns and 3 rows."/>
      </w:tblPr>
      <w:tblGrid>
        <w:gridCol w:w="3256"/>
        <w:gridCol w:w="2784"/>
        <w:gridCol w:w="3020"/>
      </w:tblGrid>
      <w:tr w:rsidR="001D06A0" w:rsidRPr="00574B92" w14:paraId="08C1B4F7" w14:textId="77777777" w:rsidTr="00574B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69ABA907" w14:textId="77777777" w:rsidR="001D06A0" w:rsidRPr="00574B92" w:rsidRDefault="001D06A0" w:rsidP="00877CCC">
            <w:pPr>
              <w:jc w:val="center"/>
              <w:rPr>
                <w:rFonts w:cstheme="minorHAnsi"/>
                <w:sz w:val="20"/>
                <w:szCs w:val="20"/>
                <w:lang w:val="en-MY" w:eastAsia="en-AU"/>
              </w:rPr>
            </w:pPr>
            <w:r w:rsidRPr="00574B92">
              <w:rPr>
                <w:rFonts w:cstheme="minorHAnsi"/>
                <w:sz w:val="20"/>
                <w:szCs w:val="20"/>
                <w:lang w:val="en-MY" w:eastAsia="en-AU"/>
              </w:rPr>
              <w:t>ATC Service Provider</w:t>
            </w:r>
          </w:p>
        </w:tc>
        <w:tc>
          <w:tcPr>
            <w:tcW w:w="2784" w:type="dxa"/>
          </w:tcPr>
          <w:p w14:paraId="79806D8C" w14:textId="77777777" w:rsidR="001D06A0" w:rsidRPr="00574B92" w:rsidRDefault="001D06A0" w:rsidP="00877CC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574B92">
              <w:rPr>
                <w:rFonts w:cstheme="minorHAnsi"/>
                <w:sz w:val="20"/>
                <w:szCs w:val="20"/>
                <w:lang w:val="en-MY" w:eastAsia="en-AU"/>
              </w:rPr>
              <w:t>Delivery Sites</w:t>
            </w:r>
          </w:p>
        </w:tc>
        <w:tc>
          <w:tcPr>
            <w:tcW w:w="3020" w:type="dxa"/>
          </w:tcPr>
          <w:p w14:paraId="4EF7854D" w14:textId="77777777" w:rsidR="001D06A0" w:rsidRPr="00574B92" w:rsidRDefault="001D06A0" w:rsidP="00877CC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574B92">
              <w:rPr>
                <w:rFonts w:cstheme="minorHAnsi"/>
                <w:sz w:val="20"/>
                <w:szCs w:val="20"/>
                <w:lang w:val="en-MY" w:eastAsia="en-AU"/>
              </w:rPr>
              <w:t>Case Worker FTE</w:t>
            </w:r>
          </w:p>
        </w:tc>
      </w:tr>
      <w:tr w:rsidR="001D06A0" w:rsidRPr="00574B92" w14:paraId="457A4B40" w14:textId="77777777" w:rsidTr="00574B92">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A4820FB" w14:textId="77777777" w:rsidR="001D06A0" w:rsidRPr="00574B92" w:rsidRDefault="001D06A0" w:rsidP="00574B92">
            <w:pPr>
              <w:rPr>
                <w:rFonts w:cstheme="minorHAnsi"/>
                <w:b w:val="0"/>
                <w:bCs w:val="0"/>
                <w:sz w:val="20"/>
                <w:szCs w:val="20"/>
                <w:lang w:val="en-MY" w:eastAsia="en-AU"/>
              </w:rPr>
            </w:pPr>
            <w:r w:rsidRPr="00574B92">
              <w:rPr>
                <w:rFonts w:cstheme="minorHAnsi"/>
                <w:b w:val="0"/>
                <w:bCs w:val="0"/>
                <w:sz w:val="20"/>
                <w:szCs w:val="20"/>
                <w:lang w:val="en-MY" w:eastAsia="en-AU"/>
              </w:rPr>
              <w:t>Aboriginal and Torres Strait Islander Legal Aid Service (ATSILS)</w:t>
            </w:r>
          </w:p>
        </w:tc>
        <w:tc>
          <w:tcPr>
            <w:tcW w:w="2784" w:type="dxa"/>
            <w:vAlign w:val="center"/>
          </w:tcPr>
          <w:p w14:paraId="0C25E7F9" w14:textId="77777777" w:rsidR="001D06A0" w:rsidRPr="00574B92" w:rsidRDefault="001D06A0" w:rsidP="00574B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(QLD) Wacol, Cairns, Mt Isa, Townsville</w:t>
            </w:r>
          </w:p>
        </w:tc>
        <w:tc>
          <w:tcPr>
            <w:tcW w:w="3020" w:type="dxa"/>
            <w:vAlign w:val="center"/>
          </w:tcPr>
          <w:p w14:paraId="2540E412" w14:textId="77777777" w:rsidR="001D06A0" w:rsidRPr="00574B92" w:rsidRDefault="001D06A0" w:rsidP="00574B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8</w:t>
            </w:r>
          </w:p>
        </w:tc>
      </w:tr>
      <w:tr w:rsidR="001D06A0" w:rsidRPr="00574B92" w14:paraId="1D79A6B5" w14:textId="77777777" w:rsidTr="00574B92">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FA59F60" w14:textId="77777777" w:rsidR="001D06A0" w:rsidRPr="00574B92" w:rsidRDefault="001D06A0" w:rsidP="00574B92">
            <w:pPr>
              <w:rPr>
                <w:rFonts w:cstheme="minorHAnsi"/>
                <w:b w:val="0"/>
                <w:bCs w:val="0"/>
                <w:sz w:val="20"/>
                <w:szCs w:val="20"/>
                <w:lang w:val="en-MY" w:eastAsia="en-AU"/>
              </w:rPr>
            </w:pPr>
            <w:r w:rsidRPr="00574B92">
              <w:rPr>
                <w:rFonts w:cstheme="minorHAnsi"/>
                <w:b w:val="0"/>
                <w:bCs w:val="0"/>
                <w:sz w:val="20"/>
                <w:szCs w:val="20"/>
                <w:lang w:val="en-MY" w:eastAsia="en-AU"/>
              </w:rPr>
              <w:t>North Australian Aboriginal Justice Agency (NAAJA)</w:t>
            </w:r>
          </w:p>
        </w:tc>
        <w:tc>
          <w:tcPr>
            <w:tcW w:w="2784" w:type="dxa"/>
            <w:vAlign w:val="center"/>
          </w:tcPr>
          <w:p w14:paraId="0FE030DF" w14:textId="77777777" w:rsidR="001D06A0" w:rsidRPr="00574B92" w:rsidRDefault="001D06A0" w:rsidP="00574B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(NT) Darwin, Alice Springs</w:t>
            </w:r>
          </w:p>
        </w:tc>
        <w:tc>
          <w:tcPr>
            <w:tcW w:w="3020" w:type="dxa"/>
            <w:vAlign w:val="center"/>
          </w:tcPr>
          <w:p w14:paraId="26BF8C64" w14:textId="77777777" w:rsidR="001D06A0" w:rsidRPr="00574B92" w:rsidRDefault="001D06A0" w:rsidP="00574B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8 [of which 2 vacant]</w:t>
            </w:r>
          </w:p>
        </w:tc>
      </w:tr>
      <w:tr w:rsidR="001D06A0" w:rsidRPr="00574B92" w14:paraId="141D595A" w14:textId="77777777" w:rsidTr="00574B92">
        <w:trPr>
          <w:cnfStyle w:val="100000000000" w:firstRow="1" w:lastRow="0" w:firstColumn="0" w:lastColumn="0" w:oddVBand="0" w:evenVBand="0" w:oddHBand="0" w:evenHBand="0" w:firstRowFirstColumn="0" w:firstRowLastColumn="0" w:lastRowFirstColumn="0" w:lastRowLastColumn="0"/>
          <w:trHeight w:val="538"/>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EFD2114" w14:textId="77777777" w:rsidR="001D06A0" w:rsidRPr="00574B92" w:rsidRDefault="001D06A0" w:rsidP="00574B92">
            <w:pPr>
              <w:rPr>
                <w:rFonts w:cstheme="minorHAnsi"/>
                <w:b w:val="0"/>
                <w:bCs w:val="0"/>
                <w:sz w:val="20"/>
                <w:szCs w:val="20"/>
                <w:lang w:val="en-MY" w:eastAsia="en-AU"/>
              </w:rPr>
            </w:pPr>
            <w:r w:rsidRPr="00574B92">
              <w:rPr>
                <w:rFonts w:cstheme="minorHAnsi"/>
                <w:b w:val="0"/>
                <w:bCs w:val="0"/>
                <w:sz w:val="20"/>
                <w:szCs w:val="20"/>
                <w:lang w:val="en-MY" w:eastAsia="en-AU"/>
              </w:rPr>
              <w:t>Victorian Aboriginal Child Care Agency (VACCA)</w:t>
            </w:r>
          </w:p>
        </w:tc>
        <w:tc>
          <w:tcPr>
            <w:tcW w:w="2784" w:type="dxa"/>
            <w:vAlign w:val="center"/>
          </w:tcPr>
          <w:p w14:paraId="2FEAE65E" w14:textId="77777777" w:rsidR="001D06A0" w:rsidRPr="00574B92" w:rsidRDefault="001D06A0" w:rsidP="00574B9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(VIC) Melbourne</w:t>
            </w:r>
          </w:p>
        </w:tc>
        <w:tc>
          <w:tcPr>
            <w:tcW w:w="3020" w:type="dxa"/>
            <w:vAlign w:val="center"/>
          </w:tcPr>
          <w:p w14:paraId="61945F6A" w14:textId="77777777" w:rsidR="001D06A0" w:rsidRPr="00574B92" w:rsidRDefault="001D06A0" w:rsidP="00574B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574B92">
              <w:rPr>
                <w:rFonts w:cstheme="minorHAnsi"/>
                <w:b w:val="0"/>
                <w:bCs w:val="0"/>
                <w:sz w:val="20"/>
                <w:szCs w:val="20"/>
                <w:lang w:val="en-MY" w:eastAsia="en-AU"/>
              </w:rPr>
              <w:t>6</w:t>
            </w:r>
          </w:p>
        </w:tc>
      </w:tr>
    </w:tbl>
    <w:p w14:paraId="587ABB2B" w14:textId="77777777" w:rsidR="00E96C76" w:rsidRDefault="00E96C76" w:rsidP="00E710F8">
      <w:pPr>
        <w:pStyle w:val="SUBHEAD2"/>
        <w:rPr>
          <w:rFonts w:asciiTheme="minorHAnsi" w:hAnsiTheme="minorHAnsi" w:cstheme="minorHAnsi"/>
          <w:lang w:val="en-MY" w:eastAsia="en-AU"/>
        </w:rPr>
      </w:pPr>
      <w:r>
        <w:rPr>
          <w:rFonts w:asciiTheme="minorHAnsi" w:hAnsiTheme="minorHAnsi" w:cstheme="minorHAnsi"/>
          <w:lang w:val="en-MY" w:eastAsia="en-AU"/>
        </w:rPr>
        <w:br w:type="page"/>
      </w:r>
    </w:p>
    <w:p w14:paraId="7728BA72" w14:textId="77777777" w:rsidR="00BB4C95" w:rsidRDefault="00E710F8" w:rsidP="00BB4C95">
      <w:pPr>
        <w:pStyle w:val="SUBHEAD2"/>
        <w:rPr>
          <w:rFonts w:asciiTheme="minorHAnsi" w:hAnsiTheme="minorHAnsi" w:cstheme="minorHAnsi"/>
          <w:lang w:val="en-MY" w:eastAsia="en-AU"/>
        </w:rPr>
      </w:pPr>
      <w:r>
        <w:rPr>
          <w:rFonts w:asciiTheme="minorHAnsi" w:hAnsiTheme="minorHAnsi" w:cstheme="minorHAnsi"/>
          <w:lang w:val="en-MY" w:eastAsia="en-AU"/>
        </w:rPr>
        <w:t>Y</w:t>
      </w:r>
      <w:r w:rsidRPr="009E5D3E">
        <w:rPr>
          <w:rFonts w:asciiTheme="minorHAnsi" w:hAnsiTheme="minorHAnsi" w:cstheme="minorHAnsi"/>
          <w:lang w:val="en-MY" w:eastAsia="en-AU"/>
        </w:rPr>
        <w:t>TC Model Core Elements</w:t>
      </w:r>
      <w:r>
        <w:rPr>
          <w:rFonts w:asciiTheme="minorHAnsi" w:hAnsiTheme="minorHAnsi" w:cstheme="minorHAnsi"/>
          <w:lang w:val="en-MY" w:eastAsia="en-AU"/>
        </w:rPr>
        <w:t xml:space="preserve"> and Standards</w:t>
      </w:r>
    </w:p>
    <w:p w14:paraId="023AC19E" w14:textId="26C53902" w:rsidR="00744571" w:rsidRPr="00BB4C95" w:rsidRDefault="00E710F8" w:rsidP="00AB7135">
      <w:pPr>
        <w:spacing w:before="120" w:after="120"/>
        <w:jc w:val="both"/>
        <w:rPr>
          <w:b/>
          <w:smallCaps/>
          <w:lang w:val="en-MY" w:eastAsia="en-AU"/>
        </w:rPr>
      </w:pPr>
      <w:r w:rsidRPr="00BB4C95">
        <w:rPr>
          <w:lang w:val="en-MY" w:eastAsia="en-AU"/>
        </w:rPr>
        <w:t xml:space="preserve">As with the ATC Model, a set of fundamental principles </w:t>
      </w:r>
      <w:r w:rsidR="00744571" w:rsidRPr="00BB4C95">
        <w:rPr>
          <w:lang w:val="en-MY" w:eastAsia="en-AU"/>
        </w:rPr>
        <w:t xml:space="preserve">focused around trauma-informed and culturally safe practices </w:t>
      </w:r>
      <w:r w:rsidRPr="00BB4C95">
        <w:rPr>
          <w:lang w:val="en-MY" w:eastAsia="en-AU"/>
        </w:rPr>
        <w:t>should underpin the delivery of YTC services</w:t>
      </w:r>
      <w:r w:rsidR="00744571" w:rsidRPr="00BB4C95">
        <w:rPr>
          <w:lang w:val="en-MY" w:eastAsia="en-AU"/>
        </w:rPr>
        <w:t>,</w:t>
      </w:r>
      <w:r w:rsidR="00744571" w:rsidRPr="00BB4C95">
        <w:rPr>
          <w:vertAlign w:val="superscript"/>
        </w:rPr>
        <w:footnoteReference w:id="22"/>
      </w:r>
      <w:r w:rsidR="00744571" w:rsidRPr="00BB4C95">
        <w:rPr>
          <w:lang w:val="en-MY" w:eastAsia="en-AU"/>
        </w:rPr>
        <w:t xml:space="preserve"> with practices structured according to the pre- and post-release phases of activity to guide actions that facilitate effective case management. </w:t>
      </w:r>
    </w:p>
    <w:p w14:paraId="314A8B9C" w14:textId="3E2DB9B3" w:rsidR="00744571" w:rsidRDefault="00744571" w:rsidP="00E710F8">
      <w:pPr>
        <w:jc w:val="both"/>
        <w:rPr>
          <w:rFonts w:cstheme="minorHAnsi"/>
          <w:lang w:val="en-MY" w:eastAsia="en-AU"/>
        </w:rPr>
      </w:pPr>
      <w:r>
        <w:rPr>
          <w:rFonts w:cstheme="minorHAnsi"/>
          <w:lang w:val="en-MY" w:eastAsia="en-AU"/>
        </w:rPr>
        <w:t>Like the ATC model, p</w:t>
      </w:r>
      <w:r w:rsidRPr="00E710F8">
        <w:rPr>
          <w:rFonts w:cstheme="minorHAnsi"/>
          <w:lang w:val="en-MY" w:eastAsia="en-AU"/>
        </w:rPr>
        <w:t xml:space="preserve">ractices </w:t>
      </w:r>
      <w:r>
        <w:rPr>
          <w:rFonts w:cstheme="minorHAnsi"/>
          <w:lang w:val="en-MY" w:eastAsia="en-AU"/>
        </w:rPr>
        <w:t xml:space="preserve">should be </w:t>
      </w:r>
      <w:r w:rsidRPr="00E710F8">
        <w:rPr>
          <w:rFonts w:cstheme="minorHAnsi"/>
          <w:lang w:val="en-MY" w:eastAsia="en-AU"/>
        </w:rPr>
        <w:t>premised on the delivery of early, intensive, individually-tailored case management to ensure individual complex needs and primary risk factors are identified and addressed using a multi-disciplinary, inter-agency, family and community engagement approach.</w:t>
      </w:r>
      <w:r>
        <w:rPr>
          <w:rFonts w:cstheme="minorHAnsi"/>
          <w:lang w:val="en-MY" w:eastAsia="en-AU"/>
        </w:rPr>
        <w:t xml:space="preserve"> </w:t>
      </w:r>
      <w:r w:rsidR="00E710F8" w:rsidRPr="00E710F8">
        <w:rPr>
          <w:rFonts w:cstheme="minorHAnsi"/>
          <w:lang w:val="en-US" w:eastAsia="en-AU"/>
        </w:rPr>
        <w:t xml:space="preserve">A YTC </w:t>
      </w:r>
      <w:r w:rsidR="00F338B3">
        <w:rPr>
          <w:rFonts w:cstheme="minorHAnsi"/>
          <w:lang w:val="en-US" w:eastAsia="en-AU"/>
        </w:rPr>
        <w:t>c</w:t>
      </w:r>
      <w:r w:rsidR="00E710F8" w:rsidRPr="00E710F8">
        <w:rPr>
          <w:rFonts w:cstheme="minorHAnsi"/>
          <w:lang w:val="en-US" w:eastAsia="en-AU"/>
        </w:rPr>
        <w:t xml:space="preserve">ase </w:t>
      </w:r>
      <w:r w:rsidR="00F338B3">
        <w:rPr>
          <w:rFonts w:cstheme="minorHAnsi"/>
          <w:lang w:val="en-US" w:eastAsia="en-AU"/>
        </w:rPr>
        <w:t>w</w:t>
      </w:r>
      <w:r w:rsidR="00E710F8" w:rsidRPr="00E710F8">
        <w:rPr>
          <w:rFonts w:cstheme="minorHAnsi"/>
          <w:lang w:val="en-US" w:eastAsia="en-AU"/>
        </w:rPr>
        <w:t xml:space="preserve">orker provides co-ordination for all referral support services during the through-care journey, with the aim to supplement this element through engagement with a positive social network providing general support and customised cultural strengthening, </w:t>
      </w:r>
      <w:r w:rsidR="00551C11" w:rsidRPr="00E710F8">
        <w:rPr>
          <w:rFonts w:cstheme="minorHAnsi"/>
          <w:lang w:val="en-US" w:eastAsia="en-AU"/>
        </w:rPr>
        <w:t>reconnection,</w:t>
      </w:r>
      <w:r w:rsidR="00E710F8" w:rsidRPr="00E710F8">
        <w:rPr>
          <w:rFonts w:cstheme="minorHAnsi"/>
          <w:lang w:val="en-US" w:eastAsia="en-AU"/>
        </w:rPr>
        <w:t xml:space="preserve"> and healing supports.</w:t>
      </w:r>
      <w:r>
        <w:rPr>
          <w:rFonts w:cstheme="minorHAnsi"/>
          <w:lang w:val="en-US" w:eastAsia="en-AU"/>
        </w:rPr>
        <w:t xml:space="preserve"> </w:t>
      </w:r>
      <w:r w:rsidRPr="00E710F8">
        <w:rPr>
          <w:rFonts w:cstheme="minorHAnsi"/>
          <w:lang w:val="en-US" w:eastAsia="en-AU"/>
        </w:rPr>
        <w:t xml:space="preserve">Full details of the practice elements for the YTC </w:t>
      </w:r>
      <w:r w:rsidR="00F338B3">
        <w:rPr>
          <w:rFonts w:cstheme="minorHAnsi"/>
          <w:lang w:val="en-US" w:eastAsia="en-AU"/>
        </w:rPr>
        <w:t>m</w:t>
      </w:r>
      <w:r w:rsidRPr="00E710F8">
        <w:rPr>
          <w:rFonts w:cstheme="minorHAnsi"/>
          <w:lang w:val="en-US" w:eastAsia="en-AU"/>
        </w:rPr>
        <w:t xml:space="preserve">odel are summarised overpage in Figure </w:t>
      </w:r>
      <w:r>
        <w:rPr>
          <w:rFonts w:cstheme="minorHAnsi"/>
          <w:lang w:val="en-US" w:eastAsia="en-AU"/>
        </w:rPr>
        <w:t>2</w:t>
      </w:r>
      <w:r w:rsidRPr="00E710F8">
        <w:rPr>
          <w:rFonts w:cstheme="minorHAnsi"/>
          <w:lang w:val="en-US" w:eastAsia="en-AU"/>
        </w:rPr>
        <w:t>.</w:t>
      </w:r>
      <w:r w:rsidR="00BC0E6C">
        <w:rPr>
          <w:rFonts w:cstheme="minorHAnsi"/>
          <w:lang w:val="en-MY" w:eastAsia="en-AU"/>
        </w:rPr>
        <w:t xml:space="preserve"> </w:t>
      </w:r>
      <w:r w:rsidR="00E710F8" w:rsidRPr="00E710F8">
        <w:rPr>
          <w:rFonts w:cstheme="minorHAnsi"/>
          <w:lang w:val="en-US" w:eastAsia="en-AU"/>
        </w:rPr>
        <w:t>In summary:</w:t>
      </w:r>
      <w:r>
        <w:rPr>
          <w:rFonts w:cstheme="minorHAnsi"/>
          <w:lang w:val="en-MY" w:eastAsia="en-AU"/>
        </w:rPr>
        <w:t xml:space="preserve"> </w:t>
      </w:r>
    </w:p>
    <w:p w14:paraId="482E5238" w14:textId="77777777" w:rsidR="00744571" w:rsidRDefault="00744571" w:rsidP="00E710F8">
      <w:pPr>
        <w:jc w:val="both"/>
        <w:rPr>
          <w:rFonts w:cstheme="minorHAnsi"/>
          <w:lang w:val="en-MY" w:eastAsia="en-AU"/>
        </w:rPr>
      </w:pPr>
    </w:p>
    <w:p w14:paraId="778925CF" w14:textId="7BC9B2CA" w:rsidR="00E710F8" w:rsidRPr="00744571" w:rsidRDefault="00E710F8" w:rsidP="00B77817">
      <w:pPr>
        <w:pStyle w:val="ListParagraph"/>
        <w:numPr>
          <w:ilvl w:val="0"/>
          <w:numId w:val="65"/>
        </w:numPr>
        <w:jc w:val="both"/>
        <w:rPr>
          <w:rFonts w:cstheme="minorHAnsi"/>
          <w:lang w:val="en-MY" w:eastAsia="en-AU"/>
        </w:rPr>
      </w:pPr>
      <w:r w:rsidRPr="00744571">
        <w:rPr>
          <w:rFonts w:cstheme="minorHAnsi"/>
          <w:lang w:val="en-US" w:eastAsia="en-AU"/>
        </w:rPr>
        <w:t>Case planning processes should incorporate the holistic needs of the young person throughout the process (</w:t>
      </w:r>
      <w:r w:rsidR="00A6555D" w:rsidRPr="00744571">
        <w:rPr>
          <w:rFonts w:cstheme="minorHAnsi"/>
          <w:lang w:val="en-US" w:eastAsia="en-AU"/>
        </w:rPr>
        <w:t>e.g.,</w:t>
      </w:r>
      <w:r w:rsidRPr="00744571">
        <w:rPr>
          <w:rFonts w:cstheme="minorHAnsi"/>
          <w:lang w:val="en-US" w:eastAsia="en-AU"/>
        </w:rPr>
        <w:t xml:space="preserve"> considering their personal aspirations, family and cultural context, neurological and cognitive capabilities, and other social and emotional wellbeing needs).</w:t>
      </w:r>
    </w:p>
    <w:p w14:paraId="3D635B6D" w14:textId="77777777" w:rsidR="00744571" w:rsidRPr="00744571" w:rsidRDefault="00744571" w:rsidP="00744571">
      <w:pPr>
        <w:pStyle w:val="ListParagraph"/>
        <w:jc w:val="both"/>
        <w:rPr>
          <w:rFonts w:cstheme="minorHAnsi"/>
          <w:lang w:val="en-MY" w:eastAsia="en-AU"/>
        </w:rPr>
      </w:pPr>
    </w:p>
    <w:p w14:paraId="637C695D" w14:textId="73F861DB" w:rsidR="00E710F8" w:rsidRPr="00744571" w:rsidRDefault="00E710F8" w:rsidP="00B77817">
      <w:pPr>
        <w:pStyle w:val="ListParagraph"/>
        <w:numPr>
          <w:ilvl w:val="0"/>
          <w:numId w:val="65"/>
        </w:numPr>
        <w:jc w:val="both"/>
        <w:rPr>
          <w:rFonts w:cstheme="minorHAnsi"/>
          <w:lang w:eastAsia="en-AU"/>
        </w:rPr>
      </w:pPr>
      <w:r w:rsidRPr="00744571">
        <w:rPr>
          <w:rFonts w:cstheme="minorHAnsi"/>
          <w:lang w:val="en-US" w:eastAsia="en-AU"/>
        </w:rPr>
        <w:t>Multidisciplinary and culturally safe supports and services (</w:t>
      </w:r>
      <w:r w:rsidR="00A6555D" w:rsidRPr="00744571">
        <w:rPr>
          <w:rFonts w:cstheme="minorHAnsi"/>
          <w:lang w:val="en-US" w:eastAsia="en-AU"/>
        </w:rPr>
        <w:t>e.g.,</w:t>
      </w:r>
      <w:r w:rsidRPr="00744571">
        <w:rPr>
          <w:rFonts w:cstheme="minorHAnsi"/>
          <w:lang w:val="en-US" w:eastAsia="en-AU"/>
        </w:rPr>
        <w:t xml:space="preserve"> Alcohol and Other Drugs (AoD) support, accommodation, social and emotional wellbeing </w:t>
      </w:r>
      <w:r w:rsidR="00B96C7E" w:rsidRPr="00744571">
        <w:rPr>
          <w:rFonts w:cstheme="minorHAnsi"/>
          <w:lang w:val="en-US" w:eastAsia="en-AU"/>
        </w:rPr>
        <w:t>programs,</w:t>
      </w:r>
      <w:r w:rsidRPr="00744571">
        <w:rPr>
          <w:rFonts w:cstheme="minorHAnsi"/>
          <w:lang w:val="en-US" w:eastAsia="en-AU"/>
        </w:rPr>
        <w:t xml:space="preserve"> and physical health) should be outlined and delegated before the case plan is implemented.</w:t>
      </w:r>
    </w:p>
    <w:p w14:paraId="3D0E12E9" w14:textId="77777777" w:rsidR="00744571" w:rsidRPr="00744571" w:rsidRDefault="00744571" w:rsidP="00744571">
      <w:pPr>
        <w:pStyle w:val="ListParagraph"/>
        <w:jc w:val="both"/>
        <w:rPr>
          <w:rFonts w:cstheme="minorHAnsi"/>
          <w:lang w:eastAsia="en-AU"/>
        </w:rPr>
      </w:pPr>
    </w:p>
    <w:p w14:paraId="064B32D8" w14:textId="370ED60C" w:rsidR="00E710F8" w:rsidRPr="004B3A44" w:rsidRDefault="00E710F8" w:rsidP="00B77817">
      <w:pPr>
        <w:pStyle w:val="ListParagraph"/>
        <w:numPr>
          <w:ilvl w:val="0"/>
          <w:numId w:val="65"/>
        </w:numPr>
        <w:jc w:val="both"/>
        <w:rPr>
          <w:rFonts w:cstheme="minorHAnsi"/>
          <w:lang w:eastAsia="en-AU"/>
        </w:rPr>
      </w:pPr>
      <w:r w:rsidRPr="00744571">
        <w:rPr>
          <w:rFonts w:cstheme="minorHAnsi"/>
          <w:lang w:val="en-US" w:eastAsia="en-AU"/>
        </w:rPr>
        <w:t>The young person should be supported as an individual, a family and kinship member and a member of the wider community, considering their connections to kin and country.</w:t>
      </w:r>
    </w:p>
    <w:p w14:paraId="49D4A9E3" w14:textId="77777777" w:rsidR="002F6224" w:rsidRDefault="00E710F8" w:rsidP="002F6224">
      <w:pPr>
        <w:pStyle w:val="SUBHEAD2"/>
        <w:rPr>
          <w:rFonts w:asciiTheme="minorHAnsi" w:hAnsiTheme="minorHAnsi" w:cstheme="minorHAnsi"/>
          <w:lang w:val="en-MY" w:eastAsia="en-AU"/>
        </w:rPr>
      </w:pPr>
      <w:r>
        <w:rPr>
          <w:rFonts w:asciiTheme="minorHAnsi" w:hAnsiTheme="minorHAnsi" w:cstheme="minorHAnsi"/>
          <w:lang w:val="en-MY" w:eastAsia="en-AU"/>
        </w:rPr>
        <w:t>Y</w:t>
      </w:r>
      <w:r w:rsidRPr="004E2F12">
        <w:rPr>
          <w:rFonts w:asciiTheme="minorHAnsi" w:hAnsiTheme="minorHAnsi" w:cstheme="minorHAnsi"/>
          <w:lang w:val="en-MY" w:eastAsia="en-AU"/>
        </w:rPr>
        <w:t>TC Model Enablers</w:t>
      </w:r>
    </w:p>
    <w:p w14:paraId="26ED2FA5" w14:textId="15146B7A" w:rsidR="00E710F8" w:rsidRPr="002F6224" w:rsidRDefault="00E710F8" w:rsidP="00AB7135">
      <w:pPr>
        <w:spacing w:before="120" w:after="120"/>
        <w:jc w:val="both"/>
        <w:rPr>
          <w:b/>
          <w:smallCaps/>
          <w:lang w:val="en-MY" w:eastAsia="en-AU"/>
        </w:rPr>
      </w:pPr>
      <w:r w:rsidRPr="002F6224">
        <w:rPr>
          <w:lang w:val="en-MY" w:eastAsia="en-AU"/>
        </w:rPr>
        <w:t xml:space="preserve">As with the ATC </w:t>
      </w:r>
      <w:r w:rsidR="00F338B3" w:rsidRPr="002F6224">
        <w:rPr>
          <w:lang w:val="en-MY" w:eastAsia="en-AU"/>
        </w:rPr>
        <w:t>m</w:t>
      </w:r>
      <w:r w:rsidRPr="002F6224">
        <w:rPr>
          <w:lang w:val="en-MY" w:eastAsia="en-AU"/>
        </w:rPr>
        <w:t xml:space="preserve">odel, workforce development and data management are regarded as key enablers in support of </w:t>
      </w:r>
      <w:r w:rsidR="00031EE7" w:rsidRPr="002F6224">
        <w:rPr>
          <w:lang w:val="en-MY" w:eastAsia="en-AU"/>
        </w:rPr>
        <w:t xml:space="preserve">YTC </w:t>
      </w:r>
      <w:r w:rsidRPr="002F6224">
        <w:rPr>
          <w:lang w:val="en-MY" w:eastAsia="en-AU"/>
        </w:rPr>
        <w:t>delivery.</w:t>
      </w:r>
      <w:r w:rsidR="00031EE7" w:rsidRPr="002F6224">
        <w:rPr>
          <w:lang w:val="en-MY" w:eastAsia="en-AU"/>
        </w:rPr>
        <w:t xml:space="preserve"> </w:t>
      </w:r>
      <w:r w:rsidRPr="002F6224">
        <w:rPr>
          <w:lang w:val="en-MY" w:eastAsia="en-AU"/>
        </w:rPr>
        <w:t xml:space="preserve">The YTC model requires that at minimum an YTC team should comprise a YTC Manager, YTC Case Workers and a part-time data and reporting administrator. YTC </w:t>
      </w:r>
      <w:r w:rsidR="00F338B3" w:rsidRPr="002F6224">
        <w:rPr>
          <w:lang w:val="en-MY" w:eastAsia="en-AU"/>
        </w:rPr>
        <w:t>c</w:t>
      </w:r>
      <w:r w:rsidRPr="002F6224">
        <w:rPr>
          <w:lang w:val="en-MY" w:eastAsia="en-AU"/>
        </w:rPr>
        <w:t xml:space="preserve">ase </w:t>
      </w:r>
      <w:r w:rsidR="00F338B3" w:rsidRPr="002F6224">
        <w:rPr>
          <w:lang w:val="en-MY" w:eastAsia="en-AU"/>
        </w:rPr>
        <w:t>w</w:t>
      </w:r>
      <w:r w:rsidRPr="002F6224">
        <w:rPr>
          <w:lang w:val="en-MY" w:eastAsia="en-AU"/>
        </w:rPr>
        <w:t>orkers should be representative of the diversity of their client base, with male and female representation, and managing a case</w:t>
      </w:r>
      <w:r w:rsidR="007E19B5">
        <w:rPr>
          <w:lang w:val="en-MY" w:eastAsia="en-AU"/>
        </w:rPr>
        <w:t>-</w:t>
      </w:r>
      <w:r w:rsidRPr="002F6224">
        <w:rPr>
          <w:lang w:val="en-MY" w:eastAsia="en-AU"/>
        </w:rPr>
        <w:t>load of approximately 8 to 12 clients depending on complexity and needs of the client</w:t>
      </w:r>
      <w:r w:rsidR="006F6114" w:rsidRPr="002F6224">
        <w:rPr>
          <w:lang w:val="en-MY" w:eastAsia="en-AU"/>
        </w:rPr>
        <w:t>s</w:t>
      </w:r>
      <w:r w:rsidRPr="002F6224">
        <w:rPr>
          <w:lang w:val="en-MY" w:eastAsia="en-AU"/>
        </w:rPr>
        <w:t>.</w:t>
      </w:r>
    </w:p>
    <w:p w14:paraId="2A4BCF79" w14:textId="6F6F9994" w:rsidR="00031EE7" w:rsidRPr="00B21295" w:rsidRDefault="00E710F8" w:rsidP="00E710F8">
      <w:pPr>
        <w:jc w:val="both"/>
        <w:rPr>
          <w:rFonts w:cstheme="minorHAnsi"/>
          <w:lang w:val="en-US" w:eastAsia="en-AU"/>
        </w:rPr>
      </w:pPr>
      <w:r w:rsidRPr="00B21295">
        <w:rPr>
          <w:rFonts w:cstheme="minorHAnsi"/>
          <w:lang w:val="en-US" w:eastAsia="en-AU"/>
        </w:rPr>
        <w:t>Consistent with the IAS</w:t>
      </w:r>
      <w:r w:rsidR="00F338B3" w:rsidRPr="00B21295">
        <w:rPr>
          <w:rFonts w:cstheme="minorHAnsi"/>
          <w:lang w:val="en-US" w:eastAsia="en-AU"/>
        </w:rPr>
        <w:t>,</w:t>
      </w:r>
      <w:r w:rsidRPr="00B21295">
        <w:rPr>
          <w:rFonts w:cstheme="minorHAnsi"/>
          <w:lang w:val="en-US" w:eastAsia="en-AU"/>
        </w:rPr>
        <w:t xml:space="preserve"> ATC service providers should apply affirmative measures regarding the recruitment of Indigenous staff. To achieve a positive outcome for the young person, a critical component is effective and continuous engagement between the case worker and the client. Accordingly, YTC service providers </w:t>
      </w:r>
      <w:r w:rsidR="00036105">
        <w:rPr>
          <w:rFonts w:cstheme="minorHAnsi"/>
          <w:lang w:val="en-US" w:eastAsia="en-AU"/>
        </w:rPr>
        <w:t>should</w:t>
      </w:r>
      <w:r w:rsidR="00036105" w:rsidRPr="00B21295">
        <w:rPr>
          <w:rFonts w:cstheme="minorHAnsi"/>
          <w:lang w:val="en-US" w:eastAsia="en-AU"/>
        </w:rPr>
        <w:t xml:space="preserve"> </w:t>
      </w:r>
      <w:r w:rsidRPr="00B21295">
        <w:rPr>
          <w:rFonts w:cstheme="minorHAnsi"/>
          <w:lang w:val="en-US" w:eastAsia="en-AU"/>
        </w:rPr>
        <w:t xml:space="preserve">recruit case worker staff </w:t>
      </w:r>
      <w:r w:rsidR="00031EE7" w:rsidRPr="00B21295">
        <w:rPr>
          <w:rFonts w:cstheme="minorHAnsi"/>
          <w:lang w:val="en-US" w:eastAsia="en-AU"/>
        </w:rPr>
        <w:t xml:space="preserve">primarily based on </w:t>
      </w:r>
      <w:r w:rsidRPr="00B21295">
        <w:rPr>
          <w:rFonts w:cstheme="minorHAnsi"/>
          <w:lang w:val="en-US" w:eastAsia="en-AU"/>
        </w:rPr>
        <w:t>attitude</w:t>
      </w:r>
      <w:r w:rsidR="00031EE7" w:rsidRPr="00B21295">
        <w:rPr>
          <w:rFonts w:cstheme="minorHAnsi"/>
          <w:lang w:val="en-US" w:eastAsia="en-AU"/>
        </w:rPr>
        <w:t xml:space="preserve">, </w:t>
      </w:r>
      <w:r w:rsidR="00551C11" w:rsidRPr="00B21295">
        <w:rPr>
          <w:rFonts w:cstheme="minorHAnsi"/>
          <w:lang w:val="en-US" w:eastAsia="en-AU"/>
        </w:rPr>
        <w:t>communication,</w:t>
      </w:r>
      <w:r w:rsidRPr="00B21295">
        <w:rPr>
          <w:rFonts w:cstheme="minorHAnsi"/>
          <w:lang w:val="en-US" w:eastAsia="en-AU"/>
        </w:rPr>
        <w:t xml:space="preserve"> and advocacy skills.</w:t>
      </w:r>
      <w:r w:rsidR="00031EE7" w:rsidRPr="00B21295">
        <w:rPr>
          <w:rStyle w:val="FootnoteReference"/>
          <w:rFonts w:cstheme="minorHAnsi"/>
          <w:lang w:val="en-US" w:eastAsia="en-AU"/>
        </w:rPr>
        <w:footnoteReference w:id="23"/>
      </w:r>
      <w:r w:rsidR="00031EE7" w:rsidRPr="00B21295">
        <w:rPr>
          <w:rFonts w:cstheme="minorHAnsi"/>
          <w:lang w:val="en-US" w:eastAsia="en-AU"/>
        </w:rPr>
        <w:t xml:space="preserve"> </w:t>
      </w:r>
    </w:p>
    <w:p w14:paraId="23BB0C67" w14:textId="77777777" w:rsidR="00024565" w:rsidRDefault="00024565" w:rsidP="00E710F8">
      <w:pPr>
        <w:jc w:val="both"/>
        <w:rPr>
          <w:rFonts w:cstheme="minorHAnsi"/>
          <w:lang w:val="en-US" w:eastAsia="en-AU"/>
        </w:rPr>
      </w:pPr>
    </w:p>
    <w:p w14:paraId="653C3D17" w14:textId="30D62E4D" w:rsidR="004A5D2E" w:rsidRDefault="00E710F8" w:rsidP="00E710F8">
      <w:pPr>
        <w:jc w:val="both"/>
        <w:rPr>
          <w:rFonts w:cstheme="minorHAnsi"/>
          <w:lang w:val="en-US" w:eastAsia="en-AU"/>
        </w:rPr>
      </w:pPr>
      <w:r w:rsidRPr="00B21295">
        <w:rPr>
          <w:rFonts w:cstheme="minorHAnsi"/>
          <w:lang w:val="en-US" w:eastAsia="en-AU"/>
        </w:rPr>
        <w:t xml:space="preserve">Training requirements for the YTC workforce is consistent with that applied to the ATC workers, noting a Community of Practice (CoP) support group with members from each of the implementing service providers </w:t>
      </w:r>
      <w:r w:rsidR="00031EE7" w:rsidRPr="00B21295">
        <w:rPr>
          <w:rFonts w:cstheme="minorHAnsi"/>
          <w:lang w:val="en-US" w:eastAsia="en-AU"/>
        </w:rPr>
        <w:t>w</w:t>
      </w:r>
      <w:r w:rsidRPr="00B21295">
        <w:rPr>
          <w:rFonts w:cstheme="minorHAnsi"/>
          <w:lang w:val="en-US" w:eastAsia="en-AU"/>
        </w:rPr>
        <w:t xml:space="preserve">as </w:t>
      </w:r>
      <w:r w:rsidR="00031EE7" w:rsidRPr="00B21295">
        <w:rPr>
          <w:rFonts w:cstheme="minorHAnsi"/>
          <w:lang w:val="en-US" w:eastAsia="en-AU"/>
        </w:rPr>
        <w:t xml:space="preserve">intended to </w:t>
      </w:r>
      <w:r w:rsidRPr="00B21295">
        <w:rPr>
          <w:rFonts w:cstheme="minorHAnsi"/>
          <w:lang w:val="en-US" w:eastAsia="en-AU"/>
        </w:rPr>
        <w:t>be developed as part of the YTC Program trials.</w:t>
      </w:r>
      <w:r w:rsidR="00031EE7" w:rsidRPr="00B21295">
        <w:rPr>
          <w:rFonts w:cstheme="minorHAnsi"/>
          <w:lang w:val="en-US" w:eastAsia="en-AU"/>
        </w:rPr>
        <w:t xml:space="preserve"> </w:t>
      </w:r>
      <w:r w:rsidRPr="00B21295">
        <w:rPr>
          <w:rFonts w:cstheme="minorHAnsi"/>
          <w:lang w:val="en-US" w:eastAsia="en-AU"/>
        </w:rPr>
        <w:t xml:space="preserve">Ongoing support and supervision for YTC workers may also include standard line-management supervision, in conjunction with clinical and cultural supervision to ensure the social and emotional well-being of staff operating in </w:t>
      </w:r>
      <w:r w:rsidR="007868BF" w:rsidRPr="00B21295">
        <w:rPr>
          <w:rFonts w:cstheme="minorHAnsi"/>
          <w:lang w:val="en-US" w:eastAsia="en-AU"/>
        </w:rPr>
        <w:t xml:space="preserve">a </w:t>
      </w:r>
      <w:r w:rsidRPr="00B21295">
        <w:rPr>
          <w:rFonts w:cstheme="minorHAnsi"/>
          <w:lang w:val="en-US" w:eastAsia="en-AU"/>
        </w:rPr>
        <w:t>challenging context</w:t>
      </w:r>
      <w:r w:rsidR="007868BF" w:rsidRPr="00B21295">
        <w:rPr>
          <w:rFonts w:cstheme="minorHAnsi"/>
          <w:lang w:val="en-US" w:eastAsia="en-AU"/>
        </w:rPr>
        <w:t>.</w:t>
      </w:r>
    </w:p>
    <w:p w14:paraId="56882F36" w14:textId="77777777" w:rsidR="007868BF" w:rsidRDefault="007868BF" w:rsidP="00E710F8">
      <w:pPr>
        <w:jc w:val="both"/>
        <w:rPr>
          <w:rFonts w:cstheme="minorHAnsi"/>
          <w:lang w:val="en-US" w:eastAsia="en-AU"/>
        </w:rPr>
      </w:pPr>
    </w:p>
    <w:p w14:paraId="3D75D675" w14:textId="100957A6" w:rsidR="007868BF" w:rsidRPr="00E710F8" w:rsidRDefault="007868BF" w:rsidP="007868BF">
      <w:pPr>
        <w:jc w:val="both"/>
        <w:rPr>
          <w:rFonts w:cstheme="minorHAnsi"/>
          <w:lang w:val="en-US" w:eastAsia="en-AU"/>
        </w:rPr>
      </w:pPr>
      <w:r>
        <w:rPr>
          <w:rFonts w:cstheme="minorHAnsi"/>
          <w:lang w:val="en-US" w:eastAsia="en-AU"/>
        </w:rPr>
        <w:t>L</w:t>
      </w:r>
      <w:r w:rsidRPr="00E710F8">
        <w:rPr>
          <w:rFonts w:cstheme="minorHAnsi"/>
          <w:lang w:val="en-US" w:eastAsia="en-AU"/>
        </w:rPr>
        <w:t>ike the ATC Program, a data management strategy has been developed. This focuses on the maintenance of a minimum data set designed to ensure adequate information is provided against the essential components of the program in support of a 6 monthly performance reporting cycle. Components include:</w:t>
      </w:r>
    </w:p>
    <w:p w14:paraId="6CB11FF7" w14:textId="77777777" w:rsidR="007868BF" w:rsidRDefault="007868BF" w:rsidP="007868BF">
      <w:pPr>
        <w:jc w:val="both"/>
        <w:rPr>
          <w:rFonts w:cstheme="minorHAnsi"/>
          <w:lang w:val="en-US" w:eastAsia="en-AU"/>
        </w:rPr>
      </w:pPr>
    </w:p>
    <w:p w14:paraId="62244249" w14:textId="77777777" w:rsidR="007868BF" w:rsidRDefault="007868BF" w:rsidP="00B77817">
      <w:pPr>
        <w:pStyle w:val="ListParagraph"/>
        <w:numPr>
          <w:ilvl w:val="0"/>
          <w:numId w:val="66"/>
        </w:numPr>
        <w:jc w:val="both"/>
        <w:rPr>
          <w:rFonts w:cstheme="minorHAnsi"/>
          <w:lang w:val="en-US" w:eastAsia="en-AU"/>
        </w:rPr>
      </w:pPr>
      <w:r w:rsidRPr="00BC0E6C">
        <w:rPr>
          <w:rFonts w:cstheme="minorHAnsi"/>
          <w:b/>
          <w:bCs/>
          <w:lang w:val="en-US" w:eastAsia="en-AU"/>
        </w:rPr>
        <w:t>Data Management Group</w:t>
      </w:r>
      <w:r w:rsidRPr="00031EE7">
        <w:rPr>
          <w:rFonts w:cstheme="minorHAnsi"/>
          <w:lang w:val="en-US" w:eastAsia="en-AU"/>
        </w:rPr>
        <w:t xml:space="preserve"> – Establishment of a data management group within the YTC team.</w:t>
      </w:r>
    </w:p>
    <w:p w14:paraId="240FD897" w14:textId="77777777" w:rsidR="007868BF" w:rsidRPr="00031EE7" w:rsidRDefault="007868BF" w:rsidP="007868BF">
      <w:pPr>
        <w:pStyle w:val="ListParagraph"/>
        <w:jc w:val="both"/>
        <w:rPr>
          <w:rFonts w:cstheme="minorHAnsi"/>
          <w:lang w:val="en-US" w:eastAsia="en-AU"/>
        </w:rPr>
      </w:pPr>
    </w:p>
    <w:p w14:paraId="0EF4EC2E" w14:textId="77777777" w:rsidR="007868BF" w:rsidRDefault="007868BF" w:rsidP="00B77817">
      <w:pPr>
        <w:pStyle w:val="ListParagraph"/>
        <w:numPr>
          <w:ilvl w:val="0"/>
          <w:numId w:val="66"/>
        </w:numPr>
        <w:jc w:val="both"/>
        <w:rPr>
          <w:rFonts w:cstheme="minorHAnsi"/>
          <w:lang w:val="en-US" w:eastAsia="en-AU"/>
        </w:rPr>
      </w:pPr>
      <w:r w:rsidRPr="00BC0E6C">
        <w:rPr>
          <w:rFonts w:cstheme="minorHAnsi"/>
          <w:b/>
          <w:bCs/>
          <w:lang w:val="en-US" w:eastAsia="en-AU"/>
        </w:rPr>
        <w:t>Core Model Training</w:t>
      </w:r>
      <w:r w:rsidRPr="00031EE7">
        <w:rPr>
          <w:rFonts w:cstheme="minorHAnsi"/>
          <w:lang w:val="en-US" w:eastAsia="en-AU"/>
        </w:rPr>
        <w:t xml:space="preserve"> – Orientation of the YTC Case Worker on the use of data forms.</w:t>
      </w:r>
    </w:p>
    <w:p w14:paraId="65155396" w14:textId="77777777" w:rsidR="007868BF" w:rsidRPr="00031EE7" w:rsidRDefault="007868BF" w:rsidP="007868BF">
      <w:pPr>
        <w:pStyle w:val="ListParagraph"/>
        <w:jc w:val="both"/>
        <w:rPr>
          <w:rFonts w:cstheme="minorHAnsi"/>
          <w:lang w:val="en-US" w:eastAsia="en-AU"/>
        </w:rPr>
      </w:pPr>
    </w:p>
    <w:p w14:paraId="7E348824" w14:textId="7F363FDC" w:rsidR="007868BF" w:rsidRDefault="007868BF" w:rsidP="00B77817">
      <w:pPr>
        <w:pStyle w:val="ListParagraph"/>
        <w:numPr>
          <w:ilvl w:val="0"/>
          <w:numId w:val="66"/>
        </w:numPr>
        <w:jc w:val="both"/>
        <w:rPr>
          <w:rFonts w:cstheme="minorHAnsi"/>
          <w:lang w:val="en-US" w:eastAsia="en-AU"/>
        </w:rPr>
      </w:pPr>
      <w:r w:rsidRPr="00BC0E6C">
        <w:rPr>
          <w:rFonts w:cstheme="minorHAnsi"/>
          <w:b/>
          <w:bCs/>
          <w:lang w:val="en-US" w:eastAsia="en-AU"/>
        </w:rPr>
        <w:t>Data Collection</w:t>
      </w:r>
      <w:r w:rsidRPr="00031EE7">
        <w:rPr>
          <w:rFonts w:cstheme="minorHAnsi"/>
          <w:lang w:val="en-US" w:eastAsia="en-AU"/>
        </w:rPr>
        <w:t xml:space="preserve"> – Collection of core quantitative data (</w:t>
      </w:r>
      <w:r w:rsidR="00BC0E6C">
        <w:rPr>
          <w:rFonts w:cstheme="minorHAnsi"/>
          <w:lang w:val="en-US" w:eastAsia="en-AU"/>
        </w:rPr>
        <w:t xml:space="preserve">for example, </w:t>
      </w:r>
      <w:r w:rsidRPr="00031EE7">
        <w:rPr>
          <w:rFonts w:cstheme="minorHAnsi"/>
          <w:lang w:val="en-US" w:eastAsia="en-AU"/>
        </w:rPr>
        <w:t>baseline enrolment, schedules, release details and other client data) and other qualitative information such as feedback interviews and fidelity reporting.</w:t>
      </w:r>
    </w:p>
    <w:p w14:paraId="4057C770" w14:textId="77777777" w:rsidR="007868BF" w:rsidRDefault="007868BF" w:rsidP="007868BF">
      <w:pPr>
        <w:jc w:val="both"/>
        <w:rPr>
          <w:rFonts w:cstheme="minorHAnsi"/>
          <w:lang w:val="en-US" w:eastAsia="en-AU"/>
        </w:rPr>
      </w:pPr>
    </w:p>
    <w:p w14:paraId="028ADEFF" w14:textId="64E12D47" w:rsidR="007868BF" w:rsidRDefault="007868BF" w:rsidP="007868BF">
      <w:pPr>
        <w:jc w:val="both"/>
        <w:rPr>
          <w:rFonts w:cstheme="minorHAnsi"/>
          <w:lang w:val="en-US" w:eastAsia="en-AU"/>
        </w:rPr>
      </w:pPr>
      <w:r w:rsidRPr="00031EE7">
        <w:rPr>
          <w:rFonts w:cstheme="minorHAnsi"/>
          <w:lang w:val="en-US" w:eastAsia="en-AU"/>
        </w:rPr>
        <w:t>Continuous quality improvement is encouraged through periodic review</w:t>
      </w:r>
      <w:r w:rsidR="00BC2767">
        <w:rPr>
          <w:rFonts w:cstheme="minorHAnsi"/>
          <w:lang w:val="en-US" w:eastAsia="en-AU"/>
        </w:rPr>
        <w:t>s</w:t>
      </w:r>
      <w:r w:rsidRPr="00031EE7">
        <w:rPr>
          <w:rFonts w:cstheme="minorHAnsi"/>
          <w:lang w:val="en-US" w:eastAsia="en-AU"/>
        </w:rPr>
        <w:t xml:space="preserve"> of data reports and feedback from staff and partners.</w:t>
      </w:r>
    </w:p>
    <w:p w14:paraId="2BE40682" w14:textId="313FCF06" w:rsidR="007868BF" w:rsidRDefault="007868BF" w:rsidP="00E710F8">
      <w:pPr>
        <w:jc w:val="both"/>
        <w:rPr>
          <w:rFonts w:cstheme="minorHAnsi"/>
          <w:lang w:val="en-US" w:eastAsia="en-AU"/>
        </w:rPr>
        <w:sectPr w:rsidR="007868BF" w:rsidSect="00A04873">
          <w:headerReference w:type="default" r:id="rId17"/>
          <w:pgSz w:w="11906" w:h="16838"/>
          <w:pgMar w:top="851" w:right="1418" w:bottom="1701" w:left="1418" w:header="1531" w:footer="737" w:gutter="0"/>
          <w:cols w:space="720"/>
          <w:docGrid w:linePitch="326"/>
        </w:sectPr>
      </w:pPr>
    </w:p>
    <w:p w14:paraId="4F5ACD69" w14:textId="665A1717" w:rsidR="00BB6F0B" w:rsidRDefault="00107B21" w:rsidP="00107B21">
      <w:pPr>
        <w:jc w:val="both"/>
        <w:rPr>
          <w:rFonts w:cstheme="minorHAnsi"/>
          <w:i/>
          <w:iCs/>
          <w:color w:val="1F497D" w:themeColor="text2"/>
          <w:sz w:val="20"/>
          <w:szCs w:val="20"/>
        </w:rPr>
      </w:pPr>
      <w:r>
        <w:rPr>
          <w:rFonts w:cstheme="minorHAnsi"/>
          <w:i/>
          <w:iCs/>
          <w:color w:val="1F497D" w:themeColor="text2"/>
          <w:sz w:val="20"/>
          <w:szCs w:val="20"/>
        </w:rPr>
        <w:t xml:space="preserve">Figure 3 </w:t>
      </w:r>
      <w:r w:rsidRPr="00A22692">
        <w:rPr>
          <w:rFonts w:cstheme="minorHAnsi"/>
          <w:i/>
          <w:iCs/>
          <w:color w:val="1F497D" w:themeColor="text2"/>
          <w:sz w:val="20"/>
          <w:szCs w:val="20"/>
        </w:rPr>
        <w:t xml:space="preserve">– </w:t>
      </w:r>
      <w:r>
        <w:rPr>
          <w:rFonts w:cstheme="minorHAnsi"/>
          <w:i/>
          <w:iCs/>
          <w:color w:val="1F497D" w:themeColor="text2"/>
          <w:sz w:val="20"/>
          <w:szCs w:val="20"/>
        </w:rPr>
        <w:t>Y</w:t>
      </w:r>
      <w:r w:rsidRPr="00A22692">
        <w:rPr>
          <w:rFonts w:cstheme="minorHAnsi"/>
          <w:i/>
          <w:iCs/>
          <w:color w:val="1F497D" w:themeColor="text2"/>
          <w:sz w:val="20"/>
          <w:szCs w:val="20"/>
        </w:rPr>
        <w:t xml:space="preserve">TC </w:t>
      </w:r>
      <w:r>
        <w:rPr>
          <w:rFonts w:cstheme="minorHAnsi"/>
          <w:i/>
          <w:iCs/>
          <w:color w:val="1F497D" w:themeColor="text2"/>
          <w:sz w:val="20"/>
          <w:szCs w:val="20"/>
        </w:rPr>
        <w:t>Model Implementation Framework (Source: ABT Associates)</w:t>
      </w:r>
    </w:p>
    <w:p w14:paraId="46AB1226" w14:textId="049115AB" w:rsidR="004A5D2E" w:rsidRDefault="004A5D2E" w:rsidP="00E710F8">
      <w:pPr>
        <w:jc w:val="both"/>
        <w:rPr>
          <w:rFonts w:cstheme="minorHAnsi"/>
          <w:lang w:val="en-US" w:eastAsia="en-AU"/>
        </w:rPr>
      </w:pPr>
    </w:p>
    <w:p w14:paraId="627E88F4" w14:textId="77777777" w:rsidR="001607A8" w:rsidRPr="001607A8" w:rsidRDefault="001607A8" w:rsidP="001607A8">
      <w:pPr>
        <w:rPr>
          <w:rFonts w:cstheme="minorHAnsi"/>
          <w:lang w:val="en-US" w:eastAsia="en-AU"/>
        </w:rPr>
      </w:pPr>
    </w:p>
    <w:p w14:paraId="0986EABF" w14:textId="50294268" w:rsidR="001607A8" w:rsidRPr="001607A8" w:rsidRDefault="00BB6F0B" w:rsidP="001607A8">
      <w:pPr>
        <w:rPr>
          <w:rFonts w:cstheme="minorHAnsi"/>
          <w:lang w:val="en-US" w:eastAsia="en-AU"/>
        </w:rPr>
      </w:pPr>
      <w:r w:rsidRPr="00BB6F0B">
        <w:rPr>
          <w:rFonts w:cstheme="minorHAnsi"/>
          <w:noProof/>
          <w:lang w:eastAsia="en-AU"/>
        </w:rPr>
        <w:drawing>
          <wp:inline distT="0" distB="0" distL="0" distR="0" wp14:anchorId="59E56725" wp14:editId="70F6F3DA">
            <wp:extent cx="9899411" cy="4650105"/>
            <wp:effectExtent l="0" t="0" r="6985" b="0"/>
            <wp:docPr id="50395060" name="Picture 50395060" descr="Diagram of YTC Model implementation framework. Has 5 broad categories shown with colourcoded boxes. The categories are: casemanagement; family, community and culture; Health; Safe and Secure Accomodation and Housing. Under Case Management there are 5 light orange coloured boxes: 1. Pre-release case management: goal setting and priority identification, trauma informed therapeutic care, legal service and court support advocacy, coordinate prerelease referrals and support. 2. Coordinated Post Release Planning: multidisciplined service coordination, consider remoteness in planning, coordinating administrative logistics, coordinate other key service elements, advocate and coordinate support pathways. 3. Administrative logistics: identification documents, banking, centrelink, connect with youth justice, child safety, parents/guardian/kin, schooling/training/employment preparations, transport to safe and suitable housing, ensure appropriate coordination of support pathways. 4. Intensive case management: actioning goals and priorities, legal service &amp; court support advocacy, assist in accessing, coordinating and monitoring other key service elements and their support pathways, regular monitoring of progress against plans and revisiting goals. 5. Client centred and gender appropriate: all services should be provided in a client-centred way, with special consideration for gender-appropriate plans and supports for young females.  Under Family, Community and Culture there are 3 dark orange coloured boxes: 1. family, kin, elder support and advocacy: issues risks / issues, conduit to YTC case managers and detention facility cultural units, facilitate mending relationships / reconnecting with home communities. 2. cultural strenghtening: facilitate connection to cultural programs and coordinate support pathways, support the exploration of identity / belonging and cultural heritage. 3. Positive social networks: building resilience, self esteem, confidence, leadership; forming and supporting access; support connection with positive community role model. The Health section has 2 grey coloured boxes: 1. Health and social and emotional wellbeing: advocate and support the coordination of support pathways to appropriate mental health service provision; and support acess to 715 health check. Box 2: Youth specific AoD services: support coordination with mental health and primary health care, and advocate and coordinate AoD support pathways including volatile substance abuse. The next category: Housing: has one ight brown coloured box with content: Safe and Secure Accomodation: support identification of, and/or transition to, appropriate housing (i.e. repair relationships with residents/family members before returning home, etc.); if not returning home, support coordination of referrals to ensure safe and secure post-release accommodation (supported/transitional) mode available. The final box coloured pink under the heading Education and Employment: education /employment pathways: support pathways to appropriate education and/or training opportunities; support and advocate: transitioning back to school (public / alternative education), transitioning to training and employment pathways, and pro-social activities." title="Figure 3 - description">
              <a:extLst xmlns:a="http://schemas.openxmlformats.org/drawingml/2006/main">
                <a:ext uri="{FF2B5EF4-FFF2-40B4-BE49-F238E27FC236}">
                  <a16:creationId xmlns:a16="http://schemas.microsoft.com/office/drawing/2014/main" id="{DF73F095-05CE-3610-1132-CB7F6F30D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73F095-05CE-3610-1132-CB7F6F30D8F3}"/>
                        </a:ext>
                      </a:extLst>
                    </pic:cNvPr>
                    <pic:cNvPicPr>
                      <a:picLocks noChangeAspect="1"/>
                    </pic:cNvPicPr>
                  </pic:nvPicPr>
                  <pic:blipFill>
                    <a:blip r:embed="rId18"/>
                    <a:stretch>
                      <a:fillRect/>
                    </a:stretch>
                  </pic:blipFill>
                  <pic:spPr>
                    <a:xfrm>
                      <a:off x="0" y="0"/>
                      <a:ext cx="10036335" cy="4714423"/>
                    </a:xfrm>
                    <a:prstGeom prst="rect">
                      <a:avLst/>
                    </a:prstGeom>
                  </pic:spPr>
                </pic:pic>
              </a:graphicData>
            </a:graphic>
          </wp:inline>
        </w:drawing>
      </w:r>
    </w:p>
    <w:p w14:paraId="48D57F65" w14:textId="2A905C28" w:rsidR="001607A8" w:rsidRDefault="001607A8" w:rsidP="001607A8">
      <w:pPr>
        <w:tabs>
          <w:tab w:val="left" w:pos="6927"/>
        </w:tabs>
        <w:rPr>
          <w:rFonts w:cstheme="minorHAnsi"/>
          <w:lang w:val="en-US" w:eastAsia="en-AU"/>
        </w:rPr>
      </w:pPr>
      <w:r>
        <w:rPr>
          <w:rFonts w:cstheme="minorHAnsi"/>
          <w:lang w:val="en-US" w:eastAsia="en-AU"/>
        </w:rPr>
        <w:tab/>
      </w:r>
    </w:p>
    <w:p w14:paraId="3F7BDF7A" w14:textId="41851C02" w:rsidR="001607A8" w:rsidRPr="001607A8" w:rsidRDefault="001607A8" w:rsidP="001607A8">
      <w:pPr>
        <w:tabs>
          <w:tab w:val="left" w:pos="6927"/>
        </w:tabs>
        <w:rPr>
          <w:rFonts w:cstheme="minorHAnsi"/>
          <w:lang w:val="en-US" w:eastAsia="en-AU"/>
        </w:rPr>
        <w:sectPr w:rsidR="001607A8" w:rsidRPr="001607A8" w:rsidSect="00A04873">
          <w:headerReference w:type="default" r:id="rId19"/>
          <w:pgSz w:w="16838" w:h="11906" w:orient="landscape"/>
          <w:pgMar w:top="1418" w:right="1701" w:bottom="1418" w:left="851" w:header="1531" w:footer="737" w:gutter="0"/>
          <w:cols w:space="720"/>
          <w:docGrid w:linePitch="326"/>
        </w:sectPr>
      </w:pPr>
      <w:r>
        <w:rPr>
          <w:rFonts w:cstheme="minorHAnsi"/>
          <w:lang w:val="en-US" w:eastAsia="en-AU"/>
        </w:rPr>
        <w:tab/>
      </w:r>
    </w:p>
    <w:p w14:paraId="09AFD77F" w14:textId="77777777" w:rsidR="002F6224" w:rsidRDefault="00E96309" w:rsidP="002F6224">
      <w:pPr>
        <w:pStyle w:val="SUBHEAD2"/>
        <w:rPr>
          <w:rFonts w:asciiTheme="minorHAnsi" w:hAnsiTheme="minorHAnsi" w:cstheme="minorHAnsi"/>
          <w:lang w:val="en-MY" w:eastAsia="en-AU"/>
        </w:rPr>
      </w:pPr>
      <w:r w:rsidRPr="00E96309">
        <w:rPr>
          <w:rFonts w:asciiTheme="minorHAnsi" w:hAnsiTheme="minorHAnsi" w:cstheme="minorHAnsi"/>
          <w:lang w:val="en-MY" w:eastAsia="en-AU"/>
        </w:rPr>
        <w:t>YTC Model Theory of Change</w:t>
      </w:r>
    </w:p>
    <w:p w14:paraId="0E0DA942" w14:textId="043BEAEA" w:rsidR="00900673" w:rsidRPr="002F6224" w:rsidRDefault="00E96309" w:rsidP="00AB7135">
      <w:pPr>
        <w:spacing w:before="120" w:after="120"/>
        <w:jc w:val="both"/>
        <w:rPr>
          <w:b/>
          <w:smallCaps/>
          <w:lang w:val="en-US" w:eastAsia="en-AU"/>
        </w:rPr>
      </w:pPr>
      <w:r w:rsidRPr="002F6224">
        <w:rPr>
          <w:lang w:val="en-US" w:eastAsia="en-AU"/>
        </w:rPr>
        <w:t xml:space="preserve">The YTC </w:t>
      </w:r>
      <w:r w:rsidR="00900673" w:rsidRPr="002F6224">
        <w:rPr>
          <w:lang w:val="en-US" w:eastAsia="en-AU"/>
        </w:rPr>
        <w:t xml:space="preserve">model adopts </w:t>
      </w:r>
      <w:r w:rsidRPr="002F6224">
        <w:rPr>
          <w:lang w:val="en-US" w:eastAsia="en-AU"/>
        </w:rPr>
        <w:t xml:space="preserve">a similar </w:t>
      </w:r>
      <w:r w:rsidR="00900673" w:rsidRPr="002F6224">
        <w:rPr>
          <w:lang w:val="en-US" w:eastAsia="en-AU"/>
        </w:rPr>
        <w:t>ToC t</w:t>
      </w:r>
      <w:r w:rsidRPr="002F6224">
        <w:rPr>
          <w:lang w:val="en-US" w:eastAsia="en-AU"/>
        </w:rPr>
        <w:t>o the ATC</w:t>
      </w:r>
      <w:r w:rsidR="00900673" w:rsidRPr="002F6224">
        <w:rPr>
          <w:lang w:val="en-US" w:eastAsia="en-AU"/>
        </w:rPr>
        <w:t xml:space="preserve"> model</w:t>
      </w:r>
      <w:r w:rsidRPr="002F6224">
        <w:rPr>
          <w:lang w:val="en-US" w:eastAsia="en-AU"/>
        </w:rPr>
        <w:t>.</w:t>
      </w:r>
      <w:r w:rsidR="00900673" w:rsidRPr="002F6224">
        <w:rPr>
          <w:lang w:val="en-US" w:eastAsia="en-AU"/>
        </w:rPr>
        <w:t xml:space="preserve"> As stated in the YTC Model documentation, the ToC for delivering the program is:</w:t>
      </w:r>
    </w:p>
    <w:p w14:paraId="1702B998" w14:textId="5801F5C4" w:rsidR="00E96309" w:rsidRPr="00900673" w:rsidRDefault="00E96309" w:rsidP="00E96309">
      <w:pPr>
        <w:jc w:val="both"/>
        <w:rPr>
          <w:rFonts w:cstheme="minorHAnsi"/>
          <w:b/>
          <w:bCs/>
          <w:i/>
          <w:iCs/>
          <w:lang w:val="en-US" w:eastAsia="en-AU"/>
        </w:rPr>
      </w:pPr>
      <w:r w:rsidRPr="00900673">
        <w:rPr>
          <w:rFonts w:cstheme="minorHAnsi"/>
          <w:b/>
          <w:bCs/>
          <w:i/>
          <w:iCs/>
          <w:lang w:val="en-US" w:eastAsia="en-AU"/>
        </w:rPr>
        <w:t>Trusted, well qualified YTC Case Workers who provide appropriate and holistic therapeutic case management, delivered in a culturally safe, client-</w:t>
      </w:r>
      <w:r w:rsidR="00551C11" w:rsidRPr="00900673">
        <w:rPr>
          <w:rFonts w:cstheme="minorHAnsi"/>
          <w:b/>
          <w:bCs/>
          <w:i/>
          <w:iCs/>
          <w:lang w:val="en-US" w:eastAsia="en-AU"/>
        </w:rPr>
        <w:t>centred,</w:t>
      </w:r>
      <w:r w:rsidRPr="00900673">
        <w:rPr>
          <w:rFonts w:cstheme="minorHAnsi"/>
          <w:b/>
          <w:bCs/>
          <w:i/>
          <w:iCs/>
          <w:lang w:val="en-US" w:eastAsia="en-AU"/>
        </w:rPr>
        <w:t xml:space="preserve"> and trauma-informed manner, with a solid connection to culture, country and family, will empower young Aboriginal and Torres Strait Islander peoples to reduce reoffending behaviour and grow positive futures.</w:t>
      </w:r>
    </w:p>
    <w:p w14:paraId="7F55BB07" w14:textId="77777777" w:rsidR="00E96309" w:rsidRDefault="00E96309" w:rsidP="00E96309">
      <w:pPr>
        <w:jc w:val="both"/>
        <w:rPr>
          <w:rFonts w:cstheme="minorHAnsi"/>
          <w:lang w:val="en-US" w:eastAsia="en-AU"/>
        </w:rPr>
      </w:pPr>
    </w:p>
    <w:p w14:paraId="30AFD4FF" w14:textId="1B24BA9C" w:rsidR="00900673" w:rsidRDefault="00E96309" w:rsidP="00E96309">
      <w:pPr>
        <w:jc w:val="both"/>
        <w:rPr>
          <w:rFonts w:cstheme="minorHAnsi"/>
          <w:lang w:val="en-US" w:eastAsia="en-AU"/>
        </w:rPr>
      </w:pPr>
      <w:r w:rsidRPr="00E96309">
        <w:rPr>
          <w:rFonts w:cstheme="minorHAnsi"/>
          <w:lang w:val="en-US" w:eastAsia="en-AU"/>
        </w:rPr>
        <w:t xml:space="preserve">As with the ATC </w:t>
      </w:r>
      <w:r w:rsidR="00900673">
        <w:rPr>
          <w:rFonts w:cstheme="minorHAnsi"/>
          <w:lang w:val="en-US" w:eastAsia="en-AU"/>
        </w:rPr>
        <w:t xml:space="preserve">model, </w:t>
      </w:r>
      <w:r w:rsidRPr="00E96309">
        <w:rPr>
          <w:rFonts w:cstheme="minorHAnsi"/>
          <w:lang w:val="en-US" w:eastAsia="en-AU"/>
        </w:rPr>
        <w:t xml:space="preserve">the </w:t>
      </w:r>
      <w:r w:rsidR="00900673">
        <w:rPr>
          <w:rFonts w:cstheme="minorHAnsi"/>
          <w:lang w:val="en-US" w:eastAsia="en-AU"/>
        </w:rPr>
        <w:t xml:space="preserve">primary aim of the ATC program is stated as: </w:t>
      </w:r>
    </w:p>
    <w:p w14:paraId="465E20D6" w14:textId="77777777" w:rsidR="00900673" w:rsidRDefault="00900673" w:rsidP="00E96309">
      <w:pPr>
        <w:jc w:val="both"/>
        <w:rPr>
          <w:rFonts w:cstheme="minorHAnsi"/>
          <w:lang w:val="en-US" w:eastAsia="en-AU"/>
        </w:rPr>
      </w:pPr>
    </w:p>
    <w:p w14:paraId="3EE29EDF" w14:textId="6FEA2BED" w:rsidR="00E96309" w:rsidRPr="00900673" w:rsidRDefault="00900673" w:rsidP="00B77817">
      <w:pPr>
        <w:pStyle w:val="ListParagraph"/>
        <w:numPr>
          <w:ilvl w:val="0"/>
          <w:numId w:val="32"/>
        </w:numPr>
        <w:jc w:val="both"/>
        <w:rPr>
          <w:rFonts w:cstheme="minorHAnsi"/>
          <w:lang w:val="en-US" w:eastAsia="en-AU"/>
        </w:rPr>
      </w:pPr>
      <w:r>
        <w:rPr>
          <w:rFonts w:cstheme="minorHAnsi"/>
          <w:lang w:val="en-US" w:eastAsia="en-AU"/>
        </w:rPr>
        <w:t xml:space="preserve">A </w:t>
      </w:r>
      <w:r w:rsidR="00E96309" w:rsidRPr="00900673">
        <w:rPr>
          <w:rFonts w:cstheme="minorHAnsi"/>
          <w:lang w:val="en-US" w:eastAsia="en-AU"/>
        </w:rPr>
        <w:t xml:space="preserve">reduction in criminal activity and reoffending, including the severity of offending and a potential increase in the time between offences, </w:t>
      </w:r>
      <w:r w:rsidR="001A45D6">
        <w:rPr>
          <w:rFonts w:cstheme="minorHAnsi"/>
          <w:lang w:val="en-US" w:eastAsia="en-AU"/>
        </w:rPr>
        <w:t xml:space="preserve">through </w:t>
      </w:r>
      <w:r w:rsidR="00E96309" w:rsidRPr="00900673">
        <w:rPr>
          <w:rFonts w:cstheme="minorHAnsi"/>
          <w:lang w:val="en-US" w:eastAsia="en-AU"/>
        </w:rPr>
        <w:t>the facilitated engagement of clients with culture, country and family in collaboration with supportive services.</w:t>
      </w:r>
    </w:p>
    <w:p w14:paraId="59261EE8" w14:textId="77777777" w:rsidR="00900673" w:rsidRPr="00E96309" w:rsidRDefault="00900673" w:rsidP="00E96309">
      <w:pPr>
        <w:jc w:val="both"/>
        <w:rPr>
          <w:rFonts w:cstheme="minorHAnsi"/>
          <w:lang w:val="en-US" w:eastAsia="en-AU"/>
        </w:rPr>
      </w:pPr>
    </w:p>
    <w:p w14:paraId="4E25CEAC" w14:textId="4BE6D469" w:rsidR="00E96309" w:rsidRDefault="00E96309" w:rsidP="00E96309">
      <w:pPr>
        <w:jc w:val="both"/>
        <w:rPr>
          <w:rFonts w:cstheme="minorHAnsi"/>
          <w:lang w:val="en-US" w:eastAsia="en-AU"/>
        </w:rPr>
      </w:pPr>
      <w:r w:rsidRPr="00E96309">
        <w:rPr>
          <w:rFonts w:cstheme="minorHAnsi"/>
          <w:lang w:val="en-US" w:eastAsia="en-AU"/>
        </w:rPr>
        <w:t xml:space="preserve">Figure </w:t>
      </w:r>
      <w:r w:rsidR="00900673">
        <w:rPr>
          <w:rFonts w:cstheme="minorHAnsi"/>
          <w:lang w:val="en-US" w:eastAsia="en-AU"/>
        </w:rPr>
        <w:t>4</w:t>
      </w:r>
      <w:r w:rsidRPr="00E96309">
        <w:rPr>
          <w:rFonts w:cstheme="minorHAnsi"/>
          <w:lang w:val="en-US" w:eastAsia="en-AU"/>
        </w:rPr>
        <w:t xml:space="preserve"> below shows the high-level YTC </w:t>
      </w:r>
      <w:r w:rsidR="00900673">
        <w:rPr>
          <w:rFonts w:cstheme="minorHAnsi"/>
          <w:lang w:val="en-US" w:eastAsia="en-AU"/>
        </w:rPr>
        <w:t>p</w:t>
      </w:r>
      <w:r w:rsidRPr="00E96309">
        <w:rPr>
          <w:rFonts w:cstheme="minorHAnsi"/>
          <w:lang w:val="en-US" w:eastAsia="en-AU"/>
        </w:rPr>
        <w:t xml:space="preserve">rogram </w:t>
      </w:r>
      <w:r w:rsidR="00900673">
        <w:rPr>
          <w:rFonts w:cstheme="minorHAnsi"/>
          <w:lang w:val="en-US" w:eastAsia="en-AU"/>
        </w:rPr>
        <w:t>l</w:t>
      </w:r>
      <w:r w:rsidRPr="00E96309">
        <w:rPr>
          <w:rFonts w:cstheme="minorHAnsi"/>
          <w:lang w:val="en-US" w:eastAsia="en-AU"/>
        </w:rPr>
        <w:t>ogic produced through the co-design process, including: the activities and outputs involved in implementing the initiative; the short-term and intermediate effects in knowledge and meaningful participation, and the eventual, long-term impacts on behaviour and pro-social choices.</w:t>
      </w:r>
    </w:p>
    <w:p w14:paraId="65CDADB3" w14:textId="77777777" w:rsidR="00CD7184" w:rsidRDefault="00CD7184" w:rsidP="00E96309">
      <w:pPr>
        <w:jc w:val="both"/>
        <w:rPr>
          <w:rFonts w:cstheme="minorHAnsi"/>
          <w:lang w:val="en-US" w:eastAsia="en-AU"/>
        </w:rPr>
      </w:pPr>
    </w:p>
    <w:p w14:paraId="4EB09598" w14:textId="5F88E0FF" w:rsidR="00CD7184" w:rsidRDefault="00D069B4" w:rsidP="00E96309">
      <w:pPr>
        <w:jc w:val="both"/>
        <w:rPr>
          <w:rFonts w:cstheme="minorHAnsi"/>
          <w:i/>
          <w:iCs/>
          <w:color w:val="1F497D" w:themeColor="text2"/>
          <w:sz w:val="20"/>
          <w:szCs w:val="20"/>
        </w:rPr>
      </w:pPr>
      <w:r>
        <w:rPr>
          <w:rFonts w:cstheme="minorHAnsi"/>
          <w:i/>
          <w:iCs/>
          <w:color w:val="1F497D" w:themeColor="text2"/>
          <w:sz w:val="20"/>
          <w:szCs w:val="20"/>
        </w:rPr>
        <w:t xml:space="preserve">Figure 4 </w:t>
      </w:r>
      <w:r w:rsidRPr="00A22692">
        <w:rPr>
          <w:rFonts w:cstheme="minorHAnsi"/>
          <w:i/>
          <w:iCs/>
          <w:color w:val="1F497D" w:themeColor="text2"/>
          <w:sz w:val="20"/>
          <w:szCs w:val="20"/>
        </w:rPr>
        <w:t xml:space="preserve">– </w:t>
      </w:r>
      <w:r>
        <w:rPr>
          <w:rFonts w:cstheme="minorHAnsi"/>
          <w:i/>
          <w:iCs/>
          <w:color w:val="1F497D" w:themeColor="text2"/>
          <w:sz w:val="20"/>
          <w:szCs w:val="20"/>
        </w:rPr>
        <w:t>Y</w:t>
      </w:r>
      <w:r w:rsidRPr="00A22692">
        <w:rPr>
          <w:rFonts w:cstheme="minorHAnsi"/>
          <w:i/>
          <w:iCs/>
          <w:color w:val="1F497D" w:themeColor="text2"/>
          <w:sz w:val="20"/>
          <w:szCs w:val="20"/>
        </w:rPr>
        <w:t xml:space="preserve">TC </w:t>
      </w:r>
      <w:r>
        <w:rPr>
          <w:rFonts w:cstheme="minorHAnsi"/>
          <w:i/>
          <w:iCs/>
          <w:color w:val="1F497D" w:themeColor="text2"/>
          <w:sz w:val="20"/>
          <w:szCs w:val="20"/>
        </w:rPr>
        <w:t>Model Program Logic (Source: ABT Associates)</w:t>
      </w:r>
    </w:p>
    <w:p w14:paraId="4519B97F" w14:textId="77777777" w:rsidR="00D069B4" w:rsidRPr="00D069B4" w:rsidRDefault="00D069B4" w:rsidP="00E96309">
      <w:pPr>
        <w:jc w:val="both"/>
        <w:rPr>
          <w:rFonts w:cstheme="minorHAnsi"/>
          <w:i/>
          <w:iCs/>
          <w:color w:val="1F497D" w:themeColor="text2"/>
          <w:sz w:val="20"/>
          <w:szCs w:val="20"/>
        </w:rPr>
      </w:pPr>
    </w:p>
    <w:p w14:paraId="445DE0D3" w14:textId="03C7F401" w:rsidR="00120996" w:rsidRDefault="00CD7184" w:rsidP="00E710F8">
      <w:pPr>
        <w:jc w:val="both"/>
        <w:rPr>
          <w:rFonts w:cstheme="minorHAnsi"/>
          <w:lang w:val="en-MY" w:eastAsia="en-AU"/>
        </w:rPr>
      </w:pPr>
      <w:r w:rsidRPr="00120996">
        <w:rPr>
          <w:rFonts w:cstheme="minorHAnsi"/>
          <w:noProof/>
          <w:lang w:eastAsia="en-AU"/>
        </w:rPr>
        <mc:AlternateContent>
          <mc:Choice Requires="wps">
            <w:drawing>
              <wp:anchor distT="0" distB="0" distL="114300" distR="114300" simplePos="0" relativeHeight="251658286" behindDoc="0" locked="0" layoutInCell="1" allowOverlap="1" wp14:anchorId="44589C9D" wp14:editId="78B8632E">
                <wp:simplePos x="0" y="0"/>
                <wp:positionH relativeFrom="column">
                  <wp:posOffset>1718076</wp:posOffset>
                </wp:positionH>
                <wp:positionV relativeFrom="paragraph">
                  <wp:posOffset>73660</wp:posOffset>
                </wp:positionV>
                <wp:extent cx="914400" cy="299720"/>
                <wp:effectExtent l="0" t="0" r="0" b="0"/>
                <wp:wrapNone/>
                <wp:docPr id="1689152279" name="TextBox 8"/>
                <wp:cNvGraphicFramePr/>
                <a:graphic xmlns:a="http://schemas.openxmlformats.org/drawingml/2006/main">
                  <a:graphicData uri="http://schemas.microsoft.com/office/word/2010/wordprocessingShape">
                    <wps:wsp>
                      <wps:cNvSpPr txBox="1"/>
                      <wps:spPr>
                        <a:xfrm>
                          <a:off x="0" y="0"/>
                          <a:ext cx="914400" cy="299720"/>
                        </a:xfrm>
                        <a:prstGeom prst="rect">
                          <a:avLst/>
                        </a:prstGeom>
                        <a:noFill/>
                      </wps:spPr>
                      <wps:txbx>
                        <w:txbxContent>
                          <w:p w14:paraId="499F2A4F" w14:textId="73CC571F" w:rsidR="009C42F3" w:rsidRDefault="009C42F3" w:rsidP="00CD7184">
                            <w:pPr>
                              <w:rPr>
                                <w:rFonts w:hAnsi="Calibri"/>
                                <w:color w:val="FFFFFF" w:themeColor="background1"/>
                                <w:kern w:val="24"/>
                                <w:sz w:val="27"/>
                                <w:szCs w:val="27"/>
                                <w:lang w:val="en-US"/>
                              </w:rPr>
                            </w:pPr>
                            <w:r>
                              <w:rPr>
                                <w:rFonts w:hAnsi="Calibri"/>
                                <w:color w:val="FFFFFF" w:themeColor="background1"/>
                                <w:kern w:val="24"/>
                                <w:sz w:val="27"/>
                                <w:szCs w:val="27"/>
                                <w:lang w:val="en-US"/>
                              </w:rPr>
                              <w:t>Outputs</w:t>
                            </w:r>
                          </w:p>
                        </w:txbxContent>
                      </wps:txbx>
                      <wps:bodyPr wrap="square" rtlCol="0">
                        <a:spAutoFit/>
                      </wps:bodyPr>
                    </wps:wsp>
                  </a:graphicData>
                </a:graphic>
              </wp:anchor>
            </w:drawing>
          </mc:Choice>
          <mc:Fallback xmlns:w16du="http://schemas.microsoft.com/office/word/2023/wordml/word16du">
            <w:pict>
              <v:shape w14:anchorId="44589C9D" id="TextBox 8" o:spid="_x0000_s1061" type="#_x0000_t202" style="position:absolute;left:0;text-align:left;margin-left:135.3pt;margin-top:5.8pt;width:1in;height:23.6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" filled="f" stroked="f">
                <v:textbox style="mso-fit-shape-to-text:t">
                  <w:txbxContent>
                    <w:p w14:paraId="499F2A4F" w14:textId="73CC571F" w:rsidR="009C42F3" w:rsidRDefault="009C42F3" w:rsidP="00CD7184">
                      <w:pPr>
                        <w:rPr>
                          <w:rFonts w:hAnsi="Calibri"/>
                          <w:color w:val="FFFFFF" w:themeColor="background1"/>
                          <w:kern w:val="24"/>
                          <w:sz w:val="27"/>
                          <w:szCs w:val="27"/>
                          <w:lang w:val="en-US"/>
                        </w:rPr>
                      </w:pPr>
                      <w:r>
                        <w:rPr>
                          <w:rFonts w:hAnsi="Calibri"/>
                          <w:color w:val="FFFFFF" w:themeColor="background1"/>
                          <w:kern w:val="24"/>
                          <w:sz w:val="27"/>
                          <w:szCs w:val="27"/>
                          <w:lang w:val="en-US"/>
                        </w:rPr>
                        <w:t>Outputs</w:t>
                      </w:r>
                    </w:p>
                  </w:txbxContent>
                </v:textbox>
              </v:shape>
            </w:pict>
          </mc:Fallback>
        </mc:AlternateContent>
      </w:r>
      <w:r w:rsidRPr="00120996">
        <w:rPr>
          <w:rFonts w:cstheme="minorHAnsi"/>
          <w:noProof/>
          <w:lang w:eastAsia="en-AU"/>
        </w:rPr>
        <mc:AlternateContent>
          <mc:Choice Requires="wps">
            <w:drawing>
              <wp:anchor distT="0" distB="0" distL="114300" distR="114300" simplePos="0" relativeHeight="251658284" behindDoc="0" locked="0" layoutInCell="1" allowOverlap="1" wp14:anchorId="0E8F9BCB" wp14:editId="19C3C5BF">
                <wp:simplePos x="0" y="0"/>
                <wp:positionH relativeFrom="column">
                  <wp:posOffset>4867910</wp:posOffset>
                </wp:positionH>
                <wp:positionV relativeFrom="paragraph">
                  <wp:posOffset>89936</wp:posOffset>
                </wp:positionV>
                <wp:extent cx="914400" cy="299720"/>
                <wp:effectExtent l="0" t="0" r="0" b="0"/>
                <wp:wrapNone/>
                <wp:docPr id="1633553397" name="TextBox 8"/>
                <wp:cNvGraphicFramePr/>
                <a:graphic xmlns:a="http://schemas.openxmlformats.org/drawingml/2006/main">
                  <a:graphicData uri="http://schemas.microsoft.com/office/word/2010/wordprocessingShape">
                    <wps:wsp>
                      <wps:cNvSpPr txBox="1"/>
                      <wps:spPr>
                        <a:xfrm>
                          <a:off x="0" y="0"/>
                          <a:ext cx="914400" cy="299720"/>
                        </a:xfrm>
                        <a:prstGeom prst="rect">
                          <a:avLst/>
                        </a:prstGeom>
                        <a:noFill/>
                      </wps:spPr>
                      <wps:txbx>
                        <w:txbxContent>
                          <w:p w14:paraId="7B7BDF12" w14:textId="26F2ECE0" w:rsidR="009C42F3" w:rsidRDefault="009C42F3" w:rsidP="00120996">
                            <w:pPr>
                              <w:rPr>
                                <w:rFonts w:hAnsi="Calibri"/>
                                <w:color w:val="FFFFFF" w:themeColor="background1"/>
                                <w:kern w:val="24"/>
                                <w:sz w:val="27"/>
                                <w:szCs w:val="27"/>
                                <w:lang w:val="en-US"/>
                              </w:rPr>
                            </w:pPr>
                            <w:r>
                              <w:rPr>
                                <w:rFonts w:hAnsi="Calibri"/>
                                <w:color w:val="FFFFFF" w:themeColor="background1"/>
                                <w:kern w:val="24"/>
                                <w:sz w:val="27"/>
                                <w:szCs w:val="27"/>
                                <w:lang w:val="en-US"/>
                              </w:rPr>
                              <w:t>Impact</w:t>
                            </w:r>
                          </w:p>
                        </w:txbxContent>
                      </wps:txbx>
                      <wps:bodyPr wrap="square" rtlCol="0">
                        <a:spAutoFit/>
                      </wps:bodyPr>
                    </wps:wsp>
                  </a:graphicData>
                </a:graphic>
              </wp:anchor>
            </w:drawing>
          </mc:Choice>
          <mc:Fallback xmlns:w16du="http://schemas.microsoft.com/office/word/2023/wordml/word16du">
            <w:pict>
              <v:shape w14:anchorId="0E8F9BCB" id="_x0000_s1062" type="#_x0000_t202" style="position:absolute;left:0;text-align:left;margin-left:383.3pt;margin-top:7.1pt;width:1in;height:23.6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" filled="f" stroked="f">
                <v:textbox style="mso-fit-shape-to-text:t">
                  <w:txbxContent>
                    <w:p w14:paraId="7B7BDF12" w14:textId="26F2ECE0" w:rsidR="009C42F3" w:rsidRDefault="009C42F3" w:rsidP="00120996">
                      <w:pPr>
                        <w:rPr>
                          <w:rFonts w:hAnsi="Calibri"/>
                          <w:color w:val="FFFFFF" w:themeColor="background1"/>
                          <w:kern w:val="24"/>
                          <w:sz w:val="27"/>
                          <w:szCs w:val="27"/>
                          <w:lang w:val="en-US"/>
                        </w:rPr>
                      </w:pPr>
                      <w:r>
                        <w:rPr>
                          <w:rFonts w:hAnsi="Calibri"/>
                          <w:color w:val="FFFFFF" w:themeColor="background1"/>
                          <w:kern w:val="24"/>
                          <w:sz w:val="27"/>
                          <w:szCs w:val="27"/>
                          <w:lang w:val="en-US"/>
                        </w:rPr>
                        <w:t>Impact</w:t>
                      </w:r>
                    </w:p>
                  </w:txbxContent>
                </v:textbox>
              </v:shape>
            </w:pict>
          </mc:Fallback>
        </mc:AlternateContent>
      </w:r>
      <w:r w:rsidRPr="00120996">
        <w:rPr>
          <w:rFonts w:cstheme="minorHAnsi"/>
          <w:noProof/>
          <w:lang w:eastAsia="en-AU"/>
        </w:rPr>
        <mc:AlternateContent>
          <mc:Choice Requires="wps">
            <w:drawing>
              <wp:anchor distT="0" distB="0" distL="114300" distR="114300" simplePos="0" relativeHeight="251658283" behindDoc="0" locked="0" layoutInCell="1" allowOverlap="1" wp14:anchorId="7A2D9035" wp14:editId="5FB925EF">
                <wp:simplePos x="0" y="0"/>
                <wp:positionH relativeFrom="column">
                  <wp:posOffset>3196590</wp:posOffset>
                </wp:positionH>
                <wp:positionV relativeFrom="paragraph">
                  <wp:posOffset>97389</wp:posOffset>
                </wp:positionV>
                <wp:extent cx="914400" cy="299720"/>
                <wp:effectExtent l="0" t="0" r="0" b="0"/>
                <wp:wrapNone/>
                <wp:docPr id="1123146390" name="TextBox 8"/>
                <wp:cNvGraphicFramePr/>
                <a:graphic xmlns:a="http://schemas.openxmlformats.org/drawingml/2006/main">
                  <a:graphicData uri="http://schemas.microsoft.com/office/word/2010/wordprocessingShape">
                    <wps:wsp>
                      <wps:cNvSpPr txBox="1"/>
                      <wps:spPr>
                        <a:xfrm>
                          <a:off x="0" y="0"/>
                          <a:ext cx="914400" cy="299720"/>
                        </a:xfrm>
                        <a:prstGeom prst="rect">
                          <a:avLst/>
                        </a:prstGeom>
                        <a:noFill/>
                      </wps:spPr>
                      <wps:txbx>
                        <w:txbxContent>
                          <w:p w14:paraId="0844A981" w14:textId="1B2DAF8A" w:rsidR="009C42F3" w:rsidRDefault="009C42F3" w:rsidP="00120996">
                            <w:pPr>
                              <w:rPr>
                                <w:rFonts w:hAnsi="Calibri"/>
                                <w:color w:val="FFFFFF" w:themeColor="background1"/>
                                <w:kern w:val="24"/>
                                <w:sz w:val="27"/>
                                <w:szCs w:val="27"/>
                                <w:lang w:val="en-US"/>
                              </w:rPr>
                            </w:pPr>
                            <w:r>
                              <w:rPr>
                                <w:rFonts w:hAnsi="Calibri"/>
                                <w:color w:val="FFFFFF" w:themeColor="background1"/>
                                <w:kern w:val="24"/>
                                <w:sz w:val="27"/>
                                <w:szCs w:val="27"/>
                                <w:lang w:val="en-US"/>
                              </w:rPr>
                              <w:t>Outcomes</w:t>
                            </w:r>
                          </w:p>
                        </w:txbxContent>
                      </wps:txbx>
                      <wps:bodyPr wrap="square" rtlCol="0">
                        <a:spAutoFit/>
                      </wps:bodyPr>
                    </wps:wsp>
                  </a:graphicData>
                </a:graphic>
              </wp:anchor>
            </w:drawing>
          </mc:Choice>
          <mc:Fallback xmlns:w16du="http://schemas.microsoft.com/office/word/2023/wordml/word16du">
            <w:pict>
              <v:shape w14:anchorId="7A2D9035" id="_x0000_s1063" type="#_x0000_t202" style="position:absolute;left:0;text-align:left;margin-left:251.7pt;margin-top:7.65pt;width:1in;height:23.6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" filled="f" stroked="f">
                <v:textbox style="mso-fit-shape-to-text:t">
                  <w:txbxContent>
                    <w:p w14:paraId="0844A981" w14:textId="1B2DAF8A" w:rsidR="009C42F3" w:rsidRDefault="009C42F3" w:rsidP="00120996">
                      <w:pPr>
                        <w:rPr>
                          <w:rFonts w:hAnsi="Calibri"/>
                          <w:color w:val="FFFFFF" w:themeColor="background1"/>
                          <w:kern w:val="24"/>
                          <w:sz w:val="27"/>
                          <w:szCs w:val="27"/>
                          <w:lang w:val="en-US"/>
                        </w:rPr>
                      </w:pPr>
                      <w:r>
                        <w:rPr>
                          <w:rFonts w:hAnsi="Calibri"/>
                          <w:color w:val="FFFFFF" w:themeColor="background1"/>
                          <w:kern w:val="24"/>
                          <w:sz w:val="27"/>
                          <w:szCs w:val="27"/>
                          <w:lang w:val="en-US"/>
                        </w:rPr>
                        <w:t>Outcomes</w:t>
                      </w:r>
                    </w:p>
                  </w:txbxContent>
                </v:textbox>
              </v:shape>
            </w:pict>
          </mc:Fallback>
        </mc:AlternateContent>
      </w:r>
      <w:r w:rsidRPr="00120996">
        <w:rPr>
          <w:rFonts w:cstheme="minorHAnsi"/>
          <w:noProof/>
          <w:lang w:eastAsia="en-AU"/>
        </w:rPr>
        <mc:AlternateContent>
          <mc:Choice Requires="wps">
            <w:drawing>
              <wp:anchor distT="0" distB="0" distL="114300" distR="114300" simplePos="0" relativeHeight="251658285" behindDoc="0" locked="0" layoutInCell="1" allowOverlap="1" wp14:anchorId="1609F2D3" wp14:editId="1860F2D4">
                <wp:simplePos x="0" y="0"/>
                <wp:positionH relativeFrom="column">
                  <wp:posOffset>221615</wp:posOffset>
                </wp:positionH>
                <wp:positionV relativeFrom="paragraph">
                  <wp:posOffset>75565</wp:posOffset>
                </wp:positionV>
                <wp:extent cx="914400" cy="299720"/>
                <wp:effectExtent l="0" t="0" r="0" b="0"/>
                <wp:wrapNone/>
                <wp:docPr id="1439773520" name="TextBox 8"/>
                <wp:cNvGraphicFramePr/>
                <a:graphic xmlns:a="http://schemas.openxmlformats.org/drawingml/2006/main">
                  <a:graphicData uri="http://schemas.microsoft.com/office/word/2010/wordprocessingShape">
                    <wps:wsp>
                      <wps:cNvSpPr txBox="1"/>
                      <wps:spPr>
                        <a:xfrm>
                          <a:off x="0" y="0"/>
                          <a:ext cx="914400" cy="299720"/>
                        </a:xfrm>
                        <a:prstGeom prst="rect">
                          <a:avLst/>
                        </a:prstGeom>
                        <a:noFill/>
                      </wps:spPr>
                      <wps:txbx>
                        <w:txbxContent>
                          <w:p w14:paraId="4B045179" w14:textId="7E5C8DD1" w:rsidR="009C42F3" w:rsidRDefault="009C42F3" w:rsidP="00CD7184">
                            <w:pPr>
                              <w:rPr>
                                <w:rFonts w:hAnsi="Calibri"/>
                                <w:color w:val="FFFFFF" w:themeColor="background1"/>
                                <w:kern w:val="24"/>
                                <w:sz w:val="27"/>
                                <w:szCs w:val="27"/>
                                <w:lang w:val="en-US"/>
                              </w:rPr>
                            </w:pPr>
                            <w:r>
                              <w:rPr>
                                <w:rFonts w:hAnsi="Calibri"/>
                                <w:color w:val="FFFFFF" w:themeColor="background1"/>
                                <w:kern w:val="24"/>
                                <w:sz w:val="27"/>
                                <w:szCs w:val="27"/>
                                <w:lang w:val="en-US"/>
                              </w:rPr>
                              <w:t>Inputs</w:t>
                            </w:r>
                          </w:p>
                        </w:txbxContent>
                      </wps:txbx>
                      <wps:bodyPr wrap="square" rtlCol="0">
                        <a:spAutoFit/>
                      </wps:bodyPr>
                    </wps:wsp>
                  </a:graphicData>
                </a:graphic>
              </wp:anchor>
            </w:drawing>
          </mc:Choice>
          <mc:Fallback xmlns:w16du="http://schemas.microsoft.com/office/word/2023/wordml/word16du">
            <w:pict>
              <v:shape w14:anchorId="1609F2D3" id="_x0000_s1064" type="#_x0000_t202" style="position:absolute;left:0;text-align:left;margin-left:17.45pt;margin-top:5.95pt;width:1in;height:23.6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" filled="f" stroked="f">
                <v:textbox style="mso-fit-shape-to-text:t">
                  <w:txbxContent>
                    <w:p w14:paraId="4B045179" w14:textId="7E5C8DD1" w:rsidR="009C42F3" w:rsidRDefault="009C42F3" w:rsidP="00CD7184">
                      <w:pPr>
                        <w:rPr>
                          <w:rFonts w:hAnsi="Calibri"/>
                          <w:color w:val="FFFFFF" w:themeColor="background1"/>
                          <w:kern w:val="24"/>
                          <w:sz w:val="27"/>
                          <w:szCs w:val="27"/>
                          <w:lang w:val="en-US"/>
                        </w:rPr>
                      </w:pPr>
                      <w:r>
                        <w:rPr>
                          <w:rFonts w:hAnsi="Calibri"/>
                          <w:color w:val="FFFFFF" w:themeColor="background1"/>
                          <w:kern w:val="24"/>
                          <w:sz w:val="27"/>
                          <w:szCs w:val="27"/>
                          <w:lang w:val="en-US"/>
                        </w:rPr>
                        <w:t>Inputs</w:t>
                      </w:r>
                    </w:p>
                  </w:txbxContent>
                </v:textbox>
              </v:shape>
            </w:pict>
          </mc:Fallback>
        </mc:AlternateContent>
      </w:r>
      <w:r w:rsidRPr="00120996">
        <w:rPr>
          <w:rFonts w:cstheme="minorHAnsi"/>
          <w:noProof/>
          <w:lang w:eastAsia="en-AU"/>
        </w:rPr>
        <w:drawing>
          <wp:inline distT="0" distB="0" distL="0" distR="0" wp14:anchorId="508662B9" wp14:editId="5F541BB2">
            <wp:extent cx="5759450" cy="2095947"/>
            <wp:effectExtent l="0" t="0" r="0" b="0"/>
            <wp:docPr id="1324875002" name="Picture 1" descr="YTC model program logic: flow chart with 4 boxes from left to right. First box is inputs (YTC model standards developed; YTC case workers trained; model updated following findings of trial) &gt; second box is Outputs (model implemented as designed, model adapted to specific jurisdictions) &gt; third box: Outcomes (participation in education or employment, enhanced connection to sountry, family and kin, safe accomodation, improved health and social and emotional wellbeing, and reduction of AOD and engagement with treatment services). Fourth box: Impact (lesser types of offending, greater intervals between offences).&#10;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75002" name=""/>
                    <pic:cNvPicPr/>
                  </pic:nvPicPr>
                  <pic:blipFill rotWithShape="1">
                    <a:blip r:embed="rId20"/>
                    <a:srcRect t="15089" b="14625"/>
                    <a:stretch/>
                  </pic:blipFill>
                  <pic:spPr bwMode="auto">
                    <a:xfrm>
                      <a:off x="0" y="0"/>
                      <a:ext cx="5759450" cy="2095947"/>
                    </a:xfrm>
                    <a:prstGeom prst="rect">
                      <a:avLst/>
                    </a:prstGeom>
                    <a:ln>
                      <a:noFill/>
                    </a:ln>
                    <a:extLst>
                      <a:ext uri="{53640926-AAD7-44D8-BBD7-CCE9431645EC}">
                        <a14:shadowObscured xmlns:a14="http://schemas.microsoft.com/office/drawing/2010/main"/>
                      </a:ext>
                    </a:extLst>
                  </pic:spPr>
                </pic:pic>
              </a:graphicData>
            </a:graphic>
          </wp:inline>
        </w:drawing>
      </w:r>
    </w:p>
    <w:p w14:paraId="6788F82A" w14:textId="05EC0FB7" w:rsidR="00950F9E" w:rsidRPr="00BC2894" w:rsidRDefault="006F53E4" w:rsidP="00950F9E">
      <w:pPr>
        <w:pStyle w:val="Heading2"/>
        <w:rPr>
          <w:rFonts w:cstheme="minorHAnsi"/>
          <w:lang w:val="en-MY"/>
        </w:rPr>
      </w:pPr>
      <w:bookmarkStart w:id="22" w:name="_Toc150784196"/>
      <w:r>
        <w:rPr>
          <w:rFonts w:cstheme="minorHAnsi"/>
          <w:lang w:val="en-MY"/>
        </w:rPr>
        <w:t>Literature Review and Analysis</w:t>
      </w:r>
      <w:bookmarkEnd w:id="22"/>
    </w:p>
    <w:p w14:paraId="320F15B8" w14:textId="73DA3B60" w:rsidR="00120996" w:rsidRDefault="00950F9E" w:rsidP="00E710F8">
      <w:pPr>
        <w:jc w:val="both"/>
        <w:rPr>
          <w:rFonts w:cstheme="minorHAnsi"/>
          <w:lang w:val="en-MY" w:eastAsia="en-AU"/>
        </w:rPr>
      </w:pPr>
      <w:r w:rsidRPr="00542534">
        <w:rPr>
          <w:rFonts w:cstheme="minorHAnsi"/>
          <w:lang w:val="en-MY" w:eastAsia="en-AU"/>
        </w:rPr>
        <w:t>Th</w:t>
      </w:r>
      <w:r w:rsidR="00FE33F5">
        <w:rPr>
          <w:rFonts w:cstheme="minorHAnsi"/>
          <w:lang w:val="en-MY" w:eastAsia="en-AU"/>
        </w:rPr>
        <w:t xml:space="preserve">is section </w:t>
      </w:r>
      <w:r w:rsidRPr="00542534">
        <w:rPr>
          <w:rFonts w:cstheme="minorHAnsi"/>
          <w:lang w:val="en-MY" w:eastAsia="en-AU"/>
        </w:rPr>
        <w:t>a</w:t>
      </w:r>
      <w:r w:rsidR="00FE33F5">
        <w:rPr>
          <w:rFonts w:cstheme="minorHAnsi"/>
          <w:lang w:val="en-MY" w:eastAsia="en-AU"/>
        </w:rPr>
        <w:t xml:space="preserve">ssesses the quality of the ATC and YTC model designs </w:t>
      </w:r>
      <w:r w:rsidR="00981D49">
        <w:rPr>
          <w:rFonts w:cstheme="minorHAnsi"/>
          <w:lang w:val="en-MY" w:eastAsia="en-AU"/>
        </w:rPr>
        <w:t xml:space="preserve">with reference </w:t>
      </w:r>
      <w:r w:rsidR="00FE33F5">
        <w:rPr>
          <w:rFonts w:cstheme="minorHAnsi"/>
          <w:lang w:val="en-MY" w:eastAsia="en-AU"/>
        </w:rPr>
        <w:t>to be</w:t>
      </w:r>
      <w:r w:rsidR="00F34ABD">
        <w:rPr>
          <w:rFonts w:cstheme="minorHAnsi"/>
          <w:lang w:val="en-MY" w:eastAsia="en-AU"/>
        </w:rPr>
        <w:t xml:space="preserve">st-practice </w:t>
      </w:r>
      <w:r w:rsidR="00FE33F5">
        <w:rPr>
          <w:rFonts w:cstheme="minorHAnsi"/>
          <w:lang w:val="en-MY" w:eastAsia="en-AU"/>
        </w:rPr>
        <w:t xml:space="preserve">elements </w:t>
      </w:r>
      <w:r w:rsidRPr="00542534">
        <w:rPr>
          <w:rFonts w:cstheme="minorHAnsi"/>
          <w:lang w:val="en-MY" w:eastAsia="en-AU"/>
        </w:rPr>
        <w:t xml:space="preserve">identified in </w:t>
      </w:r>
      <w:r w:rsidR="00FE33F5">
        <w:rPr>
          <w:rFonts w:cstheme="minorHAnsi"/>
          <w:lang w:val="en-MY" w:eastAsia="en-AU"/>
        </w:rPr>
        <w:t xml:space="preserve">Australian and international </w:t>
      </w:r>
      <w:r w:rsidRPr="00542534">
        <w:rPr>
          <w:rFonts w:cstheme="minorHAnsi"/>
          <w:lang w:val="en-MY" w:eastAsia="en-AU"/>
        </w:rPr>
        <w:t>literature</w:t>
      </w:r>
      <w:r w:rsidR="00DF54AD">
        <w:rPr>
          <w:rFonts w:cstheme="minorHAnsi"/>
          <w:lang w:val="en-MY" w:eastAsia="en-AU"/>
        </w:rPr>
        <w:t xml:space="preserve">, </w:t>
      </w:r>
      <w:r w:rsidRPr="00542534">
        <w:rPr>
          <w:rFonts w:cstheme="minorHAnsi"/>
          <w:lang w:val="en-MY" w:eastAsia="en-AU"/>
        </w:rPr>
        <w:t>regarding what works in through</w:t>
      </w:r>
      <w:r w:rsidR="00DF54AD">
        <w:rPr>
          <w:rFonts w:cstheme="minorHAnsi"/>
          <w:lang w:val="en-MY" w:eastAsia="en-AU"/>
        </w:rPr>
        <w:t>-</w:t>
      </w:r>
      <w:r w:rsidRPr="00542534">
        <w:rPr>
          <w:rFonts w:cstheme="minorHAnsi"/>
          <w:lang w:val="en-MY" w:eastAsia="en-AU"/>
        </w:rPr>
        <w:t xml:space="preserve">care program models that can be applied in </w:t>
      </w:r>
      <w:r w:rsidR="00FE33F5">
        <w:rPr>
          <w:rFonts w:cstheme="minorHAnsi"/>
          <w:lang w:val="en-MY" w:eastAsia="en-AU"/>
        </w:rPr>
        <w:t xml:space="preserve">the </w:t>
      </w:r>
      <w:r w:rsidRPr="00542534">
        <w:rPr>
          <w:rFonts w:cstheme="minorHAnsi"/>
          <w:lang w:val="en-MY" w:eastAsia="en-AU"/>
        </w:rPr>
        <w:t>Indigenous Australian context</w:t>
      </w:r>
      <w:r>
        <w:rPr>
          <w:rFonts w:cstheme="minorHAnsi"/>
          <w:lang w:val="en-MY" w:eastAsia="en-AU"/>
        </w:rPr>
        <w:t>.</w:t>
      </w:r>
      <w:r w:rsidR="00FE33F5">
        <w:rPr>
          <w:rFonts w:cstheme="minorHAnsi"/>
          <w:lang w:val="en-MY" w:eastAsia="en-AU"/>
        </w:rPr>
        <w:t xml:space="preserve"> The analysis contributes to findings outlined in proceeding chapters of the report, in particular with regards to research question one around appropriateness of </w:t>
      </w:r>
      <w:r w:rsidR="00707D68">
        <w:rPr>
          <w:rFonts w:cstheme="minorHAnsi"/>
          <w:lang w:val="en-MY" w:eastAsia="en-AU"/>
        </w:rPr>
        <w:t xml:space="preserve">model </w:t>
      </w:r>
      <w:r w:rsidR="00FE33F5">
        <w:rPr>
          <w:rFonts w:cstheme="minorHAnsi"/>
          <w:lang w:val="en-MY" w:eastAsia="en-AU"/>
        </w:rPr>
        <w:t>design.</w:t>
      </w:r>
    </w:p>
    <w:p w14:paraId="5EA41C38" w14:textId="77777777" w:rsidR="00FE33F5" w:rsidRDefault="00FE33F5" w:rsidP="00E710F8">
      <w:pPr>
        <w:jc w:val="both"/>
        <w:rPr>
          <w:rFonts w:cstheme="minorHAnsi"/>
          <w:lang w:val="en-MY" w:eastAsia="en-AU"/>
        </w:rPr>
      </w:pPr>
    </w:p>
    <w:p w14:paraId="19ACE03F" w14:textId="23CA45E4" w:rsidR="00FE33F5" w:rsidRDefault="00FE33F5" w:rsidP="00FE33F5">
      <w:pPr>
        <w:jc w:val="both"/>
        <w:rPr>
          <w:rFonts w:cstheme="minorHAnsi"/>
          <w:lang w:val="en-MY" w:eastAsia="en-AU"/>
        </w:rPr>
      </w:pPr>
      <w:r w:rsidRPr="003C4914">
        <w:rPr>
          <w:rFonts w:cstheme="minorHAnsi"/>
          <w:lang w:val="en-MY" w:eastAsia="en-AU"/>
        </w:rPr>
        <w:t>Th</w:t>
      </w:r>
      <w:r>
        <w:rPr>
          <w:rFonts w:cstheme="minorHAnsi"/>
          <w:lang w:val="en-MY" w:eastAsia="en-AU"/>
        </w:rPr>
        <w:t>e literature selected focuses on meta-analys</w:t>
      </w:r>
      <w:r w:rsidR="0064497D">
        <w:rPr>
          <w:rFonts w:cstheme="minorHAnsi"/>
          <w:lang w:val="en-MY" w:eastAsia="en-AU"/>
        </w:rPr>
        <w:t>e</w:t>
      </w:r>
      <w:r>
        <w:rPr>
          <w:rFonts w:cstheme="minorHAnsi"/>
          <w:lang w:val="en-MY" w:eastAsia="en-AU"/>
        </w:rPr>
        <w:t xml:space="preserve">s and literature reviews of </w:t>
      </w:r>
      <w:r w:rsidR="0064497D">
        <w:rPr>
          <w:rFonts w:cstheme="minorHAnsi"/>
          <w:lang w:val="en-MY" w:eastAsia="en-AU"/>
        </w:rPr>
        <w:t>‘</w:t>
      </w:r>
      <w:r>
        <w:rPr>
          <w:rFonts w:cstheme="minorHAnsi"/>
          <w:lang w:val="en-MY" w:eastAsia="en-AU"/>
        </w:rPr>
        <w:t>what works</w:t>
      </w:r>
      <w:r w:rsidR="0064497D">
        <w:rPr>
          <w:rFonts w:cstheme="minorHAnsi"/>
          <w:lang w:val="en-MY" w:eastAsia="en-AU"/>
        </w:rPr>
        <w:t>’</w:t>
      </w:r>
      <w:r>
        <w:rPr>
          <w:rFonts w:cstheme="minorHAnsi"/>
          <w:lang w:val="en-MY" w:eastAsia="en-AU"/>
        </w:rPr>
        <w:t xml:space="preserve"> in prisoner through</w:t>
      </w:r>
      <w:r w:rsidR="0064497D">
        <w:rPr>
          <w:rFonts w:cstheme="minorHAnsi"/>
          <w:lang w:val="en-MY" w:eastAsia="en-AU"/>
        </w:rPr>
        <w:t xml:space="preserve">-care, itself defined as </w:t>
      </w:r>
      <w:r w:rsidRPr="003C4914">
        <w:rPr>
          <w:rFonts w:cstheme="minorHAnsi"/>
          <w:lang w:val="en-MY" w:eastAsia="en-AU"/>
        </w:rPr>
        <w:t>comprehensive case management for a prisoner in the lead up to their release from prison and throughout their transition to life outside.</w:t>
      </w:r>
      <w:r>
        <w:rPr>
          <w:rStyle w:val="FootnoteReference"/>
          <w:rFonts w:cstheme="minorHAnsi"/>
          <w:lang w:val="en-MY" w:eastAsia="en-AU"/>
        </w:rPr>
        <w:footnoteReference w:id="24"/>
      </w:r>
      <w:r w:rsidR="0064497D">
        <w:rPr>
          <w:rFonts w:cstheme="minorHAnsi"/>
          <w:lang w:val="en-MY" w:eastAsia="en-AU"/>
        </w:rPr>
        <w:t xml:space="preserve"> While the selection draws from international literature</w:t>
      </w:r>
      <w:r w:rsidR="00DF54AD">
        <w:rPr>
          <w:rFonts w:cstheme="minorHAnsi"/>
          <w:lang w:val="en-MY" w:eastAsia="en-AU"/>
        </w:rPr>
        <w:t>,</w:t>
      </w:r>
      <w:r w:rsidR="0064497D">
        <w:rPr>
          <w:rFonts w:cstheme="minorHAnsi"/>
          <w:lang w:val="en-MY" w:eastAsia="en-AU"/>
        </w:rPr>
        <w:t xml:space="preserve"> the study prioritises recent Australian evaluations of through-care programs</w:t>
      </w:r>
      <w:r w:rsidR="00952CCC">
        <w:rPr>
          <w:rFonts w:cstheme="minorHAnsi"/>
          <w:lang w:val="en-MY" w:eastAsia="en-AU"/>
        </w:rPr>
        <w:t xml:space="preserve">, recognising </w:t>
      </w:r>
      <w:r w:rsidR="0064497D">
        <w:rPr>
          <w:rFonts w:cstheme="minorHAnsi"/>
          <w:lang w:val="en-MY" w:eastAsia="en-AU"/>
        </w:rPr>
        <w:t>that the</w:t>
      </w:r>
      <w:r w:rsidRPr="00DE30E1">
        <w:rPr>
          <w:rFonts w:cstheme="minorHAnsi"/>
          <w:lang w:val="en-MY" w:eastAsia="en-AU"/>
        </w:rPr>
        <w:t xml:space="preserve"> experiences </w:t>
      </w:r>
      <w:r w:rsidR="0064497D">
        <w:rPr>
          <w:rFonts w:cstheme="minorHAnsi"/>
          <w:lang w:val="en-MY" w:eastAsia="en-AU"/>
        </w:rPr>
        <w:t xml:space="preserve">of Indigenous Australians </w:t>
      </w:r>
      <w:r w:rsidRPr="00DE30E1">
        <w:rPr>
          <w:rFonts w:cstheme="minorHAnsi"/>
          <w:lang w:val="en-MY" w:eastAsia="en-AU"/>
        </w:rPr>
        <w:t>with</w:t>
      </w:r>
      <w:r w:rsidR="0064497D">
        <w:rPr>
          <w:rFonts w:cstheme="minorHAnsi"/>
          <w:lang w:val="en-MY" w:eastAsia="en-AU"/>
        </w:rPr>
        <w:t>in</w:t>
      </w:r>
      <w:r w:rsidRPr="00DE30E1">
        <w:rPr>
          <w:rFonts w:cstheme="minorHAnsi"/>
          <w:lang w:val="en-MY" w:eastAsia="en-AU"/>
        </w:rPr>
        <w:t xml:space="preserve"> the criminal justice system</w:t>
      </w:r>
      <w:r w:rsidR="00952CCC">
        <w:rPr>
          <w:rFonts w:cstheme="minorHAnsi"/>
          <w:lang w:val="en-MY" w:eastAsia="en-AU"/>
        </w:rPr>
        <w:t xml:space="preserve"> </w:t>
      </w:r>
      <w:r w:rsidRPr="00DE30E1">
        <w:rPr>
          <w:rFonts w:cstheme="minorHAnsi"/>
          <w:lang w:val="en-MY" w:eastAsia="en-AU"/>
        </w:rPr>
        <w:t xml:space="preserve">are </w:t>
      </w:r>
      <w:r w:rsidR="0064497D">
        <w:rPr>
          <w:rFonts w:cstheme="minorHAnsi"/>
          <w:lang w:val="en-MY" w:eastAsia="en-AU"/>
        </w:rPr>
        <w:t xml:space="preserve">grounded in </w:t>
      </w:r>
      <w:r w:rsidR="005A0772">
        <w:rPr>
          <w:rFonts w:cstheme="minorHAnsi"/>
          <w:lang w:val="en-MY" w:eastAsia="en-AU"/>
        </w:rPr>
        <w:t xml:space="preserve">the </w:t>
      </w:r>
      <w:r w:rsidR="0064497D">
        <w:rPr>
          <w:rFonts w:cstheme="minorHAnsi"/>
          <w:lang w:val="en-MY" w:eastAsia="en-AU"/>
        </w:rPr>
        <w:t xml:space="preserve">uniqueness of </w:t>
      </w:r>
      <w:r w:rsidRPr="00DE30E1">
        <w:rPr>
          <w:rFonts w:cstheme="minorHAnsi"/>
          <w:lang w:val="en-MY" w:eastAsia="en-AU"/>
        </w:rPr>
        <w:t>Indigenous cultures</w:t>
      </w:r>
      <w:r w:rsidR="0064497D">
        <w:rPr>
          <w:rFonts w:cstheme="minorHAnsi"/>
          <w:lang w:val="en-MY" w:eastAsia="en-AU"/>
        </w:rPr>
        <w:t xml:space="preserve"> and histories of colonisation, </w:t>
      </w:r>
      <w:r w:rsidR="00952CCC">
        <w:rPr>
          <w:rFonts w:cstheme="minorHAnsi"/>
          <w:lang w:val="en-MY" w:eastAsia="en-AU"/>
        </w:rPr>
        <w:t xml:space="preserve">where </w:t>
      </w:r>
      <w:r w:rsidRPr="00DE30E1">
        <w:rPr>
          <w:rFonts w:cstheme="minorHAnsi"/>
          <w:lang w:val="en-MY" w:eastAsia="en-AU"/>
        </w:rPr>
        <w:t xml:space="preserve">cultural obligations towards </w:t>
      </w:r>
      <w:r w:rsidR="0064497D">
        <w:rPr>
          <w:rFonts w:cstheme="minorHAnsi"/>
          <w:lang w:val="en-MY" w:eastAsia="en-AU"/>
        </w:rPr>
        <w:t xml:space="preserve">country and </w:t>
      </w:r>
      <w:r w:rsidRPr="00DE30E1">
        <w:rPr>
          <w:rFonts w:cstheme="minorHAnsi"/>
          <w:lang w:val="en-MY" w:eastAsia="en-AU"/>
        </w:rPr>
        <w:t>family</w:t>
      </w:r>
      <w:r w:rsidR="00952CCC">
        <w:rPr>
          <w:rFonts w:cstheme="minorHAnsi"/>
          <w:lang w:val="en-MY" w:eastAsia="en-AU"/>
        </w:rPr>
        <w:t xml:space="preserve">, particularly in remote settings, </w:t>
      </w:r>
      <w:r w:rsidRPr="00DE30E1">
        <w:rPr>
          <w:rFonts w:cstheme="minorHAnsi"/>
          <w:lang w:val="en-MY" w:eastAsia="en-AU"/>
        </w:rPr>
        <w:t>all impact how through</w:t>
      </w:r>
      <w:r w:rsidR="00DF54AD">
        <w:rPr>
          <w:rFonts w:cstheme="minorHAnsi"/>
          <w:lang w:val="en-MY" w:eastAsia="en-AU"/>
        </w:rPr>
        <w:t>-</w:t>
      </w:r>
      <w:r w:rsidRPr="00DE30E1">
        <w:rPr>
          <w:rFonts w:cstheme="minorHAnsi"/>
          <w:lang w:val="en-MY" w:eastAsia="en-AU"/>
        </w:rPr>
        <w:t xml:space="preserve">care needs </w:t>
      </w:r>
      <w:r w:rsidR="005A0772">
        <w:rPr>
          <w:rFonts w:cstheme="minorHAnsi"/>
          <w:lang w:val="en-MY" w:eastAsia="en-AU"/>
        </w:rPr>
        <w:t xml:space="preserve">must </w:t>
      </w:r>
      <w:r w:rsidRPr="00DE30E1">
        <w:rPr>
          <w:rFonts w:cstheme="minorHAnsi"/>
          <w:lang w:val="en-MY" w:eastAsia="en-AU"/>
        </w:rPr>
        <w:t>be addressed.</w:t>
      </w:r>
      <w:r>
        <w:rPr>
          <w:rStyle w:val="FootnoteReference"/>
          <w:rFonts w:cstheme="minorHAnsi"/>
          <w:lang w:val="en-MY" w:eastAsia="en-AU"/>
        </w:rPr>
        <w:footnoteReference w:id="25"/>
      </w:r>
    </w:p>
    <w:p w14:paraId="69726C45" w14:textId="77777777" w:rsidR="00FE33F5" w:rsidRDefault="00FE33F5" w:rsidP="00E710F8">
      <w:pPr>
        <w:jc w:val="both"/>
        <w:rPr>
          <w:rFonts w:cstheme="minorHAnsi"/>
          <w:lang w:val="en-MY" w:eastAsia="en-AU"/>
        </w:rPr>
      </w:pPr>
    </w:p>
    <w:p w14:paraId="5B97D5C7" w14:textId="21E7EFE8" w:rsidR="00FE33F5" w:rsidRDefault="00707D68" w:rsidP="00FE33F5">
      <w:pPr>
        <w:jc w:val="both"/>
        <w:rPr>
          <w:rFonts w:cstheme="minorHAnsi"/>
          <w:lang w:val="en-MY" w:eastAsia="en-AU"/>
        </w:rPr>
      </w:pPr>
      <w:r>
        <w:rPr>
          <w:rFonts w:cstheme="minorHAnsi"/>
          <w:lang w:val="en-MY" w:eastAsia="en-AU"/>
        </w:rPr>
        <w:t xml:space="preserve">According to the </w:t>
      </w:r>
      <w:r w:rsidR="0007617D">
        <w:rPr>
          <w:rFonts w:cstheme="minorHAnsi"/>
          <w:lang w:val="en-MY" w:eastAsia="en-AU"/>
        </w:rPr>
        <w:t xml:space="preserve">literature reviewed, at a minimum, such </w:t>
      </w:r>
      <w:r w:rsidRPr="00E52C1F">
        <w:rPr>
          <w:rFonts w:cstheme="minorHAnsi"/>
          <w:lang w:val="en-MY" w:eastAsia="en-AU"/>
        </w:rPr>
        <w:t>programs must be culturally competent in design and delivery,</w:t>
      </w:r>
      <w:r w:rsidR="0007617D">
        <w:rPr>
          <w:rFonts w:cstheme="minorHAnsi"/>
          <w:lang w:val="en-MY" w:eastAsia="en-AU"/>
        </w:rPr>
        <w:t xml:space="preserve"> flexible in addressing the holistic needs of clients</w:t>
      </w:r>
      <w:r w:rsidRPr="00E52C1F">
        <w:rPr>
          <w:rFonts w:cstheme="minorHAnsi"/>
          <w:lang w:val="en-MY" w:eastAsia="en-AU"/>
        </w:rPr>
        <w:t xml:space="preserve">, </w:t>
      </w:r>
      <w:r w:rsidR="0007617D" w:rsidRPr="00E52C1F">
        <w:rPr>
          <w:rFonts w:cstheme="minorHAnsi"/>
          <w:lang w:val="en-MY" w:eastAsia="en-AU"/>
        </w:rPr>
        <w:t xml:space="preserve">demonstrate </w:t>
      </w:r>
      <w:r w:rsidR="0007617D">
        <w:rPr>
          <w:rFonts w:cstheme="minorHAnsi"/>
          <w:lang w:val="en-MY" w:eastAsia="en-AU"/>
        </w:rPr>
        <w:t xml:space="preserve">ongoing </w:t>
      </w:r>
      <w:r w:rsidR="0007617D" w:rsidRPr="00E52C1F">
        <w:rPr>
          <w:rFonts w:cstheme="minorHAnsi"/>
          <w:lang w:val="en-MY" w:eastAsia="en-AU"/>
        </w:rPr>
        <w:t>interagency coordination</w:t>
      </w:r>
      <w:r w:rsidR="0007617D">
        <w:rPr>
          <w:rFonts w:cstheme="minorHAnsi"/>
          <w:lang w:val="en-MY" w:eastAsia="en-AU"/>
        </w:rPr>
        <w:t xml:space="preserve">, and where appropriate </w:t>
      </w:r>
      <w:r w:rsidRPr="00E52C1F">
        <w:rPr>
          <w:rFonts w:cstheme="minorHAnsi"/>
          <w:lang w:val="en-MY" w:eastAsia="en-AU"/>
        </w:rPr>
        <w:t>involve families and communities.</w:t>
      </w:r>
      <w:r>
        <w:rPr>
          <w:rStyle w:val="FootnoteReference"/>
          <w:rFonts w:cstheme="minorHAnsi"/>
          <w:lang w:val="en-MY" w:eastAsia="en-AU"/>
        </w:rPr>
        <w:footnoteReference w:id="26"/>
      </w:r>
      <w:r w:rsidRPr="00D15C34">
        <w:rPr>
          <w:rFonts w:cstheme="minorHAnsi"/>
          <w:vertAlign w:val="superscript"/>
          <w:lang w:val="en-MY" w:eastAsia="en-AU"/>
        </w:rPr>
        <w:t>,</w:t>
      </w:r>
      <w:r>
        <w:rPr>
          <w:rStyle w:val="FootnoteReference"/>
          <w:rFonts w:cstheme="minorHAnsi"/>
          <w:lang w:val="en-MY" w:eastAsia="en-AU"/>
        </w:rPr>
        <w:footnoteReference w:id="27"/>
      </w:r>
      <w:r w:rsidR="00C47C0E" w:rsidRPr="00C47C0E">
        <w:rPr>
          <w:rFonts w:cstheme="minorHAnsi"/>
          <w:vertAlign w:val="superscript"/>
          <w:lang w:val="en-MY" w:eastAsia="en-AU"/>
        </w:rPr>
        <w:t>,</w:t>
      </w:r>
      <w:r w:rsidR="00C47C0E">
        <w:rPr>
          <w:rStyle w:val="FootnoteReference"/>
          <w:rFonts w:cstheme="minorHAnsi"/>
          <w:lang w:val="en-MY" w:eastAsia="en-AU"/>
        </w:rPr>
        <w:footnoteReference w:id="28"/>
      </w:r>
      <w:r w:rsidR="00C47C0E">
        <w:rPr>
          <w:rFonts w:cstheme="minorHAnsi"/>
          <w:lang w:val="en-MY" w:eastAsia="en-AU"/>
        </w:rPr>
        <w:t xml:space="preserve"> </w:t>
      </w:r>
      <w:r w:rsidR="00EA3241">
        <w:rPr>
          <w:rFonts w:cstheme="minorHAnsi"/>
          <w:lang w:val="en-MY" w:eastAsia="en-AU"/>
        </w:rPr>
        <w:t>Although</w:t>
      </w:r>
      <w:r>
        <w:rPr>
          <w:rFonts w:cstheme="minorHAnsi"/>
          <w:lang w:val="en-MY" w:eastAsia="en-AU"/>
        </w:rPr>
        <w:t xml:space="preserve"> the ABT models described are found to broadly</w:t>
      </w:r>
      <w:r w:rsidR="0007617D">
        <w:rPr>
          <w:rFonts w:cstheme="minorHAnsi"/>
          <w:lang w:val="en-MY" w:eastAsia="en-AU"/>
        </w:rPr>
        <w:t xml:space="preserve"> capture these elements through their emphasis on </w:t>
      </w:r>
      <w:r w:rsidR="0007617D" w:rsidRPr="00A96EFA">
        <w:rPr>
          <w:rFonts w:cstheme="minorHAnsi"/>
          <w:lang w:val="en-MY" w:eastAsia="en-AU"/>
        </w:rPr>
        <w:t xml:space="preserve">intensive support with case management </w:t>
      </w:r>
      <w:r w:rsidR="0007617D">
        <w:rPr>
          <w:rFonts w:cstheme="minorHAnsi"/>
          <w:lang w:val="en-MY" w:eastAsia="en-AU"/>
        </w:rPr>
        <w:t xml:space="preserve">and structured assessment and planning throughout </w:t>
      </w:r>
      <w:r w:rsidR="00FE33F5" w:rsidRPr="00A96EFA">
        <w:rPr>
          <w:rFonts w:cstheme="minorHAnsi"/>
          <w:lang w:val="en-MY" w:eastAsia="en-AU"/>
        </w:rPr>
        <w:t>pre-release</w:t>
      </w:r>
      <w:r>
        <w:rPr>
          <w:rFonts w:cstheme="minorHAnsi"/>
          <w:lang w:val="en-MY" w:eastAsia="en-AU"/>
        </w:rPr>
        <w:t xml:space="preserve">, </w:t>
      </w:r>
      <w:r w:rsidR="00FE33F5" w:rsidRPr="00A96EFA">
        <w:rPr>
          <w:rFonts w:cstheme="minorHAnsi"/>
          <w:lang w:val="en-MY" w:eastAsia="en-AU"/>
        </w:rPr>
        <w:t xml:space="preserve">re-entry </w:t>
      </w:r>
      <w:r w:rsidR="0007617D">
        <w:rPr>
          <w:rFonts w:cstheme="minorHAnsi"/>
          <w:lang w:val="en-MY" w:eastAsia="en-AU"/>
        </w:rPr>
        <w:t>and post-</w:t>
      </w:r>
      <w:r w:rsidR="00FE33F5" w:rsidRPr="00A96EFA">
        <w:rPr>
          <w:rFonts w:cstheme="minorHAnsi"/>
          <w:lang w:val="en-MY" w:eastAsia="en-AU"/>
        </w:rPr>
        <w:t>release</w:t>
      </w:r>
      <w:r w:rsidR="0007617D">
        <w:rPr>
          <w:rFonts w:cstheme="minorHAnsi"/>
          <w:lang w:val="en-MY" w:eastAsia="en-AU"/>
        </w:rPr>
        <w:t xml:space="preserve"> phases, </w:t>
      </w:r>
      <w:r w:rsidR="00402B94">
        <w:rPr>
          <w:rFonts w:cstheme="minorHAnsi"/>
          <w:lang w:val="en-MY" w:eastAsia="en-AU"/>
        </w:rPr>
        <w:t>comparison with identified good practice</w:t>
      </w:r>
      <w:r w:rsidR="009C4573">
        <w:rPr>
          <w:rFonts w:cstheme="minorHAnsi"/>
          <w:lang w:val="en-MY" w:eastAsia="en-AU"/>
        </w:rPr>
        <w:t>s</w:t>
      </w:r>
      <w:r w:rsidR="00402B94">
        <w:rPr>
          <w:rFonts w:cstheme="minorHAnsi"/>
          <w:lang w:val="en-MY" w:eastAsia="en-AU"/>
        </w:rPr>
        <w:t xml:space="preserve"> expose a number of potential design weaknesses and areas for improvement</w:t>
      </w:r>
      <w:r w:rsidRPr="00A96EFA">
        <w:rPr>
          <w:rFonts w:cstheme="minorHAnsi"/>
          <w:lang w:val="en-MY" w:eastAsia="en-AU"/>
        </w:rPr>
        <w:t>.</w:t>
      </w:r>
    </w:p>
    <w:p w14:paraId="3CDE2CEF" w14:textId="77777777" w:rsidR="005A0772" w:rsidRDefault="005A0772" w:rsidP="00E710F8">
      <w:pPr>
        <w:jc w:val="both"/>
        <w:rPr>
          <w:rFonts w:cstheme="minorHAnsi"/>
          <w:lang w:val="en-MY" w:eastAsia="en-AU"/>
        </w:rPr>
      </w:pPr>
    </w:p>
    <w:p w14:paraId="1E0DECD0" w14:textId="7DD9414F" w:rsidR="00475166" w:rsidRDefault="00475166" w:rsidP="00952CCC">
      <w:pPr>
        <w:jc w:val="both"/>
        <w:rPr>
          <w:rFonts w:cstheme="minorHAnsi"/>
          <w:lang w:val="en-MY" w:eastAsia="en-AU"/>
        </w:rPr>
      </w:pPr>
      <w:r>
        <w:rPr>
          <w:rFonts w:cstheme="minorHAnsi"/>
          <w:lang w:val="en-MY" w:eastAsia="en-AU"/>
        </w:rPr>
        <w:t xml:space="preserve">While several themes are discussed in further detail below, perhaps the most notable limitation of the </w:t>
      </w:r>
      <w:r w:rsidR="008869C8">
        <w:rPr>
          <w:rFonts w:cstheme="minorHAnsi"/>
          <w:lang w:val="en-MY" w:eastAsia="en-AU"/>
        </w:rPr>
        <w:t>ABT</w:t>
      </w:r>
      <w:r>
        <w:rPr>
          <w:rFonts w:cstheme="minorHAnsi"/>
          <w:lang w:val="en-MY" w:eastAsia="en-AU"/>
        </w:rPr>
        <w:t xml:space="preserve"> models described is the absence of any reference to </w:t>
      </w:r>
      <w:r w:rsidR="00597A20">
        <w:rPr>
          <w:rFonts w:cstheme="minorHAnsi"/>
          <w:lang w:val="en-MY" w:eastAsia="en-AU"/>
        </w:rPr>
        <w:t xml:space="preserve">program governance, in the form of </w:t>
      </w:r>
      <w:r>
        <w:rPr>
          <w:rFonts w:cstheme="minorHAnsi"/>
          <w:lang w:val="en-MY" w:eastAsia="en-AU"/>
        </w:rPr>
        <w:t xml:space="preserve">Indigenous leadership, ownership and control over services </w:t>
      </w:r>
      <w:r w:rsidR="00597A20">
        <w:rPr>
          <w:rFonts w:cstheme="minorHAnsi"/>
          <w:lang w:val="en-MY" w:eastAsia="en-AU"/>
        </w:rPr>
        <w:t xml:space="preserve">that </w:t>
      </w:r>
      <w:r>
        <w:rPr>
          <w:rFonts w:cstheme="minorHAnsi"/>
          <w:lang w:val="en-MY" w:eastAsia="en-AU"/>
        </w:rPr>
        <w:t xml:space="preserve">affect Indigenous people. It is widely acknowledged in the literature that </w:t>
      </w:r>
      <w:r w:rsidRPr="008554F4">
        <w:rPr>
          <w:rFonts w:cstheme="minorHAnsi"/>
          <w:lang w:val="en-MY" w:eastAsia="en-AU"/>
        </w:rPr>
        <w:t>strategies to address the high rates of Indigenous incarceration should be Indigenous-led, with Indigenous organisations the preferred provider for Indigenous services</w:t>
      </w:r>
      <w:r>
        <w:rPr>
          <w:rFonts w:cstheme="minorHAnsi"/>
          <w:lang w:val="en-MY" w:eastAsia="en-AU"/>
        </w:rPr>
        <w:t xml:space="preserve"> (or else m</w:t>
      </w:r>
      <w:r w:rsidRPr="008554F4">
        <w:rPr>
          <w:rFonts w:cstheme="minorHAnsi"/>
          <w:lang w:val="en-MY" w:eastAsia="en-AU"/>
        </w:rPr>
        <w:t xml:space="preserve">ainstream services need to be culturally </w:t>
      </w:r>
      <w:r>
        <w:rPr>
          <w:rFonts w:cstheme="minorHAnsi"/>
          <w:lang w:val="en-MY" w:eastAsia="en-AU"/>
        </w:rPr>
        <w:t>competent and safe).</w:t>
      </w:r>
      <w:r>
        <w:rPr>
          <w:rStyle w:val="FootnoteReference"/>
          <w:rFonts w:cstheme="minorHAnsi"/>
          <w:lang w:val="en-MY" w:eastAsia="en-AU"/>
        </w:rPr>
        <w:footnoteReference w:id="29"/>
      </w:r>
      <w:r>
        <w:rPr>
          <w:rFonts w:cstheme="minorHAnsi"/>
          <w:lang w:val="en-MY" w:eastAsia="en-AU"/>
        </w:rPr>
        <w:t xml:space="preserve"> This includes localised c</w:t>
      </w:r>
      <w:r w:rsidRPr="00AB64EC">
        <w:rPr>
          <w:rFonts w:cstheme="minorHAnsi"/>
          <w:lang w:val="en-MY" w:eastAsia="en-AU"/>
        </w:rPr>
        <w:t>ommunity control and ownership</w:t>
      </w:r>
      <w:r>
        <w:rPr>
          <w:rFonts w:cstheme="minorHAnsi"/>
          <w:lang w:val="en-MY" w:eastAsia="en-AU"/>
        </w:rPr>
        <w:t xml:space="preserve">, typically founded on the relationship </w:t>
      </w:r>
      <w:r w:rsidRPr="00AB64EC">
        <w:rPr>
          <w:rFonts w:cstheme="minorHAnsi"/>
          <w:lang w:val="en-MY" w:eastAsia="en-AU"/>
        </w:rPr>
        <w:t xml:space="preserve">between ACCOs and </w:t>
      </w:r>
      <w:r>
        <w:rPr>
          <w:rFonts w:cstheme="minorHAnsi"/>
          <w:lang w:val="en-MY" w:eastAsia="en-AU"/>
        </w:rPr>
        <w:t xml:space="preserve">their </w:t>
      </w:r>
      <w:r w:rsidRPr="00AB64EC">
        <w:rPr>
          <w:rFonts w:cstheme="minorHAnsi"/>
          <w:lang w:val="en-MY" w:eastAsia="en-AU"/>
        </w:rPr>
        <w:t>communities</w:t>
      </w:r>
      <w:r>
        <w:rPr>
          <w:rFonts w:cstheme="minorHAnsi"/>
          <w:lang w:val="en-MY" w:eastAsia="en-AU"/>
        </w:rPr>
        <w:t>, which not only offer a culturally safe environment by definition, but which d</w:t>
      </w:r>
      <w:r w:rsidRPr="00AB64EC">
        <w:rPr>
          <w:rFonts w:cstheme="minorHAnsi"/>
          <w:lang w:val="en-MY" w:eastAsia="en-AU"/>
        </w:rPr>
        <w:t>raw on community knowledge</w:t>
      </w:r>
      <w:r>
        <w:rPr>
          <w:rFonts w:cstheme="minorHAnsi"/>
          <w:lang w:val="en-MY" w:eastAsia="en-AU"/>
        </w:rPr>
        <w:t xml:space="preserve"> to design and deliver services</w:t>
      </w:r>
      <w:r w:rsidRPr="003A08EB">
        <w:rPr>
          <w:rFonts w:cstheme="minorHAnsi"/>
          <w:lang w:val="en-MY" w:eastAsia="en-AU"/>
        </w:rPr>
        <w:t>.</w:t>
      </w:r>
      <w:r>
        <w:rPr>
          <w:rStyle w:val="FootnoteReference"/>
          <w:rFonts w:cstheme="minorHAnsi"/>
          <w:lang w:val="en-MY" w:eastAsia="en-AU"/>
        </w:rPr>
        <w:footnoteReference w:id="30"/>
      </w:r>
      <w:r w:rsidR="00981D49">
        <w:rPr>
          <w:rFonts w:cstheme="minorHAnsi"/>
          <w:lang w:val="en-MY" w:eastAsia="en-AU"/>
        </w:rPr>
        <w:t xml:space="preserve"> While this evaluation finds IAS service models to be Indigenous-led, this aspiration is not explicit in the ABT model design documents.</w:t>
      </w:r>
    </w:p>
    <w:p w14:paraId="75788FCE" w14:textId="77777777" w:rsidR="00475166" w:rsidRDefault="00475166" w:rsidP="00952CCC">
      <w:pPr>
        <w:jc w:val="both"/>
        <w:rPr>
          <w:rFonts w:cstheme="minorHAnsi"/>
          <w:lang w:val="en-MY" w:eastAsia="en-AU"/>
        </w:rPr>
      </w:pPr>
    </w:p>
    <w:p w14:paraId="655D1A3F" w14:textId="5530A6B7" w:rsidR="00952CCC" w:rsidRDefault="00952CCC" w:rsidP="00DA7E81">
      <w:pPr>
        <w:jc w:val="both"/>
        <w:rPr>
          <w:rFonts w:cstheme="minorHAnsi"/>
          <w:lang w:val="en-MY" w:eastAsia="en-AU"/>
        </w:rPr>
      </w:pPr>
      <w:r>
        <w:rPr>
          <w:rFonts w:cstheme="minorHAnsi"/>
          <w:lang w:val="en-MY" w:eastAsia="en-AU"/>
        </w:rPr>
        <w:t>T</w:t>
      </w:r>
      <w:r w:rsidRPr="00DE30E1">
        <w:rPr>
          <w:rFonts w:cstheme="minorHAnsi"/>
          <w:lang w:val="en-MY" w:eastAsia="en-AU"/>
        </w:rPr>
        <w:t xml:space="preserve">he </w:t>
      </w:r>
      <w:r w:rsidR="008869C8">
        <w:rPr>
          <w:rFonts w:cstheme="minorHAnsi"/>
          <w:lang w:val="en-MY" w:eastAsia="en-AU"/>
        </w:rPr>
        <w:t>ABT</w:t>
      </w:r>
      <w:r>
        <w:rPr>
          <w:rFonts w:cstheme="minorHAnsi"/>
          <w:lang w:val="en-MY" w:eastAsia="en-AU"/>
        </w:rPr>
        <w:t xml:space="preserve"> </w:t>
      </w:r>
      <w:r w:rsidRPr="00DE30E1">
        <w:rPr>
          <w:rFonts w:cstheme="minorHAnsi"/>
          <w:lang w:val="en-MY" w:eastAsia="en-AU"/>
        </w:rPr>
        <w:t>model</w:t>
      </w:r>
      <w:r>
        <w:rPr>
          <w:rFonts w:cstheme="minorHAnsi"/>
          <w:lang w:val="en-MY" w:eastAsia="en-AU"/>
        </w:rPr>
        <w:t>s</w:t>
      </w:r>
      <w:r w:rsidRPr="00DE30E1">
        <w:rPr>
          <w:rFonts w:cstheme="minorHAnsi"/>
          <w:lang w:val="en-MY" w:eastAsia="en-AU"/>
        </w:rPr>
        <w:t xml:space="preserve"> </w:t>
      </w:r>
      <w:r>
        <w:rPr>
          <w:rFonts w:cstheme="minorHAnsi"/>
          <w:lang w:val="en-MY" w:eastAsia="en-AU"/>
        </w:rPr>
        <w:t xml:space="preserve">described </w:t>
      </w:r>
      <w:r w:rsidRPr="00DE30E1">
        <w:rPr>
          <w:rFonts w:cstheme="minorHAnsi"/>
          <w:lang w:val="en-MY" w:eastAsia="en-AU"/>
        </w:rPr>
        <w:t>w</w:t>
      </w:r>
      <w:r>
        <w:rPr>
          <w:rFonts w:cstheme="minorHAnsi"/>
          <w:lang w:val="en-MY" w:eastAsia="en-AU"/>
        </w:rPr>
        <w:t xml:space="preserve">ere </w:t>
      </w:r>
      <w:r w:rsidRPr="00DE30E1">
        <w:rPr>
          <w:rFonts w:cstheme="minorHAnsi"/>
          <w:lang w:val="en-MY" w:eastAsia="en-AU"/>
        </w:rPr>
        <w:t xml:space="preserve">developed in an attempt to achieve uniformity and give </w:t>
      </w:r>
      <w:r>
        <w:rPr>
          <w:rFonts w:cstheme="minorHAnsi"/>
          <w:lang w:val="en-MY" w:eastAsia="en-AU"/>
        </w:rPr>
        <w:t xml:space="preserve">administrative </w:t>
      </w:r>
      <w:r w:rsidRPr="00DE30E1">
        <w:rPr>
          <w:rFonts w:cstheme="minorHAnsi"/>
          <w:lang w:val="en-MY" w:eastAsia="en-AU"/>
        </w:rPr>
        <w:t>direction</w:t>
      </w:r>
      <w:r>
        <w:rPr>
          <w:rFonts w:cstheme="minorHAnsi"/>
          <w:lang w:val="en-MY" w:eastAsia="en-AU"/>
        </w:rPr>
        <w:t xml:space="preserve"> to service providers, including around </w:t>
      </w:r>
      <w:r w:rsidRPr="00DE30E1">
        <w:rPr>
          <w:rFonts w:cstheme="minorHAnsi"/>
          <w:lang w:val="en-MY" w:eastAsia="en-AU"/>
        </w:rPr>
        <w:t>data collection</w:t>
      </w:r>
      <w:r>
        <w:rPr>
          <w:rFonts w:cstheme="minorHAnsi"/>
          <w:lang w:val="en-MY" w:eastAsia="en-AU"/>
        </w:rPr>
        <w:t>, but are criticised in the literature for “</w:t>
      </w:r>
      <w:r w:rsidRPr="00DE30E1">
        <w:rPr>
          <w:rFonts w:cstheme="minorHAnsi"/>
          <w:lang w:val="en-MY" w:eastAsia="en-AU"/>
        </w:rPr>
        <w:t>fail</w:t>
      </w:r>
      <w:r>
        <w:rPr>
          <w:rFonts w:cstheme="minorHAnsi"/>
          <w:lang w:val="en-MY" w:eastAsia="en-AU"/>
        </w:rPr>
        <w:t>ing</w:t>
      </w:r>
      <w:r w:rsidRPr="00DE30E1">
        <w:rPr>
          <w:rFonts w:cstheme="minorHAnsi"/>
          <w:lang w:val="en-MY" w:eastAsia="en-AU"/>
        </w:rPr>
        <w:t xml:space="preserve"> to recognise the distinction between risk management and through</w:t>
      </w:r>
      <w:r w:rsidR="00DF54AD">
        <w:rPr>
          <w:rFonts w:cstheme="minorHAnsi"/>
          <w:lang w:val="en-MY" w:eastAsia="en-AU"/>
        </w:rPr>
        <w:t>-</w:t>
      </w:r>
      <w:r w:rsidRPr="00DE30E1">
        <w:rPr>
          <w:rFonts w:cstheme="minorHAnsi"/>
          <w:lang w:val="en-MY" w:eastAsia="en-AU"/>
        </w:rPr>
        <w:t>care</w:t>
      </w:r>
      <w:r>
        <w:rPr>
          <w:rFonts w:cstheme="minorHAnsi"/>
          <w:lang w:val="en-MY" w:eastAsia="en-AU"/>
        </w:rPr>
        <w:t xml:space="preserve">”, where the first is </w:t>
      </w:r>
      <w:r w:rsidRPr="00DE30E1">
        <w:rPr>
          <w:rFonts w:cstheme="minorHAnsi"/>
          <w:lang w:val="en-MY" w:eastAsia="en-AU"/>
        </w:rPr>
        <w:t xml:space="preserve">a resource-intensive attempt at public protection </w:t>
      </w:r>
      <w:r>
        <w:rPr>
          <w:rFonts w:cstheme="minorHAnsi"/>
          <w:lang w:val="en-MY" w:eastAsia="en-AU"/>
        </w:rPr>
        <w:t xml:space="preserve">in response to a perceived </w:t>
      </w:r>
      <w:r w:rsidRPr="00DE30E1">
        <w:rPr>
          <w:rFonts w:cstheme="minorHAnsi"/>
          <w:lang w:val="en-MY" w:eastAsia="en-AU"/>
        </w:rPr>
        <w:t>risk</w:t>
      </w:r>
      <w:r>
        <w:rPr>
          <w:rFonts w:cstheme="minorHAnsi"/>
          <w:lang w:val="en-MY" w:eastAsia="en-AU"/>
        </w:rPr>
        <w:t>, and t</w:t>
      </w:r>
      <w:r w:rsidRPr="00DE30E1">
        <w:rPr>
          <w:rFonts w:cstheme="minorHAnsi"/>
          <w:lang w:val="en-MY" w:eastAsia="en-AU"/>
        </w:rPr>
        <w:t>he second is an enabling process w</w:t>
      </w:r>
      <w:r>
        <w:rPr>
          <w:rFonts w:cstheme="minorHAnsi"/>
          <w:lang w:val="en-MY" w:eastAsia="en-AU"/>
        </w:rPr>
        <w:t>ith the</w:t>
      </w:r>
      <w:r w:rsidRPr="00DE30E1">
        <w:rPr>
          <w:rFonts w:cstheme="minorHAnsi"/>
          <w:lang w:val="en-MY" w:eastAsia="en-AU"/>
        </w:rPr>
        <w:t xml:space="preserve"> aim to support individuals in their </w:t>
      </w:r>
      <w:r>
        <w:rPr>
          <w:rFonts w:cstheme="minorHAnsi"/>
          <w:lang w:val="en-MY" w:eastAsia="en-AU"/>
        </w:rPr>
        <w:t xml:space="preserve">healing and </w:t>
      </w:r>
      <w:r w:rsidRPr="00DE30E1">
        <w:rPr>
          <w:rFonts w:cstheme="minorHAnsi"/>
          <w:lang w:val="en-MY" w:eastAsia="en-AU"/>
        </w:rPr>
        <w:t>reintegration</w:t>
      </w:r>
      <w:r>
        <w:rPr>
          <w:rFonts w:cstheme="minorHAnsi"/>
          <w:lang w:val="en-MY" w:eastAsia="en-AU"/>
        </w:rPr>
        <w:t>.</w:t>
      </w:r>
      <w:r w:rsidR="005E2198">
        <w:rPr>
          <w:rStyle w:val="FootnoteReference"/>
          <w:rFonts w:cstheme="minorHAnsi"/>
          <w:lang w:val="en-MY" w:eastAsia="en-AU"/>
        </w:rPr>
        <w:footnoteReference w:id="31"/>
      </w:r>
      <w:r w:rsidR="005E2198">
        <w:rPr>
          <w:rFonts w:cstheme="minorHAnsi"/>
          <w:lang w:val="en-MY" w:eastAsia="en-AU"/>
        </w:rPr>
        <w:t xml:space="preserve"> </w:t>
      </w:r>
      <w:r>
        <w:rPr>
          <w:rFonts w:cstheme="minorHAnsi"/>
          <w:lang w:val="en-MY" w:eastAsia="en-AU"/>
        </w:rPr>
        <w:t xml:space="preserve">Given the emphasis on pre- and post-criminogenic assessment and the </w:t>
      </w:r>
      <w:r w:rsidRPr="00DE30E1">
        <w:rPr>
          <w:rFonts w:cstheme="minorHAnsi"/>
          <w:lang w:val="en-MY" w:eastAsia="en-AU"/>
        </w:rPr>
        <w:t>risk of re</w:t>
      </w:r>
      <w:r w:rsidR="00DF54AD">
        <w:rPr>
          <w:rFonts w:cstheme="minorHAnsi"/>
          <w:lang w:val="en-MY" w:eastAsia="en-AU"/>
        </w:rPr>
        <w:t>-</w:t>
      </w:r>
      <w:r w:rsidRPr="00DE30E1">
        <w:rPr>
          <w:rFonts w:cstheme="minorHAnsi"/>
          <w:lang w:val="en-MY" w:eastAsia="en-AU"/>
        </w:rPr>
        <w:t>offending</w:t>
      </w:r>
      <w:r>
        <w:rPr>
          <w:rFonts w:cstheme="minorHAnsi"/>
          <w:lang w:val="en-MY" w:eastAsia="en-AU"/>
        </w:rPr>
        <w:t>, t</w:t>
      </w:r>
      <w:r w:rsidRPr="00DE30E1">
        <w:rPr>
          <w:rFonts w:cstheme="minorHAnsi"/>
          <w:lang w:val="en-MY" w:eastAsia="en-AU"/>
        </w:rPr>
        <w:t xml:space="preserve">he </w:t>
      </w:r>
      <w:r>
        <w:rPr>
          <w:rFonts w:cstheme="minorHAnsi"/>
          <w:lang w:val="en-MY" w:eastAsia="en-AU"/>
        </w:rPr>
        <w:t xml:space="preserve">ATC and YTC models </w:t>
      </w:r>
      <w:r w:rsidR="00DF54AD">
        <w:rPr>
          <w:rFonts w:cstheme="minorHAnsi"/>
          <w:lang w:val="en-MY" w:eastAsia="en-AU"/>
        </w:rPr>
        <w:t xml:space="preserve">developed by ABT </w:t>
      </w:r>
      <w:r>
        <w:rPr>
          <w:rFonts w:cstheme="minorHAnsi"/>
          <w:lang w:val="en-MY" w:eastAsia="en-AU"/>
        </w:rPr>
        <w:t xml:space="preserve">are seen to over emphasise </w:t>
      </w:r>
      <w:r w:rsidRPr="00DE30E1">
        <w:rPr>
          <w:rFonts w:cstheme="minorHAnsi"/>
          <w:lang w:val="en-MY" w:eastAsia="en-AU"/>
        </w:rPr>
        <w:t xml:space="preserve">the </w:t>
      </w:r>
      <w:r>
        <w:rPr>
          <w:rFonts w:cstheme="minorHAnsi"/>
          <w:lang w:val="en-MY" w:eastAsia="en-AU"/>
        </w:rPr>
        <w:t xml:space="preserve">former, and lack sufficient guidance </w:t>
      </w:r>
      <w:r w:rsidRPr="00DE30E1">
        <w:rPr>
          <w:rFonts w:cstheme="minorHAnsi"/>
          <w:lang w:val="en-MY" w:eastAsia="en-AU"/>
        </w:rPr>
        <w:t xml:space="preserve">for the </w:t>
      </w:r>
      <w:r>
        <w:rPr>
          <w:rFonts w:cstheme="minorHAnsi"/>
          <w:lang w:val="en-MY" w:eastAsia="en-AU"/>
        </w:rPr>
        <w:t xml:space="preserve">consistent </w:t>
      </w:r>
      <w:r w:rsidRPr="00DE30E1">
        <w:rPr>
          <w:rFonts w:cstheme="minorHAnsi"/>
          <w:lang w:val="en-MY" w:eastAsia="en-AU"/>
        </w:rPr>
        <w:t xml:space="preserve">development of </w:t>
      </w:r>
      <w:r>
        <w:rPr>
          <w:rFonts w:cstheme="minorHAnsi"/>
          <w:lang w:val="en-MY" w:eastAsia="en-AU"/>
        </w:rPr>
        <w:t xml:space="preserve">more supportive </w:t>
      </w:r>
      <w:r w:rsidRPr="00DE30E1">
        <w:rPr>
          <w:rFonts w:cstheme="minorHAnsi"/>
          <w:lang w:val="en-MY" w:eastAsia="en-AU"/>
        </w:rPr>
        <w:t>through</w:t>
      </w:r>
      <w:r w:rsidR="009C4573">
        <w:rPr>
          <w:rFonts w:cstheme="minorHAnsi"/>
          <w:lang w:val="en-MY" w:eastAsia="en-AU"/>
        </w:rPr>
        <w:t>-</w:t>
      </w:r>
      <w:r w:rsidRPr="00DE30E1">
        <w:rPr>
          <w:rFonts w:cstheme="minorHAnsi"/>
          <w:lang w:val="en-MY" w:eastAsia="en-AU"/>
        </w:rPr>
        <w:t xml:space="preserve">care </w:t>
      </w:r>
      <w:r>
        <w:rPr>
          <w:rFonts w:cstheme="minorHAnsi"/>
          <w:lang w:val="en-MY" w:eastAsia="en-AU"/>
        </w:rPr>
        <w:t xml:space="preserve">practice and </w:t>
      </w:r>
      <w:r w:rsidRPr="00DE30E1">
        <w:rPr>
          <w:rFonts w:cstheme="minorHAnsi"/>
          <w:lang w:val="en-MY" w:eastAsia="en-AU"/>
        </w:rPr>
        <w:t>strategies</w:t>
      </w:r>
      <w:r w:rsidR="00DA7E81">
        <w:rPr>
          <w:rFonts w:cstheme="minorHAnsi"/>
          <w:lang w:val="en-MY" w:eastAsia="en-AU"/>
        </w:rPr>
        <w:t xml:space="preserve">. </w:t>
      </w:r>
      <w:r w:rsidR="00DA7E81" w:rsidRPr="00DA7E81">
        <w:rPr>
          <w:rFonts w:cstheme="minorHAnsi"/>
          <w:lang w:val="en-MY" w:eastAsia="en-AU"/>
        </w:rPr>
        <w:t xml:space="preserve">The approach taken to reporting on this index was consistently criticised by service providers </w:t>
      </w:r>
      <w:r w:rsidR="00DA7E81">
        <w:rPr>
          <w:rFonts w:cstheme="minorHAnsi"/>
          <w:lang w:val="en-MY" w:eastAsia="en-AU"/>
        </w:rPr>
        <w:t xml:space="preserve">as being </w:t>
      </w:r>
      <w:r w:rsidR="00DA7E81" w:rsidRPr="00DA7E81">
        <w:rPr>
          <w:rFonts w:cstheme="minorHAnsi"/>
          <w:lang w:val="en-MY" w:eastAsia="en-AU"/>
        </w:rPr>
        <w:t>subjective and pejorative</w:t>
      </w:r>
      <w:r w:rsidR="00DA7E81">
        <w:rPr>
          <w:rFonts w:cstheme="minorHAnsi"/>
          <w:lang w:val="en-MY" w:eastAsia="en-AU"/>
        </w:rPr>
        <w:t xml:space="preserve">, with preference for a </w:t>
      </w:r>
      <w:r w:rsidR="00DA7E81" w:rsidRPr="00DA7E81">
        <w:rPr>
          <w:rFonts w:cstheme="minorHAnsi"/>
          <w:lang w:val="en-MY" w:eastAsia="en-AU"/>
        </w:rPr>
        <w:t xml:space="preserve">more culturally appropriate and strengths-based assessment tool that captures more </w:t>
      </w:r>
      <w:r w:rsidR="00DA7E81">
        <w:rPr>
          <w:rFonts w:cstheme="minorHAnsi"/>
          <w:lang w:val="en-MY" w:eastAsia="en-AU"/>
        </w:rPr>
        <w:t>appropriate o</w:t>
      </w:r>
      <w:r w:rsidR="00DA7E81" w:rsidRPr="00DA7E81">
        <w:rPr>
          <w:rFonts w:cstheme="minorHAnsi"/>
          <w:lang w:val="en-MY" w:eastAsia="en-AU"/>
        </w:rPr>
        <w:t xml:space="preserve">utcomes </w:t>
      </w:r>
      <w:r w:rsidR="00DA7E81">
        <w:rPr>
          <w:rFonts w:cstheme="minorHAnsi"/>
          <w:lang w:val="en-MY" w:eastAsia="en-AU"/>
        </w:rPr>
        <w:t xml:space="preserve">such as </w:t>
      </w:r>
      <w:r w:rsidR="00DA7E81" w:rsidRPr="00DA7E81">
        <w:rPr>
          <w:rFonts w:cstheme="minorHAnsi"/>
          <w:lang w:val="en-MY" w:eastAsia="en-AU"/>
        </w:rPr>
        <w:t>longer periods of abstinence from alcohol, other drugs, or gambling</w:t>
      </w:r>
      <w:r w:rsidR="00DA7E81">
        <w:rPr>
          <w:rFonts w:cstheme="minorHAnsi"/>
          <w:lang w:val="en-MY" w:eastAsia="en-AU"/>
        </w:rPr>
        <w:t xml:space="preserve"> (as opposed to abstinence)</w:t>
      </w:r>
      <w:r w:rsidR="00DA7E81" w:rsidRPr="00DA7E81">
        <w:rPr>
          <w:rFonts w:cstheme="minorHAnsi"/>
          <w:lang w:val="en-MY" w:eastAsia="en-AU"/>
        </w:rPr>
        <w:t>; longer periods in contact with family</w:t>
      </w:r>
      <w:r w:rsidR="00DA7E81">
        <w:rPr>
          <w:rFonts w:cstheme="minorHAnsi"/>
          <w:lang w:val="en-MY" w:eastAsia="en-AU"/>
        </w:rPr>
        <w:t xml:space="preserve"> (as opposed to permanent reconnection)</w:t>
      </w:r>
      <w:r w:rsidR="00DA7E81" w:rsidRPr="00DA7E81">
        <w:rPr>
          <w:rFonts w:cstheme="minorHAnsi"/>
          <w:lang w:val="en-MY" w:eastAsia="en-AU"/>
        </w:rPr>
        <w:t xml:space="preserve">; </w:t>
      </w:r>
      <w:r w:rsidR="00DA7E81">
        <w:rPr>
          <w:rFonts w:cstheme="minorHAnsi"/>
          <w:lang w:val="en-MY" w:eastAsia="en-AU"/>
        </w:rPr>
        <w:t>and other indic</w:t>
      </w:r>
      <w:r w:rsidR="009C6432">
        <w:rPr>
          <w:rFonts w:cstheme="minorHAnsi"/>
          <w:lang w:val="en-MY" w:eastAsia="en-AU"/>
        </w:rPr>
        <w:t>a</w:t>
      </w:r>
      <w:r w:rsidR="00DA7E81">
        <w:rPr>
          <w:rFonts w:cstheme="minorHAnsi"/>
          <w:lang w:val="en-MY" w:eastAsia="en-AU"/>
        </w:rPr>
        <w:t xml:space="preserve">tors such as </w:t>
      </w:r>
      <w:r w:rsidR="00DA7E81" w:rsidRPr="00DA7E81">
        <w:rPr>
          <w:rFonts w:cstheme="minorHAnsi"/>
          <w:lang w:val="en-MY" w:eastAsia="en-AU"/>
        </w:rPr>
        <w:t>self-reported improvements in social and emotional well-being</w:t>
      </w:r>
      <w:r w:rsidRPr="00DE30E1">
        <w:rPr>
          <w:rFonts w:cstheme="minorHAnsi"/>
          <w:lang w:val="en-MY" w:eastAsia="en-AU"/>
        </w:rPr>
        <w:t xml:space="preserve">. </w:t>
      </w:r>
    </w:p>
    <w:p w14:paraId="5A9C4252" w14:textId="77777777" w:rsidR="00745F83" w:rsidRDefault="00745F83" w:rsidP="0060726E">
      <w:pPr>
        <w:jc w:val="both"/>
        <w:rPr>
          <w:rFonts w:cstheme="minorHAnsi"/>
          <w:lang w:val="en-MY" w:eastAsia="en-AU"/>
        </w:rPr>
      </w:pPr>
    </w:p>
    <w:p w14:paraId="6B9366BC" w14:textId="1CB1587C" w:rsidR="00597A20" w:rsidRDefault="00402B94" w:rsidP="0060726E">
      <w:pPr>
        <w:jc w:val="both"/>
        <w:rPr>
          <w:rFonts w:cstheme="minorHAnsi"/>
          <w:lang w:val="en-MY" w:eastAsia="en-AU"/>
        </w:rPr>
      </w:pPr>
      <w:r>
        <w:rPr>
          <w:rFonts w:cstheme="minorHAnsi"/>
          <w:lang w:val="en-MY" w:eastAsia="en-AU"/>
        </w:rPr>
        <w:t xml:space="preserve">While findings regarding the experiences of IAS funded though-care services with the co-design process are presented elsewhere in this report, </w:t>
      </w:r>
      <w:r w:rsidR="00AF5E9E">
        <w:rPr>
          <w:rFonts w:cstheme="minorHAnsi"/>
          <w:lang w:val="en-MY" w:eastAsia="en-AU"/>
        </w:rPr>
        <w:t xml:space="preserve">specific </w:t>
      </w:r>
      <w:r>
        <w:rPr>
          <w:rFonts w:cstheme="minorHAnsi"/>
          <w:lang w:val="en-MY" w:eastAsia="en-AU"/>
        </w:rPr>
        <w:t xml:space="preserve">limitations regarding the </w:t>
      </w:r>
      <w:r w:rsidR="0033503E">
        <w:rPr>
          <w:rFonts w:cstheme="minorHAnsi"/>
          <w:lang w:val="en-MY" w:eastAsia="en-AU"/>
        </w:rPr>
        <w:t xml:space="preserve">ABT </w:t>
      </w:r>
      <w:r>
        <w:rPr>
          <w:rFonts w:cstheme="minorHAnsi"/>
          <w:lang w:val="en-MY" w:eastAsia="en-AU"/>
        </w:rPr>
        <w:t xml:space="preserve">co-design process </w:t>
      </w:r>
      <w:r w:rsidR="00D76800">
        <w:rPr>
          <w:rFonts w:cstheme="minorHAnsi"/>
          <w:lang w:val="en-MY" w:eastAsia="en-AU"/>
        </w:rPr>
        <w:t>and its outcomes</w:t>
      </w:r>
      <w:r>
        <w:rPr>
          <w:rFonts w:cstheme="minorHAnsi"/>
          <w:lang w:val="en-MY" w:eastAsia="en-AU"/>
        </w:rPr>
        <w:t xml:space="preserve">, </w:t>
      </w:r>
      <w:r w:rsidR="0033503E">
        <w:rPr>
          <w:rFonts w:cstheme="minorHAnsi"/>
          <w:lang w:val="en-MY" w:eastAsia="en-AU"/>
        </w:rPr>
        <w:t xml:space="preserve">and </w:t>
      </w:r>
      <w:r>
        <w:rPr>
          <w:rFonts w:cstheme="minorHAnsi"/>
          <w:lang w:val="en-MY" w:eastAsia="en-AU"/>
        </w:rPr>
        <w:t xml:space="preserve">which are consistent with </w:t>
      </w:r>
      <w:r w:rsidR="002B3B60">
        <w:rPr>
          <w:rFonts w:cstheme="minorHAnsi"/>
          <w:lang w:val="en-MY" w:eastAsia="en-AU"/>
        </w:rPr>
        <w:t>consultation</w:t>
      </w:r>
      <w:r w:rsidR="00D76800">
        <w:rPr>
          <w:rFonts w:cstheme="minorHAnsi"/>
          <w:lang w:val="en-MY" w:eastAsia="en-AU"/>
        </w:rPr>
        <w:t xml:space="preserve"> </w:t>
      </w:r>
      <w:r>
        <w:rPr>
          <w:rFonts w:cstheme="minorHAnsi"/>
          <w:lang w:val="en-MY" w:eastAsia="en-AU"/>
        </w:rPr>
        <w:t>findings</w:t>
      </w:r>
      <w:r w:rsidR="00AF5E9E">
        <w:rPr>
          <w:rFonts w:cstheme="minorHAnsi"/>
          <w:lang w:val="en-MY" w:eastAsia="en-AU"/>
        </w:rPr>
        <w:t xml:space="preserve">, are </w:t>
      </w:r>
      <w:r w:rsidR="005E2198">
        <w:rPr>
          <w:rFonts w:cstheme="minorHAnsi"/>
          <w:lang w:val="en-MY" w:eastAsia="en-AU"/>
        </w:rPr>
        <w:t xml:space="preserve">raised </w:t>
      </w:r>
      <w:r w:rsidR="00AF5E9E">
        <w:rPr>
          <w:rFonts w:cstheme="minorHAnsi"/>
          <w:lang w:val="en-MY" w:eastAsia="en-AU"/>
        </w:rPr>
        <w:t>in the literature reviewed</w:t>
      </w:r>
      <w:r>
        <w:rPr>
          <w:rFonts w:cstheme="minorHAnsi"/>
          <w:lang w:val="en-MY" w:eastAsia="en-AU"/>
        </w:rPr>
        <w:t>.</w:t>
      </w:r>
      <w:r w:rsidR="00AF5E9E">
        <w:rPr>
          <w:rStyle w:val="FootnoteReference"/>
          <w:rFonts w:cstheme="minorHAnsi"/>
          <w:lang w:val="en-MY" w:eastAsia="en-AU"/>
        </w:rPr>
        <w:footnoteReference w:id="32"/>
      </w:r>
      <w:r w:rsidR="00AF5E9E">
        <w:rPr>
          <w:rFonts w:cstheme="minorHAnsi"/>
          <w:lang w:val="en-MY" w:eastAsia="en-AU"/>
        </w:rPr>
        <w:t xml:space="preserve"> Notably, although </w:t>
      </w:r>
      <w:r w:rsidR="008D7B37">
        <w:rPr>
          <w:rFonts w:cstheme="minorHAnsi"/>
          <w:lang w:val="en-MY" w:eastAsia="en-AU"/>
        </w:rPr>
        <w:t xml:space="preserve">it is </w:t>
      </w:r>
      <w:r w:rsidR="00AF5E9E" w:rsidRPr="00DE30E1">
        <w:rPr>
          <w:rFonts w:cstheme="minorHAnsi"/>
          <w:lang w:val="en-MY" w:eastAsia="en-AU"/>
        </w:rPr>
        <w:t xml:space="preserve">stated </w:t>
      </w:r>
      <w:r w:rsidR="00AF5E9E">
        <w:rPr>
          <w:rFonts w:cstheme="minorHAnsi"/>
          <w:lang w:val="en-MY" w:eastAsia="en-AU"/>
        </w:rPr>
        <w:t xml:space="preserve">in the design reports </w:t>
      </w:r>
      <w:r w:rsidR="00AF5E9E" w:rsidRPr="00DE30E1">
        <w:rPr>
          <w:rFonts w:cstheme="minorHAnsi"/>
          <w:lang w:val="en-MY" w:eastAsia="en-AU"/>
        </w:rPr>
        <w:t>that the</w:t>
      </w:r>
      <w:r w:rsidR="00AF5E9E">
        <w:rPr>
          <w:rFonts w:cstheme="minorHAnsi"/>
          <w:lang w:val="en-MY" w:eastAsia="en-AU"/>
        </w:rPr>
        <w:t xml:space="preserve"> ATC and YTC models </w:t>
      </w:r>
      <w:r w:rsidR="008D7B37">
        <w:rPr>
          <w:rFonts w:cstheme="minorHAnsi"/>
          <w:lang w:val="en-MY" w:eastAsia="en-AU"/>
        </w:rPr>
        <w:t xml:space="preserve">were designed following extensive </w:t>
      </w:r>
      <w:r w:rsidR="00AF5E9E" w:rsidRPr="00DE30E1">
        <w:rPr>
          <w:rFonts w:cstheme="minorHAnsi"/>
          <w:lang w:val="en-MY" w:eastAsia="en-AU"/>
        </w:rPr>
        <w:t>consultation and engagement,</w:t>
      </w:r>
      <w:r w:rsidR="00AF5E9E">
        <w:rPr>
          <w:rFonts w:cstheme="minorHAnsi"/>
          <w:lang w:val="en-MY" w:eastAsia="en-AU"/>
        </w:rPr>
        <w:t xml:space="preserve"> </w:t>
      </w:r>
      <w:r w:rsidR="00AF5E9E" w:rsidRPr="00DE30E1">
        <w:rPr>
          <w:rFonts w:cstheme="minorHAnsi"/>
          <w:lang w:val="en-MY" w:eastAsia="en-AU"/>
        </w:rPr>
        <w:t xml:space="preserve">no number or list of stakeholders </w:t>
      </w:r>
      <w:r w:rsidR="00AF5E9E">
        <w:rPr>
          <w:rFonts w:cstheme="minorHAnsi"/>
          <w:lang w:val="en-MY" w:eastAsia="en-AU"/>
        </w:rPr>
        <w:t xml:space="preserve">or </w:t>
      </w:r>
      <w:r w:rsidR="00AF5E9E" w:rsidRPr="00DE30E1">
        <w:rPr>
          <w:rFonts w:cstheme="minorHAnsi"/>
          <w:lang w:val="en-MY" w:eastAsia="en-AU"/>
        </w:rPr>
        <w:t xml:space="preserve">references </w:t>
      </w:r>
      <w:r w:rsidR="00AF5E9E">
        <w:rPr>
          <w:rFonts w:cstheme="minorHAnsi"/>
          <w:lang w:val="en-MY" w:eastAsia="en-AU"/>
        </w:rPr>
        <w:t xml:space="preserve">are provided, </w:t>
      </w:r>
      <w:r w:rsidR="00AF5E9E" w:rsidRPr="00DE30E1">
        <w:rPr>
          <w:rFonts w:cstheme="minorHAnsi"/>
          <w:lang w:val="en-MY" w:eastAsia="en-AU"/>
        </w:rPr>
        <w:t>and there is no description of the methodology used to develop the model.</w:t>
      </w:r>
      <w:r w:rsidR="008D7B37">
        <w:rPr>
          <w:rFonts w:cstheme="minorHAnsi"/>
          <w:lang w:val="en-MY" w:eastAsia="en-AU"/>
        </w:rPr>
        <w:t xml:space="preserve"> The content </w:t>
      </w:r>
      <w:r w:rsidR="008D7B37" w:rsidRPr="00DE30E1">
        <w:rPr>
          <w:rFonts w:cstheme="minorHAnsi"/>
          <w:lang w:val="en-MY" w:eastAsia="en-AU"/>
        </w:rPr>
        <w:t xml:space="preserve">of the </w:t>
      </w:r>
      <w:r w:rsidR="008D7B37">
        <w:rPr>
          <w:rFonts w:cstheme="minorHAnsi"/>
          <w:lang w:val="en-MY" w:eastAsia="en-AU"/>
        </w:rPr>
        <w:t xml:space="preserve">ATC and YTC design </w:t>
      </w:r>
      <w:r w:rsidR="008D7B37" w:rsidRPr="00DE30E1">
        <w:rPr>
          <w:rFonts w:cstheme="minorHAnsi"/>
          <w:lang w:val="en-MY" w:eastAsia="en-AU"/>
        </w:rPr>
        <w:t>report</w:t>
      </w:r>
      <w:r w:rsidR="008D7B37">
        <w:rPr>
          <w:rFonts w:cstheme="minorHAnsi"/>
          <w:lang w:val="en-MY" w:eastAsia="en-AU"/>
        </w:rPr>
        <w:t>s</w:t>
      </w:r>
      <w:r w:rsidR="008D7B37" w:rsidRPr="00DE30E1">
        <w:rPr>
          <w:rFonts w:cstheme="minorHAnsi"/>
          <w:lang w:val="en-MY" w:eastAsia="en-AU"/>
        </w:rPr>
        <w:t xml:space="preserve"> </w:t>
      </w:r>
      <w:r w:rsidR="008D7B37">
        <w:rPr>
          <w:rFonts w:cstheme="minorHAnsi"/>
          <w:lang w:val="en-MY" w:eastAsia="en-AU"/>
        </w:rPr>
        <w:t>is furthermore regarded as</w:t>
      </w:r>
      <w:r w:rsidR="008D7B37" w:rsidRPr="00DE30E1">
        <w:rPr>
          <w:rFonts w:cstheme="minorHAnsi"/>
          <w:lang w:val="en-MY" w:eastAsia="en-AU"/>
        </w:rPr>
        <w:t xml:space="preserve"> </w:t>
      </w:r>
      <w:r w:rsidR="008D7B37">
        <w:rPr>
          <w:rFonts w:cstheme="minorHAnsi"/>
          <w:lang w:val="en-MY" w:eastAsia="en-AU"/>
        </w:rPr>
        <w:t>“</w:t>
      </w:r>
      <w:r w:rsidR="008D7B37" w:rsidRPr="00DE30E1">
        <w:rPr>
          <w:rFonts w:cstheme="minorHAnsi"/>
          <w:lang w:val="en-MY" w:eastAsia="en-AU"/>
        </w:rPr>
        <w:t>managerial</w:t>
      </w:r>
      <w:r w:rsidR="008D7B37">
        <w:rPr>
          <w:rFonts w:cstheme="minorHAnsi"/>
          <w:lang w:val="en-MY" w:eastAsia="en-AU"/>
        </w:rPr>
        <w:t>”</w:t>
      </w:r>
      <w:r w:rsidR="008D7B37" w:rsidRPr="00DE30E1">
        <w:rPr>
          <w:rFonts w:cstheme="minorHAnsi"/>
          <w:lang w:val="en-MY" w:eastAsia="en-AU"/>
        </w:rPr>
        <w:t xml:space="preserve">, </w:t>
      </w:r>
      <w:r w:rsidR="008D7B37">
        <w:rPr>
          <w:rFonts w:cstheme="minorHAnsi"/>
          <w:lang w:val="en-MY" w:eastAsia="en-AU"/>
        </w:rPr>
        <w:t xml:space="preserve">using sets of </w:t>
      </w:r>
      <w:r w:rsidR="008D7B37" w:rsidRPr="00DE30E1">
        <w:rPr>
          <w:rFonts w:cstheme="minorHAnsi"/>
          <w:lang w:val="en-MY" w:eastAsia="en-AU"/>
        </w:rPr>
        <w:t>generic</w:t>
      </w:r>
      <w:r w:rsidR="008D7B37">
        <w:rPr>
          <w:rFonts w:cstheme="minorHAnsi"/>
          <w:lang w:val="en-MY" w:eastAsia="en-AU"/>
        </w:rPr>
        <w:t xml:space="preserve"> guidelines that lack explanatory context and sufficient practical guidance to support real world practices, such that </w:t>
      </w:r>
      <w:r w:rsidR="008D7B37" w:rsidRPr="00DE30E1">
        <w:rPr>
          <w:rFonts w:cstheme="minorHAnsi"/>
          <w:lang w:val="en-MY" w:eastAsia="en-AU"/>
        </w:rPr>
        <w:t xml:space="preserve">the </w:t>
      </w:r>
      <w:r w:rsidR="008D7B37">
        <w:rPr>
          <w:rFonts w:cstheme="minorHAnsi"/>
          <w:lang w:val="en-MY" w:eastAsia="en-AU"/>
        </w:rPr>
        <w:t>“</w:t>
      </w:r>
      <w:r w:rsidR="008D7B37" w:rsidRPr="00DE30E1">
        <w:rPr>
          <w:rFonts w:cstheme="minorHAnsi"/>
          <w:lang w:val="en-MY" w:eastAsia="en-AU"/>
        </w:rPr>
        <w:t>almost mathematical approach</w:t>
      </w:r>
      <w:r w:rsidR="008D7B37">
        <w:rPr>
          <w:rFonts w:cstheme="minorHAnsi"/>
          <w:lang w:val="en-MY" w:eastAsia="en-AU"/>
        </w:rPr>
        <w:t>”</w:t>
      </w:r>
      <w:r w:rsidR="008D7B37" w:rsidRPr="00DE30E1">
        <w:rPr>
          <w:rFonts w:cstheme="minorHAnsi"/>
          <w:lang w:val="en-MY" w:eastAsia="en-AU"/>
        </w:rPr>
        <w:t xml:space="preserve"> contrasts with the </w:t>
      </w:r>
      <w:r w:rsidR="005E2198">
        <w:rPr>
          <w:rFonts w:cstheme="minorHAnsi"/>
          <w:lang w:val="en-MY" w:eastAsia="en-AU"/>
        </w:rPr>
        <w:t>“</w:t>
      </w:r>
      <w:r w:rsidR="008D7B37" w:rsidRPr="00DE30E1">
        <w:rPr>
          <w:rFonts w:cstheme="minorHAnsi"/>
          <w:lang w:val="en-MY" w:eastAsia="en-AU"/>
        </w:rPr>
        <w:t xml:space="preserve">grassroots, hands-on, and very flexible approach of the services met </w:t>
      </w:r>
      <w:r w:rsidR="008D7B37">
        <w:rPr>
          <w:rFonts w:cstheme="minorHAnsi"/>
          <w:lang w:val="en-MY" w:eastAsia="en-AU"/>
        </w:rPr>
        <w:t xml:space="preserve">with </w:t>
      </w:r>
      <w:r w:rsidR="008D7B37" w:rsidRPr="00DE30E1">
        <w:rPr>
          <w:rFonts w:cstheme="minorHAnsi"/>
          <w:lang w:val="en-MY" w:eastAsia="en-AU"/>
        </w:rPr>
        <w:t>during fieldwork.</w:t>
      </w:r>
      <w:r w:rsidR="005E2198">
        <w:rPr>
          <w:rFonts w:cstheme="minorHAnsi"/>
          <w:lang w:val="en-MY" w:eastAsia="en-AU"/>
        </w:rPr>
        <w:t>”</w:t>
      </w:r>
      <w:r w:rsidR="008D7B37">
        <w:rPr>
          <w:rStyle w:val="FootnoteReference"/>
          <w:rFonts w:cstheme="minorHAnsi"/>
          <w:lang w:val="en-MY" w:eastAsia="en-AU"/>
        </w:rPr>
        <w:footnoteReference w:id="33"/>
      </w:r>
    </w:p>
    <w:p w14:paraId="76222F36" w14:textId="77777777" w:rsidR="00597A20" w:rsidRDefault="00597A20" w:rsidP="0060726E">
      <w:pPr>
        <w:jc w:val="both"/>
        <w:rPr>
          <w:rFonts w:cstheme="minorHAnsi"/>
          <w:lang w:val="en-MY" w:eastAsia="en-AU"/>
        </w:rPr>
      </w:pPr>
    </w:p>
    <w:p w14:paraId="2113A439" w14:textId="5FC509F6" w:rsidR="00F32DCC" w:rsidRDefault="00155295" w:rsidP="0060726E">
      <w:pPr>
        <w:jc w:val="both"/>
        <w:rPr>
          <w:rFonts w:cstheme="minorHAnsi"/>
          <w:lang w:val="en-MY" w:eastAsia="en-AU"/>
        </w:rPr>
      </w:pPr>
      <w:r>
        <w:rPr>
          <w:rFonts w:cstheme="minorHAnsi"/>
          <w:lang w:val="en-MY" w:eastAsia="en-AU"/>
        </w:rPr>
        <w:t xml:space="preserve">Based on the literature reviewed, </w:t>
      </w:r>
      <w:r w:rsidR="008869C8">
        <w:rPr>
          <w:rFonts w:cstheme="minorHAnsi"/>
          <w:lang w:val="en-MY" w:eastAsia="en-AU"/>
        </w:rPr>
        <w:t xml:space="preserve">despite the broad flexibility of the approach, </w:t>
      </w:r>
      <w:r>
        <w:rPr>
          <w:rFonts w:cstheme="minorHAnsi"/>
          <w:lang w:val="en-MY" w:eastAsia="en-AU"/>
        </w:rPr>
        <w:t xml:space="preserve">the administrative and managerial approach </w:t>
      </w:r>
      <w:r w:rsidR="008869C8">
        <w:rPr>
          <w:rFonts w:cstheme="minorHAnsi"/>
          <w:lang w:val="en-MY" w:eastAsia="en-AU"/>
        </w:rPr>
        <w:t>implied by</w:t>
      </w:r>
      <w:r>
        <w:rPr>
          <w:rFonts w:cstheme="minorHAnsi"/>
          <w:lang w:val="en-MY" w:eastAsia="en-AU"/>
        </w:rPr>
        <w:t xml:space="preserve"> the A</w:t>
      </w:r>
      <w:r w:rsidR="008869C8">
        <w:rPr>
          <w:rFonts w:cstheme="minorHAnsi"/>
          <w:lang w:val="en-MY" w:eastAsia="en-AU"/>
        </w:rPr>
        <w:t xml:space="preserve">BT </w:t>
      </w:r>
      <w:r>
        <w:rPr>
          <w:rFonts w:cstheme="minorHAnsi"/>
          <w:lang w:val="en-MY" w:eastAsia="en-AU"/>
        </w:rPr>
        <w:t xml:space="preserve">models presents </w:t>
      </w:r>
      <w:r w:rsidR="008869C8">
        <w:rPr>
          <w:rFonts w:cstheme="minorHAnsi"/>
          <w:lang w:val="en-MY" w:eastAsia="en-AU"/>
        </w:rPr>
        <w:t xml:space="preserve">some </w:t>
      </w:r>
      <w:r>
        <w:rPr>
          <w:rFonts w:cstheme="minorHAnsi"/>
          <w:lang w:val="en-MY" w:eastAsia="en-AU"/>
        </w:rPr>
        <w:t xml:space="preserve">limitations for through-care practice with respect to the </w:t>
      </w:r>
      <w:r w:rsidR="00194356">
        <w:rPr>
          <w:rFonts w:cstheme="minorHAnsi"/>
          <w:lang w:val="en-MY" w:eastAsia="en-AU"/>
        </w:rPr>
        <w:t xml:space="preserve">core </w:t>
      </w:r>
      <w:r w:rsidR="0060726E">
        <w:rPr>
          <w:rFonts w:cstheme="minorHAnsi"/>
          <w:lang w:val="en-MY" w:eastAsia="en-AU"/>
        </w:rPr>
        <w:t xml:space="preserve">model elements </w:t>
      </w:r>
      <w:r w:rsidR="00194356">
        <w:rPr>
          <w:rFonts w:cstheme="minorHAnsi"/>
          <w:lang w:val="en-MY" w:eastAsia="en-AU"/>
        </w:rPr>
        <w:t xml:space="preserve">of </w:t>
      </w:r>
      <w:r w:rsidR="00003380">
        <w:rPr>
          <w:rFonts w:cstheme="minorHAnsi"/>
          <w:lang w:val="en-MY" w:eastAsia="en-AU"/>
        </w:rPr>
        <w:t xml:space="preserve">intensive </w:t>
      </w:r>
      <w:r w:rsidR="00194356">
        <w:rPr>
          <w:rFonts w:cstheme="minorHAnsi"/>
          <w:lang w:val="en-MY" w:eastAsia="en-AU"/>
        </w:rPr>
        <w:t xml:space="preserve">case management and support, </w:t>
      </w:r>
      <w:r w:rsidR="0060726E">
        <w:rPr>
          <w:rFonts w:cstheme="minorHAnsi"/>
          <w:lang w:val="en-MY" w:eastAsia="en-AU"/>
        </w:rPr>
        <w:t xml:space="preserve">cultural connection and the </w:t>
      </w:r>
      <w:r w:rsidR="00194356">
        <w:rPr>
          <w:rFonts w:cstheme="minorHAnsi"/>
          <w:lang w:val="en-MY" w:eastAsia="en-AU"/>
        </w:rPr>
        <w:t>involvement of families</w:t>
      </w:r>
      <w:r w:rsidR="0060726E">
        <w:rPr>
          <w:rFonts w:cstheme="minorHAnsi"/>
          <w:lang w:val="en-MY" w:eastAsia="en-AU"/>
        </w:rPr>
        <w:t xml:space="preserve">, </w:t>
      </w:r>
      <w:r w:rsidR="00194356">
        <w:rPr>
          <w:rFonts w:cstheme="minorHAnsi"/>
          <w:lang w:val="en-MY" w:eastAsia="en-AU"/>
        </w:rPr>
        <w:t>and the coordination of third-party services.</w:t>
      </w:r>
      <w:r w:rsidR="00D50D89">
        <w:rPr>
          <w:rFonts w:cstheme="minorHAnsi"/>
          <w:lang w:val="en-MY" w:eastAsia="en-AU"/>
        </w:rPr>
        <w:t xml:space="preserve"> </w:t>
      </w:r>
    </w:p>
    <w:p w14:paraId="394D4F7A" w14:textId="77777777" w:rsidR="008A1B41" w:rsidRDefault="00F91DFA" w:rsidP="008A1B41">
      <w:pPr>
        <w:pStyle w:val="SUBHEAD2"/>
        <w:rPr>
          <w:rFonts w:asciiTheme="minorHAnsi" w:hAnsiTheme="minorHAnsi" w:cstheme="minorHAnsi"/>
          <w:lang w:val="en-MY" w:eastAsia="en-AU"/>
        </w:rPr>
      </w:pPr>
      <w:r>
        <w:rPr>
          <w:rFonts w:asciiTheme="minorHAnsi" w:hAnsiTheme="minorHAnsi" w:cstheme="minorHAnsi"/>
          <w:lang w:val="en-MY" w:eastAsia="en-AU"/>
        </w:rPr>
        <w:t xml:space="preserve">Intensive </w:t>
      </w:r>
      <w:r w:rsidRPr="00E96309">
        <w:rPr>
          <w:rFonts w:asciiTheme="minorHAnsi" w:hAnsiTheme="minorHAnsi" w:cstheme="minorHAnsi"/>
          <w:lang w:val="en-MY" w:eastAsia="en-AU"/>
        </w:rPr>
        <w:t>C</w:t>
      </w:r>
      <w:r>
        <w:rPr>
          <w:rFonts w:asciiTheme="minorHAnsi" w:hAnsiTheme="minorHAnsi" w:cstheme="minorHAnsi"/>
          <w:lang w:val="en-MY" w:eastAsia="en-AU"/>
        </w:rPr>
        <w:t>ase Management and Support</w:t>
      </w:r>
    </w:p>
    <w:p w14:paraId="30ABBBD1" w14:textId="4723890B" w:rsidR="003C2D71" w:rsidRPr="008A1B41" w:rsidRDefault="00D50D89" w:rsidP="00AB7135">
      <w:pPr>
        <w:spacing w:before="120" w:after="120"/>
        <w:jc w:val="both"/>
        <w:rPr>
          <w:b/>
          <w:smallCaps/>
          <w:lang w:val="en-MY" w:eastAsia="en-AU"/>
        </w:rPr>
      </w:pPr>
      <w:r w:rsidRPr="008A1B41">
        <w:rPr>
          <w:lang w:val="en-MY" w:eastAsia="en-AU"/>
        </w:rPr>
        <w:t>While intensive case management and support is fundamental to the ATC and YTC models described,</w:t>
      </w:r>
      <w:r w:rsidR="00E26FE6" w:rsidRPr="008A1B41">
        <w:rPr>
          <w:lang w:val="en-MY" w:eastAsia="en-AU"/>
        </w:rPr>
        <w:t xml:space="preserve"> with an approach that emphasises flexibility and judgement, practice guidelines are silent</w:t>
      </w:r>
      <w:r w:rsidRPr="008A1B41">
        <w:rPr>
          <w:lang w:val="en-MY" w:eastAsia="en-AU"/>
        </w:rPr>
        <w:t xml:space="preserve"> regarding the strategies a case worker might use to effectively achieve this and what a ‘strengths-based’ or ‘person-centred’ approach might look like in practice, beyond early contact with prisoners during the period of custody, involving prisoners in support plans, and linking prisoners into community-based service</w:t>
      </w:r>
      <w:r w:rsidR="00F32DCC" w:rsidRPr="008A1B41">
        <w:rPr>
          <w:lang w:val="en-MY" w:eastAsia="en-AU"/>
        </w:rPr>
        <w:t>s</w:t>
      </w:r>
      <w:r w:rsidR="002F6224" w:rsidRPr="008A1B41">
        <w:rPr>
          <w:lang w:val="en-MY" w:eastAsia="en-AU"/>
        </w:rPr>
        <w:t>.</w:t>
      </w:r>
      <w:r w:rsidRPr="008A1B41">
        <w:rPr>
          <w:lang w:val="en-MY" w:eastAsia="en-AU"/>
        </w:rPr>
        <w:footnoteReference w:id="34"/>
      </w:r>
      <w:r w:rsidR="00F32DCC" w:rsidRPr="008A1B41">
        <w:rPr>
          <w:lang w:val="en-MY" w:eastAsia="en-AU"/>
        </w:rPr>
        <w:t xml:space="preserve"> In contrast, since former prisoners are not a homogeneous group, the be</w:t>
      </w:r>
      <w:r w:rsidR="00716C1C" w:rsidRPr="008A1B41">
        <w:rPr>
          <w:lang w:val="en-MY" w:eastAsia="en-AU"/>
        </w:rPr>
        <w:t>st-</w:t>
      </w:r>
      <w:r w:rsidR="00F32DCC" w:rsidRPr="008A1B41">
        <w:rPr>
          <w:lang w:val="en-MY" w:eastAsia="en-AU"/>
        </w:rPr>
        <w:t>practice literature proposes various strategies for individualised case management, taking into account factors such as the client’s criminal history, length of sentence and any special needs resulting from a history of drug use or cognitive disability.</w:t>
      </w:r>
      <w:r w:rsidR="00F32DCC" w:rsidRPr="008A1B41">
        <w:rPr>
          <w:vertAlign w:val="superscript"/>
          <w:lang w:val="en-MY" w:eastAsia="en-AU"/>
        </w:rPr>
        <w:footnoteReference w:id="35"/>
      </w:r>
      <w:r w:rsidR="00F32DCC" w:rsidRPr="008A1B41">
        <w:rPr>
          <w:lang w:val="en-MY" w:eastAsia="en-AU"/>
        </w:rPr>
        <w:t xml:space="preserve"> </w:t>
      </w:r>
    </w:p>
    <w:p w14:paraId="4375ED94" w14:textId="3F642BD5" w:rsidR="0060726E" w:rsidRDefault="0060726E" w:rsidP="0060726E">
      <w:pPr>
        <w:jc w:val="both"/>
        <w:rPr>
          <w:rFonts w:cstheme="minorHAnsi"/>
          <w:lang w:val="en-MY" w:eastAsia="en-AU"/>
        </w:rPr>
      </w:pPr>
      <w:r w:rsidRPr="008554F4">
        <w:rPr>
          <w:rFonts w:cstheme="minorHAnsi"/>
          <w:lang w:val="en-MY" w:eastAsia="en-AU"/>
        </w:rPr>
        <w:t xml:space="preserve">Consistent with </w:t>
      </w:r>
      <w:r w:rsidR="00F32DCC">
        <w:rPr>
          <w:rFonts w:cstheme="minorHAnsi"/>
          <w:lang w:val="en-MY" w:eastAsia="en-AU"/>
        </w:rPr>
        <w:t xml:space="preserve">a </w:t>
      </w:r>
      <w:r w:rsidRPr="008554F4">
        <w:rPr>
          <w:rFonts w:cstheme="minorHAnsi"/>
          <w:lang w:val="en-MY" w:eastAsia="en-AU"/>
        </w:rPr>
        <w:t xml:space="preserve">strengths-based approach </w:t>
      </w:r>
      <w:r w:rsidR="00F32DCC">
        <w:rPr>
          <w:rFonts w:cstheme="minorHAnsi"/>
          <w:lang w:val="en-MY" w:eastAsia="en-AU"/>
        </w:rPr>
        <w:t xml:space="preserve">the literature </w:t>
      </w:r>
      <w:r w:rsidRPr="008554F4">
        <w:rPr>
          <w:rFonts w:cstheme="minorHAnsi"/>
          <w:lang w:val="en-MY" w:eastAsia="en-AU"/>
        </w:rPr>
        <w:t>emphasise</w:t>
      </w:r>
      <w:r w:rsidR="00F32DCC">
        <w:rPr>
          <w:rFonts w:cstheme="minorHAnsi"/>
          <w:lang w:val="en-MY" w:eastAsia="en-AU"/>
        </w:rPr>
        <w:t xml:space="preserve">s the concept of </w:t>
      </w:r>
      <w:r w:rsidRPr="00BE4A51">
        <w:rPr>
          <w:rFonts w:cstheme="minorHAnsi"/>
          <w:lang w:val="en-MY" w:eastAsia="en-AU"/>
        </w:rPr>
        <w:t>‘</w:t>
      </w:r>
      <w:r w:rsidR="00F32DCC">
        <w:rPr>
          <w:rFonts w:cstheme="minorHAnsi"/>
          <w:lang w:val="en-MY" w:eastAsia="en-AU"/>
        </w:rPr>
        <w:t>r</w:t>
      </w:r>
      <w:r w:rsidRPr="00BE4A51">
        <w:rPr>
          <w:rFonts w:cstheme="minorHAnsi"/>
          <w:lang w:val="en-MY" w:eastAsia="en-AU"/>
        </w:rPr>
        <w:t>esponsivity’</w:t>
      </w:r>
      <w:r w:rsidR="00F32DCC">
        <w:rPr>
          <w:rFonts w:cstheme="minorHAnsi"/>
          <w:lang w:val="en-MY" w:eastAsia="en-AU"/>
        </w:rPr>
        <w:t xml:space="preserve">, which </w:t>
      </w:r>
      <w:r w:rsidRPr="00BE4A51">
        <w:rPr>
          <w:rFonts w:cstheme="minorHAnsi"/>
          <w:lang w:val="en-MY" w:eastAsia="en-AU"/>
        </w:rPr>
        <w:t xml:space="preserve">refers to the importance of </w:t>
      </w:r>
      <w:r w:rsidR="00F32DCC">
        <w:rPr>
          <w:rFonts w:cstheme="minorHAnsi"/>
          <w:lang w:val="en-MY" w:eastAsia="en-AU"/>
        </w:rPr>
        <w:t xml:space="preserve">communications and supports, including coaching and mentor support, which </w:t>
      </w:r>
      <w:r w:rsidR="00F32DCC" w:rsidRPr="00BE4A51">
        <w:rPr>
          <w:rFonts w:cstheme="minorHAnsi"/>
          <w:lang w:val="en-MY" w:eastAsia="en-AU"/>
        </w:rPr>
        <w:t>match</w:t>
      </w:r>
      <w:r w:rsidR="00F32DCC">
        <w:rPr>
          <w:rFonts w:cstheme="minorHAnsi"/>
          <w:lang w:val="en-MY" w:eastAsia="en-AU"/>
        </w:rPr>
        <w:t>es</w:t>
      </w:r>
      <w:r w:rsidRPr="00BE4A51">
        <w:rPr>
          <w:rFonts w:cstheme="minorHAnsi"/>
          <w:lang w:val="en-MY" w:eastAsia="en-AU"/>
        </w:rPr>
        <w:t xml:space="preserve"> the specific characteristics of </w:t>
      </w:r>
      <w:r w:rsidR="00F32DCC">
        <w:rPr>
          <w:rFonts w:cstheme="minorHAnsi"/>
          <w:lang w:val="en-MY" w:eastAsia="en-AU"/>
        </w:rPr>
        <w:t>the client</w:t>
      </w:r>
      <w:r w:rsidRPr="00BE4A51">
        <w:rPr>
          <w:rFonts w:cstheme="minorHAnsi"/>
          <w:lang w:val="en-MY" w:eastAsia="en-AU"/>
        </w:rPr>
        <w:t>. Not all offenders are the same in terms of their level of motivation, gender, cognitive ability, or culture</w:t>
      </w:r>
      <w:r w:rsidR="00F32DCC">
        <w:rPr>
          <w:rFonts w:cstheme="minorHAnsi"/>
          <w:lang w:val="en-MY" w:eastAsia="en-AU"/>
        </w:rPr>
        <w:t>, and e</w:t>
      </w:r>
      <w:r w:rsidRPr="00BE4A51">
        <w:rPr>
          <w:rFonts w:cstheme="minorHAnsi"/>
          <w:lang w:val="en-MY" w:eastAsia="en-AU"/>
        </w:rPr>
        <w:t xml:space="preserve">ffective </w:t>
      </w:r>
      <w:r w:rsidR="00F32DCC">
        <w:rPr>
          <w:rFonts w:cstheme="minorHAnsi"/>
          <w:lang w:val="en-MY" w:eastAsia="en-AU"/>
        </w:rPr>
        <w:t xml:space="preserve">case management </w:t>
      </w:r>
      <w:r w:rsidR="003C2D71">
        <w:rPr>
          <w:rFonts w:cstheme="minorHAnsi"/>
          <w:lang w:val="en-MY" w:eastAsia="en-AU"/>
        </w:rPr>
        <w:t xml:space="preserve">should be </w:t>
      </w:r>
      <w:r w:rsidRPr="00BE4A51">
        <w:rPr>
          <w:rFonts w:cstheme="minorHAnsi"/>
          <w:lang w:val="en-MY" w:eastAsia="en-AU"/>
        </w:rPr>
        <w:t xml:space="preserve">responsive to these characteristics </w:t>
      </w:r>
      <w:r w:rsidR="003C2D71">
        <w:rPr>
          <w:rFonts w:cstheme="minorHAnsi"/>
          <w:lang w:val="en-MY" w:eastAsia="en-AU"/>
        </w:rPr>
        <w:t>and the context in which the client operates</w:t>
      </w:r>
      <w:r w:rsidRPr="00BE4A51">
        <w:rPr>
          <w:rFonts w:cstheme="minorHAnsi"/>
          <w:lang w:val="en-MY" w:eastAsia="en-AU"/>
        </w:rPr>
        <w:t>.</w:t>
      </w:r>
      <w:r>
        <w:rPr>
          <w:rStyle w:val="FootnoteReference"/>
          <w:rFonts w:cstheme="minorHAnsi"/>
          <w:lang w:val="en-MY" w:eastAsia="en-AU"/>
        </w:rPr>
        <w:footnoteReference w:id="36"/>
      </w:r>
      <w:r w:rsidR="003C2D71">
        <w:rPr>
          <w:rFonts w:cstheme="minorHAnsi"/>
          <w:lang w:val="en-MY" w:eastAsia="en-AU"/>
        </w:rPr>
        <w:t xml:space="preserve"> </w:t>
      </w:r>
      <w:r w:rsidRPr="008D362D">
        <w:rPr>
          <w:rFonts w:cstheme="minorHAnsi"/>
          <w:lang w:val="en-MY" w:eastAsia="en-AU"/>
        </w:rPr>
        <w:t>Similar to through</w:t>
      </w:r>
      <w:r w:rsidR="004449FA">
        <w:rPr>
          <w:rFonts w:cstheme="minorHAnsi"/>
          <w:lang w:val="en-MY" w:eastAsia="en-AU"/>
        </w:rPr>
        <w:t>-</w:t>
      </w:r>
      <w:r w:rsidRPr="008D362D">
        <w:rPr>
          <w:rFonts w:cstheme="minorHAnsi"/>
          <w:lang w:val="en-MY" w:eastAsia="en-AU"/>
        </w:rPr>
        <w:t xml:space="preserve">care, ‘continuity of care’ </w:t>
      </w:r>
      <w:r w:rsidR="003C2D71" w:rsidRPr="008D362D">
        <w:rPr>
          <w:rFonts w:cstheme="minorHAnsi"/>
          <w:lang w:val="en-MY" w:eastAsia="en-AU"/>
        </w:rPr>
        <w:t>involving individual, flexible case management, relationships and communication</w:t>
      </w:r>
      <w:r w:rsidR="003C2D71">
        <w:rPr>
          <w:rFonts w:cstheme="minorHAnsi"/>
          <w:lang w:val="en-MY" w:eastAsia="en-AU"/>
        </w:rPr>
        <w:t>, is also</w:t>
      </w:r>
      <w:r w:rsidRPr="008D362D">
        <w:rPr>
          <w:rFonts w:cstheme="minorHAnsi"/>
          <w:lang w:val="en-MY" w:eastAsia="en-AU"/>
        </w:rPr>
        <w:t xml:space="preserve"> advocated for</w:t>
      </w:r>
      <w:r w:rsidR="003C2D71">
        <w:rPr>
          <w:rFonts w:cstheme="minorHAnsi"/>
          <w:lang w:val="en-MY" w:eastAsia="en-AU"/>
        </w:rPr>
        <w:t xml:space="preserve"> within the literature</w:t>
      </w:r>
      <w:r w:rsidRPr="008D362D">
        <w:rPr>
          <w:rFonts w:cstheme="minorHAnsi"/>
          <w:lang w:val="en-MY" w:eastAsia="en-AU"/>
        </w:rPr>
        <w:t>.</w:t>
      </w:r>
      <w:r w:rsidR="003C2D71">
        <w:rPr>
          <w:rFonts w:cstheme="minorHAnsi"/>
          <w:lang w:val="en-MY" w:eastAsia="en-AU"/>
        </w:rPr>
        <w:t xml:space="preserve"> </w:t>
      </w:r>
      <w:r w:rsidRPr="008D362D">
        <w:rPr>
          <w:rFonts w:cstheme="minorHAnsi"/>
          <w:lang w:val="en-MY" w:eastAsia="en-AU"/>
        </w:rPr>
        <w:t xml:space="preserve">Continuity of care is viewed as </w:t>
      </w:r>
      <w:r w:rsidR="003C2D71">
        <w:rPr>
          <w:rFonts w:cstheme="minorHAnsi"/>
          <w:lang w:val="en-MY" w:eastAsia="en-AU"/>
        </w:rPr>
        <w:t>client</w:t>
      </w:r>
      <w:r w:rsidRPr="008D362D">
        <w:rPr>
          <w:rFonts w:cstheme="minorHAnsi"/>
          <w:lang w:val="en-MY" w:eastAsia="en-AU"/>
        </w:rPr>
        <w:t>-centred, comprehensive, interdisciplinary work that can include informal dimensions with group model practices and team care</w:t>
      </w:r>
      <w:r w:rsidR="003C2D71">
        <w:rPr>
          <w:rFonts w:cstheme="minorHAnsi"/>
          <w:lang w:val="en-MY" w:eastAsia="en-AU"/>
        </w:rPr>
        <w:t xml:space="preserve"> (not just individualised support as emphasised in the current ATC and YTC models)</w:t>
      </w:r>
      <w:r w:rsidRPr="008D362D">
        <w:rPr>
          <w:rFonts w:cstheme="minorHAnsi"/>
          <w:lang w:val="en-MY" w:eastAsia="en-AU"/>
        </w:rPr>
        <w:t>.</w:t>
      </w:r>
      <w:r>
        <w:rPr>
          <w:rStyle w:val="FootnoteReference"/>
          <w:rFonts w:cstheme="minorHAnsi"/>
          <w:lang w:val="en-MY" w:eastAsia="en-AU"/>
        </w:rPr>
        <w:footnoteReference w:id="37"/>
      </w:r>
    </w:p>
    <w:p w14:paraId="3CBE56C2" w14:textId="77777777" w:rsidR="00024565" w:rsidRDefault="00024565" w:rsidP="00AF1D15">
      <w:pPr>
        <w:jc w:val="both"/>
        <w:rPr>
          <w:rFonts w:cstheme="minorHAnsi"/>
          <w:lang w:val="en-MY" w:eastAsia="en-AU"/>
        </w:rPr>
      </w:pPr>
    </w:p>
    <w:p w14:paraId="5D1A8402" w14:textId="59D78962" w:rsidR="00D172D3" w:rsidRDefault="00003380" w:rsidP="00AF1D15">
      <w:pPr>
        <w:jc w:val="both"/>
        <w:rPr>
          <w:rFonts w:cstheme="minorHAnsi"/>
          <w:lang w:val="en-MY" w:eastAsia="en-AU"/>
        </w:rPr>
      </w:pPr>
      <w:r w:rsidRPr="00B21295">
        <w:rPr>
          <w:rFonts w:cstheme="minorHAnsi"/>
          <w:lang w:val="en-MY" w:eastAsia="en-AU"/>
        </w:rPr>
        <w:t>According to the literature reviewed, the key to the practical achievement of effective case management is the relationship between the case worker and the client</w:t>
      </w:r>
      <w:r w:rsidR="006018A2" w:rsidRPr="00B21295">
        <w:rPr>
          <w:rFonts w:cstheme="minorHAnsi"/>
          <w:lang w:val="en-MY" w:eastAsia="en-AU"/>
        </w:rPr>
        <w:t>, recognising that former offenders</w:t>
      </w:r>
      <w:r w:rsidR="003C2D71" w:rsidRPr="00B21295">
        <w:rPr>
          <w:rFonts w:cstheme="minorHAnsi"/>
          <w:lang w:val="en-MY" w:eastAsia="en-AU"/>
        </w:rPr>
        <w:t xml:space="preserve"> who are empowered </w:t>
      </w:r>
      <w:r w:rsidR="006018A2" w:rsidRPr="00B21295">
        <w:rPr>
          <w:rFonts w:cstheme="minorHAnsi"/>
          <w:lang w:val="en-MY" w:eastAsia="en-AU"/>
        </w:rPr>
        <w:t xml:space="preserve">are considered </w:t>
      </w:r>
      <w:r w:rsidR="003C2D71" w:rsidRPr="00B21295">
        <w:rPr>
          <w:rFonts w:cstheme="minorHAnsi"/>
          <w:lang w:val="en-MY" w:eastAsia="en-AU"/>
        </w:rPr>
        <w:t xml:space="preserve">more likely to seek change and </w:t>
      </w:r>
      <w:r w:rsidR="006018A2" w:rsidRPr="00B21295">
        <w:rPr>
          <w:rFonts w:cstheme="minorHAnsi"/>
          <w:lang w:val="en-MY" w:eastAsia="en-AU"/>
        </w:rPr>
        <w:t>form relationships within the broader</w:t>
      </w:r>
      <w:r w:rsidR="003C2D71" w:rsidRPr="00B21295">
        <w:rPr>
          <w:rFonts w:cstheme="minorHAnsi"/>
          <w:lang w:val="en-MY" w:eastAsia="en-AU"/>
        </w:rPr>
        <w:t xml:space="preserve"> community.</w:t>
      </w:r>
      <w:r w:rsidR="006018A2" w:rsidRPr="00B21295">
        <w:rPr>
          <w:rFonts w:cstheme="minorHAnsi"/>
          <w:lang w:val="en-MY" w:eastAsia="en-AU"/>
        </w:rPr>
        <w:t xml:space="preserve"> The available evidence suggests that case workers who are interested in the lives of their clients, focus on client strengths, and who are reliable and collaborative in their approach will achieve the best outcomes.</w:t>
      </w:r>
      <w:r w:rsidR="003C2D71" w:rsidRPr="00B21295">
        <w:rPr>
          <w:rStyle w:val="FootnoteReference"/>
          <w:rFonts w:cstheme="minorHAnsi"/>
          <w:lang w:val="en-MY" w:eastAsia="en-AU"/>
        </w:rPr>
        <w:footnoteReference w:id="38"/>
      </w:r>
      <w:r w:rsidR="006018A2" w:rsidRPr="00B21295">
        <w:rPr>
          <w:rFonts w:cstheme="minorHAnsi"/>
          <w:lang w:val="en-MY" w:eastAsia="en-AU"/>
        </w:rPr>
        <w:t xml:space="preserve"> </w:t>
      </w:r>
      <w:r w:rsidR="00D172D3" w:rsidRPr="00B21295">
        <w:rPr>
          <w:rFonts w:cstheme="minorHAnsi"/>
          <w:lang w:val="en-MY" w:eastAsia="en-AU"/>
        </w:rPr>
        <w:t xml:space="preserve">An </w:t>
      </w:r>
      <w:r w:rsidR="00BF75C3" w:rsidRPr="00B21295">
        <w:rPr>
          <w:rFonts w:cstheme="minorHAnsi"/>
          <w:lang w:val="en-MY" w:eastAsia="en-AU"/>
        </w:rPr>
        <w:t xml:space="preserve">overarching conclusion from all papers reviewed was that </w:t>
      </w:r>
      <w:r w:rsidR="00D172D3" w:rsidRPr="00B21295">
        <w:rPr>
          <w:rFonts w:cstheme="minorHAnsi"/>
          <w:lang w:val="en-MY" w:eastAsia="en-AU"/>
        </w:rPr>
        <w:t xml:space="preserve">clients </w:t>
      </w:r>
      <w:r w:rsidR="00BF75C3" w:rsidRPr="00B21295">
        <w:rPr>
          <w:rFonts w:cstheme="minorHAnsi"/>
          <w:lang w:val="en-MY" w:eastAsia="en-AU"/>
        </w:rPr>
        <w:t>benefit from a</w:t>
      </w:r>
      <w:r w:rsidR="00D172D3" w:rsidRPr="00B21295">
        <w:rPr>
          <w:rFonts w:cstheme="minorHAnsi"/>
          <w:lang w:val="en-MY" w:eastAsia="en-AU"/>
        </w:rPr>
        <w:t xml:space="preserve"> </w:t>
      </w:r>
      <w:r w:rsidR="00BF75C3" w:rsidRPr="00B21295">
        <w:rPr>
          <w:rFonts w:cstheme="minorHAnsi"/>
          <w:lang w:val="en-MY" w:eastAsia="en-AU"/>
        </w:rPr>
        <w:t xml:space="preserve">combination of practical resources and empathic support </w:t>
      </w:r>
      <w:r w:rsidR="00D172D3" w:rsidRPr="00B21295">
        <w:rPr>
          <w:rFonts w:cstheme="minorHAnsi"/>
          <w:lang w:val="en-MY" w:eastAsia="en-AU"/>
        </w:rPr>
        <w:t>from case workers, and that t</w:t>
      </w:r>
      <w:r w:rsidR="00BF75C3" w:rsidRPr="00B21295">
        <w:rPr>
          <w:rFonts w:cstheme="minorHAnsi"/>
          <w:lang w:val="en-MY" w:eastAsia="en-AU"/>
        </w:rPr>
        <w:t>he</w:t>
      </w:r>
      <w:r w:rsidR="00D172D3" w:rsidRPr="00B21295">
        <w:rPr>
          <w:rFonts w:cstheme="minorHAnsi"/>
          <w:lang w:val="en-MY" w:eastAsia="en-AU"/>
        </w:rPr>
        <w:t>ir</w:t>
      </w:r>
      <w:r w:rsidR="00BF75C3" w:rsidRPr="00B21295">
        <w:rPr>
          <w:rFonts w:cstheme="minorHAnsi"/>
          <w:lang w:val="en-MY" w:eastAsia="en-AU"/>
        </w:rPr>
        <w:t xml:space="preserve"> role as an advocate and </w:t>
      </w:r>
      <w:r w:rsidR="00D172D3" w:rsidRPr="00B21295">
        <w:rPr>
          <w:rFonts w:cstheme="minorHAnsi"/>
          <w:lang w:val="en-MY" w:eastAsia="en-AU"/>
        </w:rPr>
        <w:t>mentor</w:t>
      </w:r>
      <w:r w:rsidR="00BF75C3" w:rsidRPr="00B21295">
        <w:rPr>
          <w:rFonts w:cstheme="minorHAnsi"/>
          <w:lang w:val="en-MY" w:eastAsia="en-AU"/>
        </w:rPr>
        <w:t xml:space="preserve"> for </w:t>
      </w:r>
      <w:r w:rsidR="00D172D3" w:rsidRPr="00B21295">
        <w:rPr>
          <w:rFonts w:cstheme="minorHAnsi"/>
          <w:lang w:val="en-MY" w:eastAsia="en-AU"/>
        </w:rPr>
        <w:t xml:space="preserve">clients, using respectful communication combined with practical support, </w:t>
      </w:r>
      <w:r w:rsidR="00BF75C3" w:rsidRPr="00B21295">
        <w:rPr>
          <w:rFonts w:cstheme="minorHAnsi"/>
          <w:lang w:val="en-MY" w:eastAsia="en-AU"/>
        </w:rPr>
        <w:t>plays a</w:t>
      </w:r>
      <w:r w:rsidR="00D172D3" w:rsidRPr="00B21295">
        <w:rPr>
          <w:rFonts w:cstheme="minorHAnsi"/>
          <w:lang w:val="en-MY" w:eastAsia="en-AU"/>
        </w:rPr>
        <w:t xml:space="preserve"> major</w:t>
      </w:r>
      <w:r w:rsidR="00BF75C3" w:rsidRPr="00B21295">
        <w:rPr>
          <w:rFonts w:cstheme="minorHAnsi"/>
          <w:lang w:val="en-MY" w:eastAsia="en-AU"/>
        </w:rPr>
        <w:t xml:space="preserve"> role in program success</w:t>
      </w:r>
      <w:r w:rsidR="00D172D3" w:rsidRPr="00B21295">
        <w:rPr>
          <w:rFonts w:cstheme="minorHAnsi"/>
          <w:lang w:val="en-MY" w:eastAsia="en-AU"/>
        </w:rPr>
        <w:t>es</w:t>
      </w:r>
      <w:r w:rsidR="00BF75C3" w:rsidRPr="00B21295">
        <w:rPr>
          <w:rFonts w:cstheme="minorHAnsi"/>
          <w:lang w:val="en-MY" w:eastAsia="en-AU"/>
        </w:rPr>
        <w:t>.</w:t>
      </w:r>
      <w:r w:rsidR="00C47C0E" w:rsidRPr="00B21295">
        <w:rPr>
          <w:rStyle w:val="FootnoteReference"/>
          <w:rFonts w:cstheme="minorHAnsi"/>
          <w:lang w:val="en-MY" w:eastAsia="en-AU"/>
        </w:rPr>
        <w:footnoteReference w:id="39"/>
      </w:r>
      <w:r w:rsidR="00C47C0E" w:rsidRPr="00B21295">
        <w:rPr>
          <w:rFonts w:cstheme="minorHAnsi"/>
          <w:vertAlign w:val="superscript"/>
          <w:lang w:val="en-MY" w:eastAsia="en-AU"/>
        </w:rPr>
        <w:t>,</w:t>
      </w:r>
      <w:r w:rsidR="00C47C0E" w:rsidRPr="00B21295">
        <w:rPr>
          <w:rStyle w:val="FootnoteReference"/>
          <w:rFonts w:cstheme="minorHAnsi"/>
          <w:lang w:val="en-MY" w:eastAsia="en-AU"/>
        </w:rPr>
        <w:footnoteReference w:id="40"/>
      </w:r>
      <w:r w:rsidR="00BF75C3" w:rsidRPr="00B21295">
        <w:rPr>
          <w:rFonts w:cstheme="minorHAnsi"/>
          <w:lang w:val="en-MY" w:eastAsia="en-AU"/>
        </w:rPr>
        <w:t xml:space="preserve"> Th</w:t>
      </w:r>
      <w:r w:rsidR="00D172D3" w:rsidRPr="00B21295">
        <w:rPr>
          <w:rFonts w:cstheme="minorHAnsi"/>
          <w:lang w:val="en-MY" w:eastAsia="en-AU"/>
        </w:rPr>
        <w:t xml:space="preserve">e </w:t>
      </w:r>
      <w:r w:rsidR="00BF75C3" w:rsidRPr="00B21295">
        <w:rPr>
          <w:rFonts w:cstheme="minorHAnsi"/>
          <w:lang w:val="en-MY" w:eastAsia="en-AU"/>
        </w:rPr>
        <w:t xml:space="preserve">combination </w:t>
      </w:r>
      <w:r w:rsidR="00D172D3" w:rsidRPr="00B21295">
        <w:rPr>
          <w:rFonts w:cstheme="minorHAnsi"/>
          <w:lang w:val="en-MY" w:eastAsia="en-AU"/>
        </w:rPr>
        <w:t>of empathic support and practical resources is consistently found to</w:t>
      </w:r>
      <w:r w:rsidR="00BF75C3" w:rsidRPr="00B21295">
        <w:rPr>
          <w:rFonts w:cstheme="minorHAnsi"/>
          <w:lang w:val="en-MY" w:eastAsia="en-AU"/>
        </w:rPr>
        <w:t xml:space="preserve"> </w:t>
      </w:r>
      <w:r w:rsidR="00D172D3" w:rsidRPr="00B21295">
        <w:rPr>
          <w:rFonts w:cstheme="minorHAnsi"/>
          <w:lang w:val="en-MY" w:eastAsia="en-AU"/>
        </w:rPr>
        <w:t>“</w:t>
      </w:r>
      <w:r w:rsidR="00BF75C3" w:rsidRPr="00B21295">
        <w:rPr>
          <w:rFonts w:cstheme="minorHAnsi"/>
          <w:lang w:val="en-MY" w:eastAsia="en-AU"/>
        </w:rPr>
        <w:t>produce positive relational and psychological outcomes for participants in the short and long term</w:t>
      </w:r>
      <w:r w:rsidR="00D172D3" w:rsidRPr="00B21295">
        <w:rPr>
          <w:rFonts w:cstheme="minorHAnsi"/>
          <w:lang w:val="en-MY" w:eastAsia="en-AU"/>
        </w:rPr>
        <w:t>,</w:t>
      </w:r>
      <w:r w:rsidR="00BF75C3" w:rsidRPr="00B21295">
        <w:rPr>
          <w:rFonts w:cstheme="minorHAnsi"/>
          <w:lang w:val="en-MY" w:eastAsia="en-AU"/>
        </w:rPr>
        <w:t xml:space="preserve"> including improved interpersonal relationships, improved self-efficacy and formation of pro-social identity.</w:t>
      </w:r>
      <w:r w:rsidR="00D172D3" w:rsidRPr="00B21295">
        <w:rPr>
          <w:rFonts w:cstheme="minorHAnsi"/>
          <w:lang w:val="en-MY" w:eastAsia="en-AU"/>
        </w:rPr>
        <w:t>”</w:t>
      </w:r>
      <w:r w:rsidR="00D172D3" w:rsidRPr="00B21295">
        <w:rPr>
          <w:rStyle w:val="FootnoteReference"/>
          <w:rFonts w:cstheme="minorHAnsi"/>
          <w:lang w:val="en-MY" w:eastAsia="en-AU"/>
        </w:rPr>
        <w:t xml:space="preserve"> </w:t>
      </w:r>
      <w:r w:rsidR="00D172D3" w:rsidRPr="00B21295">
        <w:rPr>
          <w:rStyle w:val="FootnoteReference"/>
          <w:rFonts w:cstheme="minorHAnsi"/>
          <w:lang w:val="en-MY" w:eastAsia="en-AU"/>
        </w:rPr>
        <w:footnoteReference w:id="41"/>
      </w:r>
    </w:p>
    <w:p w14:paraId="0CC1939E" w14:textId="77777777" w:rsidR="00D172D3" w:rsidRDefault="00D172D3" w:rsidP="00AF1D15">
      <w:pPr>
        <w:jc w:val="both"/>
        <w:rPr>
          <w:rFonts w:cstheme="minorHAnsi"/>
          <w:lang w:val="en-MY" w:eastAsia="en-AU"/>
        </w:rPr>
      </w:pPr>
    </w:p>
    <w:p w14:paraId="14E2EA53" w14:textId="6DAE2C38" w:rsidR="00AF1D15" w:rsidRDefault="00AF1D15" w:rsidP="00AF1D15">
      <w:pPr>
        <w:jc w:val="both"/>
        <w:rPr>
          <w:rFonts w:cstheme="minorHAnsi"/>
          <w:lang w:val="en-MY" w:eastAsia="en-AU"/>
        </w:rPr>
      </w:pPr>
      <w:r>
        <w:rPr>
          <w:rFonts w:cstheme="minorHAnsi"/>
          <w:lang w:val="en-MY" w:eastAsia="en-AU"/>
        </w:rPr>
        <w:t xml:space="preserve">Although ‘workforce’ is </w:t>
      </w:r>
      <w:r w:rsidR="00D172D3">
        <w:rPr>
          <w:rFonts w:cstheme="minorHAnsi"/>
          <w:lang w:val="en-MY" w:eastAsia="en-AU"/>
        </w:rPr>
        <w:t xml:space="preserve">indeed </w:t>
      </w:r>
      <w:r>
        <w:rPr>
          <w:rFonts w:cstheme="minorHAnsi"/>
          <w:lang w:val="en-MY" w:eastAsia="en-AU"/>
        </w:rPr>
        <w:t>a feature of the ATC and YTC models</w:t>
      </w:r>
      <w:r w:rsidR="00D172D3">
        <w:rPr>
          <w:rFonts w:cstheme="minorHAnsi"/>
          <w:lang w:val="en-MY" w:eastAsia="en-AU"/>
        </w:rPr>
        <w:t>,</w:t>
      </w:r>
      <w:r>
        <w:rPr>
          <w:rFonts w:cstheme="minorHAnsi"/>
          <w:lang w:val="en-MY" w:eastAsia="en-AU"/>
        </w:rPr>
        <w:t xml:space="preserve"> </w:t>
      </w:r>
      <w:r w:rsidR="00D172D3">
        <w:rPr>
          <w:rFonts w:cstheme="minorHAnsi"/>
          <w:lang w:val="en-MY" w:eastAsia="en-AU"/>
        </w:rPr>
        <w:t xml:space="preserve">it </w:t>
      </w:r>
      <w:r>
        <w:rPr>
          <w:rFonts w:cstheme="minorHAnsi"/>
          <w:lang w:val="en-MY" w:eastAsia="en-AU"/>
        </w:rPr>
        <w:t>is reductively express</w:t>
      </w:r>
      <w:r w:rsidR="00F91DFA">
        <w:rPr>
          <w:rFonts w:cstheme="minorHAnsi"/>
          <w:lang w:val="en-MY" w:eastAsia="en-AU"/>
        </w:rPr>
        <w:t>e</w:t>
      </w:r>
      <w:r>
        <w:rPr>
          <w:rFonts w:cstheme="minorHAnsi"/>
          <w:lang w:val="en-MY" w:eastAsia="en-AU"/>
        </w:rPr>
        <w:t xml:space="preserve">d in terms </w:t>
      </w:r>
      <w:r w:rsidRPr="00B21295">
        <w:rPr>
          <w:rFonts w:cstheme="minorHAnsi"/>
          <w:lang w:val="en-MY" w:eastAsia="en-AU"/>
        </w:rPr>
        <w:t>of recruitment processes</w:t>
      </w:r>
      <w:r w:rsidR="00BF75C3" w:rsidRPr="00B21295">
        <w:rPr>
          <w:rFonts w:cstheme="minorHAnsi"/>
          <w:lang w:val="en-MY" w:eastAsia="en-AU"/>
        </w:rPr>
        <w:t xml:space="preserve"> only</w:t>
      </w:r>
      <w:r w:rsidRPr="00B21295">
        <w:rPr>
          <w:rFonts w:cstheme="minorHAnsi"/>
          <w:lang w:val="en-MY" w:eastAsia="en-AU"/>
        </w:rPr>
        <w:t xml:space="preserve"> (which seek to balance formal qualifications and lived experience amongst case workers) </w:t>
      </w:r>
      <w:r w:rsidR="00BF75C3" w:rsidRPr="00B21295">
        <w:rPr>
          <w:rFonts w:cstheme="minorHAnsi"/>
          <w:lang w:val="en-MY" w:eastAsia="en-AU"/>
        </w:rPr>
        <w:t xml:space="preserve">without addressing </w:t>
      </w:r>
      <w:r w:rsidRPr="00B21295">
        <w:rPr>
          <w:rFonts w:cstheme="minorHAnsi"/>
          <w:lang w:val="en-MY" w:eastAsia="en-AU"/>
        </w:rPr>
        <w:t>the importance of personal relationships</w:t>
      </w:r>
      <w:r w:rsidR="00BF75C3" w:rsidRPr="00B21295">
        <w:rPr>
          <w:rFonts w:cstheme="minorHAnsi"/>
          <w:lang w:val="en-MY" w:eastAsia="en-AU"/>
        </w:rPr>
        <w:t xml:space="preserve">, including </w:t>
      </w:r>
      <w:r w:rsidRPr="00B21295">
        <w:rPr>
          <w:rFonts w:cstheme="minorHAnsi"/>
          <w:lang w:val="en-MY" w:eastAsia="en-AU"/>
        </w:rPr>
        <w:t>strategies for building trust though flexib</w:t>
      </w:r>
      <w:r w:rsidR="00BF75C3" w:rsidRPr="00B21295">
        <w:rPr>
          <w:rFonts w:cstheme="minorHAnsi"/>
          <w:lang w:val="en-MY" w:eastAsia="en-AU"/>
        </w:rPr>
        <w:t>le</w:t>
      </w:r>
      <w:r w:rsidRPr="00B21295">
        <w:rPr>
          <w:rFonts w:cstheme="minorHAnsi"/>
          <w:lang w:val="en-MY" w:eastAsia="en-AU"/>
        </w:rPr>
        <w:t xml:space="preserve"> work practices </w:t>
      </w:r>
      <w:r w:rsidR="00BF75C3" w:rsidRPr="00B21295">
        <w:rPr>
          <w:rFonts w:cstheme="minorHAnsi"/>
          <w:lang w:val="en-MY" w:eastAsia="en-AU"/>
        </w:rPr>
        <w:t xml:space="preserve">(with delegations that </w:t>
      </w:r>
      <w:r w:rsidRPr="00B21295">
        <w:rPr>
          <w:rFonts w:cstheme="minorHAnsi"/>
          <w:lang w:val="en-MY" w:eastAsia="en-AU"/>
        </w:rPr>
        <w:t xml:space="preserve">allow </w:t>
      </w:r>
      <w:r w:rsidR="00BF75C3" w:rsidRPr="00B21295">
        <w:rPr>
          <w:rFonts w:cstheme="minorHAnsi"/>
          <w:lang w:val="en-MY" w:eastAsia="en-AU"/>
        </w:rPr>
        <w:t xml:space="preserve">case </w:t>
      </w:r>
      <w:r w:rsidRPr="00B21295">
        <w:rPr>
          <w:rFonts w:cstheme="minorHAnsi"/>
          <w:lang w:val="en-MY" w:eastAsia="en-AU"/>
        </w:rPr>
        <w:t>workers to respond to issues as they occur</w:t>
      </w:r>
      <w:r w:rsidR="00BF75C3" w:rsidRPr="00B21295">
        <w:rPr>
          <w:rFonts w:cstheme="minorHAnsi"/>
          <w:lang w:val="en-MY" w:eastAsia="en-AU"/>
        </w:rPr>
        <w:t>) and consisten</w:t>
      </w:r>
      <w:r w:rsidR="00D172D3" w:rsidRPr="00B21295">
        <w:rPr>
          <w:rFonts w:cstheme="minorHAnsi"/>
          <w:lang w:val="en-MY" w:eastAsia="en-AU"/>
        </w:rPr>
        <w:t xml:space="preserve">t behaviours </w:t>
      </w:r>
      <w:r w:rsidR="00BF75C3" w:rsidRPr="00B21295">
        <w:rPr>
          <w:rFonts w:cstheme="minorHAnsi"/>
          <w:lang w:val="en-MY" w:eastAsia="en-AU"/>
        </w:rPr>
        <w:t>(being dependable, approachable, trustworthy and non-judgmental</w:t>
      </w:r>
      <w:r w:rsidR="00D172D3" w:rsidRPr="00B21295">
        <w:rPr>
          <w:rFonts w:cstheme="minorHAnsi"/>
          <w:lang w:val="en-MY" w:eastAsia="en-AU"/>
        </w:rPr>
        <w:t xml:space="preserve"> in all interactions with clients</w:t>
      </w:r>
      <w:r w:rsidR="00BF75C3" w:rsidRPr="00B21295">
        <w:rPr>
          <w:rFonts w:cstheme="minorHAnsi"/>
          <w:lang w:val="en-MY" w:eastAsia="en-AU"/>
        </w:rPr>
        <w:t>).</w:t>
      </w:r>
      <w:r w:rsidR="00BF75C3" w:rsidRPr="00B21295">
        <w:rPr>
          <w:rStyle w:val="FootnoteReference"/>
          <w:rFonts w:cstheme="minorHAnsi"/>
          <w:lang w:val="en-MY" w:eastAsia="en-AU"/>
        </w:rPr>
        <w:footnoteReference w:id="42"/>
      </w:r>
      <w:r w:rsidR="00F72E6F" w:rsidRPr="00B21295">
        <w:rPr>
          <w:rFonts w:cstheme="minorHAnsi"/>
          <w:vertAlign w:val="superscript"/>
          <w:lang w:val="en-MY" w:eastAsia="en-AU"/>
        </w:rPr>
        <w:t>,</w:t>
      </w:r>
      <w:r w:rsidR="00F72E6F" w:rsidRPr="00B21295">
        <w:rPr>
          <w:rStyle w:val="FootnoteReference"/>
          <w:rFonts w:cstheme="minorHAnsi"/>
          <w:lang w:val="en-MY" w:eastAsia="en-AU"/>
        </w:rPr>
        <w:footnoteReference w:id="43"/>
      </w:r>
    </w:p>
    <w:p w14:paraId="02B74029" w14:textId="77777777" w:rsidR="0060726E" w:rsidRDefault="0060726E" w:rsidP="0060726E">
      <w:pPr>
        <w:jc w:val="both"/>
        <w:rPr>
          <w:rFonts w:cstheme="minorHAnsi"/>
          <w:lang w:val="en-MY" w:eastAsia="en-AU"/>
        </w:rPr>
      </w:pPr>
    </w:p>
    <w:p w14:paraId="1E10BB94" w14:textId="4E3501EA" w:rsidR="00604895" w:rsidRDefault="00C47C0E" w:rsidP="0094153E">
      <w:pPr>
        <w:jc w:val="both"/>
        <w:rPr>
          <w:rFonts w:cstheme="minorHAnsi"/>
          <w:vertAlign w:val="superscript"/>
          <w:lang w:val="en-MY" w:eastAsia="en-AU"/>
        </w:rPr>
      </w:pPr>
      <w:r>
        <w:rPr>
          <w:rFonts w:cstheme="minorHAnsi"/>
          <w:lang w:val="en-MY" w:eastAsia="en-AU"/>
        </w:rPr>
        <w:t xml:space="preserve">The importance of the timing of more or less intensive contact with clients by case workers is also under-emphasised in the ATC and YTC models described. </w:t>
      </w:r>
      <w:r w:rsidR="0060726E" w:rsidRPr="00A33641">
        <w:rPr>
          <w:rFonts w:cstheme="minorHAnsi"/>
          <w:lang w:val="en-MY" w:eastAsia="en-AU"/>
        </w:rPr>
        <w:t>According to international evaluations, the t</w:t>
      </w:r>
      <w:r>
        <w:rPr>
          <w:rFonts w:cstheme="minorHAnsi"/>
          <w:lang w:val="en-MY" w:eastAsia="en-AU"/>
        </w:rPr>
        <w:t xml:space="preserve">hrough-care </w:t>
      </w:r>
      <w:r w:rsidR="0060726E" w:rsidRPr="00A33641">
        <w:rPr>
          <w:rFonts w:cstheme="minorHAnsi"/>
          <w:lang w:val="en-MY" w:eastAsia="en-AU"/>
        </w:rPr>
        <w:t xml:space="preserve">process will </w:t>
      </w:r>
      <w:r>
        <w:rPr>
          <w:rFonts w:cstheme="minorHAnsi"/>
          <w:lang w:val="en-MY" w:eastAsia="en-AU"/>
        </w:rPr>
        <w:t xml:space="preserve">usually </w:t>
      </w:r>
      <w:r w:rsidR="0060726E" w:rsidRPr="00A33641">
        <w:rPr>
          <w:rFonts w:cstheme="minorHAnsi"/>
          <w:lang w:val="en-MY" w:eastAsia="en-AU"/>
        </w:rPr>
        <w:t xml:space="preserve">require </w:t>
      </w:r>
      <w:r>
        <w:rPr>
          <w:rFonts w:cstheme="minorHAnsi"/>
          <w:lang w:val="en-MY" w:eastAsia="en-AU"/>
        </w:rPr>
        <w:t xml:space="preserve">attention to </w:t>
      </w:r>
      <w:r w:rsidR="0060726E" w:rsidRPr="00A33641">
        <w:rPr>
          <w:rFonts w:cstheme="minorHAnsi"/>
          <w:lang w:val="en-MY" w:eastAsia="en-AU"/>
        </w:rPr>
        <w:t>different priorities at different points</w:t>
      </w:r>
      <w:r>
        <w:rPr>
          <w:rFonts w:cstheme="minorHAnsi"/>
          <w:lang w:val="en-MY" w:eastAsia="en-AU"/>
        </w:rPr>
        <w:t>; with i</w:t>
      </w:r>
      <w:r w:rsidR="0060726E" w:rsidRPr="00A33641">
        <w:rPr>
          <w:rFonts w:cstheme="minorHAnsi"/>
          <w:lang w:val="en-MY" w:eastAsia="en-AU"/>
        </w:rPr>
        <w:t>ntensive contact in the period immediately following release</w:t>
      </w:r>
      <w:r>
        <w:rPr>
          <w:rFonts w:cstheme="minorHAnsi"/>
          <w:lang w:val="en-MY" w:eastAsia="en-AU"/>
        </w:rPr>
        <w:t xml:space="preserve"> and less intensive but</w:t>
      </w:r>
      <w:r w:rsidR="0060726E" w:rsidRPr="00A33641">
        <w:rPr>
          <w:rFonts w:cstheme="minorHAnsi"/>
          <w:lang w:val="en-MY" w:eastAsia="en-AU"/>
        </w:rPr>
        <w:t xml:space="preserve"> longer-term support </w:t>
      </w:r>
      <w:r>
        <w:rPr>
          <w:rFonts w:cstheme="minorHAnsi"/>
          <w:lang w:val="en-MY" w:eastAsia="en-AU"/>
        </w:rPr>
        <w:t>should stability of circumstances be established (noting o</w:t>
      </w:r>
      <w:r w:rsidR="0060726E" w:rsidRPr="00A33641">
        <w:rPr>
          <w:rFonts w:cstheme="minorHAnsi"/>
          <w:lang w:val="en-MY" w:eastAsia="en-AU"/>
        </w:rPr>
        <w:t xml:space="preserve">ngoing </w:t>
      </w:r>
      <w:r>
        <w:rPr>
          <w:rFonts w:cstheme="minorHAnsi"/>
          <w:lang w:val="en-MY" w:eastAsia="en-AU"/>
        </w:rPr>
        <w:t xml:space="preserve">intensive </w:t>
      </w:r>
      <w:r w:rsidR="0060726E" w:rsidRPr="00A33641">
        <w:rPr>
          <w:rFonts w:cstheme="minorHAnsi"/>
          <w:lang w:val="en-MY" w:eastAsia="en-AU"/>
        </w:rPr>
        <w:t xml:space="preserve">support is likely to be required for prisoners with complex </w:t>
      </w:r>
      <w:r>
        <w:rPr>
          <w:rFonts w:cstheme="minorHAnsi"/>
          <w:lang w:val="en-MY" w:eastAsia="en-AU"/>
        </w:rPr>
        <w:t>needs)</w:t>
      </w:r>
      <w:r w:rsidR="0060726E" w:rsidRPr="00A33641">
        <w:rPr>
          <w:rFonts w:cstheme="minorHAnsi"/>
          <w:lang w:val="en-MY" w:eastAsia="en-AU"/>
        </w:rPr>
        <w:t>. Throughout this process, the importance of personal</w:t>
      </w:r>
      <w:r w:rsidR="007E19B5">
        <w:rPr>
          <w:rFonts w:cstheme="minorHAnsi"/>
          <w:lang w:val="en-MY" w:eastAsia="en-AU"/>
        </w:rPr>
        <w:t xml:space="preserve"> </w:t>
      </w:r>
      <w:r w:rsidR="0060726E" w:rsidRPr="00A33641">
        <w:rPr>
          <w:rFonts w:cstheme="minorHAnsi"/>
          <w:lang w:val="en-MY" w:eastAsia="en-AU"/>
        </w:rPr>
        <w:t>relationships between workers and ex-prisoners is significant, both in supporting the prisoner with practical challenges and maintaining client engagement and motivation.</w:t>
      </w:r>
      <w:r w:rsidR="0060726E">
        <w:rPr>
          <w:rStyle w:val="FootnoteReference"/>
          <w:rFonts w:cstheme="minorHAnsi"/>
          <w:lang w:val="en-MY" w:eastAsia="en-AU"/>
        </w:rPr>
        <w:footnoteReference w:id="44"/>
      </w:r>
      <w:r w:rsidRPr="00C47C0E">
        <w:rPr>
          <w:rFonts w:cstheme="minorHAnsi"/>
          <w:vertAlign w:val="superscript"/>
          <w:lang w:val="en-MY" w:eastAsia="en-AU"/>
        </w:rPr>
        <w:t>,</w:t>
      </w:r>
      <w:r w:rsidRPr="008554F4">
        <w:rPr>
          <w:rStyle w:val="FootnoteReference"/>
          <w:rFonts w:cstheme="minorHAnsi"/>
          <w:lang w:val="en-MY" w:eastAsia="en-AU"/>
        </w:rPr>
        <w:footnoteReference w:id="45"/>
      </w:r>
    </w:p>
    <w:p w14:paraId="22A69AAA" w14:textId="77777777" w:rsidR="00604895" w:rsidRDefault="00604895" w:rsidP="0094153E">
      <w:pPr>
        <w:jc w:val="both"/>
        <w:rPr>
          <w:rFonts w:cstheme="minorHAnsi"/>
          <w:vertAlign w:val="superscript"/>
          <w:lang w:val="en-MY" w:eastAsia="en-AU"/>
        </w:rPr>
      </w:pPr>
    </w:p>
    <w:p w14:paraId="2B56E9CA" w14:textId="02F8ECF1" w:rsidR="0094153E" w:rsidRPr="00604895" w:rsidRDefault="003B0212" w:rsidP="0094153E">
      <w:pPr>
        <w:jc w:val="both"/>
        <w:rPr>
          <w:rFonts w:cstheme="minorHAnsi"/>
          <w:vertAlign w:val="superscript"/>
          <w:lang w:val="en-MY" w:eastAsia="en-AU"/>
        </w:rPr>
      </w:pPr>
      <w:r w:rsidRPr="00604895">
        <w:rPr>
          <w:rFonts w:cstheme="minorHAnsi"/>
          <w:lang w:val="en-MY" w:eastAsia="en-AU"/>
        </w:rPr>
        <w:t xml:space="preserve">The period immediately post-release </w:t>
      </w:r>
      <w:r w:rsidR="0094153E" w:rsidRPr="00604895">
        <w:rPr>
          <w:rFonts w:cstheme="minorHAnsi"/>
          <w:lang w:val="en-MY" w:eastAsia="en-AU"/>
        </w:rPr>
        <w:t>is</w:t>
      </w:r>
      <w:r w:rsidR="0094153E" w:rsidRPr="008554F4">
        <w:rPr>
          <w:rFonts w:cstheme="minorHAnsi"/>
          <w:lang w:val="en-MY" w:eastAsia="en-AU"/>
        </w:rPr>
        <w:t xml:space="preserve"> </w:t>
      </w:r>
      <w:r>
        <w:rPr>
          <w:rFonts w:cstheme="minorHAnsi"/>
          <w:lang w:val="en-MY" w:eastAsia="en-AU"/>
        </w:rPr>
        <w:t xml:space="preserve">regarded to be a particularly </w:t>
      </w:r>
      <w:r w:rsidR="0094153E" w:rsidRPr="008554F4">
        <w:rPr>
          <w:rFonts w:cstheme="minorHAnsi"/>
          <w:lang w:val="en-MY" w:eastAsia="en-AU"/>
        </w:rPr>
        <w:t>high-risk period characterised by poor continuity of care, inadequate social support and limited financial resources.</w:t>
      </w:r>
      <w:r w:rsidR="0094153E">
        <w:rPr>
          <w:rStyle w:val="FootnoteReference"/>
          <w:rFonts w:cstheme="minorHAnsi"/>
          <w:lang w:val="en-MY" w:eastAsia="en-AU"/>
        </w:rPr>
        <w:footnoteReference w:id="46"/>
      </w:r>
      <w:r>
        <w:rPr>
          <w:rFonts w:cstheme="minorHAnsi"/>
          <w:lang w:val="en-MY" w:eastAsia="en-AU"/>
        </w:rPr>
        <w:t xml:space="preserve"> While release planning is a feature of the ATC and YTC models this stage is again described in purely assessment and planning terms, without any practical guidance around the types of challenges likely to be encountered (including the operational realities of correctional services at the point of release) and strategies to address them. Although </w:t>
      </w:r>
      <w:r w:rsidR="00E6635E">
        <w:rPr>
          <w:rFonts w:cstheme="minorHAnsi"/>
          <w:lang w:val="en-MY" w:eastAsia="en-AU"/>
        </w:rPr>
        <w:t>significant parts of t</w:t>
      </w:r>
      <w:r>
        <w:rPr>
          <w:rFonts w:cstheme="minorHAnsi"/>
          <w:lang w:val="en-MY" w:eastAsia="en-AU"/>
        </w:rPr>
        <w:t xml:space="preserve">hrough-care as actually practiced, the models </w:t>
      </w:r>
      <w:r w:rsidR="00E6635E">
        <w:rPr>
          <w:rFonts w:cstheme="minorHAnsi"/>
          <w:lang w:val="en-MY" w:eastAsia="en-AU"/>
        </w:rPr>
        <w:t xml:space="preserve">fail to consider – beyond record keeping requirements - the </w:t>
      </w:r>
      <w:r w:rsidRPr="00DB275E">
        <w:rPr>
          <w:rFonts w:cstheme="minorHAnsi"/>
          <w:lang w:val="en-MY" w:eastAsia="en-AU"/>
        </w:rPr>
        <w:t>immediate needs fac</w:t>
      </w:r>
      <w:r w:rsidR="00E6635E">
        <w:rPr>
          <w:rFonts w:cstheme="minorHAnsi"/>
          <w:lang w:val="en-MY" w:eastAsia="en-AU"/>
        </w:rPr>
        <w:t xml:space="preserve">ed by clients </w:t>
      </w:r>
      <w:r w:rsidRPr="00DB275E">
        <w:rPr>
          <w:rFonts w:cstheme="minorHAnsi"/>
          <w:lang w:val="en-MY" w:eastAsia="en-AU"/>
        </w:rPr>
        <w:t>upon release</w:t>
      </w:r>
      <w:r w:rsidR="00E6635E">
        <w:rPr>
          <w:rFonts w:cstheme="minorHAnsi"/>
          <w:lang w:val="en-MY" w:eastAsia="en-AU"/>
        </w:rPr>
        <w:t xml:space="preserve"> such as </w:t>
      </w:r>
      <w:r w:rsidR="00E6635E" w:rsidRPr="00A13E8B">
        <w:rPr>
          <w:rFonts w:cstheme="minorHAnsi"/>
          <w:lang w:val="en-MY" w:eastAsia="en-AU"/>
        </w:rPr>
        <w:t>the availability of transport</w:t>
      </w:r>
      <w:r w:rsidR="00E6635E">
        <w:rPr>
          <w:rFonts w:cstheme="minorHAnsi"/>
          <w:lang w:val="en-MY" w:eastAsia="en-AU"/>
        </w:rPr>
        <w:t xml:space="preserve">, access to accommodation, </w:t>
      </w:r>
      <w:r w:rsidR="008B366B">
        <w:rPr>
          <w:rFonts w:cstheme="minorHAnsi"/>
          <w:lang w:val="en-MY" w:eastAsia="en-AU"/>
        </w:rPr>
        <w:t xml:space="preserve">the need for food and </w:t>
      </w:r>
      <w:r w:rsidRPr="00DB275E">
        <w:rPr>
          <w:rFonts w:cstheme="minorHAnsi"/>
          <w:lang w:val="en-MY" w:eastAsia="en-AU"/>
        </w:rPr>
        <w:t>clothing</w:t>
      </w:r>
      <w:r w:rsidR="008B366B">
        <w:rPr>
          <w:rFonts w:cstheme="minorHAnsi"/>
          <w:lang w:val="en-MY" w:eastAsia="en-AU"/>
        </w:rPr>
        <w:t xml:space="preserve">, </w:t>
      </w:r>
      <w:r w:rsidRPr="00DB275E">
        <w:rPr>
          <w:rFonts w:cstheme="minorHAnsi"/>
          <w:lang w:val="en-MY" w:eastAsia="en-AU"/>
        </w:rPr>
        <w:t xml:space="preserve">and </w:t>
      </w:r>
      <w:r w:rsidR="00E6635E">
        <w:rPr>
          <w:rFonts w:cstheme="minorHAnsi"/>
          <w:lang w:val="en-MY" w:eastAsia="en-AU"/>
        </w:rPr>
        <w:t xml:space="preserve">financial </w:t>
      </w:r>
      <w:r w:rsidRPr="00DB275E">
        <w:rPr>
          <w:rFonts w:cstheme="minorHAnsi"/>
          <w:lang w:val="en-MY" w:eastAsia="en-AU"/>
        </w:rPr>
        <w:t>means</w:t>
      </w:r>
      <w:r w:rsidR="0094153E" w:rsidRPr="00B05D1F">
        <w:rPr>
          <w:rFonts w:cstheme="minorHAnsi"/>
          <w:lang w:val="en-MY" w:eastAsia="en-AU"/>
        </w:rPr>
        <w:t>.</w:t>
      </w:r>
      <w:r w:rsidR="0094153E">
        <w:rPr>
          <w:rFonts w:cstheme="minorHAnsi"/>
          <w:lang w:val="en-MY" w:eastAsia="en-AU"/>
        </w:rPr>
        <w:t xml:space="preserve"> </w:t>
      </w:r>
    </w:p>
    <w:p w14:paraId="42582F37" w14:textId="77777777" w:rsidR="002F6224" w:rsidRDefault="00753416" w:rsidP="002F6224">
      <w:pPr>
        <w:pStyle w:val="SUBHEAD2"/>
        <w:rPr>
          <w:rFonts w:asciiTheme="minorHAnsi" w:hAnsiTheme="minorHAnsi" w:cstheme="minorHAnsi"/>
          <w:lang w:val="en-MY" w:eastAsia="en-AU"/>
        </w:rPr>
      </w:pPr>
      <w:r>
        <w:rPr>
          <w:rFonts w:asciiTheme="minorHAnsi" w:hAnsiTheme="minorHAnsi" w:cstheme="minorHAnsi"/>
          <w:lang w:val="en-MY" w:eastAsia="en-AU"/>
        </w:rPr>
        <w:t>Cultural Connection and the Involvement of Families</w:t>
      </w:r>
    </w:p>
    <w:p w14:paraId="078D90D5" w14:textId="46F893E2" w:rsidR="00982E13" w:rsidRPr="002F6224" w:rsidRDefault="00753416" w:rsidP="00AB7135">
      <w:pPr>
        <w:spacing w:before="120" w:after="120"/>
        <w:jc w:val="both"/>
        <w:rPr>
          <w:b/>
          <w:smallCaps/>
          <w:lang w:val="en-MY" w:eastAsia="en-AU"/>
        </w:rPr>
      </w:pPr>
      <w:r w:rsidRPr="002F6224">
        <w:rPr>
          <w:lang w:val="en-MY" w:eastAsia="en-AU"/>
        </w:rPr>
        <w:t xml:space="preserve">The literature </w:t>
      </w:r>
      <w:r w:rsidR="00982E13" w:rsidRPr="002F6224">
        <w:rPr>
          <w:lang w:val="en-MY" w:eastAsia="en-AU"/>
        </w:rPr>
        <w:t xml:space="preserve">indicates </w:t>
      </w:r>
      <w:r w:rsidRPr="002F6224">
        <w:rPr>
          <w:lang w:val="en-MY" w:eastAsia="en-AU"/>
        </w:rPr>
        <w:t>that connection to culture for Indigenous people serves as a</w:t>
      </w:r>
      <w:r w:rsidR="00982E13" w:rsidRPr="002F6224">
        <w:rPr>
          <w:lang w:val="en-MY" w:eastAsia="en-AU"/>
        </w:rPr>
        <w:t xml:space="preserve">n important </w:t>
      </w:r>
      <w:r w:rsidRPr="002F6224">
        <w:rPr>
          <w:lang w:val="en-MY" w:eastAsia="en-AU"/>
        </w:rPr>
        <w:t xml:space="preserve">protective factor, helping to build resilience and strength </w:t>
      </w:r>
      <w:r w:rsidR="00982E13" w:rsidRPr="002F6224">
        <w:rPr>
          <w:lang w:val="en-MY" w:eastAsia="en-AU"/>
        </w:rPr>
        <w:t xml:space="preserve">through </w:t>
      </w:r>
      <w:r w:rsidRPr="002F6224">
        <w:rPr>
          <w:lang w:val="en-MY" w:eastAsia="en-AU"/>
        </w:rPr>
        <w:t>identity.</w:t>
      </w:r>
      <w:r w:rsidR="00982E13" w:rsidRPr="002F6224">
        <w:rPr>
          <w:vertAlign w:val="superscript"/>
        </w:rPr>
        <w:footnoteReference w:id="47"/>
      </w:r>
      <w:r w:rsidR="00982E13" w:rsidRPr="002F6224">
        <w:rPr>
          <w:lang w:val="en-MY" w:eastAsia="en-AU"/>
        </w:rPr>
        <w:t xml:space="preserve"> Notwithstanding a lack statistical evidence, there is clear recognition in the literature of the importance of cultural programs, “which centre on culturally based forms of identity, belonging, stability and protection that create meaning and connection for Aboriginal peoples.”</w:t>
      </w:r>
      <w:r w:rsidR="00982E13" w:rsidRPr="002F6224">
        <w:rPr>
          <w:vertAlign w:val="superscript"/>
        </w:rPr>
        <w:footnoteReference w:id="48"/>
      </w:r>
      <w:r w:rsidR="00982E13" w:rsidRPr="002F6224">
        <w:rPr>
          <w:lang w:val="en-MY" w:eastAsia="en-AU"/>
        </w:rPr>
        <w:t xml:space="preserve"> Moreover the literature affirms that, despite a lack of evidence regarding impacts on reoffending, culturally enhanced programs may be more effective as they build cultural knowledge, self-image and pride; create a sense of identity, belonging and confidence; and build positive attitudes toward supporting program providers and wider society.</w:t>
      </w:r>
      <w:r w:rsidR="00982E13" w:rsidRPr="002F6224">
        <w:rPr>
          <w:vertAlign w:val="superscript"/>
        </w:rPr>
        <w:footnoteReference w:id="49"/>
      </w:r>
      <w:r w:rsidR="00982E13" w:rsidRPr="002F6224">
        <w:rPr>
          <w:lang w:val="en-MY" w:eastAsia="en-AU"/>
        </w:rPr>
        <w:t xml:space="preserve"> C</w:t>
      </w:r>
      <w:r w:rsidRPr="002F6224">
        <w:rPr>
          <w:lang w:val="en-MY" w:eastAsia="en-AU"/>
        </w:rPr>
        <w:t xml:space="preserve">onnecting to culture should </w:t>
      </w:r>
      <w:r w:rsidR="00982E13" w:rsidRPr="002F6224">
        <w:rPr>
          <w:lang w:val="en-MY" w:eastAsia="en-AU"/>
        </w:rPr>
        <w:t xml:space="preserve">therefore </w:t>
      </w:r>
      <w:r w:rsidRPr="002F6224">
        <w:rPr>
          <w:lang w:val="en-MY" w:eastAsia="en-AU"/>
        </w:rPr>
        <w:t xml:space="preserve">form a key component of Indigenous </w:t>
      </w:r>
      <w:r w:rsidR="00982E13" w:rsidRPr="002F6224">
        <w:rPr>
          <w:lang w:val="en-MY" w:eastAsia="en-AU"/>
        </w:rPr>
        <w:t xml:space="preserve">through-care </w:t>
      </w:r>
      <w:r w:rsidRPr="002F6224">
        <w:rPr>
          <w:lang w:val="en-MY" w:eastAsia="en-AU"/>
        </w:rPr>
        <w:t>programs.</w:t>
      </w:r>
    </w:p>
    <w:p w14:paraId="3CE285A4" w14:textId="35417D6B" w:rsidR="00CF644D" w:rsidRDefault="00962271" w:rsidP="00753416">
      <w:pPr>
        <w:jc w:val="both"/>
        <w:rPr>
          <w:rFonts w:cstheme="minorHAnsi"/>
          <w:vertAlign w:val="superscript"/>
          <w:lang w:val="en-MY" w:eastAsia="en-AU"/>
        </w:rPr>
      </w:pPr>
      <w:r>
        <w:rPr>
          <w:rFonts w:cstheme="minorHAnsi"/>
          <w:lang w:val="en-MY" w:eastAsia="en-AU"/>
        </w:rPr>
        <w:t xml:space="preserve">Again, while the ATC and YTC models state the importance of </w:t>
      </w:r>
      <w:r w:rsidR="00753416" w:rsidRPr="003C4914">
        <w:rPr>
          <w:rFonts w:cstheme="minorHAnsi"/>
          <w:lang w:val="en-MY" w:eastAsia="en-AU"/>
        </w:rPr>
        <w:t>culturally sensitive program delivery</w:t>
      </w:r>
      <w:r>
        <w:rPr>
          <w:rFonts w:cstheme="minorHAnsi"/>
          <w:lang w:val="en-MY" w:eastAsia="en-AU"/>
        </w:rPr>
        <w:t xml:space="preserve"> and access to cultural programs that </w:t>
      </w:r>
      <w:r w:rsidR="00753416" w:rsidRPr="003C4914">
        <w:rPr>
          <w:rFonts w:cstheme="minorHAnsi"/>
          <w:lang w:val="en-MY" w:eastAsia="en-AU"/>
        </w:rPr>
        <w:t xml:space="preserve">facilitate cultural connection and </w:t>
      </w:r>
      <w:r>
        <w:rPr>
          <w:rFonts w:cstheme="minorHAnsi"/>
          <w:lang w:val="en-MY" w:eastAsia="en-AU"/>
        </w:rPr>
        <w:t xml:space="preserve">strengthening, </w:t>
      </w:r>
      <w:r w:rsidR="008D15C7">
        <w:rPr>
          <w:rFonts w:cstheme="minorHAnsi"/>
          <w:lang w:val="en-MY" w:eastAsia="en-AU"/>
        </w:rPr>
        <w:t>although guiding case</w:t>
      </w:r>
      <w:r w:rsidR="00694565">
        <w:rPr>
          <w:rFonts w:cstheme="minorHAnsi"/>
          <w:lang w:val="en-MY" w:eastAsia="en-AU"/>
        </w:rPr>
        <w:t xml:space="preserve"> </w:t>
      </w:r>
      <w:r w:rsidR="008D15C7">
        <w:rPr>
          <w:rFonts w:cstheme="minorHAnsi"/>
          <w:lang w:val="en-MY" w:eastAsia="en-AU"/>
        </w:rPr>
        <w:t xml:space="preserve">workers to be flexible, assess risk, and use judgement, </w:t>
      </w:r>
      <w:r>
        <w:rPr>
          <w:rFonts w:cstheme="minorHAnsi"/>
          <w:lang w:val="en-MY" w:eastAsia="en-AU"/>
        </w:rPr>
        <w:t xml:space="preserve">the model </w:t>
      </w:r>
      <w:r w:rsidR="008D15C7">
        <w:rPr>
          <w:rFonts w:cstheme="minorHAnsi"/>
          <w:lang w:val="en-MY" w:eastAsia="en-AU"/>
        </w:rPr>
        <w:t xml:space="preserve">lacks a specific discussion of strategies for its achievement and </w:t>
      </w:r>
      <w:r>
        <w:rPr>
          <w:rFonts w:cstheme="minorHAnsi"/>
          <w:lang w:val="en-MY" w:eastAsia="en-AU"/>
        </w:rPr>
        <w:t>the circumstances that make it</w:t>
      </w:r>
      <w:r w:rsidR="008D15C7">
        <w:rPr>
          <w:rFonts w:cstheme="minorHAnsi"/>
          <w:lang w:val="en-MY" w:eastAsia="en-AU"/>
        </w:rPr>
        <w:t>s use as an intervention appropriate or otherwise</w:t>
      </w:r>
      <w:r w:rsidR="00753416" w:rsidRPr="003C4914">
        <w:rPr>
          <w:rFonts w:cstheme="minorHAnsi"/>
          <w:lang w:val="en-MY" w:eastAsia="en-AU"/>
        </w:rPr>
        <w:t>.</w:t>
      </w:r>
      <w:r w:rsidR="00753416">
        <w:rPr>
          <w:rFonts w:cstheme="minorHAnsi"/>
          <w:lang w:val="en-MY" w:eastAsia="en-AU"/>
        </w:rPr>
        <w:t xml:space="preserve"> </w:t>
      </w:r>
      <w:r>
        <w:rPr>
          <w:rFonts w:cstheme="minorHAnsi"/>
          <w:lang w:val="en-MY" w:eastAsia="en-AU"/>
        </w:rPr>
        <w:t>Strategies discussed in the literature and which might be incorporated into any future IAS through-care model might include: s</w:t>
      </w:r>
      <w:r w:rsidRPr="003C4914">
        <w:rPr>
          <w:rFonts w:cstheme="minorHAnsi"/>
          <w:lang w:val="en-MY" w:eastAsia="en-AU"/>
        </w:rPr>
        <w:t>upporting a culturally welcoming program experience</w:t>
      </w:r>
      <w:r>
        <w:rPr>
          <w:rFonts w:cstheme="minorHAnsi"/>
          <w:lang w:val="en-MY" w:eastAsia="en-AU"/>
        </w:rPr>
        <w:t xml:space="preserve"> in meeting places; i</w:t>
      </w:r>
      <w:r w:rsidRPr="003C4914">
        <w:rPr>
          <w:rFonts w:cstheme="minorHAnsi"/>
          <w:lang w:val="en-MY" w:eastAsia="en-AU"/>
        </w:rPr>
        <w:t>ncorporating opportunities for peer emotional support</w:t>
      </w:r>
      <w:r>
        <w:rPr>
          <w:rFonts w:cstheme="minorHAnsi"/>
          <w:lang w:val="en-MY" w:eastAsia="en-AU"/>
        </w:rPr>
        <w:t>; a</w:t>
      </w:r>
      <w:r w:rsidRPr="003C4914">
        <w:rPr>
          <w:rFonts w:cstheme="minorHAnsi"/>
          <w:lang w:val="en-MY" w:eastAsia="en-AU"/>
        </w:rPr>
        <w:t>dapti</w:t>
      </w:r>
      <w:r>
        <w:rPr>
          <w:rFonts w:cstheme="minorHAnsi"/>
          <w:lang w:val="en-MY" w:eastAsia="en-AU"/>
        </w:rPr>
        <w:t>ons of p</w:t>
      </w:r>
      <w:r w:rsidRPr="003C4914">
        <w:rPr>
          <w:rFonts w:cstheme="minorHAnsi"/>
          <w:lang w:val="en-MY" w:eastAsia="en-AU"/>
        </w:rPr>
        <w:t xml:space="preserve">rogram content </w:t>
      </w:r>
      <w:r>
        <w:rPr>
          <w:rFonts w:cstheme="minorHAnsi"/>
          <w:lang w:val="en-MY" w:eastAsia="en-AU"/>
        </w:rPr>
        <w:t xml:space="preserve">assets </w:t>
      </w:r>
      <w:r w:rsidRPr="003C4914">
        <w:rPr>
          <w:rFonts w:cstheme="minorHAnsi"/>
          <w:lang w:val="en-MY" w:eastAsia="en-AU"/>
        </w:rPr>
        <w:t>and communication</w:t>
      </w:r>
      <w:r>
        <w:rPr>
          <w:rFonts w:cstheme="minorHAnsi"/>
          <w:lang w:val="en-MY" w:eastAsia="en-AU"/>
        </w:rPr>
        <w:t>s, and most importantly, i</w:t>
      </w:r>
      <w:r w:rsidRPr="003C4914">
        <w:rPr>
          <w:rFonts w:cstheme="minorHAnsi"/>
          <w:lang w:val="en-MY" w:eastAsia="en-AU"/>
        </w:rPr>
        <w:t xml:space="preserve">nvolving </w:t>
      </w:r>
      <w:r>
        <w:rPr>
          <w:rFonts w:cstheme="minorHAnsi"/>
          <w:lang w:val="en-MY" w:eastAsia="en-AU"/>
        </w:rPr>
        <w:t>Indigenous</w:t>
      </w:r>
      <w:r w:rsidRPr="003C4914">
        <w:rPr>
          <w:rFonts w:cstheme="minorHAnsi"/>
          <w:lang w:val="en-MY" w:eastAsia="en-AU"/>
        </w:rPr>
        <w:t xml:space="preserve"> people in program implementation</w:t>
      </w:r>
      <w:r w:rsidR="00753416">
        <w:rPr>
          <w:rFonts w:cstheme="minorHAnsi"/>
          <w:lang w:val="en-MY" w:eastAsia="en-AU"/>
        </w:rPr>
        <w:t>.</w:t>
      </w:r>
      <w:r w:rsidR="00753416">
        <w:rPr>
          <w:rStyle w:val="FootnoteReference"/>
          <w:rFonts w:cstheme="minorHAnsi"/>
          <w:lang w:val="en-MY" w:eastAsia="en-AU"/>
        </w:rPr>
        <w:footnoteReference w:id="50"/>
      </w:r>
      <w:r w:rsidRPr="00962271">
        <w:rPr>
          <w:rFonts w:cstheme="minorHAnsi"/>
          <w:vertAlign w:val="superscript"/>
          <w:lang w:val="en-MY" w:eastAsia="en-AU"/>
        </w:rPr>
        <w:t>,</w:t>
      </w:r>
      <w:r w:rsidR="00753416">
        <w:rPr>
          <w:rStyle w:val="FootnoteReference"/>
          <w:rFonts w:cstheme="minorHAnsi"/>
          <w:lang w:val="en-MY" w:eastAsia="en-AU"/>
        </w:rPr>
        <w:footnoteReference w:id="51"/>
      </w:r>
    </w:p>
    <w:p w14:paraId="7EE8DBA6" w14:textId="77777777" w:rsidR="00CD46FB" w:rsidRDefault="00CD46FB" w:rsidP="00753416">
      <w:pPr>
        <w:jc w:val="both"/>
        <w:rPr>
          <w:rFonts w:cstheme="minorHAnsi"/>
          <w:vertAlign w:val="superscript"/>
          <w:lang w:val="en-MY" w:eastAsia="en-AU"/>
        </w:rPr>
      </w:pPr>
    </w:p>
    <w:p w14:paraId="33FBD9D3" w14:textId="77777777" w:rsidR="00E70AA8" w:rsidRDefault="00CD46FB" w:rsidP="00E41B77">
      <w:pPr>
        <w:jc w:val="both"/>
        <w:rPr>
          <w:rFonts w:cstheme="minorHAnsi"/>
          <w:lang w:val="en-MY" w:eastAsia="en-AU"/>
        </w:rPr>
      </w:pPr>
      <w:r w:rsidRPr="00B21295">
        <w:rPr>
          <w:rFonts w:cstheme="minorHAnsi"/>
          <w:lang w:val="en-MY" w:eastAsia="en-AU"/>
        </w:rPr>
        <w:t>The literature also shows that family and community support are other strong determinants of positive outcomes, and the importance of engaging families in supporting roles.</w:t>
      </w:r>
      <w:r w:rsidRPr="00B21295">
        <w:rPr>
          <w:rStyle w:val="FootnoteReference"/>
          <w:rFonts w:cstheme="minorHAnsi"/>
          <w:lang w:val="en-MY" w:eastAsia="en-AU"/>
        </w:rPr>
        <w:footnoteReference w:id="52"/>
      </w:r>
      <w:r w:rsidRPr="00B21295">
        <w:rPr>
          <w:rFonts w:cstheme="minorHAnsi"/>
          <w:lang w:val="en-MY" w:eastAsia="en-AU"/>
        </w:rPr>
        <w:t xml:space="preserve"> It is emphasised that an individualistic approach may be inappropriate for Indigenous peoples with a collective or relational sense of belonging and identity, and that involvement of extended family members and community to address causal factors or explore ways of healing in a traditional sense, can be crucial.</w:t>
      </w:r>
      <w:r w:rsidRPr="00B21295">
        <w:rPr>
          <w:rStyle w:val="FootnoteReference"/>
          <w:rFonts w:cstheme="minorHAnsi"/>
          <w:lang w:val="en-MY" w:eastAsia="en-AU"/>
        </w:rPr>
        <w:footnoteReference w:id="53"/>
      </w:r>
      <w:r w:rsidRPr="00B21295">
        <w:rPr>
          <w:rFonts w:cstheme="minorHAnsi"/>
          <w:lang w:val="en-MY" w:eastAsia="en-AU"/>
        </w:rPr>
        <w:t xml:space="preserve"> </w:t>
      </w:r>
      <w:r w:rsidR="00B160BD" w:rsidRPr="00B21295">
        <w:rPr>
          <w:rFonts w:cstheme="minorHAnsi"/>
          <w:lang w:val="en-MY" w:eastAsia="en-AU"/>
        </w:rPr>
        <w:t>In one study, perceived family acceptance was found to be strongly associated with employment success, drug abstinence and expressions of optimism, for example, while clients visited by their families or friends were found to be less likely to reoffend than those who did not receive social visits.</w:t>
      </w:r>
      <w:r w:rsidR="00B160BD" w:rsidRPr="00B21295">
        <w:rPr>
          <w:rStyle w:val="FootnoteReference"/>
          <w:rFonts w:cstheme="minorHAnsi"/>
          <w:lang w:val="en-MY" w:eastAsia="en-AU"/>
        </w:rPr>
        <w:footnoteReference w:id="54"/>
      </w:r>
    </w:p>
    <w:p w14:paraId="374F5762" w14:textId="77777777" w:rsidR="00E70AA8" w:rsidRDefault="00E70AA8" w:rsidP="00E41B77">
      <w:pPr>
        <w:jc w:val="both"/>
        <w:rPr>
          <w:rFonts w:cstheme="minorHAnsi"/>
          <w:lang w:val="en-MY" w:eastAsia="en-AU"/>
        </w:rPr>
      </w:pPr>
    </w:p>
    <w:p w14:paraId="1A098715" w14:textId="6E8DB772" w:rsidR="005649AF" w:rsidRPr="00B21295" w:rsidRDefault="00E70AA8" w:rsidP="00E70AA8">
      <w:pPr>
        <w:jc w:val="both"/>
        <w:rPr>
          <w:rFonts w:cstheme="minorHAnsi"/>
          <w:lang w:val="en-MY" w:eastAsia="en-AU"/>
        </w:rPr>
      </w:pPr>
      <w:r>
        <w:rPr>
          <w:rFonts w:cstheme="minorHAnsi"/>
          <w:lang w:val="en-MY" w:eastAsia="en-AU"/>
        </w:rPr>
        <w:t xml:space="preserve">Although featuring as a stream of activity in both ATC and YTC models, without contextual discussion or practical guidance, </w:t>
      </w:r>
      <w:r w:rsidR="00E41B77" w:rsidRPr="00B05D1F">
        <w:rPr>
          <w:rFonts w:cstheme="minorHAnsi"/>
          <w:lang w:val="en-MY" w:eastAsia="en-AU"/>
        </w:rPr>
        <w:t xml:space="preserve">the </w:t>
      </w:r>
      <w:r>
        <w:rPr>
          <w:rFonts w:cstheme="minorHAnsi"/>
          <w:lang w:val="en-MY" w:eastAsia="en-AU"/>
        </w:rPr>
        <w:t xml:space="preserve">potential </w:t>
      </w:r>
      <w:r w:rsidR="00E41B77" w:rsidRPr="00B05D1F">
        <w:rPr>
          <w:rFonts w:cstheme="minorHAnsi"/>
          <w:lang w:val="en-MY" w:eastAsia="en-AU"/>
        </w:rPr>
        <w:t xml:space="preserve">impact of family and friend on </w:t>
      </w:r>
      <w:r>
        <w:rPr>
          <w:rFonts w:cstheme="minorHAnsi"/>
          <w:lang w:val="en-MY" w:eastAsia="en-AU"/>
        </w:rPr>
        <w:t>outcomes for through-</w:t>
      </w:r>
      <w:r w:rsidRPr="00B21295">
        <w:rPr>
          <w:rFonts w:cstheme="minorHAnsi"/>
          <w:lang w:val="en-MY" w:eastAsia="en-AU"/>
        </w:rPr>
        <w:t>care clients risks being de-valued, with opportunities for family or community engagement through, say, local justice groups (or yarning circles, or men’s groups) or through elder involvement with youth diversionary programs, either missed or under-resourced.</w:t>
      </w:r>
      <w:r w:rsidRPr="00B21295">
        <w:rPr>
          <w:rStyle w:val="FootnoteReference"/>
          <w:rFonts w:cstheme="minorHAnsi"/>
          <w:lang w:val="en-MY" w:eastAsia="en-AU"/>
        </w:rPr>
        <w:footnoteReference w:id="55"/>
      </w:r>
    </w:p>
    <w:p w14:paraId="01871F6F" w14:textId="77777777" w:rsidR="005649AF" w:rsidRPr="00B21295" w:rsidRDefault="005649AF" w:rsidP="00E70AA8">
      <w:pPr>
        <w:jc w:val="both"/>
        <w:rPr>
          <w:rFonts w:cstheme="minorHAnsi"/>
          <w:lang w:val="en-MY" w:eastAsia="en-AU"/>
        </w:rPr>
      </w:pPr>
    </w:p>
    <w:p w14:paraId="5DBE1C33" w14:textId="7EFBD190" w:rsidR="005649AF" w:rsidRPr="00B21295" w:rsidRDefault="00CD46FB" w:rsidP="00E70AA8">
      <w:pPr>
        <w:jc w:val="both"/>
        <w:rPr>
          <w:rFonts w:cstheme="minorHAnsi"/>
          <w:lang w:val="en-MY" w:eastAsia="en-AU"/>
        </w:rPr>
      </w:pPr>
      <w:r w:rsidRPr="00B21295">
        <w:rPr>
          <w:rFonts w:cstheme="minorHAnsi"/>
          <w:lang w:val="en-MY" w:eastAsia="en-AU"/>
        </w:rPr>
        <w:t>At the same time, it is important to recognise that preserving family and other personal network connections is not unconditionally appropriate</w:t>
      </w:r>
      <w:r w:rsidR="005649AF" w:rsidRPr="00B21295">
        <w:rPr>
          <w:rFonts w:cstheme="minorHAnsi"/>
          <w:lang w:val="en-MY" w:eastAsia="en-AU"/>
        </w:rPr>
        <w:t xml:space="preserve"> (as the ATC and YTC models presume)</w:t>
      </w:r>
      <w:r w:rsidRPr="00B21295">
        <w:rPr>
          <w:rFonts w:cstheme="minorHAnsi"/>
          <w:lang w:val="en-MY" w:eastAsia="en-AU"/>
        </w:rPr>
        <w:t xml:space="preserve">. </w:t>
      </w:r>
      <w:r w:rsidR="005649AF" w:rsidRPr="00B21295">
        <w:rPr>
          <w:rFonts w:cstheme="minorHAnsi"/>
          <w:lang w:val="en-MY" w:eastAsia="en-AU"/>
        </w:rPr>
        <w:t>I</w:t>
      </w:r>
      <w:r w:rsidRPr="00B21295">
        <w:rPr>
          <w:rFonts w:cstheme="minorHAnsi"/>
          <w:lang w:val="en-MY" w:eastAsia="en-AU"/>
        </w:rPr>
        <w:t>n cases where such networks constitute ‘negative social capital’, disengagement rather than preservation is essential to success in constructive change and internal transformation.</w:t>
      </w:r>
      <w:r w:rsidRPr="00B21295">
        <w:rPr>
          <w:rStyle w:val="FootnoteReference"/>
          <w:rFonts w:cstheme="minorHAnsi"/>
          <w:lang w:val="en-MY" w:eastAsia="en-AU"/>
        </w:rPr>
        <w:footnoteReference w:id="56"/>
      </w:r>
      <w:r w:rsidRPr="00B21295">
        <w:rPr>
          <w:rFonts w:cstheme="minorHAnsi"/>
          <w:lang w:val="en-MY" w:eastAsia="en-AU"/>
        </w:rPr>
        <w:t xml:space="preserve"> </w:t>
      </w:r>
      <w:r w:rsidR="005649AF" w:rsidRPr="00B21295">
        <w:rPr>
          <w:rFonts w:cstheme="minorHAnsi"/>
          <w:lang w:val="en-MY" w:eastAsia="en-AU"/>
        </w:rPr>
        <w:t>Moreover, while t</w:t>
      </w:r>
      <w:r w:rsidRPr="00B21295">
        <w:rPr>
          <w:rFonts w:cstheme="minorHAnsi"/>
          <w:lang w:val="en-MY" w:eastAsia="en-AU"/>
        </w:rPr>
        <w:t>he role of families can be crucial in helping the individual rebuild self-esteem and confidence</w:t>
      </w:r>
      <w:r w:rsidR="005649AF" w:rsidRPr="00B21295">
        <w:rPr>
          <w:rFonts w:cstheme="minorHAnsi"/>
          <w:lang w:val="en-MY" w:eastAsia="en-AU"/>
        </w:rPr>
        <w:t xml:space="preserve">, the literature </w:t>
      </w:r>
      <w:r w:rsidRPr="00B21295">
        <w:rPr>
          <w:rFonts w:cstheme="minorHAnsi"/>
          <w:lang w:val="en-MY" w:eastAsia="en-AU"/>
        </w:rPr>
        <w:t xml:space="preserve">indicates that families themselves may require </w:t>
      </w:r>
      <w:r w:rsidR="005649AF" w:rsidRPr="00B21295">
        <w:rPr>
          <w:rFonts w:cstheme="minorHAnsi"/>
          <w:lang w:val="en-MY" w:eastAsia="en-AU"/>
        </w:rPr>
        <w:t xml:space="preserve">resources and </w:t>
      </w:r>
      <w:r w:rsidRPr="00B21295">
        <w:rPr>
          <w:rFonts w:cstheme="minorHAnsi"/>
          <w:lang w:val="en-MY" w:eastAsia="en-AU"/>
        </w:rPr>
        <w:t xml:space="preserve">support to </w:t>
      </w:r>
      <w:r w:rsidR="005649AF" w:rsidRPr="00B21295">
        <w:rPr>
          <w:rFonts w:cstheme="minorHAnsi"/>
          <w:lang w:val="en-MY" w:eastAsia="en-AU"/>
        </w:rPr>
        <w:t>achieve</w:t>
      </w:r>
      <w:r w:rsidRPr="00B21295">
        <w:rPr>
          <w:rFonts w:cstheme="minorHAnsi"/>
          <w:lang w:val="en-MY" w:eastAsia="en-AU"/>
        </w:rPr>
        <w:t xml:space="preserve"> this</w:t>
      </w:r>
      <w:r w:rsidR="005649AF" w:rsidRPr="00B21295">
        <w:rPr>
          <w:rFonts w:cstheme="minorHAnsi"/>
          <w:lang w:val="en-MY" w:eastAsia="en-AU"/>
        </w:rPr>
        <w:t xml:space="preserve">, noting </w:t>
      </w:r>
      <w:r w:rsidR="00B160BD" w:rsidRPr="00B21295">
        <w:rPr>
          <w:rFonts w:cstheme="minorHAnsi"/>
          <w:lang w:val="en-MY" w:eastAsia="en-AU"/>
        </w:rPr>
        <w:t xml:space="preserve">their capacity to </w:t>
      </w:r>
      <w:r w:rsidR="005649AF" w:rsidRPr="00B21295">
        <w:rPr>
          <w:rFonts w:cstheme="minorHAnsi"/>
          <w:lang w:val="en-MY" w:eastAsia="en-AU"/>
        </w:rPr>
        <w:t xml:space="preserve">offer </w:t>
      </w:r>
      <w:r w:rsidR="00B160BD" w:rsidRPr="00B21295">
        <w:rPr>
          <w:rFonts w:cstheme="minorHAnsi"/>
          <w:lang w:val="en-MY" w:eastAsia="en-AU"/>
        </w:rPr>
        <w:t xml:space="preserve">support </w:t>
      </w:r>
      <w:r w:rsidR="005649AF" w:rsidRPr="00B21295">
        <w:rPr>
          <w:rFonts w:cstheme="minorHAnsi"/>
          <w:lang w:val="en-MY" w:eastAsia="en-AU"/>
        </w:rPr>
        <w:t xml:space="preserve">is typically </w:t>
      </w:r>
      <w:r w:rsidR="00B160BD" w:rsidRPr="00B21295">
        <w:rPr>
          <w:rFonts w:cstheme="minorHAnsi"/>
          <w:lang w:val="en-MY" w:eastAsia="en-AU"/>
        </w:rPr>
        <w:t xml:space="preserve">undermined by </w:t>
      </w:r>
      <w:r w:rsidR="005649AF" w:rsidRPr="00B21295">
        <w:rPr>
          <w:rFonts w:cstheme="minorHAnsi"/>
          <w:lang w:val="en-MY" w:eastAsia="en-AU"/>
        </w:rPr>
        <w:t xml:space="preserve">factors such as </w:t>
      </w:r>
      <w:r w:rsidR="00B160BD" w:rsidRPr="00B21295">
        <w:rPr>
          <w:rFonts w:cstheme="minorHAnsi"/>
          <w:lang w:val="en-MY" w:eastAsia="en-AU"/>
        </w:rPr>
        <w:t xml:space="preserve">poor </w:t>
      </w:r>
      <w:r w:rsidR="005649AF" w:rsidRPr="00B21295">
        <w:rPr>
          <w:rFonts w:cstheme="minorHAnsi"/>
          <w:lang w:val="en-MY" w:eastAsia="en-AU"/>
        </w:rPr>
        <w:t>socio-economic status (both education</w:t>
      </w:r>
      <w:r w:rsidR="00AD1940" w:rsidRPr="00B21295">
        <w:rPr>
          <w:rFonts w:cstheme="minorHAnsi"/>
          <w:lang w:val="en-MY" w:eastAsia="en-AU"/>
        </w:rPr>
        <w:t>al</w:t>
      </w:r>
      <w:r w:rsidR="005649AF" w:rsidRPr="00B21295">
        <w:rPr>
          <w:rFonts w:cstheme="minorHAnsi"/>
          <w:lang w:val="en-MY" w:eastAsia="en-AU"/>
        </w:rPr>
        <w:t xml:space="preserve"> and material resources) or else a lack of confidence to be involved with, or mistrust of, a perceived institutional process</w:t>
      </w:r>
      <w:r w:rsidR="00E41B77" w:rsidRPr="00B21295">
        <w:rPr>
          <w:rFonts w:cstheme="minorHAnsi"/>
          <w:lang w:val="en-MY" w:eastAsia="en-AU"/>
        </w:rPr>
        <w:t>.</w:t>
      </w:r>
      <w:r w:rsidR="00E70AA8" w:rsidRPr="00B21295">
        <w:rPr>
          <w:rStyle w:val="FootnoteReference"/>
          <w:rFonts w:cstheme="minorHAnsi"/>
          <w:lang w:val="en-MY" w:eastAsia="en-AU"/>
        </w:rPr>
        <w:t xml:space="preserve"> </w:t>
      </w:r>
      <w:r w:rsidR="00E70AA8" w:rsidRPr="00B21295">
        <w:rPr>
          <w:rStyle w:val="FootnoteReference"/>
          <w:rFonts w:cstheme="minorHAnsi"/>
          <w:lang w:val="en-MY" w:eastAsia="en-AU"/>
        </w:rPr>
        <w:footnoteReference w:id="57"/>
      </w:r>
      <w:r w:rsidR="005649AF" w:rsidRPr="00B21295">
        <w:rPr>
          <w:rFonts w:cstheme="minorHAnsi"/>
          <w:lang w:val="en-MY" w:eastAsia="en-AU"/>
        </w:rPr>
        <w:t xml:space="preserve"> None of these issues are considered by either the ATC or YTC models.</w:t>
      </w:r>
    </w:p>
    <w:p w14:paraId="6BC3943F" w14:textId="77777777" w:rsidR="002F6224" w:rsidRDefault="00753416" w:rsidP="002F6224">
      <w:pPr>
        <w:pStyle w:val="SUBHEAD2"/>
        <w:rPr>
          <w:rFonts w:asciiTheme="minorHAnsi" w:hAnsiTheme="minorHAnsi" w:cstheme="minorHAnsi"/>
          <w:lang w:val="en-MY" w:eastAsia="en-AU"/>
        </w:rPr>
      </w:pPr>
      <w:r w:rsidRPr="00B21295">
        <w:rPr>
          <w:rFonts w:asciiTheme="minorHAnsi" w:hAnsiTheme="minorHAnsi" w:cstheme="minorHAnsi"/>
          <w:lang w:val="en-MY" w:eastAsia="en-AU"/>
        </w:rPr>
        <w:t>Coordination of Third-Party Services</w:t>
      </w:r>
    </w:p>
    <w:p w14:paraId="7B063968" w14:textId="198D38A7" w:rsidR="00AE7E1B" w:rsidRPr="002F6224" w:rsidRDefault="004C55CF" w:rsidP="00AB7135">
      <w:pPr>
        <w:spacing w:before="120" w:after="120"/>
        <w:jc w:val="both"/>
        <w:rPr>
          <w:b/>
          <w:smallCaps/>
          <w:lang w:val="en-MY" w:eastAsia="en-AU"/>
        </w:rPr>
      </w:pPr>
      <w:r w:rsidRPr="002F6224">
        <w:rPr>
          <w:lang w:val="en-MY" w:eastAsia="en-AU"/>
        </w:rPr>
        <w:t>With respect to third-party service delivery the literature suggests that the problem is not the lack of services available, although this may sometimes be a factor, but that they are fragmented, uncoordinated, and funded on an unstable basis.</w:t>
      </w:r>
      <w:r w:rsidRPr="002F6224">
        <w:rPr>
          <w:vertAlign w:val="superscript"/>
        </w:rPr>
        <w:footnoteReference w:id="58"/>
      </w:r>
      <w:r w:rsidRPr="002F6224">
        <w:rPr>
          <w:vertAlign w:val="superscript"/>
          <w:lang w:val="en-MY" w:eastAsia="en-AU"/>
        </w:rPr>
        <w:t>,</w:t>
      </w:r>
      <w:r w:rsidRPr="002F6224">
        <w:rPr>
          <w:vertAlign w:val="superscript"/>
        </w:rPr>
        <w:footnoteReference w:id="59"/>
      </w:r>
      <w:r w:rsidRPr="002F6224">
        <w:rPr>
          <w:lang w:val="en-MY" w:eastAsia="en-AU"/>
        </w:rPr>
        <w:t xml:space="preserve"> Service coordination is therefore rightly prioritised as a core service activity in ACT and YTC program design, such that </w:t>
      </w:r>
      <w:r w:rsidR="0094153E" w:rsidRPr="002F6224">
        <w:rPr>
          <w:lang w:val="en-MY" w:eastAsia="en-AU"/>
        </w:rPr>
        <w:t xml:space="preserve">continuity of care </w:t>
      </w:r>
      <w:r w:rsidRPr="002F6224">
        <w:rPr>
          <w:lang w:val="en-MY" w:eastAsia="en-AU"/>
        </w:rPr>
        <w:t xml:space="preserve">might be provided as part of a </w:t>
      </w:r>
      <w:r w:rsidR="0094153E" w:rsidRPr="002F6224">
        <w:rPr>
          <w:lang w:val="en-MY" w:eastAsia="en-AU"/>
        </w:rPr>
        <w:t xml:space="preserve">smooth transition from prison </w:t>
      </w:r>
      <w:r w:rsidRPr="002F6224">
        <w:rPr>
          <w:lang w:val="en-MY" w:eastAsia="en-AU"/>
        </w:rPr>
        <w:t>in</w:t>
      </w:r>
      <w:r w:rsidR="0094153E" w:rsidRPr="002F6224">
        <w:rPr>
          <w:lang w:val="en-MY" w:eastAsia="en-AU"/>
        </w:rPr>
        <w:t>to community</w:t>
      </w:r>
      <w:r w:rsidR="00471E8C" w:rsidRPr="002F6224">
        <w:rPr>
          <w:lang w:val="en-MY" w:eastAsia="en-AU"/>
        </w:rPr>
        <w:t>.</w:t>
      </w:r>
      <w:r w:rsidR="00134DB3" w:rsidRPr="002F6224">
        <w:rPr>
          <w:lang w:val="en-MY" w:eastAsia="en-AU"/>
        </w:rPr>
        <w:t xml:space="preserve"> </w:t>
      </w:r>
      <w:r w:rsidRPr="002F6224">
        <w:rPr>
          <w:lang w:val="en-MY" w:eastAsia="en-AU"/>
        </w:rPr>
        <w:t xml:space="preserve">The literature </w:t>
      </w:r>
      <w:r w:rsidR="00AE7E1B" w:rsidRPr="002F6224">
        <w:rPr>
          <w:lang w:val="en-MY" w:eastAsia="en-AU"/>
        </w:rPr>
        <w:t xml:space="preserve">goes on to </w:t>
      </w:r>
      <w:r w:rsidRPr="002F6224">
        <w:rPr>
          <w:lang w:val="en-MY" w:eastAsia="en-AU"/>
        </w:rPr>
        <w:t>identif</w:t>
      </w:r>
      <w:r w:rsidR="00AE7E1B" w:rsidRPr="002F6224">
        <w:rPr>
          <w:lang w:val="en-MY" w:eastAsia="en-AU"/>
        </w:rPr>
        <w:t xml:space="preserve">y </w:t>
      </w:r>
      <w:r w:rsidRPr="002F6224">
        <w:rPr>
          <w:lang w:val="en-MY" w:eastAsia="en-AU"/>
        </w:rPr>
        <w:t xml:space="preserve">that all such </w:t>
      </w:r>
      <w:r w:rsidR="00AE7E1B" w:rsidRPr="002F6224">
        <w:rPr>
          <w:lang w:val="en-MY" w:eastAsia="en-AU"/>
        </w:rPr>
        <w:t xml:space="preserve">programs and activity </w:t>
      </w:r>
      <w:r w:rsidRPr="002F6224">
        <w:rPr>
          <w:lang w:val="en-MY" w:eastAsia="en-AU"/>
        </w:rPr>
        <w:t xml:space="preserve">are best delivered as part of an integrated program </w:t>
      </w:r>
      <w:r w:rsidR="00AE7E1B" w:rsidRPr="002F6224">
        <w:rPr>
          <w:lang w:val="en-MY" w:eastAsia="en-AU"/>
        </w:rPr>
        <w:t xml:space="preserve">of support, </w:t>
      </w:r>
      <w:r w:rsidRPr="002F6224">
        <w:rPr>
          <w:lang w:val="en-MY" w:eastAsia="en-AU"/>
        </w:rPr>
        <w:t>designed to address an individual offender’s specific issues and challenges.</w:t>
      </w:r>
      <w:r w:rsidR="0045328A" w:rsidRPr="002F6224">
        <w:rPr>
          <w:lang w:val="en-MY" w:eastAsia="en-AU"/>
        </w:rPr>
        <w:t xml:space="preserve"> </w:t>
      </w:r>
      <w:r w:rsidR="00AE7E1B" w:rsidRPr="002F6224">
        <w:rPr>
          <w:lang w:val="en-MY" w:eastAsia="en-AU"/>
        </w:rPr>
        <w:t>Through-care, it is suggested, should provide a holistic approach to meeting the needs of clients, requiring government and service provider collaboration between justice, community and welfare services, housing and health.</w:t>
      </w:r>
      <w:r w:rsidR="0045328A" w:rsidRPr="002F6224">
        <w:rPr>
          <w:vertAlign w:val="superscript"/>
        </w:rPr>
        <w:footnoteReference w:id="60"/>
      </w:r>
      <w:r w:rsidR="0045328A" w:rsidRPr="002F6224">
        <w:rPr>
          <w:lang w:val="en-MY" w:eastAsia="en-AU"/>
        </w:rPr>
        <w:t xml:space="preserve"> </w:t>
      </w:r>
      <w:r w:rsidR="0045328A" w:rsidRPr="002F6224">
        <w:t xml:space="preserve"> </w:t>
      </w:r>
    </w:p>
    <w:p w14:paraId="71971DB3" w14:textId="45E956E1" w:rsidR="00134DB3" w:rsidRDefault="00AE7E1B" w:rsidP="0094153E">
      <w:pPr>
        <w:jc w:val="both"/>
        <w:rPr>
          <w:rFonts w:cstheme="minorHAnsi"/>
          <w:lang w:val="en-MY" w:eastAsia="en-AU"/>
        </w:rPr>
      </w:pPr>
      <w:r>
        <w:rPr>
          <w:rFonts w:cstheme="minorHAnsi"/>
          <w:lang w:val="en-MY" w:eastAsia="en-AU"/>
        </w:rPr>
        <w:t>As with other aspects of program design, while e</w:t>
      </w:r>
      <w:r w:rsidRPr="00E52C1F">
        <w:rPr>
          <w:rFonts w:cstheme="minorHAnsi"/>
          <w:lang w:val="en-MY" w:eastAsia="en-AU"/>
        </w:rPr>
        <w:t>ffective service coordination and collaboration</w:t>
      </w:r>
      <w:r>
        <w:rPr>
          <w:rFonts w:cstheme="minorHAnsi"/>
          <w:lang w:val="en-MY" w:eastAsia="en-AU"/>
        </w:rPr>
        <w:t xml:space="preserve"> are stated objectives of the ATC and YTC though-care models, the guidance</w:t>
      </w:r>
      <w:r w:rsidR="00134DB3">
        <w:rPr>
          <w:rFonts w:cstheme="minorHAnsi"/>
          <w:lang w:val="en-MY" w:eastAsia="en-AU"/>
        </w:rPr>
        <w:t xml:space="preserve"> and strategies</w:t>
      </w:r>
      <w:r>
        <w:rPr>
          <w:rFonts w:cstheme="minorHAnsi"/>
          <w:lang w:val="en-MY" w:eastAsia="en-AU"/>
        </w:rPr>
        <w:t xml:space="preserve"> necessary to </w:t>
      </w:r>
      <w:r w:rsidR="00134DB3">
        <w:rPr>
          <w:rFonts w:cstheme="minorHAnsi"/>
          <w:lang w:val="en-MY" w:eastAsia="en-AU"/>
        </w:rPr>
        <w:t>deliver on this aspirations are lacking, with an over-emphasis on case management processes tending to promote crisis-driven and responsive arrangements rather than service integration.</w:t>
      </w:r>
    </w:p>
    <w:p w14:paraId="13007A77" w14:textId="77777777" w:rsidR="00024565" w:rsidRDefault="00024565" w:rsidP="0045328A">
      <w:pPr>
        <w:jc w:val="both"/>
        <w:rPr>
          <w:rFonts w:cstheme="minorHAnsi"/>
          <w:lang w:val="en-MY" w:eastAsia="en-AU"/>
        </w:rPr>
      </w:pPr>
    </w:p>
    <w:p w14:paraId="6AE47875" w14:textId="6D13285D" w:rsidR="0045328A" w:rsidRPr="00B21295" w:rsidRDefault="00134DB3" w:rsidP="0045328A">
      <w:pPr>
        <w:jc w:val="both"/>
        <w:rPr>
          <w:rFonts w:cstheme="minorHAnsi"/>
          <w:lang w:val="en-MY" w:eastAsia="en-AU"/>
        </w:rPr>
      </w:pPr>
      <w:r>
        <w:rPr>
          <w:rFonts w:cstheme="minorHAnsi"/>
          <w:lang w:val="en-MY" w:eastAsia="en-AU"/>
        </w:rPr>
        <w:t>According to the through-care literature, e</w:t>
      </w:r>
      <w:r w:rsidRPr="00E52C1F">
        <w:rPr>
          <w:rFonts w:cstheme="minorHAnsi"/>
          <w:lang w:val="en-MY" w:eastAsia="en-AU"/>
        </w:rPr>
        <w:t xml:space="preserve">ffective service </w:t>
      </w:r>
      <w:r>
        <w:rPr>
          <w:rFonts w:cstheme="minorHAnsi"/>
          <w:lang w:val="en-MY" w:eastAsia="en-AU"/>
        </w:rPr>
        <w:t xml:space="preserve">coordination by case workers is based upon effective service </w:t>
      </w:r>
      <w:r w:rsidRPr="00E52C1F">
        <w:rPr>
          <w:rFonts w:cstheme="minorHAnsi"/>
          <w:lang w:val="en-MY" w:eastAsia="en-AU"/>
        </w:rPr>
        <w:t xml:space="preserve">partnerships, where relationships with allied services and supports </w:t>
      </w:r>
      <w:r>
        <w:rPr>
          <w:rFonts w:cstheme="minorHAnsi"/>
          <w:lang w:val="en-MY" w:eastAsia="en-AU"/>
        </w:rPr>
        <w:t>are developed over the long-term</w:t>
      </w:r>
      <w:r w:rsidRPr="00E52C1F">
        <w:rPr>
          <w:rFonts w:cstheme="minorHAnsi"/>
          <w:lang w:val="en-MY" w:eastAsia="en-AU"/>
        </w:rPr>
        <w:t xml:space="preserve">. </w:t>
      </w:r>
      <w:r w:rsidR="0045328A">
        <w:rPr>
          <w:rFonts w:cstheme="minorHAnsi"/>
          <w:lang w:val="en-MY" w:eastAsia="en-AU"/>
        </w:rPr>
        <w:t>When strong relationships are developed, t</w:t>
      </w:r>
      <w:r>
        <w:rPr>
          <w:rFonts w:cstheme="minorHAnsi"/>
          <w:lang w:val="en-MY" w:eastAsia="en-AU"/>
        </w:rPr>
        <w:t xml:space="preserve">hese </w:t>
      </w:r>
      <w:r w:rsidRPr="00B21295">
        <w:rPr>
          <w:rFonts w:cstheme="minorHAnsi"/>
          <w:lang w:val="en-MY" w:eastAsia="en-AU"/>
        </w:rPr>
        <w:t xml:space="preserve">partnerships </w:t>
      </w:r>
      <w:r w:rsidR="0045328A" w:rsidRPr="00B21295">
        <w:rPr>
          <w:rFonts w:cstheme="minorHAnsi"/>
          <w:lang w:val="en-MY" w:eastAsia="en-AU"/>
        </w:rPr>
        <w:t xml:space="preserve">not only </w:t>
      </w:r>
      <w:r w:rsidRPr="00B21295">
        <w:rPr>
          <w:rFonts w:cstheme="minorHAnsi"/>
          <w:lang w:val="en-MY" w:eastAsia="en-AU"/>
        </w:rPr>
        <w:t xml:space="preserve">have the potential to </w:t>
      </w:r>
      <w:r w:rsidR="0045328A" w:rsidRPr="00B21295">
        <w:rPr>
          <w:rFonts w:cstheme="minorHAnsi"/>
          <w:lang w:val="en-MY" w:eastAsia="en-AU"/>
        </w:rPr>
        <w:t>improve the availability of services, but the level</w:t>
      </w:r>
      <w:r w:rsidRPr="00B21295">
        <w:rPr>
          <w:rFonts w:cstheme="minorHAnsi"/>
          <w:lang w:val="en-MY" w:eastAsia="en-AU"/>
        </w:rPr>
        <w:t xml:space="preserve"> of acceptance </w:t>
      </w:r>
      <w:r w:rsidR="0045328A" w:rsidRPr="00B21295">
        <w:rPr>
          <w:rFonts w:cstheme="minorHAnsi"/>
          <w:lang w:val="en-MY" w:eastAsia="en-AU"/>
        </w:rPr>
        <w:t>by clients, and linkages between complimentary services such that coordinated pathways are provided.</w:t>
      </w:r>
      <w:r w:rsidR="0045328A" w:rsidRPr="00B21295">
        <w:rPr>
          <w:rStyle w:val="FootnoteReference"/>
          <w:rFonts w:cstheme="minorHAnsi"/>
          <w:lang w:val="en-MY" w:eastAsia="en-AU"/>
        </w:rPr>
        <w:t xml:space="preserve"> </w:t>
      </w:r>
      <w:r w:rsidR="0045328A" w:rsidRPr="00B21295">
        <w:rPr>
          <w:rStyle w:val="FootnoteReference"/>
          <w:rFonts w:cstheme="minorHAnsi"/>
          <w:lang w:val="en-MY" w:eastAsia="en-AU"/>
        </w:rPr>
        <w:footnoteReference w:id="61"/>
      </w:r>
      <w:r w:rsidR="0045328A" w:rsidRPr="00B21295">
        <w:rPr>
          <w:rFonts w:cstheme="minorHAnsi"/>
          <w:lang w:val="en-MY" w:eastAsia="en-AU"/>
        </w:rPr>
        <w:t xml:space="preserve"> Such p</w:t>
      </w:r>
      <w:r w:rsidRPr="00B21295">
        <w:rPr>
          <w:rFonts w:cstheme="minorHAnsi"/>
          <w:lang w:val="en-MY" w:eastAsia="en-AU"/>
        </w:rPr>
        <w:t xml:space="preserve">artnerships </w:t>
      </w:r>
      <w:r w:rsidR="0045328A" w:rsidRPr="00B21295">
        <w:rPr>
          <w:rFonts w:cstheme="minorHAnsi"/>
          <w:lang w:val="en-MY" w:eastAsia="en-AU"/>
        </w:rPr>
        <w:t xml:space="preserve">are most </w:t>
      </w:r>
      <w:r w:rsidRPr="00B21295">
        <w:rPr>
          <w:rFonts w:cstheme="minorHAnsi"/>
          <w:lang w:val="en-MY" w:eastAsia="en-AU"/>
        </w:rPr>
        <w:t xml:space="preserve">effective when built on the cooperation of organisations with mutually reinforcing </w:t>
      </w:r>
      <w:r w:rsidR="00092546" w:rsidRPr="00B21295">
        <w:rPr>
          <w:rFonts w:cstheme="minorHAnsi"/>
          <w:lang w:val="en-MY" w:eastAsia="en-AU"/>
        </w:rPr>
        <w:t>goals</w:t>
      </w:r>
      <w:r w:rsidRPr="00B21295">
        <w:rPr>
          <w:rFonts w:cstheme="minorHAnsi"/>
          <w:lang w:val="en-MY" w:eastAsia="en-AU"/>
        </w:rPr>
        <w:t>.</w:t>
      </w:r>
    </w:p>
    <w:p w14:paraId="1C9AF1D6" w14:textId="77777777" w:rsidR="0045328A" w:rsidRPr="00B21295" w:rsidRDefault="0045328A" w:rsidP="0045328A">
      <w:pPr>
        <w:jc w:val="both"/>
        <w:rPr>
          <w:rFonts w:cstheme="minorHAnsi"/>
          <w:lang w:val="en-MY" w:eastAsia="en-AU"/>
        </w:rPr>
      </w:pPr>
    </w:p>
    <w:p w14:paraId="2D19501B" w14:textId="14C90C6F" w:rsidR="0045328A" w:rsidRPr="00B21295" w:rsidRDefault="00092546" w:rsidP="008554F4">
      <w:pPr>
        <w:jc w:val="both"/>
        <w:rPr>
          <w:rFonts w:cstheme="minorHAnsi"/>
          <w:lang w:val="en-MY" w:eastAsia="en-AU"/>
        </w:rPr>
      </w:pPr>
      <w:r w:rsidRPr="00B21295">
        <w:rPr>
          <w:rFonts w:cstheme="minorHAnsi"/>
          <w:lang w:val="en-MY" w:eastAsia="en-AU"/>
        </w:rPr>
        <w:t xml:space="preserve">Achievement of the aspiration for service coordination and collaboration </w:t>
      </w:r>
      <w:r w:rsidR="0045328A" w:rsidRPr="00B21295">
        <w:rPr>
          <w:rFonts w:cstheme="minorHAnsi"/>
          <w:lang w:val="en-MY" w:eastAsia="en-AU"/>
        </w:rPr>
        <w:t>involves</w:t>
      </w:r>
      <w:r w:rsidRPr="00B21295">
        <w:rPr>
          <w:rFonts w:cstheme="minorHAnsi"/>
          <w:lang w:val="en-MY" w:eastAsia="en-AU"/>
        </w:rPr>
        <w:t>, of course,</w:t>
      </w:r>
      <w:r w:rsidR="0045328A" w:rsidRPr="00B21295">
        <w:rPr>
          <w:rFonts w:cstheme="minorHAnsi"/>
          <w:lang w:val="en-MY" w:eastAsia="en-AU"/>
        </w:rPr>
        <w:t xml:space="preserve"> </w:t>
      </w:r>
      <w:r w:rsidRPr="00B21295">
        <w:rPr>
          <w:rFonts w:cstheme="minorHAnsi"/>
          <w:lang w:val="en-MY" w:eastAsia="en-AU"/>
        </w:rPr>
        <w:t xml:space="preserve">much </w:t>
      </w:r>
      <w:r w:rsidR="0045328A" w:rsidRPr="00B21295">
        <w:rPr>
          <w:rFonts w:cstheme="minorHAnsi"/>
          <w:lang w:val="en-MY" w:eastAsia="en-AU"/>
        </w:rPr>
        <w:t xml:space="preserve">more than </w:t>
      </w:r>
      <w:r w:rsidRPr="00B21295">
        <w:rPr>
          <w:rFonts w:cstheme="minorHAnsi"/>
          <w:lang w:val="en-MY" w:eastAsia="en-AU"/>
        </w:rPr>
        <w:t xml:space="preserve">a </w:t>
      </w:r>
      <w:r w:rsidR="0045328A" w:rsidRPr="00B21295">
        <w:rPr>
          <w:rFonts w:cstheme="minorHAnsi"/>
          <w:lang w:val="en-MY" w:eastAsia="en-AU"/>
        </w:rPr>
        <w:t>simple referral to community-based services</w:t>
      </w:r>
      <w:r w:rsidRPr="00B21295">
        <w:rPr>
          <w:rFonts w:cstheme="minorHAnsi"/>
          <w:lang w:val="en-MY" w:eastAsia="en-AU"/>
        </w:rPr>
        <w:t>, as implied by the ATC and YTC models</w:t>
      </w:r>
      <w:r w:rsidR="0045328A" w:rsidRPr="00B21295">
        <w:rPr>
          <w:rFonts w:cstheme="minorHAnsi"/>
          <w:lang w:val="en-MY" w:eastAsia="en-AU"/>
        </w:rPr>
        <w:t>. In</w:t>
      </w:r>
      <w:r w:rsidRPr="00B21295">
        <w:rPr>
          <w:rFonts w:cstheme="minorHAnsi"/>
          <w:lang w:val="en-MY" w:eastAsia="en-AU"/>
        </w:rPr>
        <w:t xml:space="preserve">deed, according to the literature, </w:t>
      </w:r>
      <w:r w:rsidR="0045328A" w:rsidRPr="00B21295">
        <w:rPr>
          <w:rFonts w:cstheme="minorHAnsi"/>
          <w:lang w:val="en-MY" w:eastAsia="en-AU"/>
        </w:rPr>
        <w:t xml:space="preserve">there is little evidence that interventions that merely refer </w:t>
      </w:r>
      <w:r w:rsidRPr="00B21295">
        <w:rPr>
          <w:rFonts w:cstheme="minorHAnsi"/>
          <w:lang w:val="en-MY" w:eastAsia="en-AU"/>
        </w:rPr>
        <w:t xml:space="preserve">clients </w:t>
      </w:r>
      <w:r w:rsidR="0045328A" w:rsidRPr="00B21295">
        <w:rPr>
          <w:rFonts w:cstheme="minorHAnsi"/>
          <w:lang w:val="en-MY" w:eastAsia="en-AU"/>
        </w:rPr>
        <w:t xml:space="preserve">to services </w:t>
      </w:r>
      <w:r w:rsidRPr="00B21295">
        <w:rPr>
          <w:rFonts w:cstheme="minorHAnsi"/>
          <w:lang w:val="en-MY" w:eastAsia="en-AU"/>
        </w:rPr>
        <w:t xml:space="preserve">are </w:t>
      </w:r>
      <w:r w:rsidR="0045328A" w:rsidRPr="00B21295">
        <w:rPr>
          <w:rFonts w:cstheme="minorHAnsi"/>
          <w:lang w:val="en-MY" w:eastAsia="en-AU"/>
        </w:rPr>
        <w:t>effective</w:t>
      </w:r>
      <w:r w:rsidRPr="00B21295">
        <w:rPr>
          <w:rFonts w:cstheme="minorHAnsi"/>
          <w:lang w:val="en-MY" w:eastAsia="en-AU"/>
        </w:rPr>
        <w:t xml:space="preserve"> in</w:t>
      </w:r>
      <w:r w:rsidR="0045328A" w:rsidRPr="00B21295">
        <w:rPr>
          <w:rFonts w:cstheme="minorHAnsi"/>
          <w:lang w:val="en-MY" w:eastAsia="en-AU"/>
        </w:rPr>
        <w:t xml:space="preserve"> </w:t>
      </w:r>
      <w:r w:rsidRPr="00B21295">
        <w:rPr>
          <w:rFonts w:cstheme="minorHAnsi"/>
          <w:lang w:val="en-MY" w:eastAsia="en-AU"/>
        </w:rPr>
        <w:t xml:space="preserve">supporting the </w:t>
      </w:r>
      <w:r w:rsidR="0045328A" w:rsidRPr="00B21295">
        <w:rPr>
          <w:rFonts w:cstheme="minorHAnsi"/>
          <w:lang w:val="en-MY" w:eastAsia="en-AU"/>
        </w:rPr>
        <w:t>reintegration process.</w:t>
      </w:r>
      <w:r w:rsidRPr="00B21295">
        <w:rPr>
          <w:rStyle w:val="FootnoteReference"/>
          <w:rFonts w:cstheme="minorHAnsi"/>
          <w:lang w:val="en-MY" w:eastAsia="en-AU"/>
        </w:rPr>
        <w:footnoteReference w:id="62"/>
      </w:r>
      <w:r w:rsidR="0045328A" w:rsidRPr="00B21295">
        <w:rPr>
          <w:rFonts w:cstheme="minorHAnsi"/>
          <w:lang w:val="en-MY" w:eastAsia="en-AU"/>
        </w:rPr>
        <w:t xml:space="preserve"> Rather, there must be </w:t>
      </w:r>
      <w:r w:rsidRPr="00B21295">
        <w:rPr>
          <w:rFonts w:cstheme="minorHAnsi"/>
          <w:lang w:val="en-MY" w:eastAsia="en-AU"/>
        </w:rPr>
        <w:t xml:space="preserve">formal </w:t>
      </w:r>
      <w:r w:rsidR="0045328A" w:rsidRPr="00B21295">
        <w:rPr>
          <w:rFonts w:cstheme="minorHAnsi"/>
          <w:lang w:val="en-MY" w:eastAsia="en-AU"/>
        </w:rPr>
        <w:t xml:space="preserve">linkages between </w:t>
      </w:r>
      <w:r w:rsidRPr="00B21295">
        <w:rPr>
          <w:rFonts w:cstheme="minorHAnsi"/>
          <w:lang w:val="en-MY" w:eastAsia="en-AU"/>
        </w:rPr>
        <w:t>institutional</w:t>
      </w:r>
      <w:r w:rsidR="0045328A" w:rsidRPr="00B21295">
        <w:rPr>
          <w:rFonts w:cstheme="minorHAnsi"/>
          <w:lang w:val="en-MY" w:eastAsia="en-AU"/>
        </w:rPr>
        <w:t xml:space="preserve"> </w:t>
      </w:r>
      <w:r w:rsidRPr="00B21295">
        <w:rPr>
          <w:rFonts w:cstheme="minorHAnsi"/>
          <w:lang w:val="en-MY" w:eastAsia="en-AU"/>
        </w:rPr>
        <w:t>programs (justice and corrective services)</w:t>
      </w:r>
      <w:r w:rsidR="0045328A" w:rsidRPr="00B21295">
        <w:rPr>
          <w:rFonts w:cstheme="minorHAnsi"/>
          <w:lang w:val="en-MY" w:eastAsia="en-AU"/>
        </w:rPr>
        <w:t xml:space="preserve"> and community-based</w:t>
      </w:r>
      <w:r w:rsidRPr="00B21295">
        <w:rPr>
          <w:rFonts w:cstheme="minorHAnsi"/>
          <w:lang w:val="en-MY" w:eastAsia="en-AU"/>
        </w:rPr>
        <w:t xml:space="preserve"> services </w:t>
      </w:r>
      <w:r w:rsidR="0045328A" w:rsidRPr="00B21295">
        <w:rPr>
          <w:rFonts w:cstheme="minorHAnsi"/>
          <w:lang w:val="en-MY" w:eastAsia="en-AU"/>
        </w:rPr>
        <w:t>to ensure a genuine continuity of support</w:t>
      </w:r>
      <w:r w:rsidRPr="00B21295">
        <w:rPr>
          <w:rFonts w:cstheme="minorHAnsi"/>
          <w:lang w:val="en-MY" w:eastAsia="en-AU"/>
        </w:rPr>
        <w:t xml:space="preserve">, with coordination activities continuing to </w:t>
      </w:r>
      <w:r w:rsidR="0045328A" w:rsidRPr="00B21295">
        <w:rPr>
          <w:rFonts w:cstheme="minorHAnsi"/>
          <w:lang w:val="en-MY" w:eastAsia="en-AU"/>
        </w:rPr>
        <w:t>link</w:t>
      </w:r>
      <w:r w:rsidRPr="00B21295">
        <w:rPr>
          <w:rFonts w:cstheme="minorHAnsi"/>
          <w:lang w:val="en-MY" w:eastAsia="en-AU"/>
        </w:rPr>
        <w:t>-up</w:t>
      </w:r>
      <w:r w:rsidR="0045328A" w:rsidRPr="00B21295">
        <w:rPr>
          <w:rFonts w:cstheme="minorHAnsi"/>
          <w:lang w:val="en-MY" w:eastAsia="en-AU"/>
        </w:rPr>
        <w:t xml:space="preserve"> </w:t>
      </w:r>
      <w:r w:rsidRPr="00B21295">
        <w:rPr>
          <w:rFonts w:cstheme="minorHAnsi"/>
          <w:lang w:val="en-MY" w:eastAsia="en-AU"/>
        </w:rPr>
        <w:t xml:space="preserve">a range of community-based and </w:t>
      </w:r>
      <w:r w:rsidR="0045328A" w:rsidRPr="00B21295">
        <w:rPr>
          <w:rFonts w:cstheme="minorHAnsi"/>
          <w:lang w:val="en-MY" w:eastAsia="en-AU"/>
        </w:rPr>
        <w:t>institutional services</w:t>
      </w:r>
      <w:r w:rsidRPr="00B21295">
        <w:rPr>
          <w:rFonts w:cstheme="minorHAnsi"/>
          <w:lang w:val="en-MY" w:eastAsia="en-AU"/>
        </w:rPr>
        <w:t xml:space="preserve"> post-release</w:t>
      </w:r>
      <w:r w:rsidR="0045328A" w:rsidRPr="00B21295">
        <w:rPr>
          <w:rFonts w:cstheme="minorHAnsi"/>
          <w:lang w:val="en-MY" w:eastAsia="en-AU"/>
        </w:rPr>
        <w:t xml:space="preserve">. </w:t>
      </w:r>
      <w:r w:rsidR="00EC4B28" w:rsidRPr="00B21295">
        <w:rPr>
          <w:rFonts w:cstheme="minorHAnsi"/>
          <w:lang w:val="en-MY" w:eastAsia="en-AU"/>
        </w:rPr>
        <w:t>To ensure a continuity of support, t</w:t>
      </w:r>
      <w:r w:rsidR="0045328A" w:rsidRPr="00B21295">
        <w:rPr>
          <w:rFonts w:cstheme="minorHAnsi"/>
          <w:lang w:val="en-MY" w:eastAsia="en-AU"/>
        </w:rPr>
        <w:t xml:space="preserve">here must be genuine substantive </w:t>
      </w:r>
      <w:r w:rsidRPr="00B21295">
        <w:rPr>
          <w:rFonts w:cstheme="minorHAnsi"/>
          <w:lang w:val="en-MY" w:eastAsia="en-AU"/>
        </w:rPr>
        <w:t xml:space="preserve">coordination mechanisms in place to achieve this, such as planning groups and formalised </w:t>
      </w:r>
      <w:r w:rsidR="002651A7" w:rsidRPr="00B21295">
        <w:rPr>
          <w:rFonts w:cstheme="minorHAnsi"/>
          <w:lang w:val="en-MY" w:eastAsia="en-AU"/>
        </w:rPr>
        <w:t>Memoranda of Understanding (</w:t>
      </w:r>
      <w:r w:rsidRPr="00B21295">
        <w:rPr>
          <w:rFonts w:cstheme="minorHAnsi"/>
          <w:lang w:val="en-MY" w:eastAsia="en-AU"/>
        </w:rPr>
        <w:t>MoUs</w:t>
      </w:r>
      <w:r w:rsidR="002651A7" w:rsidRPr="00B21295">
        <w:rPr>
          <w:rFonts w:cstheme="minorHAnsi"/>
          <w:lang w:val="en-MY" w:eastAsia="en-AU"/>
        </w:rPr>
        <w:t>)</w:t>
      </w:r>
      <w:r w:rsidRPr="00B21295">
        <w:rPr>
          <w:rFonts w:cstheme="minorHAnsi"/>
          <w:lang w:val="en-MY" w:eastAsia="en-AU"/>
        </w:rPr>
        <w:t>,</w:t>
      </w:r>
      <w:r w:rsidR="00EC4B28" w:rsidRPr="00B21295">
        <w:rPr>
          <w:rFonts w:cstheme="minorHAnsi"/>
          <w:lang w:val="en-MY" w:eastAsia="en-AU"/>
        </w:rPr>
        <w:t xml:space="preserve"> backed by suitable and localised governance arrangements and funding to ensure consistent levels of cooperation across the service system</w:t>
      </w:r>
      <w:r w:rsidR="0094153E" w:rsidRPr="00B21295">
        <w:rPr>
          <w:rFonts w:cstheme="minorHAnsi"/>
          <w:lang w:val="en-MY" w:eastAsia="en-AU"/>
        </w:rPr>
        <w:t>.</w:t>
      </w:r>
    </w:p>
    <w:p w14:paraId="394B3498" w14:textId="77777777" w:rsidR="0045328A" w:rsidRPr="00B21295" w:rsidRDefault="0045328A" w:rsidP="008554F4">
      <w:pPr>
        <w:jc w:val="both"/>
        <w:rPr>
          <w:rFonts w:cstheme="minorHAnsi"/>
          <w:lang w:val="en-MY" w:eastAsia="en-AU"/>
        </w:rPr>
      </w:pPr>
    </w:p>
    <w:p w14:paraId="4F3ED09A" w14:textId="6A283139" w:rsidR="009257C5" w:rsidRPr="00B21295" w:rsidRDefault="00EC4B28" w:rsidP="008554F4">
      <w:pPr>
        <w:jc w:val="both"/>
        <w:rPr>
          <w:rFonts w:cstheme="minorHAnsi"/>
          <w:lang w:val="en-MY" w:eastAsia="en-AU"/>
        </w:rPr>
      </w:pPr>
      <w:r w:rsidRPr="00B21295">
        <w:rPr>
          <w:rFonts w:cstheme="minorHAnsi"/>
          <w:lang w:val="en-MY" w:eastAsia="en-AU"/>
        </w:rPr>
        <w:t xml:space="preserve">More specifically, it is clear from the literature that any such collaborative arrangements with external services should be inclusive of </w:t>
      </w:r>
      <w:r w:rsidR="00AD1940" w:rsidRPr="00B21295">
        <w:rPr>
          <w:rFonts w:cstheme="minorHAnsi"/>
          <w:lang w:val="en-MY" w:eastAsia="en-AU"/>
        </w:rPr>
        <w:t>employment and housing</w:t>
      </w:r>
      <w:r w:rsidR="002651A7" w:rsidRPr="00B21295">
        <w:rPr>
          <w:rFonts w:cstheme="minorHAnsi"/>
          <w:lang w:val="en-MY" w:eastAsia="en-AU"/>
        </w:rPr>
        <w:t xml:space="preserve"> programs,</w:t>
      </w:r>
      <w:r w:rsidR="00AD1940" w:rsidRPr="00B21295">
        <w:rPr>
          <w:rFonts w:cstheme="minorHAnsi"/>
          <w:lang w:val="en-MY" w:eastAsia="en-AU"/>
        </w:rPr>
        <w:t xml:space="preserve"> </w:t>
      </w:r>
      <w:r w:rsidRPr="00B21295">
        <w:rPr>
          <w:rFonts w:cstheme="minorHAnsi"/>
          <w:lang w:val="en-MY" w:eastAsia="en-AU"/>
        </w:rPr>
        <w:t xml:space="preserve">which are identified as crucial </w:t>
      </w:r>
      <w:r w:rsidR="009257C5" w:rsidRPr="00B21295">
        <w:rPr>
          <w:rFonts w:cstheme="minorHAnsi"/>
          <w:lang w:val="en-MY" w:eastAsia="en-AU"/>
        </w:rPr>
        <w:t xml:space="preserve">for </w:t>
      </w:r>
      <w:r w:rsidRPr="00B21295">
        <w:rPr>
          <w:rFonts w:cstheme="minorHAnsi"/>
          <w:lang w:val="en-MY" w:eastAsia="en-AU"/>
        </w:rPr>
        <w:t xml:space="preserve">addressing </w:t>
      </w:r>
      <w:r w:rsidR="00AD1940" w:rsidRPr="00B21295">
        <w:rPr>
          <w:rFonts w:cstheme="minorHAnsi"/>
          <w:lang w:val="en-MY" w:eastAsia="en-AU"/>
        </w:rPr>
        <w:t>problem</w:t>
      </w:r>
      <w:r w:rsidR="009257C5" w:rsidRPr="00B21295">
        <w:rPr>
          <w:rFonts w:cstheme="minorHAnsi"/>
          <w:lang w:val="en-MY" w:eastAsia="en-AU"/>
        </w:rPr>
        <w:t xml:space="preserve"> behaviours (such as </w:t>
      </w:r>
      <w:r w:rsidR="00AD1940" w:rsidRPr="00B21295">
        <w:rPr>
          <w:rFonts w:cstheme="minorHAnsi"/>
          <w:lang w:val="en-MY" w:eastAsia="en-AU"/>
        </w:rPr>
        <w:t xml:space="preserve">drug </w:t>
      </w:r>
      <w:r w:rsidR="009257C5" w:rsidRPr="00B21295">
        <w:rPr>
          <w:rFonts w:cstheme="minorHAnsi"/>
          <w:lang w:val="en-MY" w:eastAsia="en-AU"/>
        </w:rPr>
        <w:t>or alcohol mis</w:t>
      </w:r>
      <w:r w:rsidR="00AD1940" w:rsidRPr="00B21295">
        <w:rPr>
          <w:rFonts w:cstheme="minorHAnsi"/>
          <w:lang w:val="en-MY" w:eastAsia="en-AU"/>
        </w:rPr>
        <w:t>use</w:t>
      </w:r>
      <w:r w:rsidR="009257C5" w:rsidRPr="00B21295">
        <w:rPr>
          <w:rFonts w:cstheme="minorHAnsi"/>
          <w:lang w:val="en-MY" w:eastAsia="en-AU"/>
        </w:rPr>
        <w:t>)</w:t>
      </w:r>
      <w:r w:rsidR="00AD1940" w:rsidRPr="00B21295">
        <w:rPr>
          <w:rFonts w:cstheme="minorHAnsi"/>
          <w:lang w:val="en-MY" w:eastAsia="en-AU"/>
        </w:rPr>
        <w:t xml:space="preserve"> and </w:t>
      </w:r>
      <w:r w:rsidR="009257C5" w:rsidRPr="00B21295">
        <w:rPr>
          <w:rFonts w:cstheme="minorHAnsi"/>
          <w:lang w:val="en-MY" w:eastAsia="en-AU"/>
        </w:rPr>
        <w:t xml:space="preserve">the </w:t>
      </w:r>
      <w:r w:rsidR="00AD1940" w:rsidRPr="00B21295">
        <w:rPr>
          <w:rFonts w:cstheme="minorHAnsi"/>
          <w:lang w:val="en-MY" w:eastAsia="en-AU"/>
        </w:rPr>
        <w:t>avoid</w:t>
      </w:r>
      <w:r w:rsidR="009257C5" w:rsidRPr="00B21295">
        <w:rPr>
          <w:rFonts w:cstheme="minorHAnsi"/>
          <w:lang w:val="en-MY" w:eastAsia="en-AU"/>
        </w:rPr>
        <w:t xml:space="preserve">ance of </w:t>
      </w:r>
      <w:r w:rsidR="00AD1940" w:rsidRPr="00B21295">
        <w:rPr>
          <w:rFonts w:cstheme="minorHAnsi"/>
          <w:lang w:val="en-MY" w:eastAsia="en-AU"/>
        </w:rPr>
        <w:t>reincarceration.</w:t>
      </w:r>
      <w:r w:rsidR="00AD1940" w:rsidRPr="00B21295">
        <w:rPr>
          <w:rStyle w:val="FootnoteReference"/>
          <w:rFonts w:cstheme="minorHAnsi"/>
          <w:lang w:val="en-MY" w:eastAsia="en-AU"/>
        </w:rPr>
        <w:footnoteReference w:id="63"/>
      </w:r>
      <w:r w:rsidR="009257C5" w:rsidRPr="00B21295">
        <w:rPr>
          <w:rFonts w:cstheme="minorHAnsi"/>
          <w:lang w:val="en-MY" w:eastAsia="en-AU"/>
        </w:rPr>
        <w:t xml:space="preserve"> In terms of adult employment, b</w:t>
      </w:r>
      <w:r w:rsidR="00B05D1F" w:rsidRPr="00B21295">
        <w:rPr>
          <w:rFonts w:cstheme="minorHAnsi"/>
          <w:lang w:val="en-MY" w:eastAsia="en-AU"/>
        </w:rPr>
        <w:t>e</w:t>
      </w:r>
      <w:r w:rsidR="009257C5" w:rsidRPr="00B21295">
        <w:rPr>
          <w:rFonts w:cstheme="minorHAnsi"/>
          <w:lang w:val="en-MY" w:eastAsia="en-AU"/>
        </w:rPr>
        <w:t xml:space="preserve">coming </w:t>
      </w:r>
      <w:r w:rsidR="00B05D1F" w:rsidRPr="00B21295">
        <w:rPr>
          <w:rFonts w:cstheme="minorHAnsi"/>
          <w:lang w:val="en-MY" w:eastAsia="en-AU"/>
        </w:rPr>
        <w:t xml:space="preserve">employed </w:t>
      </w:r>
      <w:r w:rsidR="009257C5" w:rsidRPr="00B21295">
        <w:rPr>
          <w:rFonts w:cstheme="minorHAnsi"/>
          <w:lang w:val="en-MY" w:eastAsia="en-AU"/>
        </w:rPr>
        <w:t xml:space="preserve">is understood to </w:t>
      </w:r>
      <w:r w:rsidR="00B05D1F" w:rsidRPr="00B21295">
        <w:rPr>
          <w:rFonts w:cstheme="minorHAnsi"/>
          <w:lang w:val="en-MY" w:eastAsia="en-AU"/>
        </w:rPr>
        <w:t>substantially reduce the risk of reoffending</w:t>
      </w:r>
      <w:r w:rsidR="009257C5" w:rsidRPr="00B21295">
        <w:rPr>
          <w:rFonts w:cstheme="minorHAnsi"/>
          <w:lang w:val="en-MY" w:eastAsia="en-AU"/>
        </w:rPr>
        <w:t>, by providing not just income, but structure, routine and opportunities to contribute to the lives of others through valuable social contact</w:t>
      </w:r>
      <w:r w:rsidR="008F340F" w:rsidRPr="00B21295">
        <w:rPr>
          <w:rFonts w:cstheme="minorHAnsi"/>
          <w:lang w:val="en-MY" w:eastAsia="en-AU"/>
        </w:rPr>
        <w:t>.</w:t>
      </w:r>
    </w:p>
    <w:p w14:paraId="1A0C1EEF" w14:textId="77777777" w:rsidR="008F340F" w:rsidRPr="00B21295" w:rsidRDefault="008F340F" w:rsidP="008554F4">
      <w:pPr>
        <w:jc w:val="both"/>
        <w:rPr>
          <w:rFonts w:cstheme="minorHAnsi"/>
          <w:lang w:val="en-MY" w:eastAsia="en-AU"/>
        </w:rPr>
      </w:pPr>
    </w:p>
    <w:p w14:paraId="5B8802B2" w14:textId="40CAB25B" w:rsidR="00D4450B" w:rsidRPr="00B21295" w:rsidRDefault="008F340F" w:rsidP="00BD2168">
      <w:pPr>
        <w:jc w:val="both"/>
        <w:rPr>
          <w:rFonts w:cstheme="minorHAnsi"/>
          <w:lang w:val="en-MY" w:eastAsia="en-AU"/>
        </w:rPr>
      </w:pPr>
      <w:r w:rsidRPr="00B21295">
        <w:rPr>
          <w:rFonts w:cstheme="minorHAnsi"/>
          <w:lang w:val="en-MY" w:eastAsia="en-AU"/>
        </w:rPr>
        <w:t>While ‘employment’ (or reconnection with education or training opportunities</w:t>
      </w:r>
      <w:r w:rsidR="002651A7" w:rsidRPr="00B21295">
        <w:rPr>
          <w:rFonts w:cstheme="minorHAnsi"/>
          <w:lang w:val="en-MY" w:eastAsia="en-AU"/>
        </w:rPr>
        <w:t xml:space="preserve"> in the case of youth</w:t>
      </w:r>
      <w:r w:rsidRPr="00B21295">
        <w:rPr>
          <w:rFonts w:cstheme="minorHAnsi"/>
          <w:lang w:val="en-MY" w:eastAsia="en-AU"/>
        </w:rPr>
        <w:t xml:space="preserve">) is listed as a desired outcome in both ATC and YTC through-care models, the contextual issues and opportunities for maximising employment success fail to be addressed. </w:t>
      </w:r>
      <w:r w:rsidR="002651A7" w:rsidRPr="00B21295">
        <w:rPr>
          <w:rFonts w:cstheme="minorHAnsi"/>
          <w:lang w:val="en-MY" w:eastAsia="en-AU"/>
        </w:rPr>
        <w:t xml:space="preserve">Although </w:t>
      </w:r>
      <w:r w:rsidRPr="00B21295">
        <w:rPr>
          <w:rFonts w:cstheme="minorHAnsi"/>
          <w:lang w:val="en-MY" w:eastAsia="en-AU"/>
        </w:rPr>
        <w:t>need is high, e</w:t>
      </w:r>
      <w:r w:rsidR="00A13E8B" w:rsidRPr="00B21295">
        <w:rPr>
          <w:rFonts w:cstheme="minorHAnsi"/>
          <w:lang w:val="en-MY" w:eastAsia="en-AU"/>
        </w:rPr>
        <w:t xml:space="preserve">mployment opportunities </w:t>
      </w:r>
      <w:r w:rsidRPr="00B21295">
        <w:rPr>
          <w:rFonts w:cstheme="minorHAnsi"/>
          <w:lang w:val="en-MY" w:eastAsia="en-AU"/>
        </w:rPr>
        <w:t xml:space="preserve">for clients returning to regional locations, or </w:t>
      </w:r>
      <w:r w:rsidR="00A13E8B" w:rsidRPr="00B21295">
        <w:rPr>
          <w:rFonts w:cstheme="minorHAnsi"/>
          <w:lang w:val="en-MY" w:eastAsia="en-AU"/>
        </w:rPr>
        <w:t xml:space="preserve">most </w:t>
      </w:r>
      <w:r w:rsidRPr="00B21295">
        <w:rPr>
          <w:rFonts w:cstheme="minorHAnsi"/>
          <w:lang w:val="en-MY" w:eastAsia="en-AU"/>
        </w:rPr>
        <w:t xml:space="preserve">remote </w:t>
      </w:r>
      <w:r w:rsidR="00A13E8B" w:rsidRPr="00B21295">
        <w:rPr>
          <w:rFonts w:cstheme="minorHAnsi"/>
          <w:lang w:val="en-MY" w:eastAsia="en-AU"/>
        </w:rPr>
        <w:t>communities</w:t>
      </w:r>
      <w:r w:rsidRPr="00B21295">
        <w:rPr>
          <w:rFonts w:cstheme="minorHAnsi"/>
          <w:lang w:val="en-MY" w:eastAsia="en-AU"/>
        </w:rPr>
        <w:t xml:space="preserve">, </w:t>
      </w:r>
      <w:r w:rsidR="00A13E8B" w:rsidRPr="00B21295">
        <w:rPr>
          <w:rFonts w:cstheme="minorHAnsi"/>
          <w:lang w:val="en-MY" w:eastAsia="en-AU"/>
        </w:rPr>
        <w:t xml:space="preserve">are </w:t>
      </w:r>
      <w:r w:rsidRPr="00B21295">
        <w:rPr>
          <w:rFonts w:cstheme="minorHAnsi"/>
          <w:lang w:val="en-MY" w:eastAsia="en-AU"/>
        </w:rPr>
        <w:t xml:space="preserve">few. </w:t>
      </w:r>
      <w:r w:rsidR="00D4450B" w:rsidRPr="00B21295">
        <w:rPr>
          <w:rFonts w:cstheme="minorHAnsi"/>
          <w:lang w:val="en-MY" w:eastAsia="en-AU"/>
        </w:rPr>
        <w:t>Notwithstanding the known benefits, therefore, i</w:t>
      </w:r>
      <w:r w:rsidRPr="00B21295">
        <w:rPr>
          <w:rFonts w:cstheme="minorHAnsi"/>
          <w:lang w:val="en-MY" w:eastAsia="en-AU"/>
        </w:rPr>
        <w:t xml:space="preserve">t is simply not meaningful or realistic to </w:t>
      </w:r>
      <w:r w:rsidR="00D4450B" w:rsidRPr="00B21295">
        <w:rPr>
          <w:rFonts w:cstheme="minorHAnsi"/>
          <w:lang w:val="en-MY" w:eastAsia="en-AU"/>
        </w:rPr>
        <w:t xml:space="preserve">expect employment to be </w:t>
      </w:r>
      <w:r w:rsidR="002651A7" w:rsidRPr="00B21295">
        <w:rPr>
          <w:rFonts w:cstheme="minorHAnsi"/>
          <w:lang w:val="en-MY" w:eastAsia="en-AU"/>
        </w:rPr>
        <w:t xml:space="preserve">measured as an </w:t>
      </w:r>
      <w:r w:rsidR="00D4450B" w:rsidRPr="00B21295">
        <w:rPr>
          <w:rFonts w:cstheme="minorHAnsi"/>
          <w:lang w:val="en-MY" w:eastAsia="en-AU"/>
        </w:rPr>
        <w:t xml:space="preserve">outcome against which success can be </w:t>
      </w:r>
      <w:r w:rsidR="002651A7" w:rsidRPr="00B21295">
        <w:rPr>
          <w:rFonts w:cstheme="minorHAnsi"/>
          <w:lang w:val="en-MY" w:eastAsia="en-AU"/>
        </w:rPr>
        <w:t xml:space="preserve">determined for </w:t>
      </w:r>
      <w:r w:rsidR="00D4450B" w:rsidRPr="00B21295">
        <w:rPr>
          <w:rFonts w:cstheme="minorHAnsi"/>
          <w:lang w:val="en-MY" w:eastAsia="en-AU"/>
        </w:rPr>
        <w:t xml:space="preserve">all cases. Further guidance for case management is needed, such that employment programs and </w:t>
      </w:r>
      <w:r w:rsidR="00A13E8B" w:rsidRPr="00B21295">
        <w:rPr>
          <w:rFonts w:cstheme="minorHAnsi"/>
          <w:lang w:val="en-MY" w:eastAsia="en-AU"/>
        </w:rPr>
        <w:t>training tailored to local realities</w:t>
      </w:r>
      <w:r w:rsidR="00D4450B" w:rsidRPr="00B21295">
        <w:rPr>
          <w:rFonts w:cstheme="minorHAnsi"/>
          <w:lang w:val="en-MY" w:eastAsia="en-AU"/>
        </w:rPr>
        <w:t xml:space="preserve"> might be identified and worked with, and to foster stronger partnerships </w:t>
      </w:r>
      <w:r w:rsidR="00F73B3C" w:rsidRPr="00B21295">
        <w:rPr>
          <w:rFonts w:cstheme="minorHAnsi"/>
          <w:lang w:val="en-MY" w:eastAsia="en-AU"/>
        </w:rPr>
        <w:t>with employment services</w:t>
      </w:r>
      <w:r w:rsidR="00D4450B" w:rsidRPr="00B21295">
        <w:rPr>
          <w:rFonts w:cstheme="minorHAnsi"/>
          <w:lang w:val="en-MY" w:eastAsia="en-AU"/>
        </w:rPr>
        <w:t xml:space="preserve"> (particularly </w:t>
      </w:r>
      <w:r w:rsidR="00F73B3C" w:rsidRPr="00B21295">
        <w:rPr>
          <w:rFonts w:cstheme="minorHAnsi"/>
          <w:lang w:val="en-MY" w:eastAsia="en-AU"/>
        </w:rPr>
        <w:t xml:space="preserve">those </w:t>
      </w:r>
      <w:r w:rsidR="00D4450B" w:rsidRPr="00B21295">
        <w:rPr>
          <w:rFonts w:cstheme="minorHAnsi"/>
          <w:lang w:val="en-MY" w:eastAsia="en-AU"/>
        </w:rPr>
        <w:t xml:space="preserve">with </w:t>
      </w:r>
      <w:r w:rsidR="00F73B3C" w:rsidRPr="00B21295">
        <w:rPr>
          <w:rFonts w:cstheme="minorHAnsi"/>
          <w:lang w:val="en-MY" w:eastAsia="en-AU"/>
        </w:rPr>
        <w:t>experience working with ex-prisoners and those with complex support needs</w:t>
      </w:r>
      <w:r w:rsidR="00D4450B" w:rsidRPr="00B21295">
        <w:rPr>
          <w:rFonts w:cstheme="minorHAnsi"/>
          <w:lang w:val="en-MY" w:eastAsia="en-AU"/>
        </w:rPr>
        <w:t>)</w:t>
      </w:r>
      <w:r w:rsidR="00F73B3C" w:rsidRPr="00B21295">
        <w:rPr>
          <w:rFonts w:cstheme="minorHAnsi"/>
          <w:lang w:val="en-MY" w:eastAsia="en-AU"/>
        </w:rPr>
        <w:t>.</w:t>
      </w:r>
    </w:p>
    <w:p w14:paraId="479F31E9" w14:textId="77777777" w:rsidR="00024565" w:rsidRDefault="00024565" w:rsidP="00BD2168">
      <w:pPr>
        <w:jc w:val="both"/>
        <w:rPr>
          <w:rFonts w:cstheme="minorHAnsi"/>
          <w:lang w:val="en-MY" w:eastAsia="en-AU"/>
        </w:rPr>
      </w:pPr>
    </w:p>
    <w:p w14:paraId="27AEA639" w14:textId="1466D251" w:rsidR="00584E14" w:rsidRPr="00B21295" w:rsidRDefault="00246290" w:rsidP="00BD2168">
      <w:pPr>
        <w:jc w:val="both"/>
        <w:rPr>
          <w:rFonts w:cstheme="minorHAnsi"/>
          <w:lang w:val="en-MY" w:eastAsia="en-AU"/>
        </w:rPr>
      </w:pPr>
      <w:r w:rsidRPr="00B21295">
        <w:rPr>
          <w:rFonts w:cstheme="minorHAnsi"/>
          <w:lang w:val="en-MY" w:eastAsia="en-AU"/>
        </w:rPr>
        <w:t>The same argument can be made with regards to s</w:t>
      </w:r>
      <w:r w:rsidR="00BD2168" w:rsidRPr="00B21295">
        <w:rPr>
          <w:rFonts w:cstheme="minorHAnsi"/>
          <w:lang w:val="en-MY" w:eastAsia="en-AU"/>
        </w:rPr>
        <w:t>table housing</w:t>
      </w:r>
      <w:r w:rsidRPr="00B21295">
        <w:rPr>
          <w:rFonts w:cstheme="minorHAnsi"/>
          <w:lang w:val="en-MY" w:eastAsia="en-AU"/>
        </w:rPr>
        <w:t>, since finding suitable housing</w:t>
      </w:r>
      <w:r w:rsidRPr="00B05D1F">
        <w:rPr>
          <w:rFonts w:cstheme="minorHAnsi"/>
          <w:lang w:val="en-MY" w:eastAsia="en-AU"/>
        </w:rPr>
        <w:t xml:space="preserve"> tends to be a major challenge for former prisoners</w:t>
      </w:r>
      <w:r>
        <w:rPr>
          <w:rFonts w:cstheme="minorHAnsi"/>
          <w:lang w:val="en-MY" w:eastAsia="en-AU"/>
        </w:rPr>
        <w:t xml:space="preserve">, </w:t>
      </w:r>
      <w:r w:rsidR="009A59C3">
        <w:rPr>
          <w:rFonts w:cstheme="minorHAnsi"/>
          <w:lang w:val="en-MY" w:eastAsia="en-AU"/>
        </w:rPr>
        <w:t xml:space="preserve">yet is </w:t>
      </w:r>
      <w:r w:rsidRPr="00B05D1F">
        <w:rPr>
          <w:rFonts w:cstheme="minorHAnsi"/>
          <w:lang w:val="en-MY" w:eastAsia="en-AU"/>
        </w:rPr>
        <w:t xml:space="preserve">an essential prerequisite </w:t>
      </w:r>
      <w:r w:rsidR="009A59C3">
        <w:rPr>
          <w:rFonts w:cstheme="minorHAnsi"/>
          <w:lang w:val="en-MY" w:eastAsia="en-AU"/>
        </w:rPr>
        <w:t>for almost all social and emotional well-being needs, as well as the need for shelter. Suitable and stable accommodation</w:t>
      </w:r>
      <w:r w:rsidR="00D0458D">
        <w:rPr>
          <w:rFonts w:cstheme="minorHAnsi"/>
          <w:lang w:val="en-MY" w:eastAsia="en-AU"/>
        </w:rPr>
        <w:t xml:space="preserve"> </w:t>
      </w:r>
      <w:r w:rsidR="009A59C3">
        <w:rPr>
          <w:rFonts w:cstheme="minorHAnsi"/>
          <w:lang w:val="en-MY" w:eastAsia="en-AU"/>
        </w:rPr>
        <w:t xml:space="preserve">is widely </w:t>
      </w:r>
      <w:r w:rsidR="00BD2168" w:rsidRPr="008554F4">
        <w:rPr>
          <w:rFonts w:cstheme="minorHAnsi"/>
          <w:lang w:val="en-MY" w:eastAsia="en-AU"/>
        </w:rPr>
        <w:t>associated with increased personal agency, optimism</w:t>
      </w:r>
      <w:r w:rsidR="009A59C3">
        <w:rPr>
          <w:rFonts w:cstheme="minorHAnsi"/>
          <w:lang w:val="en-MY" w:eastAsia="en-AU"/>
        </w:rPr>
        <w:t xml:space="preserve"> </w:t>
      </w:r>
      <w:r w:rsidR="00BD2168" w:rsidRPr="008554F4">
        <w:rPr>
          <w:rFonts w:cstheme="minorHAnsi"/>
          <w:lang w:val="en-MY" w:eastAsia="en-AU"/>
        </w:rPr>
        <w:t>and responsibility</w:t>
      </w:r>
      <w:r w:rsidR="00584E14">
        <w:rPr>
          <w:rFonts w:cstheme="minorHAnsi"/>
          <w:lang w:val="en-MY" w:eastAsia="en-AU"/>
        </w:rPr>
        <w:t xml:space="preserve">, </w:t>
      </w:r>
      <w:r w:rsidR="009A59C3">
        <w:rPr>
          <w:rFonts w:cstheme="minorHAnsi"/>
          <w:lang w:val="en-MY" w:eastAsia="en-AU"/>
        </w:rPr>
        <w:t>and is known to be a critical enabling factor in finding and sustaining a job</w:t>
      </w:r>
      <w:r w:rsidR="00BD2168" w:rsidRPr="008554F4">
        <w:rPr>
          <w:rFonts w:cstheme="minorHAnsi"/>
          <w:lang w:val="en-MY" w:eastAsia="en-AU"/>
        </w:rPr>
        <w:t>.</w:t>
      </w:r>
      <w:r w:rsidR="00BD2168">
        <w:rPr>
          <w:rFonts w:cstheme="minorHAnsi"/>
          <w:lang w:val="en-MY" w:eastAsia="en-AU"/>
        </w:rPr>
        <w:t xml:space="preserve"> </w:t>
      </w:r>
      <w:r w:rsidR="00BD2168">
        <w:rPr>
          <w:rStyle w:val="FootnoteReference"/>
          <w:rFonts w:cstheme="minorHAnsi"/>
          <w:lang w:val="en-MY" w:eastAsia="en-AU"/>
        </w:rPr>
        <w:footnoteReference w:id="64"/>
      </w:r>
      <w:r w:rsidR="009A59C3">
        <w:rPr>
          <w:rFonts w:cstheme="minorHAnsi"/>
          <w:lang w:val="en-MY" w:eastAsia="en-AU"/>
        </w:rPr>
        <w:t xml:space="preserve"> It is </w:t>
      </w:r>
      <w:r w:rsidR="009A59C3" w:rsidRPr="00DB275E">
        <w:rPr>
          <w:rFonts w:cstheme="minorHAnsi"/>
          <w:lang w:val="en-MY" w:eastAsia="en-AU"/>
        </w:rPr>
        <w:t xml:space="preserve">a </w:t>
      </w:r>
      <w:r w:rsidR="009A59C3" w:rsidRPr="00B21295">
        <w:rPr>
          <w:rFonts w:cstheme="minorHAnsi"/>
          <w:lang w:val="en-MY" w:eastAsia="en-AU"/>
        </w:rPr>
        <w:t>key factor affecting the extent to which a</w:t>
      </w:r>
      <w:r w:rsidR="00456682">
        <w:rPr>
          <w:rFonts w:cstheme="minorHAnsi"/>
          <w:lang w:val="en-MY" w:eastAsia="en-AU"/>
        </w:rPr>
        <w:t xml:space="preserve"> </w:t>
      </w:r>
      <w:r w:rsidR="009A59C3" w:rsidRPr="00B21295">
        <w:rPr>
          <w:rFonts w:cstheme="minorHAnsi"/>
          <w:lang w:val="en-MY" w:eastAsia="en-AU"/>
        </w:rPr>
        <w:t xml:space="preserve"> through-care client is able to successfully reintegrate into his or her community.</w:t>
      </w:r>
    </w:p>
    <w:p w14:paraId="0DD59FEB" w14:textId="77777777" w:rsidR="00584E14" w:rsidRPr="00B21295" w:rsidRDefault="00584E14" w:rsidP="00BD2168">
      <w:pPr>
        <w:jc w:val="both"/>
        <w:rPr>
          <w:rFonts w:cstheme="minorHAnsi"/>
          <w:lang w:val="en-MY" w:eastAsia="en-AU"/>
        </w:rPr>
      </w:pPr>
    </w:p>
    <w:p w14:paraId="003AC404" w14:textId="3B291C42" w:rsidR="00695878" w:rsidRDefault="00584E14" w:rsidP="00695878">
      <w:pPr>
        <w:jc w:val="both"/>
        <w:rPr>
          <w:rFonts w:cstheme="minorHAnsi"/>
          <w:lang w:val="en-MY" w:eastAsia="en-AU"/>
        </w:rPr>
      </w:pPr>
      <w:r w:rsidRPr="00B21295">
        <w:rPr>
          <w:rFonts w:cstheme="minorHAnsi"/>
          <w:lang w:val="en-MY" w:eastAsia="en-AU"/>
        </w:rPr>
        <w:t xml:space="preserve">While housing is named as a priority area of support in the ATC and YTC model design - as with employment outcomes - its listing lacks any context or strategy, such as guidance for housing </w:t>
      </w:r>
      <w:r w:rsidR="00EF1C41" w:rsidRPr="00B21295">
        <w:rPr>
          <w:rFonts w:cstheme="minorHAnsi"/>
          <w:lang w:val="en-MY" w:eastAsia="en-AU"/>
        </w:rPr>
        <w:t>advocacy</w:t>
      </w:r>
      <w:r w:rsidR="00D76E5E" w:rsidRPr="00B21295">
        <w:rPr>
          <w:rFonts w:cstheme="minorHAnsi"/>
          <w:lang w:val="en-MY" w:eastAsia="en-AU"/>
        </w:rPr>
        <w:t xml:space="preserve">, including </w:t>
      </w:r>
      <w:r w:rsidRPr="00B21295">
        <w:rPr>
          <w:rFonts w:cstheme="minorHAnsi"/>
          <w:lang w:val="en-MY" w:eastAsia="en-AU"/>
        </w:rPr>
        <w:t xml:space="preserve">the formation of partnerships with </w:t>
      </w:r>
      <w:r w:rsidR="00BD2168" w:rsidRPr="00B21295">
        <w:rPr>
          <w:rFonts w:cstheme="minorHAnsi"/>
          <w:lang w:val="en-MY" w:eastAsia="en-AU"/>
        </w:rPr>
        <w:t xml:space="preserve">community </w:t>
      </w:r>
      <w:r w:rsidRPr="00B21295">
        <w:rPr>
          <w:rFonts w:cstheme="minorHAnsi"/>
          <w:lang w:val="en-MY" w:eastAsia="en-AU"/>
        </w:rPr>
        <w:t>housing providers</w:t>
      </w:r>
      <w:r w:rsidR="00D76E5E" w:rsidRPr="00B21295">
        <w:rPr>
          <w:rFonts w:cstheme="minorHAnsi"/>
          <w:lang w:val="en-MY" w:eastAsia="en-AU"/>
        </w:rPr>
        <w:t xml:space="preserve"> </w:t>
      </w:r>
      <w:r w:rsidRPr="00B21295">
        <w:rPr>
          <w:rFonts w:cstheme="minorHAnsi"/>
          <w:lang w:val="en-MY" w:eastAsia="en-AU"/>
        </w:rPr>
        <w:t>to help access</w:t>
      </w:r>
      <w:r w:rsidR="00BD2168" w:rsidRPr="00B21295">
        <w:rPr>
          <w:rFonts w:cstheme="minorHAnsi"/>
          <w:lang w:val="en-MY" w:eastAsia="en-AU"/>
        </w:rPr>
        <w:t xml:space="preserve"> transitional housing </w:t>
      </w:r>
      <w:r w:rsidRPr="00B21295">
        <w:rPr>
          <w:rFonts w:cstheme="minorHAnsi"/>
          <w:lang w:val="en-MY" w:eastAsia="en-AU"/>
        </w:rPr>
        <w:t xml:space="preserve">or other </w:t>
      </w:r>
      <w:r w:rsidR="00BD2168" w:rsidRPr="00B21295">
        <w:rPr>
          <w:rFonts w:cstheme="minorHAnsi"/>
          <w:lang w:val="en-MY" w:eastAsia="en-AU"/>
        </w:rPr>
        <w:t>sup</w:t>
      </w:r>
      <w:r w:rsidRPr="00B21295">
        <w:rPr>
          <w:rFonts w:cstheme="minorHAnsi"/>
          <w:lang w:val="en-MY" w:eastAsia="en-AU"/>
        </w:rPr>
        <w:t xml:space="preserve">ported accommodation </w:t>
      </w:r>
      <w:r w:rsidR="00BD2168" w:rsidRPr="00B21295">
        <w:rPr>
          <w:rFonts w:cstheme="minorHAnsi"/>
          <w:lang w:val="en-MY" w:eastAsia="en-AU"/>
        </w:rPr>
        <w:t xml:space="preserve">settings. </w:t>
      </w:r>
      <w:r w:rsidR="00D76E5E" w:rsidRPr="00B21295">
        <w:rPr>
          <w:rFonts w:cstheme="minorHAnsi"/>
          <w:lang w:val="en-MY" w:eastAsia="en-AU"/>
        </w:rPr>
        <w:t>The literature is clear that f</w:t>
      </w:r>
      <w:r w:rsidR="00BD2168" w:rsidRPr="00B21295">
        <w:rPr>
          <w:rFonts w:cstheme="minorHAnsi"/>
          <w:lang w:val="en-MY" w:eastAsia="en-AU"/>
        </w:rPr>
        <w:t>rom a through</w:t>
      </w:r>
      <w:r w:rsidR="00D76E5E" w:rsidRPr="00B21295">
        <w:rPr>
          <w:rFonts w:cstheme="minorHAnsi"/>
          <w:lang w:val="en-MY" w:eastAsia="en-AU"/>
        </w:rPr>
        <w:t>-</w:t>
      </w:r>
      <w:r w:rsidR="00BD2168" w:rsidRPr="00B21295">
        <w:rPr>
          <w:rFonts w:cstheme="minorHAnsi"/>
          <w:lang w:val="en-MY" w:eastAsia="en-AU"/>
        </w:rPr>
        <w:t xml:space="preserve">care perspective </w:t>
      </w:r>
      <w:r w:rsidR="00D76E5E" w:rsidRPr="00B21295">
        <w:rPr>
          <w:rFonts w:cstheme="minorHAnsi"/>
          <w:lang w:val="en-MY" w:eastAsia="en-AU"/>
        </w:rPr>
        <w:t xml:space="preserve">there is </w:t>
      </w:r>
      <w:r w:rsidR="00BD2168" w:rsidRPr="00B21295">
        <w:rPr>
          <w:rFonts w:cstheme="minorHAnsi"/>
          <w:lang w:val="en-MY" w:eastAsia="en-AU"/>
        </w:rPr>
        <w:t xml:space="preserve">a </w:t>
      </w:r>
      <w:r w:rsidR="00D76E5E" w:rsidRPr="00B21295">
        <w:rPr>
          <w:rFonts w:cstheme="minorHAnsi"/>
          <w:lang w:val="en-MY" w:eastAsia="en-AU"/>
        </w:rPr>
        <w:t xml:space="preserve">dire need </w:t>
      </w:r>
      <w:r w:rsidR="00BD2168" w:rsidRPr="00B21295">
        <w:rPr>
          <w:rFonts w:cstheme="minorHAnsi"/>
          <w:lang w:val="en-MY" w:eastAsia="en-AU"/>
        </w:rPr>
        <w:t>for transitional supported</w:t>
      </w:r>
      <w:r w:rsidR="00D76E5E" w:rsidRPr="00B21295">
        <w:rPr>
          <w:rFonts w:cstheme="minorHAnsi"/>
          <w:lang w:val="en-MY" w:eastAsia="en-AU"/>
        </w:rPr>
        <w:t>-</w:t>
      </w:r>
      <w:r w:rsidR="00BD2168" w:rsidRPr="00B21295">
        <w:rPr>
          <w:rFonts w:cstheme="minorHAnsi"/>
          <w:lang w:val="en-MY" w:eastAsia="en-AU"/>
        </w:rPr>
        <w:t xml:space="preserve">housing </w:t>
      </w:r>
      <w:r w:rsidR="00D76E5E" w:rsidRPr="00B21295">
        <w:rPr>
          <w:rFonts w:cstheme="minorHAnsi"/>
          <w:lang w:val="en-MY" w:eastAsia="en-AU"/>
        </w:rPr>
        <w:t>post-</w:t>
      </w:r>
      <w:r w:rsidR="00BD2168" w:rsidRPr="00B21295">
        <w:rPr>
          <w:rFonts w:cstheme="minorHAnsi"/>
          <w:lang w:val="en-MY" w:eastAsia="en-AU"/>
        </w:rPr>
        <w:t>release</w:t>
      </w:r>
      <w:r w:rsidR="00D76E5E" w:rsidRPr="00B21295">
        <w:rPr>
          <w:rFonts w:cstheme="minorHAnsi"/>
          <w:lang w:val="en-MY" w:eastAsia="en-AU"/>
        </w:rPr>
        <w:t xml:space="preserve"> as an integral component of the through-care model</w:t>
      </w:r>
      <w:r w:rsidR="00BD2168" w:rsidRPr="00B21295">
        <w:rPr>
          <w:rFonts w:cstheme="minorHAnsi"/>
          <w:lang w:val="en-MY" w:eastAsia="en-AU"/>
        </w:rPr>
        <w:t xml:space="preserve">. </w:t>
      </w:r>
      <w:r w:rsidR="00D76E5E" w:rsidRPr="00B21295">
        <w:rPr>
          <w:rFonts w:cstheme="minorHAnsi"/>
          <w:lang w:val="en-MY" w:eastAsia="en-AU"/>
        </w:rPr>
        <w:t xml:space="preserve">A graduated release provides an opportunity for supervision and monitoring, as well as better enabling the take up of employment and training opportunities. </w:t>
      </w:r>
      <w:r w:rsidR="00BD2168" w:rsidRPr="00B21295">
        <w:rPr>
          <w:rFonts w:cstheme="minorHAnsi"/>
          <w:lang w:val="en-MY" w:eastAsia="en-AU"/>
        </w:rPr>
        <w:t xml:space="preserve">This support needs to be holistic, providing not only accommodation but also </w:t>
      </w:r>
      <w:r w:rsidR="00D76E5E" w:rsidRPr="00B21295">
        <w:rPr>
          <w:rFonts w:cstheme="minorHAnsi"/>
          <w:lang w:val="en-MY" w:eastAsia="en-AU"/>
        </w:rPr>
        <w:t xml:space="preserve">opportunities for </w:t>
      </w:r>
      <w:r w:rsidR="00BD2168" w:rsidRPr="00B21295">
        <w:rPr>
          <w:rFonts w:cstheme="minorHAnsi"/>
          <w:lang w:val="en-MY" w:eastAsia="en-AU"/>
        </w:rPr>
        <w:t>support</w:t>
      </w:r>
      <w:r w:rsidR="00D76E5E" w:rsidRPr="00B21295">
        <w:rPr>
          <w:rFonts w:cstheme="minorHAnsi"/>
          <w:lang w:val="en-MY" w:eastAsia="en-AU"/>
        </w:rPr>
        <w:t>ing</w:t>
      </w:r>
      <w:r w:rsidR="00BD2168" w:rsidRPr="00B21295">
        <w:rPr>
          <w:rFonts w:cstheme="minorHAnsi"/>
          <w:lang w:val="en-MY" w:eastAsia="en-AU"/>
        </w:rPr>
        <w:t xml:space="preserve"> </w:t>
      </w:r>
      <w:r w:rsidR="00D76E5E" w:rsidRPr="00B21295">
        <w:rPr>
          <w:rFonts w:cstheme="minorHAnsi"/>
          <w:lang w:val="en-MY" w:eastAsia="en-AU"/>
        </w:rPr>
        <w:t xml:space="preserve">life-skills development, how to clean and </w:t>
      </w:r>
      <w:r w:rsidR="00BD2168" w:rsidRPr="00B21295">
        <w:rPr>
          <w:rFonts w:cstheme="minorHAnsi"/>
          <w:lang w:val="en-MY" w:eastAsia="en-AU"/>
        </w:rPr>
        <w:t>maint</w:t>
      </w:r>
      <w:r w:rsidR="00D76E5E" w:rsidRPr="00B21295">
        <w:rPr>
          <w:rFonts w:cstheme="minorHAnsi"/>
          <w:lang w:val="en-MY" w:eastAsia="en-AU"/>
        </w:rPr>
        <w:t xml:space="preserve">ain </w:t>
      </w:r>
      <w:r w:rsidR="00BD2168" w:rsidRPr="00B21295">
        <w:rPr>
          <w:rFonts w:cstheme="minorHAnsi"/>
          <w:lang w:val="en-MY" w:eastAsia="en-AU"/>
        </w:rPr>
        <w:t>a house,</w:t>
      </w:r>
      <w:r w:rsidR="00D76E5E" w:rsidRPr="00B21295">
        <w:rPr>
          <w:rFonts w:cstheme="minorHAnsi"/>
          <w:lang w:val="en-MY" w:eastAsia="en-AU"/>
        </w:rPr>
        <w:t xml:space="preserve"> and </w:t>
      </w:r>
      <w:r w:rsidR="00BD2168" w:rsidRPr="00B21295">
        <w:rPr>
          <w:rFonts w:cstheme="minorHAnsi"/>
          <w:lang w:val="en-MY" w:eastAsia="en-AU"/>
        </w:rPr>
        <w:t>how to budget.</w:t>
      </w:r>
      <w:r w:rsidR="00695878" w:rsidRPr="00B21295">
        <w:rPr>
          <w:rFonts w:cstheme="minorHAnsi"/>
          <w:lang w:val="en-MY" w:eastAsia="en-AU"/>
        </w:rPr>
        <w:t xml:space="preserve"> In circumstances where affordable and appropriate housing is extremely limited, the current ATC and YTC models - which simply list housing as a necessary outcome measure - arguably fall short.</w:t>
      </w:r>
    </w:p>
    <w:p w14:paraId="7630C9DB" w14:textId="77777777" w:rsidR="001D06A0" w:rsidRDefault="001D06A0">
      <w:pPr>
        <w:spacing w:after="200" w:line="276" w:lineRule="auto"/>
        <w:jc w:val="both"/>
        <w:rPr>
          <w:rFonts w:cstheme="minorHAnsi"/>
          <w:b/>
          <w:smallCaps/>
          <w:color w:val="365F91" w:themeColor="accent1" w:themeShade="BF"/>
          <w:spacing w:val="5"/>
          <w:sz w:val="44"/>
          <w:szCs w:val="32"/>
        </w:rPr>
      </w:pPr>
      <w:r>
        <w:rPr>
          <w:rFonts w:cstheme="minorHAnsi"/>
        </w:rPr>
        <w:br w:type="page"/>
      </w:r>
    </w:p>
    <w:p w14:paraId="581624B9" w14:textId="0FC870DB" w:rsidR="00280696" w:rsidRPr="00F66F99" w:rsidRDefault="00D6577C" w:rsidP="00F66F99">
      <w:pPr>
        <w:pStyle w:val="Heading1"/>
        <w:rPr>
          <w:rFonts w:cstheme="minorHAnsi"/>
        </w:rPr>
      </w:pPr>
      <w:bookmarkStart w:id="23" w:name="_Toc150784197"/>
      <w:r w:rsidRPr="00F66F99">
        <w:rPr>
          <w:rFonts w:cstheme="minorHAnsi"/>
        </w:rPr>
        <w:t>E</w:t>
      </w:r>
      <w:r w:rsidR="00F66F99">
        <w:rPr>
          <w:rFonts w:cstheme="minorHAnsi"/>
        </w:rPr>
        <w:t xml:space="preserve">valuation </w:t>
      </w:r>
      <w:r w:rsidR="00205F0C">
        <w:rPr>
          <w:rFonts w:cstheme="minorHAnsi"/>
        </w:rPr>
        <w:t>Methodology</w:t>
      </w:r>
      <w:bookmarkEnd w:id="23"/>
      <w:r w:rsidR="004867A9" w:rsidRPr="00F66F99">
        <w:rPr>
          <w:rFonts w:cstheme="minorHAnsi"/>
        </w:rPr>
        <w:t xml:space="preserve"> </w:t>
      </w:r>
    </w:p>
    <w:p w14:paraId="1D5D81B2" w14:textId="7B9B4A10" w:rsidR="008719B9" w:rsidRDefault="008719B9" w:rsidP="002D6EBD">
      <w:pPr>
        <w:jc w:val="both"/>
        <w:rPr>
          <w:rFonts w:cstheme="minorHAnsi"/>
          <w:lang w:val="en-MY" w:eastAsia="en-AU"/>
        </w:rPr>
      </w:pPr>
      <w:r>
        <w:rPr>
          <w:rFonts w:cstheme="minorHAnsi"/>
          <w:lang w:val="en-MY" w:eastAsia="en-AU"/>
        </w:rPr>
        <w:t>This chapter d</w:t>
      </w:r>
      <w:r w:rsidRPr="008719B9">
        <w:rPr>
          <w:rFonts w:cstheme="minorHAnsi"/>
          <w:lang w:val="en-MY" w:eastAsia="en-AU"/>
        </w:rPr>
        <w:t xml:space="preserve">etails Keogh Bay’s approach to </w:t>
      </w:r>
      <w:r>
        <w:rPr>
          <w:rFonts w:cstheme="minorHAnsi"/>
          <w:lang w:val="en-MY" w:eastAsia="en-AU"/>
        </w:rPr>
        <w:t>the design and implementation of the evaluation</w:t>
      </w:r>
      <w:r w:rsidRPr="008719B9">
        <w:rPr>
          <w:rFonts w:cstheme="minorHAnsi"/>
          <w:lang w:val="en-MY" w:eastAsia="en-AU"/>
        </w:rPr>
        <w:t xml:space="preserve">, including an overview of </w:t>
      </w:r>
      <w:r>
        <w:rPr>
          <w:rFonts w:cstheme="minorHAnsi"/>
          <w:lang w:val="en-MY" w:eastAsia="en-AU"/>
        </w:rPr>
        <w:t>d</w:t>
      </w:r>
      <w:r w:rsidRPr="008719B9">
        <w:rPr>
          <w:rFonts w:cstheme="minorHAnsi"/>
          <w:lang w:val="en-MY" w:eastAsia="en-AU"/>
        </w:rPr>
        <w:t>ata collection methods and instruments</w:t>
      </w:r>
      <w:r>
        <w:rPr>
          <w:rFonts w:cstheme="minorHAnsi"/>
          <w:lang w:val="en-MY" w:eastAsia="en-AU"/>
        </w:rPr>
        <w:t>, d</w:t>
      </w:r>
      <w:r w:rsidRPr="008719B9">
        <w:rPr>
          <w:rFonts w:cstheme="minorHAnsi"/>
          <w:lang w:val="en-MY" w:eastAsia="en-AU"/>
        </w:rPr>
        <w:t>ata sources</w:t>
      </w:r>
      <w:r>
        <w:rPr>
          <w:rFonts w:cstheme="minorHAnsi"/>
          <w:lang w:val="en-MY" w:eastAsia="en-AU"/>
        </w:rPr>
        <w:t xml:space="preserve"> and </w:t>
      </w:r>
      <w:r w:rsidRPr="008719B9">
        <w:rPr>
          <w:rFonts w:cstheme="minorHAnsi"/>
          <w:lang w:val="en-MY" w:eastAsia="en-AU"/>
        </w:rPr>
        <w:t>sampling</w:t>
      </w:r>
      <w:r>
        <w:rPr>
          <w:rFonts w:cstheme="minorHAnsi"/>
          <w:lang w:val="en-MY" w:eastAsia="en-AU"/>
        </w:rPr>
        <w:t xml:space="preserve">, </w:t>
      </w:r>
      <w:r w:rsidRPr="008719B9">
        <w:rPr>
          <w:rFonts w:cstheme="minorHAnsi"/>
          <w:lang w:val="en-MY" w:eastAsia="en-AU"/>
        </w:rPr>
        <w:t>procedures used to analyse the data collected</w:t>
      </w:r>
      <w:r w:rsidR="000967F4">
        <w:rPr>
          <w:rFonts w:cstheme="minorHAnsi"/>
          <w:lang w:val="en-MY" w:eastAsia="en-AU"/>
        </w:rPr>
        <w:t xml:space="preserve">, </w:t>
      </w:r>
      <w:r>
        <w:rPr>
          <w:rFonts w:cstheme="minorHAnsi"/>
          <w:lang w:val="en-MY" w:eastAsia="en-AU"/>
        </w:rPr>
        <w:t>and approaches to s</w:t>
      </w:r>
      <w:r w:rsidRPr="008719B9">
        <w:rPr>
          <w:rFonts w:cstheme="minorHAnsi"/>
          <w:lang w:val="en-MY" w:eastAsia="en-AU"/>
        </w:rPr>
        <w:t>takeholder engagement</w:t>
      </w:r>
      <w:r w:rsidR="000967F4">
        <w:rPr>
          <w:rFonts w:cstheme="minorHAnsi"/>
          <w:lang w:val="en-MY" w:eastAsia="en-AU"/>
        </w:rPr>
        <w:t xml:space="preserve">. </w:t>
      </w:r>
      <w:r>
        <w:rPr>
          <w:rFonts w:cstheme="minorHAnsi"/>
          <w:lang w:val="en-MY" w:eastAsia="en-AU"/>
        </w:rPr>
        <w:t xml:space="preserve">The limitations associated with the methods applied and steps </w:t>
      </w:r>
      <w:r w:rsidRPr="008719B9">
        <w:rPr>
          <w:rFonts w:cstheme="minorHAnsi"/>
          <w:lang w:val="en-MY" w:eastAsia="en-AU"/>
        </w:rPr>
        <w:t>taken to mitigate those limitations</w:t>
      </w:r>
      <w:r>
        <w:rPr>
          <w:rFonts w:cstheme="minorHAnsi"/>
          <w:lang w:val="en-MY" w:eastAsia="en-AU"/>
        </w:rPr>
        <w:t xml:space="preserve"> are also identified.</w:t>
      </w:r>
    </w:p>
    <w:p w14:paraId="55D83533" w14:textId="39701EE1" w:rsidR="002D6EBD" w:rsidRPr="008719B9" w:rsidRDefault="002D6EBD" w:rsidP="008719B9">
      <w:pPr>
        <w:pStyle w:val="Heading2"/>
        <w:rPr>
          <w:rFonts w:cstheme="minorHAnsi"/>
          <w:lang w:val="en-MY" w:eastAsia="en-AU"/>
        </w:rPr>
      </w:pPr>
      <w:bookmarkStart w:id="24" w:name="_Toc150784198"/>
      <w:r w:rsidRPr="008719B9">
        <w:rPr>
          <w:rFonts w:cstheme="minorHAnsi"/>
          <w:lang w:val="en-MY" w:eastAsia="en-AU"/>
        </w:rPr>
        <w:t>Evaluation Approach</w:t>
      </w:r>
      <w:bookmarkEnd w:id="24"/>
    </w:p>
    <w:p w14:paraId="0054A98B" w14:textId="08E69B39" w:rsidR="00BD015A" w:rsidRDefault="00C62FBF" w:rsidP="002D6EBD">
      <w:pPr>
        <w:jc w:val="both"/>
        <w:rPr>
          <w:rFonts w:cstheme="minorHAnsi"/>
          <w:lang w:val="en-MY" w:eastAsia="en-AU"/>
        </w:rPr>
      </w:pPr>
      <w:r w:rsidRPr="002D6EBD">
        <w:rPr>
          <w:rFonts w:cstheme="minorHAnsi"/>
          <w:lang w:val="en-MY" w:eastAsia="en-AU"/>
        </w:rPr>
        <w:t>Keogh Bay</w:t>
      </w:r>
      <w:r w:rsidR="003A4849">
        <w:rPr>
          <w:rFonts w:cstheme="minorHAnsi"/>
          <w:lang w:val="en-MY" w:eastAsia="en-AU"/>
        </w:rPr>
        <w:t xml:space="preserve">’s </w:t>
      </w:r>
      <w:r>
        <w:rPr>
          <w:rFonts w:cstheme="minorHAnsi"/>
          <w:lang w:val="en-MY" w:eastAsia="en-AU"/>
        </w:rPr>
        <w:t xml:space="preserve">evaluation design is based on </w:t>
      </w:r>
      <w:r w:rsidRPr="002D6EBD">
        <w:rPr>
          <w:rFonts w:cstheme="minorHAnsi"/>
          <w:lang w:val="en-MY" w:eastAsia="en-AU"/>
        </w:rPr>
        <w:t>program theory in the T</w:t>
      </w:r>
      <w:r w:rsidR="003A4849">
        <w:rPr>
          <w:rFonts w:cstheme="minorHAnsi"/>
          <w:lang w:val="en-MY" w:eastAsia="en-AU"/>
        </w:rPr>
        <w:t>oC</w:t>
      </w:r>
      <w:r>
        <w:rPr>
          <w:rFonts w:cstheme="minorHAnsi"/>
          <w:lang w:val="en-MY" w:eastAsia="en-AU"/>
        </w:rPr>
        <w:t xml:space="preserve"> and Program Logic</w:t>
      </w:r>
      <w:r w:rsidR="003A4849">
        <w:rPr>
          <w:rFonts w:cstheme="minorHAnsi"/>
          <w:lang w:val="en-MY" w:eastAsia="en-AU"/>
        </w:rPr>
        <w:t>s</w:t>
      </w:r>
      <w:r>
        <w:rPr>
          <w:rFonts w:cstheme="minorHAnsi"/>
          <w:lang w:val="en-MY" w:eastAsia="en-AU"/>
        </w:rPr>
        <w:t xml:space="preserve">, which </w:t>
      </w:r>
      <w:r w:rsidRPr="002D6EBD">
        <w:rPr>
          <w:rFonts w:cstheme="minorHAnsi"/>
          <w:lang w:val="en-MY" w:eastAsia="en-AU"/>
        </w:rPr>
        <w:t>driv</w:t>
      </w:r>
      <w:r>
        <w:rPr>
          <w:rFonts w:cstheme="minorHAnsi"/>
          <w:lang w:val="en-MY" w:eastAsia="en-AU"/>
        </w:rPr>
        <w:t xml:space="preserve">es </w:t>
      </w:r>
      <w:r w:rsidRPr="002D6EBD">
        <w:rPr>
          <w:rFonts w:cstheme="minorHAnsi"/>
          <w:lang w:val="en-MY" w:eastAsia="en-AU"/>
        </w:rPr>
        <w:t xml:space="preserve">the focus of </w:t>
      </w:r>
      <w:r>
        <w:rPr>
          <w:rFonts w:cstheme="minorHAnsi"/>
          <w:lang w:val="en-MY" w:eastAsia="en-AU"/>
        </w:rPr>
        <w:t xml:space="preserve">evaluation </w:t>
      </w:r>
      <w:r w:rsidRPr="002D6EBD">
        <w:rPr>
          <w:rFonts w:cstheme="minorHAnsi"/>
          <w:lang w:val="en-MY" w:eastAsia="en-AU"/>
        </w:rPr>
        <w:t>activities. The design brings together data related to each link in the chain of logic and explores whether or not these validate the logic of the program, and whether the logic needs to evolve in light of the evidence.</w:t>
      </w:r>
      <w:r>
        <w:rPr>
          <w:rFonts w:cstheme="minorHAnsi"/>
          <w:lang w:val="en-MY" w:eastAsia="en-AU"/>
        </w:rPr>
        <w:t xml:space="preserve"> </w:t>
      </w:r>
      <w:r w:rsidRPr="00BA79E1">
        <w:rPr>
          <w:rFonts w:cstheme="minorHAnsi"/>
          <w:lang w:val="en-MY" w:eastAsia="en-AU"/>
        </w:rPr>
        <w:t>The approach to evaluation is therefore theory-based, reliant on a detailed understanding of the core through-care models proposed, to structure an analysis in terms of the appropriateness of program design, the fidelity of implementation, and the effectiveness of outputs in achieving client and societal goals.</w:t>
      </w:r>
      <w:r>
        <w:rPr>
          <w:rFonts w:cstheme="minorHAnsi"/>
          <w:lang w:val="en-MY" w:eastAsia="en-AU"/>
        </w:rPr>
        <w:t xml:space="preserve"> </w:t>
      </w:r>
    </w:p>
    <w:p w14:paraId="451E7786" w14:textId="77777777" w:rsidR="00C62FBF" w:rsidRDefault="00C62FBF" w:rsidP="002D6EBD">
      <w:pPr>
        <w:jc w:val="both"/>
        <w:rPr>
          <w:rFonts w:cstheme="minorHAnsi"/>
          <w:lang w:val="en-MY" w:eastAsia="en-AU"/>
        </w:rPr>
      </w:pPr>
    </w:p>
    <w:p w14:paraId="006D6C0A" w14:textId="2B991CF7" w:rsidR="00E52192" w:rsidRDefault="0020640D" w:rsidP="000E370E">
      <w:pPr>
        <w:jc w:val="both"/>
        <w:rPr>
          <w:rFonts w:cstheme="minorHAnsi"/>
          <w:lang w:val="en-MY" w:eastAsia="en-AU"/>
        </w:rPr>
      </w:pPr>
      <w:r w:rsidRPr="0020640D">
        <w:rPr>
          <w:rFonts w:cstheme="minorHAnsi"/>
          <w:lang w:val="en-MY" w:eastAsia="en-AU"/>
        </w:rPr>
        <w:t>Keogh Bay use</w:t>
      </w:r>
      <w:r w:rsidR="00C62FBF">
        <w:rPr>
          <w:rFonts w:cstheme="minorHAnsi"/>
          <w:lang w:val="en-MY" w:eastAsia="en-AU"/>
        </w:rPr>
        <w:t>s</w:t>
      </w:r>
      <w:r w:rsidRPr="0020640D">
        <w:rPr>
          <w:rFonts w:cstheme="minorHAnsi"/>
          <w:lang w:val="en-MY" w:eastAsia="en-AU"/>
        </w:rPr>
        <w:t xml:space="preserve"> an integrated mixed methods approach to data collection and analysis, to obtain distinct but complementary data on the topics and issues covered by the evaluation’s research questions. </w:t>
      </w:r>
      <w:r w:rsidR="00696C74">
        <w:rPr>
          <w:rFonts w:cstheme="minorHAnsi"/>
          <w:lang w:val="en-MY" w:eastAsia="en-AU"/>
        </w:rPr>
        <w:t>M</w:t>
      </w:r>
      <w:r w:rsidRPr="0020640D">
        <w:rPr>
          <w:rFonts w:cstheme="minorHAnsi"/>
          <w:lang w:val="en-MY" w:eastAsia="en-AU"/>
        </w:rPr>
        <w:t xml:space="preserve">ultiple strands of evidence </w:t>
      </w:r>
      <w:r w:rsidR="003A4849">
        <w:rPr>
          <w:rFonts w:cstheme="minorHAnsi"/>
          <w:lang w:val="en-MY" w:eastAsia="en-AU"/>
        </w:rPr>
        <w:t xml:space="preserve">are </w:t>
      </w:r>
      <w:r w:rsidRPr="0020640D">
        <w:rPr>
          <w:rFonts w:cstheme="minorHAnsi"/>
          <w:lang w:val="en-MY" w:eastAsia="en-AU"/>
        </w:rPr>
        <w:t>analysed and assessed to address each research question</w:t>
      </w:r>
      <w:r w:rsidR="00696C74">
        <w:rPr>
          <w:rFonts w:cstheme="minorHAnsi"/>
          <w:lang w:val="en-MY" w:eastAsia="en-AU"/>
        </w:rPr>
        <w:t xml:space="preserve">, with the output of each method </w:t>
      </w:r>
      <w:r w:rsidR="0099502F">
        <w:rPr>
          <w:rFonts w:cstheme="minorHAnsi"/>
          <w:lang w:val="en-MY" w:eastAsia="en-AU"/>
        </w:rPr>
        <w:t xml:space="preserve">first </w:t>
      </w:r>
      <w:r w:rsidR="00696C74">
        <w:rPr>
          <w:rFonts w:cstheme="minorHAnsi"/>
          <w:lang w:val="en-MY" w:eastAsia="en-AU"/>
        </w:rPr>
        <w:t>considered discrete</w:t>
      </w:r>
      <w:r w:rsidR="0099502F">
        <w:rPr>
          <w:rFonts w:cstheme="minorHAnsi"/>
          <w:lang w:val="en-MY" w:eastAsia="en-AU"/>
        </w:rPr>
        <w:t>ly</w:t>
      </w:r>
      <w:r w:rsidR="00696C74">
        <w:rPr>
          <w:rFonts w:cstheme="minorHAnsi"/>
          <w:lang w:val="en-MY" w:eastAsia="en-AU"/>
        </w:rPr>
        <w:t xml:space="preserve"> before being </w:t>
      </w:r>
      <w:r w:rsidR="0099502F">
        <w:rPr>
          <w:rFonts w:cstheme="minorHAnsi"/>
          <w:lang w:val="en-MY" w:eastAsia="en-AU"/>
        </w:rPr>
        <w:t>comparatively reviewed for anomalies and consistency of argument</w:t>
      </w:r>
      <w:r w:rsidRPr="0020640D">
        <w:rPr>
          <w:rFonts w:cstheme="minorHAnsi"/>
          <w:lang w:val="en-MY" w:eastAsia="en-AU"/>
        </w:rPr>
        <w:t>.</w:t>
      </w:r>
      <w:r w:rsidR="0099502F">
        <w:rPr>
          <w:rFonts w:cstheme="minorHAnsi"/>
          <w:lang w:val="en-MY" w:eastAsia="en-AU"/>
        </w:rPr>
        <w:t xml:space="preserve"> </w:t>
      </w:r>
      <w:r w:rsidR="00C62FBF" w:rsidRPr="00443C06">
        <w:rPr>
          <w:rFonts w:cstheme="minorHAnsi"/>
          <w:lang w:val="en-MY" w:eastAsia="en-AU"/>
        </w:rPr>
        <w:t xml:space="preserve">Given the emphasis on process and an analysis of the implications of process outputs for client outcomes, a broad range of evaluation stakeholders have been consulted, including management and staff of ATC and YTC services responsible for program implementation; third-party service providers and agencies (both government, Aboriginal community controlled, and other not-for-profits) providing complimentary support services in partnership with service providers; and active and recently exited clients </w:t>
      </w:r>
      <w:r w:rsidR="003A4849">
        <w:rPr>
          <w:rFonts w:cstheme="minorHAnsi"/>
          <w:lang w:val="en-MY" w:eastAsia="en-AU"/>
        </w:rPr>
        <w:t>(</w:t>
      </w:r>
      <w:r w:rsidR="00C62FBF" w:rsidRPr="00443C06">
        <w:rPr>
          <w:rFonts w:cstheme="minorHAnsi"/>
          <w:lang w:val="en-MY" w:eastAsia="en-AU"/>
        </w:rPr>
        <w:t>together with selected family or kin).</w:t>
      </w:r>
      <w:r w:rsidR="003A4849">
        <w:rPr>
          <w:rFonts w:cstheme="minorHAnsi"/>
          <w:lang w:val="en-MY" w:eastAsia="en-AU"/>
        </w:rPr>
        <w:t xml:space="preserve"> T</w:t>
      </w:r>
      <w:r w:rsidR="002D6EBD" w:rsidRPr="002D6EBD">
        <w:rPr>
          <w:rFonts w:cstheme="minorHAnsi"/>
          <w:lang w:val="en-MY" w:eastAsia="en-AU"/>
        </w:rPr>
        <w:t>he methods use</w:t>
      </w:r>
      <w:r w:rsidR="00C62FBF">
        <w:rPr>
          <w:rFonts w:cstheme="minorHAnsi"/>
          <w:lang w:val="en-MY" w:eastAsia="en-AU"/>
        </w:rPr>
        <w:t>d</w:t>
      </w:r>
      <w:r w:rsidR="002D6EBD" w:rsidRPr="002D6EBD">
        <w:rPr>
          <w:rFonts w:cstheme="minorHAnsi"/>
          <w:lang w:val="en-MY" w:eastAsia="en-AU"/>
        </w:rPr>
        <w:t xml:space="preserve"> to co</w:t>
      </w:r>
      <w:r w:rsidR="003A4849">
        <w:rPr>
          <w:rFonts w:cstheme="minorHAnsi"/>
          <w:lang w:val="en-MY" w:eastAsia="en-AU"/>
        </w:rPr>
        <w:t xml:space="preserve">llect data from these stakeholders include </w:t>
      </w:r>
      <w:r w:rsidR="002D6EBD" w:rsidRPr="002D6EBD">
        <w:rPr>
          <w:rFonts w:cstheme="minorHAnsi"/>
          <w:lang w:val="en-MY" w:eastAsia="en-AU"/>
        </w:rPr>
        <w:t>semi-structured interviews, a</w:t>
      </w:r>
      <w:r w:rsidR="003A4849">
        <w:rPr>
          <w:rFonts w:cstheme="minorHAnsi"/>
          <w:lang w:val="en-MY" w:eastAsia="en-AU"/>
        </w:rPr>
        <w:t>n online</w:t>
      </w:r>
      <w:r w:rsidR="002D6EBD" w:rsidRPr="002D6EBD">
        <w:rPr>
          <w:rFonts w:cstheme="minorHAnsi"/>
          <w:lang w:val="en-MY" w:eastAsia="en-AU"/>
        </w:rPr>
        <w:t xml:space="preserve"> survey</w:t>
      </w:r>
      <w:r w:rsidR="003A4849">
        <w:rPr>
          <w:rFonts w:cstheme="minorHAnsi"/>
          <w:lang w:val="en-MY" w:eastAsia="en-AU"/>
        </w:rPr>
        <w:t xml:space="preserve">, </w:t>
      </w:r>
      <w:r w:rsidR="002D6EBD" w:rsidRPr="002D6EBD">
        <w:rPr>
          <w:rFonts w:cstheme="minorHAnsi"/>
          <w:lang w:val="en-MY" w:eastAsia="en-AU"/>
        </w:rPr>
        <w:t xml:space="preserve">and desktop review and analysis of available program documentation and data sets. </w:t>
      </w:r>
      <w:r w:rsidR="00443C06" w:rsidRPr="002D6EBD">
        <w:rPr>
          <w:rFonts w:cstheme="minorHAnsi"/>
          <w:lang w:val="en-MY" w:eastAsia="en-AU"/>
        </w:rPr>
        <w:t xml:space="preserve">Keogh Bay has developed a data matrix </w:t>
      </w:r>
      <w:r w:rsidR="00C62FBF">
        <w:rPr>
          <w:rFonts w:cstheme="minorHAnsi"/>
          <w:lang w:val="en-MY" w:eastAsia="en-AU"/>
        </w:rPr>
        <w:t xml:space="preserve">(Appendix A) </w:t>
      </w:r>
      <w:r w:rsidR="00443C06" w:rsidRPr="002D6EBD">
        <w:rPr>
          <w:rFonts w:cstheme="minorHAnsi"/>
          <w:lang w:val="en-MY" w:eastAsia="en-AU"/>
        </w:rPr>
        <w:t>as the basis for structuring the research project, providing alignment between evaluatio</w:t>
      </w:r>
      <w:r w:rsidR="003A4849">
        <w:rPr>
          <w:rFonts w:cstheme="minorHAnsi"/>
          <w:lang w:val="en-MY" w:eastAsia="en-AU"/>
        </w:rPr>
        <w:t>n</w:t>
      </w:r>
      <w:r w:rsidR="00443C06" w:rsidRPr="002D6EBD">
        <w:rPr>
          <w:rFonts w:cstheme="minorHAnsi"/>
          <w:lang w:val="en-MY" w:eastAsia="en-AU"/>
        </w:rPr>
        <w:t>, questions and data requirements, and their sources and research methods</w:t>
      </w:r>
      <w:r w:rsidR="00C62FBF" w:rsidRPr="002D6EBD">
        <w:rPr>
          <w:rFonts w:cstheme="minorHAnsi"/>
          <w:lang w:val="en-MY" w:eastAsia="en-AU"/>
        </w:rPr>
        <w:t>.</w:t>
      </w:r>
    </w:p>
    <w:p w14:paraId="40E7722E" w14:textId="77777777" w:rsidR="00E52192" w:rsidRDefault="00E52192" w:rsidP="000E370E">
      <w:pPr>
        <w:jc w:val="both"/>
        <w:rPr>
          <w:rFonts w:cstheme="minorHAnsi"/>
          <w:lang w:val="en-MY" w:eastAsia="en-AU"/>
        </w:rPr>
      </w:pPr>
    </w:p>
    <w:p w14:paraId="6CF367FE" w14:textId="7723797C" w:rsidR="007D4EC6" w:rsidRDefault="0020640D" w:rsidP="00942A5E">
      <w:pPr>
        <w:jc w:val="both"/>
        <w:rPr>
          <w:rFonts w:cstheme="minorHAnsi"/>
          <w:lang w:val="en-MY" w:eastAsia="en-AU"/>
        </w:rPr>
      </w:pPr>
      <w:r w:rsidRPr="0020640D">
        <w:rPr>
          <w:rFonts w:cstheme="minorHAnsi"/>
          <w:lang w:val="en-MY" w:eastAsia="en-AU"/>
        </w:rPr>
        <w:t xml:space="preserve">Thematic and statistical analysis </w:t>
      </w:r>
      <w:r w:rsidR="00C62FBF">
        <w:rPr>
          <w:rFonts w:cstheme="minorHAnsi"/>
          <w:lang w:val="en-MY" w:eastAsia="en-AU"/>
        </w:rPr>
        <w:t xml:space="preserve">is </w:t>
      </w:r>
      <w:r w:rsidRPr="0020640D">
        <w:rPr>
          <w:rFonts w:cstheme="minorHAnsi"/>
          <w:lang w:val="en-MY" w:eastAsia="en-AU"/>
        </w:rPr>
        <w:t>used to explore the qualitative and quantitative data collected.</w:t>
      </w:r>
      <w:r w:rsidR="00177DB8">
        <w:rPr>
          <w:rFonts w:cstheme="minorHAnsi"/>
          <w:lang w:val="en-MY" w:eastAsia="en-AU"/>
        </w:rPr>
        <w:t xml:space="preserve"> With respect to quantitative data, this included initial </w:t>
      </w:r>
      <w:r w:rsidR="00177DB8" w:rsidRPr="00942A5E">
        <w:rPr>
          <w:rFonts w:cstheme="minorHAnsi"/>
          <w:lang w:val="en-MY" w:eastAsia="en-AU"/>
        </w:rPr>
        <w:t xml:space="preserve">exploratory </w:t>
      </w:r>
      <w:r w:rsidR="00177DB8">
        <w:rPr>
          <w:rFonts w:cstheme="minorHAnsi"/>
          <w:lang w:val="en-MY" w:eastAsia="en-AU"/>
        </w:rPr>
        <w:t xml:space="preserve">analysis </w:t>
      </w:r>
      <w:r w:rsidR="00E52192">
        <w:rPr>
          <w:rFonts w:cstheme="minorHAnsi"/>
          <w:lang w:val="en-MY" w:eastAsia="en-AU"/>
        </w:rPr>
        <w:t xml:space="preserve">of Performance Reports </w:t>
      </w:r>
      <w:r w:rsidR="00177DB8" w:rsidRPr="00942A5E">
        <w:rPr>
          <w:rFonts w:cstheme="minorHAnsi"/>
          <w:lang w:val="en-MY" w:eastAsia="en-AU"/>
        </w:rPr>
        <w:t>to identify any issues</w:t>
      </w:r>
      <w:r w:rsidR="00177DB8">
        <w:rPr>
          <w:rFonts w:cstheme="minorHAnsi"/>
          <w:lang w:val="en-MY" w:eastAsia="en-AU"/>
        </w:rPr>
        <w:t xml:space="preserve"> </w:t>
      </w:r>
      <w:r w:rsidR="00177DB8" w:rsidRPr="00942A5E">
        <w:rPr>
          <w:rFonts w:cstheme="minorHAnsi"/>
          <w:lang w:val="en-MY" w:eastAsia="en-AU"/>
        </w:rPr>
        <w:t>with the underlying data (e.g. outliers</w:t>
      </w:r>
      <w:r w:rsidR="00177DB8">
        <w:rPr>
          <w:rFonts w:cstheme="minorHAnsi"/>
          <w:lang w:val="en-MY" w:eastAsia="en-AU"/>
        </w:rPr>
        <w:t xml:space="preserve">, or changes </w:t>
      </w:r>
      <w:r w:rsidR="00177DB8" w:rsidRPr="00942A5E">
        <w:rPr>
          <w:rFonts w:cstheme="minorHAnsi"/>
          <w:lang w:val="en-MY" w:eastAsia="en-AU"/>
        </w:rPr>
        <w:t>in data item definitions</w:t>
      </w:r>
      <w:r w:rsidR="00177DB8">
        <w:rPr>
          <w:rFonts w:cstheme="minorHAnsi"/>
          <w:lang w:val="en-MY" w:eastAsia="en-AU"/>
        </w:rPr>
        <w:t xml:space="preserve"> and time periods)</w:t>
      </w:r>
      <w:r w:rsidR="00E52192">
        <w:rPr>
          <w:rFonts w:cstheme="minorHAnsi"/>
          <w:lang w:val="en-MY" w:eastAsia="en-AU"/>
        </w:rPr>
        <w:t xml:space="preserve">, </w:t>
      </w:r>
      <w:r w:rsidR="00177DB8">
        <w:rPr>
          <w:rFonts w:cstheme="minorHAnsi"/>
          <w:lang w:val="en-MY" w:eastAsia="en-AU"/>
        </w:rPr>
        <w:t>followed by d</w:t>
      </w:r>
      <w:r w:rsidR="00942A5E" w:rsidRPr="00942A5E">
        <w:rPr>
          <w:rFonts w:cstheme="minorHAnsi"/>
          <w:lang w:val="en-MY" w:eastAsia="en-AU"/>
        </w:rPr>
        <w:t xml:space="preserve">escriptive </w:t>
      </w:r>
      <w:r w:rsidR="00177DB8">
        <w:rPr>
          <w:rFonts w:cstheme="minorHAnsi"/>
          <w:lang w:val="en-MY" w:eastAsia="en-AU"/>
        </w:rPr>
        <w:t xml:space="preserve">statistical </w:t>
      </w:r>
      <w:r w:rsidR="00942A5E" w:rsidRPr="00942A5E">
        <w:rPr>
          <w:rFonts w:cstheme="minorHAnsi"/>
          <w:lang w:val="en-MY" w:eastAsia="en-AU"/>
        </w:rPr>
        <w:t>analys</w:t>
      </w:r>
      <w:r w:rsidR="00177DB8">
        <w:rPr>
          <w:rFonts w:cstheme="minorHAnsi"/>
          <w:lang w:val="en-MY" w:eastAsia="en-AU"/>
        </w:rPr>
        <w:t xml:space="preserve">is </w:t>
      </w:r>
      <w:r w:rsidR="00942A5E" w:rsidRPr="00942A5E">
        <w:rPr>
          <w:rFonts w:cstheme="minorHAnsi"/>
          <w:lang w:val="en-MY" w:eastAsia="en-AU"/>
        </w:rPr>
        <w:t xml:space="preserve">to understand the initial </w:t>
      </w:r>
      <w:r w:rsidR="00E52192">
        <w:rPr>
          <w:rFonts w:cstheme="minorHAnsi"/>
          <w:lang w:val="en-MY" w:eastAsia="en-AU"/>
        </w:rPr>
        <w:t xml:space="preserve">data </w:t>
      </w:r>
      <w:r w:rsidR="00942A5E" w:rsidRPr="00942A5E">
        <w:rPr>
          <w:rFonts w:cstheme="minorHAnsi"/>
          <w:lang w:val="en-MY" w:eastAsia="en-AU"/>
        </w:rPr>
        <w:t>outputs</w:t>
      </w:r>
      <w:r w:rsidR="00E52192">
        <w:rPr>
          <w:rFonts w:cstheme="minorHAnsi"/>
          <w:lang w:val="en-MY" w:eastAsia="en-AU"/>
        </w:rPr>
        <w:t xml:space="preserve">. Where </w:t>
      </w:r>
      <w:r w:rsidR="00177DB8">
        <w:rPr>
          <w:rFonts w:cstheme="minorHAnsi"/>
          <w:lang w:val="en-MY" w:eastAsia="en-AU"/>
        </w:rPr>
        <w:t>sufficient data was available</w:t>
      </w:r>
      <w:r w:rsidR="00E52192">
        <w:rPr>
          <w:rFonts w:cstheme="minorHAnsi"/>
          <w:lang w:val="en-MY" w:eastAsia="en-AU"/>
        </w:rPr>
        <w:t xml:space="preserve">, </w:t>
      </w:r>
      <w:r w:rsidR="00177DB8">
        <w:rPr>
          <w:rFonts w:cstheme="minorHAnsi"/>
          <w:lang w:val="en-MY" w:eastAsia="en-AU"/>
        </w:rPr>
        <w:t>further</w:t>
      </w:r>
      <w:r w:rsidR="00E52192">
        <w:rPr>
          <w:rFonts w:cstheme="minorHAnsi"/>
          <w:lang w:val="en-MY" w:eastAsia="en-AU"/>
        </w:rPr>
        <w:t xml:space="preserve"> </w:t>
      </w:r>
      <w:r w:rsidR="00942A5E" w:rsidRPr="00942A5E">
        <w:rPr>
          <w:rFonts w:cstheme="minorHAnsi"/>
          <w:lang w:val="en-MY" w:eastAsia="en-AU"/>
        </w:rPr>
        <w:t>time</w:t>
      </w:r>
      <w:r w:rsidR="00177DB8">
        <w:rPr>
          <w:rFonts w:cstheme="minorHAnsi"/>
          <w:lang w:val="en-MY" w:eastAsia="en-AU"/>
        </w:rPr>
        <w:t>-</w:t>
      </w:r>
      <w:r w:rsidR="00942A5E" w:rsidRPr="00942A5E">
        <w:rPr>
          <w:rFonts w:cstheme="minorHAnsi"/>
          <w:lang w:val="en-MY" w:eastAsia="en-AU"/>
        </w:rPr>
        <w:t xml:space="preserve">series </w:t>
      </w:r>
      <w:r w:rsidR="00177DB8">
        <w:rPr>
          <w:rFonts w:cstheme="minorHAnsi"/>
          <w:lang w:val="en-MY" w:eastAsia="en-AU"/>
        </w:rPr>
        <w:t>analysis was undertaken</w:t>
      </w:r>
      <w:r w:rsidR="00E52192">
        <w:rPr>
          <w:rFonts w:cstheme="minorHAnsi"/>
          <w:lang w:val="en-MY" w:eastAsia="en-AU"/>
        </w:rPr>
        <w:t xml:space="preserve">, with efforts </w:t>
      </w:r>
      <w:r w:rsidR="00942A5E" w:rsidRPr="00942A5E">
        <w:rPr>
          <w:rFonts w:cstheme="minorHAnsi"/>
          <w:lang w:val="en-MY" w:eastAsia="en-AU"/>
        </w:rPr>
        <w:t xml:space="preserve">to contextualise data and make inferences with reference to publicly available data sources (e.g. integrating </w:t>
      </w:r>
      <w:r w:rsidR="00E52192">
        <w:rPr>
          <w:rFonts w:cstheme="minorHAnsi"/>
          <w:lang w:val="en-MY" w:eastAsia="en-AU"/>
        </w:rPr>
        <w:t>nationally collated AIHW and Productivity Commission data). With respect to q</w:t>
      </w:r>
      <w:r w:rsidR="00942A5E" w:rsidRPr="00942A5E">
        <w:rPr>
          <w:rFonts w:cstheme="minorHAnsi"/>
          <w:lang w:val="en-MY" w:eastAsia="en-AU"/>
        </w:rPr>
        <w:t>ualitative data</w:t>
      </w:r>
      <w:r w:rsidR="00E52192">
        <w:rPr>
          <w:rFonts w:cstheme="minorHAnsi"/>
          <w:lang w:val="en-MY" w:eastAsia="en-AU"/>
        </w:rPr>
        <w:t xml:space="preserve"> from interviews, this was</w:t>
      </w:r>
      <w:r w:rsidR="00942A5E" w:rsidRPr="00942A5E">
        <w:rPr>
          <w:rFonts w:cstheme="minorHAnsi"/>
          <w:lang w:val="en-MY" w:eastAsia="en-AU"/>
        </w:rPr>
        <w:t xml:space="preserve"> analysed thematically to identify patterns and key findings </w:t>
      </w:r>
      <w:r w:rsidR="00E52192">
        <w:rPr>
          <w:rFonts w:cstheme="minorHAnsi"/>
          <w:lang w:val="en-MY" w:eastAsia="en-AU"/>
        </w:rPr>
        <w:t xml:space="preserve">using a </w:t>
      </w:r>
      <w:r w:rsidR="00942A5E" w:rsidRPr="00942A5E">
        <w:rPr>
          <w:rFonts w:cstheme="minorHAnsi"/>
          <w:lang w:val="en-MY" w:eastAsia="en-AU"/>
        </w:rPr>
        <w:t>re</w:t>
      </w:r>
      <w:r w:rsidR="00E52192">
        <w:rPr>
          <w:rFonts w:cstheme="minorHAnsi"/>
          <w:lang w:val="en-MY" w:eastAsia="en-AU"/>
        </w:rPr>
        <w:t xml:space="preserve">ference framework </w:t>
      </w:r>
      <w:r w:rsidR="00260F7C">
        <w:rPr>
          <w:rFonts w:cstheme="minorHAnsi"/>
          <w:lang w:val="en-MY" w:eastAsia="en-AU"/>
        </w:rPr>
        <w:t xml:space="preserve">aligned to </w:t>
      </w:r>
      <w:r w:rsidR="00E52192">
        <w:rPr>
          <w:rFonts w:cstheme="minorHAnsi"/>
          <w:lang w:val="en-MY" w:eastAsia="en-AU"/>
        </w:rPr>
        <w:t>the evaluation data matrix at Appendix A</w:t>
      </w:r>
      <w:r w:rsidR="00260F7C">
        <w:rPr>
          <w:rFonts w:cstheme="minorHAnsi"/>
          <w:lang w:val="en-MY" w:eastAsia="en-AU"/>
        </w:rPr>
        <w:t xml:space="preserve"> and the relevant interview data collection tool</w:t>
      </w:r>
      <w:r w:rsidR="00942A5E" w:rsidRPr="00942A5E">
        <w:rPr>
          <w:rFonts w:cstheme="minorHAnsi"/>
          <w:lang w:val="en-MY" w:eastAsia="en-AU"/>
        </w:rPr>
        <w:t>.</w:t>
      </w:r>
      <w:r w:rsidR="00E52192">
        <w:rPr>
          <w:rFonts w:cstheme="minorHAnsi"/>
          <w:lang w:val="en-MY" w:eastAsia="en-AU"/>
        </w:rPr>
        <w:t xml:space="preserve"> </w:t>
      </w:r>
      <w:r w:rsidR="00260F7C">
        <w:rPr>
          <w:rFonts w:cstheme="minorHAnsi"/>
          <w:lang w:val="en-MY" w:eastAsia="en-AU"/>
        </w:rPr>
        <w:t>The codes used in this framework were jointly</w:t>
      </w:r>
      <w:r w:rsidR="00802171" w:rsidRPr="00802171">
        <w:rPr>
          <w:rFonts w:cstheme="minorHAnsi"/>
          <w:lang w:val="en-MY" w:eastAsia="en-AU"/>
        </w:rPr>
        <w:t xml:space="preserve"> developed by </w:t>
      </w:r>
      <w:r w:rsidR="00260F7C">
        <w:rPr>
          <w:rFonts w:cstheme="minorHAnsi"/>
          <w:lang w:val="en-MY" w:eastAsia="en-AU"/>
        </w:rPr>
        <w:t xml:space="preserve">the Keogh Bay </w:t>
      </w:r>
      <w:r w:rsidR="00802171" w:rsidRPr="00802171">
        <w:rPr>
          <w:rFonts w:cstheme="minorHAnsi"/>
          <w:lang w:val="en-MY" w:eastAsia="en-AU"/>
        </w:rPr>
        <w:t>researchers involved</w:t>
      </w:r>
      <w:r w:rsidR="00260F7C">
        <w:rPr>
          <w:rFonts w:cstheme="minorHAnsi"/>
          <w:lang w:val="en-MY" w:eastAsia="en-AU"/>
        </w:rPr>
        <w:t xml:space="preserve"> in undertaking the research interviews, with notes from stakeholder interviews organised according to the underlying </w:t>
      </w:r>
      <w:r w:rsidR="00802171" w:rsidRPr="00802171">
        <w:rPr>
          <w:rFonts w:cstheme="minorHAnsi"/>
          <w:lang w:val="en-MY" w:eastAsia="en-AU"/>
        </w:rPr>
        <w:t>framework.</w:t>
      </w:r>
      <w:r w:rsidR="00260F7C">
        <w:rPr>
          <w:rFonts w:cstheme="minorHAnsi"/>
          <w:lang w:val="en-MY" w:eastAsia="en-AU"/>
        </w:rPr>
        <w:t xml:space="preserve"> </w:t>
      </w:r>
      <w:r w:rsidR="00802171" w:rsidRPr="00802171">
        <w:rPr>
          <w:rFonts w:cstheme="minorHAnsi"/>
          <w:lang w:val="en-MY" w:eastAsia="en-AU"/>
        </w:rPr>
        <w:t xml:space="preserve">During the analysis process, codes </w:t>
      </w:r>
      <w:r w:rsidR="00E952A7">
        <w:rPr>
          <w:rFonts w:cstheme="minorHAnsi"/>
          <w:lang w:val="en-MY" w:eastAsia="en-AU"/>
        </w:rPr>
        <w:t xml:space="preserve">and associated themes were </w:t>
      </w:r>
      <w:r w:rsidR="00802171" w:rsidRPr="00802171">
        <w:rPr>
          <w:rFonts w:cstheme="minorHAnsi"/>
          <w:lang w:val="en-MY" w:eastAsia="en-AU"/>
        </w:rPr>
        <w:t>grouped into clusters around interrelated ideas or concepts</w:t>
      </w:r>
      <w:r w:rsidR="00260F7C">
        <w:rPr>
          <w:rFonts w:cstheme="minorHAnsi"/>
          <w:lang w:val="en-MY" w:eastAsia="en-AU"/>
        </w:rPr>
        <w:t xml:space="preserve">, including </w:t>
      </w:r>
      <w:r w:rsidR="00E952A7">
        <w:rPr>
          <w:rFonts w:cstheme="minorHAnsi"/>
          <w:lang w:val="en-MY" w:eastAsia="en-AU"/>
        </w:rPr>
        <w:t>‘</w:t>
      </w:r>
      <w:r w:rsidR="00260F7C">
        <w:rPr>
          <w:rFonts w:cstheme="minorHAnsi"/>
          <w:lang w:val="en-MY" w:eastAsia="en-AU"/>
        </w:rPr>
        <w:t>what is working well</w:t>
      </w:r>
      <w:r w:rsidR="00E952A7">
        <w:rPr>
          <w:rFonts w:cstheme="minorHAnsi"/>
          <w:lang w:val="en-MY" w:eastAsia="en-AU"/>
        </w:rPr>
        <w:t>’</w:t>
      </w:r>
      <w:r w:rsidR="00260F7C">
        <w:rPr>
          <w:rFonts w:cstheme="minorHAnsi"/>
          <w:lang w:val="en-MY" w:eastAsia="en-AU"/>
        </w:rPr>
        <w:t xml:space="preserve">, </w:t>
      </w:r>
      <w:r w:rsidR="00E952A7">
        <w:rPr>
          <w:rFonts w:cstheme="minorHAnsi"/>
          <w:lang w:val="en-MY" w:eastAsia="en-AU"/>
        </w:rPr>
        <w:t>‘</w:t>
      </w:r>
      <w:r w:rsidR="00260F7C">
        <w:rPr>
          <w:rFonts w:cstheme="minorHAnsi"/>
          <w:lang w:val="en-MY" w:eastAsia="en-AU"/>
        </w:rPr>
        <w:t>what isn’t working well</w:t>
      </w:r>
      <w:r w:rsidR="00E952A7">
        <w:rPr>
          <w:rFonts w:cstheme="minorHAnsi"/>
          <w:lang w:val="en-MY" w:eastAsia="en-AU"/>
        </w:rPr>
        <w:t>’</w:t>
      </w:r>
      <w:r w:rsidR="00260F7C">
        <w:rPr>
          <w:rFonts w:cstheme="minorHAnsi"/>
          <w:lang w:val="en-MY" w:eastAsia="en-AU"/>
        </w:rPr>
        <w:t xml:space="preserve">, </w:t>
      </w:r>
      <w:r w:rsidR="00E952A7">
        <w:rPr>
          <w:rFonts w:cstheme="minorHAnsi"/>
          <w:lang w:val="en-MY" w:eastAsia="en-AU"/>
        </w:rPr>
        <w:t>‘</w:t>
      </w:r>
      <w:r w:rsidR="007D4EC6" w:rsidRPr="007D4EC6">
        <w:rPr>
          <w:rFonts w:cstheme="minorHAnsi"/>
          <w:lang w:val="en-MY" w:eastAsia="en-AU"/>
        </w:rPr>
        <w:t xml:space="preserve">barriers </w:t>
      </w:r>
      <w:r w:rsidR="00260F7C">
        <w:rPr>
          <w:rFonts w:cstheme="minorHAnsi"/>
          <w:lang w:val="en-MY" w:eastAsia="en-AU"/>
        </w:rPr>
        <w:t>and enablers for success</w:t>
      </w:r>
      <w:r w:rsidR="00E952A7">
        <w:rPr>
          <w:rFonts w:cstheme="minorHAnsi"/>
          <w:lang w:val="en-MY" w:eastAsia="en-AU"/>
        </w:rPr>
        <w:t>’</w:t>
      </w:r>
      <w:r w:rsidR="00260F7C">
        <w:rPr>
          <w:rFonts w:cstheme="minorHAnsi"/>
          <w:lang w:val="en-MY" w:eastAsia="en-AU"/>
        </w:rPr>
        <w:t xml:space="preserve">, and </w:t>
      </w:r>
      <w:r w:rsidR="00E952A7">
        <w:rPr>
          <w:rFonts w:cstheme="minorHAnsi"/>
          <w:lang w:val="en-MY" w:eastAsia="en-AU"/>
        </w:rPr>
        <w:t>‘</w:t>
      </w:r>
      <w:r w:rsidR="00260F7C">
        <w:rPr>
          <w:rFonts w:cstheme="minorHAnsi"/>
          <w:lang w:val="en-MY" w:eastAsia="en-AU"/>
        </w:rPr>
        <w:t>the client experience</w:t>
      </w:r>
      <w:r w:rsidR="00E952A7">
        <w:rPr>
          <w:rFonts w:cstheme="minorHAnsi"/>
          <w:lang w:val="en-MY" w:eastAsia="en-AU"/>
        </w:rPr>
        <w:t>’</w:t>
      </w:r>
      <w:r w:rsidR="007D4EC6" w:rsidRPr="007D4EC6">
        <w:rPr>
          <w:rFonts w:cstheme="minorHAnsi"/>
          <w:lang w:val="en-MY" w:eastAsia="en-AU"/>
        </w:rPr>
        <w:t>.</w:t>
      </w:r>
    </w:p>
    <w:p w14:paraId="702A12B8" w14:textId="77777777" w:rsidR="00942A5E" w:rsidRDefault="00942A5E" w:rsidP="000E370E">
      <w:pPr>
        <w:jc w:val="both"/>
        <w:rPr>
          <w:rFonts w:cstheme="minorHAnsi"/>
          <w:lang w:val="en-MY" w:eastAsia="en-AU"/>
        </w:rPr>
      </w:pPr>
    </w:p>
    <w:p w14:paraId="1A914470" w14:textId="4AA5E813" w:rsidR="0020640D" w:rsidRDefault="002D6EBD" w:rsidP="000E370E">
      <w:pPr>
        <w:jc w:val="both"/>
        <w:rPr>
          <w:rFonts w:cstheme="minorHAnsi"/>
          <w:lang w:val="en-MY" w:eastAsia="en-AU"/>
        </w:rPr>
      </w:pPr>
      <w:r w:rsidRPr="002D6EBD">
        <w:rPr>
          <w:rFonts w:cstheme="minorHAnsi"/>
          <w:lang w:val="en-MY" w:eastAsia="en-AU"/>
        </w:rPr>
        <w:t xml:space="preserve">The use of a control group – such as an Australian region or jurisdiction that does not deliver an NIAA funded through care program, or a cohort of individuals who have experienced a period of detention but have not participated in a through-care program - has been intentionally rejected for reasons including the absence of a comparable program logic (against which logical inferences can be assessed) and the practical infeasibility of being able to secure the participation of such groups (where neither NIAA or the participating service providers have relevant relationships and the necessary incentives </w:t>
      </w:r>
      <w:r w:rsidR="003A4849">
        <w:rPr>
          <w:rFonts w:cstheme="minorHAnsi"/>
          <w:lang w:val="en-MY" w:eastAsia="en-AU"/>
        </w:rPr>
        <w:t xml:space="preserve">to participate </w:t>
      </w:r>
      <w:r w:rsidRPr="002D6EBD">
        <w:rPr>
          <w:rFonts w:cstheme="minorHAnsi"/>
          <w:lang w:val="en-MY" w:eastAsia="en-AU"/>
        </w:rPr>
        <w:t>are lacking).</w:t>
      </w:r>
    </w:p>
    <w:p w14:paraId="112C88C2" w14:textId="77777777" w:rsidR="002F6224" w:rsidRDefault="00443C06" w:rsidP="002F6224">
      <w:pPr>
        <w:pStyle w:val="SUBHEAD2"/>
        <w:rPr>
          <w:rFonts w:asciiTheme="minorHAnsi" w:hAnsiTheme="minorHAnsi" w:cstheme="minorHAnsi"/>
          <w:lang w:val="en-MY" w:eastAsia="en-AU"/>
        </w:rPr>
      </w:pPr>
      <w:r w:rsidRPr="00443C06">
        <w:rPr>
          <w:rFonts w:asciiTheme="minorHAnsi" w:hAnsiTheme="minorHAnsi" w:cstheme="minorHAnsi"/>
          <w:lang w:val="en-MY" w:eastAsia="en-AU"/>
        </w:rPr>
        <w:t>Evaluation</w:t>
      </w:r>
      <w:r w:rsidR="002D6EBD" w:rsidRPr="00443C06">
        <w:rPr>
          <w:rFonts w:asciiTheme="minorHAnsi" w:hAnsiTheme="minorHAnsi" w:cstheme="minorHAnsi"/>
          <w:lang w:val="en-MY" w:eastAsia="en-AU"/>
        </w:rPr>
        <w:t xml:space="preserve"> Principles</w:t>
      </w:r>
    </w:p>
    <w:p w14:paraId="4BCCA69A" w14:textId="1609CDE5" w:rsidR="00760B84" w:rsidRPr="002F6224" w:rsidRDefault="00443C06" w:rsidP="00AB7135">
      <w:pPr>
        <w:spacing w:before="120" w:after="120"/>
        <w:jc w:val="both"/>
        <w:rPr>
          <w:b/>
          <w:smallCaps/>
          <w:lang w:val="en-MY" w:eastAsia="en-AU"/>
        </w:rPr>
      </w:pPr>
      <w:r w:rsidRPr="002F6224">
        <w:rPr>
          <w:lang w:val="en-MY" w:eastAsia="en-AU"/>
        </w:rPr>
        <w:t xml:space="preserve">Keogh Bay is a Supply Nation registered, part Indigenous-owned consultancy that acknowledges and respects the right of Indigenous peoples to be involved in and provide leadership </w:t>
      </w:r>
      <w:r w:rsidR="00760B84" w:rsidRPr="002F6224">
        <w:rPr>
          <w:lang w:val="en-MY" w:eastAsia="en-AU"/>
        </w:rPr>
        <w:t xml:space="preserve">over </w:t>
      </w:r>
      <w:r w:rsidRPr="002F6224">
        <w:rPr>
          <w:lang w:val="en-MY" w:eastAsia="en-AU"/>
        </w:rPr>
        <w:t>research that affects them.</w:t>
      </w:r>
      <w:r w:rsidR="00760B84" w:rsidRPr="002F6224">
        <w:rPr>
          <w:lang w:val="en-MY" w:eastAsia="en-AU"/>
        </w:rPr>
        <w:t xml:space="preserve"> We have acknowledged the diversity of Indigenous through-care clients, their family and kin, by materially investing the greater part of consultation effort in discussions with this stakeholder group, both in recognition of the right of these voices to be prioritised, and out of re</w:t>
      </w:r>
      <w:r w:rsidR="00B113E2" w:rsidRPr="002F6224">
        <w:rPr>
          <w:lang w:val="en-MY" w:eastAsia="en-AU"/>
        </w:rPr>
        <w:t xml:space="preserve">cognition </w:t>
      </w:r>
      <w:r w:rsidR="00760B84" w:rsidRPr="002F6224">
        <w:rPr>
          <w:lang w:val="en-MY" w:eastAsia="en-AU"/>
        </w:rPr>
        <w:t xml:space="preserve">for the diversity of perspectives given an individual's experience of age, gender or country. Through-care service providers, including </w:t>
      </w:r>
      <w:r w:rsidR="00B113E2" w:rsidRPr="002F6224">
        <w:rPr>
          <w:lang w:val="en-MY" w:eastAsia="en-AU"/>
        </w:rPr>
        <w:t>a majority Indigenous management</w:t>
      </w:r>
      <w:r w:rsidR="00760B84" w:rsidRPr="002F6224">
        <w:rPr>
          <w:lang w:val="en-MY" w:eastAsia="en-AU"/>
        </w:rPr>
        <w:t xml:space="preserve">, were also consulted </w:t>
      </w:r>
      <w:r w:rsidR="003A4849" w:rsidRPr="002F6224">
        <w:rPr>
          <w:lang w:val="en-MY" w:eastAsia="en-AU"/>
        </w:rPr>
        <w:t xml:space="preserve">during </w:t>
      </w:r>
      <w:r w:rsidR="00760B84" w:rsidRPr="002F6224">
        <w:rPr>
          <w:lang w:val="en-MY" w:eastAsia="en-AU"/>
        </w:rPr>
        <w:t xml:space="preserve">the evaluation’s design, with early contact made by researchers to introduce the project, discuss data collection methods and agree on respective roles and responsibilities with respect to stakeholder engagement. </w:t>
      </w:r>
    </w:p>
    <w:p w14:paraId="10A531C0" w14:textId="6B3DB069" w:rsidR="002D6EBD" w:rsidRPr="002D6EBD" w:rsidRDefault="002D6EBD" w:rsidP="002D6EBD">
      <w:pPr>
        <w:jc w:val="both"/>
        <w:rPr>
          <w:rFonts w:cstheme="minorHAnsi"/>
          <w:lang w:val="en-MY" w:eastAsia="en-AU"/>
        </w:rPr>
      </w:pPr>
      <w:r w:rsidRPr="002D6EBD">
        <w:rPr>
          <w:rFonts w:cstheme="minorHAnsi"/>
          <w:lang w:val="en-MY" w:eastAsia="en-AU"/>
        </w:rPr>
        <w:t>Key principles which underpin Keogh Bay’s approach to planning and conducting the evaluation in a way that is culturally secure, ethical</w:t>
      </w:r>
      <w:r w:rsidR="00760B84">
        <w:rPr>
          <w:rFonts w:cstheme="minorHAnsi"/>
          <w:lang w:val="en-MY" w:eastAsia="en-AU"/>
        </w:rPr>
        <w:t xml:space="preserve"> and </w:t>
      </w:r>
      <w:r w:rsidRPr="002D6EBD">
        <w:rPr>
          <w:rFonts w:cstheme="minorHAnsi"/>
          <w:lang w:val="en-MY" w:eastAsia="en-AU"/>
        </w:rPr>
        <w:t>robust, are detailed below</w:t>
      </w:r>
      <w:r w:rsidR="003A4849">
        <w:rPr>
          <w:rFonts w:cstheme="minorHAnsi"/>
          <w:lang w:val="en-MY" w:eastAsia="en-AU"/>
        </w:rPr>
        <w:t>.</w:t>
      </w:r>
    </w:p>
    <w:p w14:paraId="0C6F13AF" w14:textId="77777777" w:rsidR="00443C06" w:rsidRDefault="00443C06" w:rsidP="002D6EBD">
      <w:pPr>
        <w:jc w:val="both"/>
        <w:rPr>
          <w:rFonts w:cstheme="minorHAnsi"/>
          <w:lang w:val="en-MY" w:eastAsia="en-AU"/>
        </w:rPr>
      </w:pPr>
    </w:p>
    <w:p w14:paraId="40A8B516" w14:textId="522D9EAA" w:rsidR="00443C06" w:rsidRPr="00B113E2" w:rsidRDefault="00F7298B" w:rsidP="00B77817">
      <w:pPr>
        <w:pStyle w:val="ListParagraph"/>
        <w:numPr>
          <w:ilvl w:val="0"/>
          <w:numId w:val="67"/>
        </w:numPr>
        <w:jc w:val="both"/>
        <w:rPr>
          <w:rFonts w:cstheme="minorHAnsi"/>
          <w:lang w:val="en-MY" w:eastAsia="en-AU"/>
        </w:rPr>
      </w:pPr>
      <w:r>
        <w:rPr>
          <w:rFonts w:cstheme="minorHAnsi"/>
          <w:b/>
          <w:bCs/>
          <w:lang w:val="en-MY" w:eastAsia="en-AU"/>
        </w:rPr>
        <w:t>A</w:t>
      </w:r>
      <w:r w:rsidR="002D6EBD" w:rsidRPr="00B113E2">
        <w:rPr>
          <w:rFonts w:cstheme="minorHAnsi"/>
          <w:b/>
          <w:bCs/>
          <w:lang w:val="en-MY" w:eastAsia="en-AU"/>
        </w:rPr>
        <w:t xml:space="preserve"> respectful, culturally secure approach</w:t>
      </w:r>
      <w:r w:rsidR="00B113E2">
        <w:rPr>
          <w:rFonts w:cstheme="minorHAnsi"/>
          <w:b/>
          <w:bCs/>
          <w:lang w:val="en-MY" w:eastAsia="en-AU"/>
        </w:rPr>
        <w:t xml:space="preserve">: </w:t>
      </w:r>
      <w:r w:rsidR="002D6EBD" w:rsidRPr="003B75A9">
        <w:rPr>
          <w:rFonts w:cstheme="minorHAnsi"/>
          <w:lang w:val="en-MY" w:eastAsia="en-AU"/>
        </w:rPr>
        <w:t>Achieved by the leadership and inclusion of Keogh Bay’s Indigenous staff in all stages of the project design; conduct of consultations with client</w:t>
      </w:r>
      <w:r w:rsidR="00B113E2">
        <w:rPr>
          <w:rFonts w:cstheme="minorHAnsi"/>
          <w:lang w:val="en-MY" w:eastAsia="en-AU"/>
        </w:rPr>
        <w:t>-participants</w:t>
      </w:r>
      <w:r w:rsidR="002D6EBD" w:rsidRPr="003B75A9">
        <w:rPr>
          <w:rFonts w:cstheme="minorHAnsi"/>
          <w:lang w:val="en-MY" w:eastAsia="en-AU"/>
        </w:rPr>
        <w:t xml:space="preserve"> by an Indigenous team member</w:t>
      </w:r>
      <w:r w:rsidR="00B113E2">
        <w:rPr>
          <w:rFonts w:cstheme="minorHAnsi"/>
          <w:lang w:val="en-MY" w:eastAsia="en-AU"/>
        </w:rPr>
        <w:t xml:space="preserve"> if preferred by the participant</w:t>
      </w:r>
      <w:r w:rsidR="002D6EBD" w:rsidRPr="003B75A9">
        <w:rPr>
          <w:rFonts w:cstheme="minorHAnsi"/>
          <w:lang w:val="en-MY" w:eastAsia="en-AU"/>
        </w:rPr>
        <w:t>; and conduct of consultations in appropriate settings with a positive, flexible and transparent approach to develop relationships.</w:t>
      </w:r>
      <w:r w:rsidR="00B113E2">
        <w:rPr>
          <w:rFonts w:cstheme="minorHAnsi"/>
          <w:lang w:val="en-MY" w:eastAsia="en-AU"/>
        </w:rPr>
        <w:t xml:space="preserve"> </w:t>
      </w:r>
      <w:r w:rsidR="00B113E2" w:rsidRPr="00B113E2">
        <w:rPr>
          <w:rFonts w:cstheme="minorHAnsi"/>
          <w:lang w:val="en-MY" w:eastAsia="en-AU"/>
        </w:rPr>
        <w:t>Protocols for establishing informed consent from Indigenous client-participants were discussed with service providers prior to contact. These have sought to protect the rights of vulnerable participants, including through the development of an appropriate distress protocol and use of pla</w:t>
      </w:r>
      <w:r w:rsidR="00171E3E">
        <w:rPr>
          <w:rFonts w:cstheme="minorHAnsi"/>
          <w:lang w:val="en-MY" w:eastAsia="en-AU"/>
        </w:rPr>
        <w:t>i</w:t>
      </w:r>
      <w:r w:rsidR="00B113E2" w:rsidRPr="00B113E2">
        <w:rPr>
          <w:rFonts w:cstheme="minorHAnsi"/>
          <w:lang w:val="en-MY" w:eastAsia="en-AU"/>
        </w:rPr>
        <w:t xml:space="preserve">n English participant information sheets. </w:t>
      </w:r>
      <w:r w:rsidR="002D6EBD" w:rsidRPr="00B113E2">
        <w:rPr>
          <w:rFonts w:cstheme="minorHAnsi"/>
          <w:lang w:val="en-MY" w:eastAsia="en-AU"/>
        </w:rPr>
        <w:t xml:space="preserve">Keogh Bay </w:t>
      </w:r>
      <w:r w:rsidR="00B113E2">
        <w:rPr>
          <w:rFonts w:cstheme="minorHAnsi"/>
          <w:lang w:val="en-MY" w:eastAsia="en-AU"/>
        </w:rPr>
        <w:t xml:space="preserve">has also sought to </w:t>
      </w:r>
      <w:r w:rsidR="002D6EBD" w:rsidRPr="00B113E2">
        <w:rPr>
          <w:rFonts w:cstheme="minorHAnsi"/>
          <w:lang w:val="en-MY" w:eastAsia="en-AU"/>
        </w:rPr>
        <w:t xml:space="preserve">use </w:t>
      </w:r>
      <w:r w:rsidR="00B113E2">
        <w:rPr>
          <w:rFonts w:cstheme="minorHAnsi"/>
          <w:lang w:val="en-MY" w:eastAsia="en-AU"/>
        </w:rPr>
        <w:t xml:space="preserve">already </w:t>
      </w:r>
      <w:r w:rsidR="002D6EBD" w:rsidRPr="00B113E2">
        <w:rPr>
          <w:rFonts w:cstheme="minorHAnsi"/>
          <w:lang w:val="en-MY" w:eastAsia="en-AU"/>
        </w:rPr>
        <w:t>established data and information where possible</w:t>
      </w:r>
      <w:r w:rsidR="00171E3E">
        <w:rPr>
          <w:rFonts w:cstheme="minorHAnsi"/>
          <w:lang w:val="en-MY" w:eastAsia="en-AU"/>
        </w:rPr>
        <w:t>,</w:t>
      </w:r>
      <w:r w:rsidR="002D6EBD" w:rsidRPr="00B113E2">
        <w:rPr>
          <w:rFonts w:cstheme="minorHAnsi"/>
          <w:lang w:val="en-MY" w:eastAsia="en-AU"/>
        </w:rPr>
        <w:t xml:space="preserve"> </w:t>
      </w:r>
      <w:r w:rsidR="00B113E2">
        <w:rPr>
          <w:rFonts w:cstheme="minorHAnsi"/>
          <w:lang w:val="en-MY" w:eastAsia="en-AU"/>
        </w:rPr>
        <w:t xml:space="preserve">to </w:t>
      </w:r>
      <w:r w:rsidR="00171E3E">
        <w:rPr>
          <w:rFonts w:cstheme="minorHAnsi"/>
          <w:lang w:val="en-MY" w:eastAsia="en-AU"/>
        </w:rPr>
        <w:t xml:space="preserve">prevent </w:t>
      </w:r>
      <w:r w:rsidR="00B113E2">
        <w:rPr>
          <w:rFonts w:cstheme="minorHAnsi"/>
          <w:lang w:val="en-MY" w:eastAsia="en-AU"/>
        </w:rPr>
        <w:t>overburden</w:t>
      </w:r>
      <w:r w:rsidR="00171E3E">
        <w:rPr>
          <w:rFonts w:cstheme="minorHAnsi"/>
          <w:lang w:val="en-MY" w:eastAsia="en-AU"/>
        </w:rPr>
        <w:t>ing</w:t>
      </w:r>
      <w:r w:rsidR="00B113E2">
        <w:rPr>
          <w:rFonts w:cstheme="minorHAnsi"/>
          <w:lang w:val="en-MY" w:eastAsia="en-AU"/>
        </w:rPr>
        <w:t xml:space="preserve"> stakeholders with unnecessary data requests</w:t>
      </w:r>
      <w:r w:rsidR="002D6EBD" w:rsidRPr="00B113E2">
        <w:rPr>
          <w:rFonts w:cstheme="minorHAnsi"/>
          <w:lang w:val="en-MY" w:eastAsia="en-AU"/>
        </w:rPr>
        <w:t>.</w:t>
      </w:r>
      <w:r w:rsidR="00B113E2">
        <w:rPr>
          <w:rFonts w:cstheme="minorHAnsi"/>
          <w:lang w:val="en-MY" w:eastAsia="en-AU"/>
        </w:rPr>
        <w:t xml:space="preserve"> </w:t>
      </w:r>
    </w:p>
    <w:p w14:paraId="436B1DF0" w14:textId="77777777" w:rsidR="00443C06" w:rsidRDefault="00443C06" w:rsidP="002D6EBD">
      <w:pPr>
        <w:jc w:val="both"/>
        <w:rPr>
          <w:rFonts w:cstheme="minorHAnsi"/>
          <w:lang w:val="en-MY" w:eastAsia="en-AU"/>
        </w:rPr>
      </w:pPr>
    </w:p>
    <w:p w14:paraId="3E15AD71" w14:textId="09FA872B" w:rsidR="00F7298B" w:rsidRPr="00F7298B" w:rsidRDefault="002D6EBD" w:rsidP="00B77817">
      <w:pPr>
        <w:pStyle w:val="ListParagraph"/>
        <w:numPr>
          <w:ilvl w:val="0"/>
          <w:numId w:val="67"/>
        </w:numPr>
        <w:jc w:val="both"/>
        <w:rPr>
          <w:rFonts w:cstheme="minorHAnsi"/>
          <w:lang w:val="en-MY" w:eastAsia="en-AU"/>
        </w:rPr>
      </w:pPr>
      <w:r w:rsidRPr="00B113E2">
        <w:rPr>
          <w:rFonts w:cstheme="minorHAnsi"/>
          <w:b/>
          <w:bCs/>
          <w:lang w:val="en-MY" w:eastAsia="en-AU"/>
        </w:rPr>
        <w:t>Full</w:t>
      </w:r>
      <w:r w:rsidR="00F7298B">
        <w:rPr>
          <w:rFonts w:cstheme="minorHAnsi"/>
          <w:b/>
          <w:bCs/>
          <w:lang w:val="en-MY" w:eastAsia="en-AU"/>
        </w:rPr>
        <w:t xml:space="preserve"> </w:t>
      </w:r>
      <w:r w:rsidRPr="00B113E2">
        <w:rPr>
          <w:rFonts w:cstheme="minorHAnsi"/>
          <w:b/>
          <w:bCs/>
          <w:lang w:val="en-MY" w:eastAsia="en-AU"/>
        </w:rPr>
        <w:t>consideration of project sensitivities</w:t>
      </w:r>
      <w:r w:rsidR="00B113E2" w:rsidRPr="00B113E2">
        <w:rPr>
          <w:rFonts w:cstheme="minorHAnsi"/>
          <w:b/>
          <w:bCs/>
          <w:lang w:val="en-MY" w:eastAsia="en-AU"/>
        </w:rPr>
        <w:t>:</w:t>
      </w:r>
      <w:r w:rsidR="00B113E2">
        <w:rPr>
          <w:rFonts w:cstheme="minorHAnsi"/>
          <w:lang w:val="en-MY" w:eastAsia="en-AU"/>
        </w:rPr>
        <w:t xml:space="preserve"> When implementing evaluation activities </w:t>
      </w:r>
      <w:r w:rsidRPr="003B75A9">
        <w:rPr>
          <w:rFonts w:cstheme="minorHAnsi"/>
          <w:lang w:val="en-MY" w:eastAsia="en-AU"/>
        </w:rPr>
        <w:t xml:space="preserve">Keogh Bay </w:t>
      </w:r>
      <w:r w:rsidR="00F7298B">
        <w:rPr>
          <w:rFonts w:cstheme="minorHAnsi"/>
          <w:lang w:val="en-MY" w:eastAsia="en-AU"/>
        </w:rPr>
        <w:t xml:space="preserve">teams recognised </w:t>
      </w:r>
      <w:r w:rsidRPr="003B75A9">
        <w:rPr>
          <w:rFonts w:cstheme="minorHAnsi"/>
          <w:lang w:val="en-MY" w:eastAsia="en-AU"/>
        </w:rPr>
        <w:t xml:space="preserve">that stakeholders may perceive the evaluation as judgement of their work. </w:t>
      </w:r>
      <w:r w:rsidR="00F7298B">
        <w:rPr>
          <w:rFonts w:cstheme="minorHAnsi"/>
          <w:lang w:val="en-MY" w:eastAsia="en-AU"/>
        </w:rPr>
        <w:t xml:space="preserve">We therefore </w:t>
      </w:r>
      <w:r w:rsidRPr="003B75A9">
        <w:rPr>
          <w:rFonts w:cstheme="minorHAnsi"/>
          <w:lang w:val="en-MY" w:eastAsia="en-AU"/>
        </w:rPr>
        <w:t>conduct</w:t>
      </w:r>
      <w:r w:rsidR="00171E3E">
        <w:rPr>
          <w:rFonts w:cstheme="minorHAnsi"/>
          <w:lang w:val="en-MY" w:eastAsia="en-AU"/>
        </w:rPr>
        <w:t>ed</w:t>
      </w:r>
      <w:r w:rsidRPr="003B75A9">
        <w:rPr>
          <w:rFonts w:cstheme="minorHAnsi"/>
          <w:lang w:val="en-MY" w:eastAsia="en-AU"/>
        </w:rPr>
        <w:t xml:space="preserve"> ourselves in a manner that </w:t>
      </w:r>
      <w:r w:rsidR="00F7298B">
        <w:rPr>
          <w:rFonts w:cstheme="minorHAnsi"/>
          <w:lang w:val="en-MY" w:eastAsia="en-AU"/>
        </w:rPr>
        <w:t xml:space="preserve">was </w:t>
      </w:r>
      <w:r w:rsidRPr="003B75A9">
        <w:rPr>
          <w:rFonts w:cstheme="minorHAnsi"/>
          <w:lang w:val="en-MY" w:eastAsia="en-AU"/>
        </w:rPr>
        <w:t xml:space="preserve">as sensitive as possible, emphasising the fact </w:t>
      </w:r>
      <w:r w:rsidR="00F7298B">
        <w:rPr>
          <w:rFonts w:cstheme="minorHAnsi"/>
          <w:lang w:val="en-MY" w:eastAsia="en-AU"/>
        </w:rPr>
        <w:t xml:space="preserve">in introductions </w:t>
      </w:r>
      <w:r w:rsidRPr="003B75A9">
        <w:rPr>
          <w:rFonts w:cstheme="minorHAnsi"/>
          <w:lang w:val="en-MY" w:eastAsia="en-AU"/>
        </w:rPr>
        <w:t xml:space="preserve">that the evaluation is not an assessment or audit of an individuals’ </w:t>
      </w:r>
      <w:r w:rsidR="00F7298B">
        <w:rPr>
          <w:rFonts w:cstheme="minorHAnsi"/>
          <w:lang w:val="en-MY" w:eastAsia="en-AU"/>
        </w:rPr>
        <w:t xml:space="preserve">quality of </w:t>
      </w:r>
      <w:r w:rsidRPr="003B75A9">
        <w:rPr>
          <w:rFonts w:cstheme="minorHAnsi"/>
          <w:lang w:val="en-MY" w:eastAsia="en-AU"/>
        </w:rPr>
        <w:t xml:space="preserve">work. Keogh Bay consultation teams </w:t>
      </w:r>
      <w:r w:rsidR="00F7298B">
        <w:rPr>
          <w:rFonts w:cstheme="minorHAnsi"/>
          <w:lang w:val="en-MY" w:eastAsia="en-AU"/>
        </w:rPr>
        <w:t xml:space="preserve">were </w:t>
      </w:r>
      <w:r w:rsidRPr="003B75A9">
        <w:rPr>
          <w:rFonts w:cstheme="minorHAnsi"/>
          <w:lang w:val="en-MY" w:eastAsia="en-AU"/>
        </w:rPr>
        <w:t>cognisant of the inherent sensitivity of the topic for Indigenous clients who risk</w:t>
      </w:r>
      <w:r w:rsidR="00F7298B">
        <w:rPr>
          <w:rFonts w:cstheme="minorHAnsi"/>
          <w:lang w:val="en-MY" w:eastAsia="en-AU"/>
        </w:rPr>
        <w:t>ed</w:t>
      </w:r>
      <w:r w:rsidRPr="003B75A9">
        <w:rPr>
          <w:rFonts w:cstheme="minorHAnsi"/>
          <w:lang w:val="en-MY" w:eastAsia="en-AU"/>
        </w:rPr>
        <w:t xml:space="preserve"> feeling judgement or shame should consulta</w:t>
      </w:r>
      <w:r w:rsidR="00171E3E">
        <w:rPr>
          <w:rFonts w:cstheme="minorHAnsi"/>
          <w:lang w:val="en-MY" w:eastAsia="en-AU"/>
        </w:rPr>
        <w:t>tions</w:t>
      </w:r>
      <w:r w:rsidRPr="003B75A9">
        <w:rPr>
          <w:rFonts w:cstheme="minorHAnsi"/>
          <w:lang w:val="en-MY" w:eastAsia="en-AU"/>
        </w:rPr>
        <w:t xml:space="preserve"> not be conducted in a trauma-informed and culturally secure manner. </w:t>
      </w:r>
    </w:p>
    <w:p w14:paraId="5DADE1FF" w14:textId="77777777" w:rsidR="002F6224" w:rsidRDefault="00F7298B" w:rsidP="002F6224">
      <w:pPr>
        <w:pStyle w:val="SUBHEAD2"/>
        <w:rPr>
          <w:rFonts w:asciiTheme="minorHAnsi" w:hAnsiTheme="minorHAnsi" w:cstheme="minorHAnsi"/>
          <w:lang w:val="en-MY" w:eastAsia="en-AU"/>
        </w:rPr>
      </w:pPr>
      <w:r w:rsidRPr="00443C06">
        <w:rPr>
          <w:rFonts w:asciiTheme="minorHAnsi" w:hAnsiTheme="minorHAnsi" w:cstheme="minorHAnsi"/>
          <w:lang w:val="en-MY" w:eastAsia="en-AU"/>
        </w:rPr>
        <w:t xml:space="preserve">Evaluation </w:t>
      </w:r>
      <w:r>
        <w:rPr>
          <w:rFonts w:asciiTheme="minorHAnsi" w:hAnsiTheme="minorHAnsi" w:cstheme="minorHAnsi"/>
          <w:lang w:val="en-MY" w:eastAsia="en-AU"/>
        </w:rPr>
        <w:t>Governance and Ethics</w:t>
      </w:r>
    </w:p>
    <w:p w14:paraId="5170794E" w14:textId="11009056" w:rsidR="009543E5" w:rsidRPr="002F6224" w:rsidRDefault="00F7298B" w:rsidP="00AB7135">
      <w:pPr>
        <w:spacing w:before="120" w:after="120"/>
        <w:jc w:val="both"/>
        <w:rPr>
          <w:b/>
          <w:smallCaps/>
          <w:lang w:val="en-MY" w:eastAsia="en-AU"/>
        </w:rPr>
      </w:pPr>
      <w:r w:rsidRPr="002F6224">
        <w:rPr>
          <w:lang w:val="en-MY" w:eastAsia="en-AU"/>
        </w:rPr>
        <w:t>This evaluation has sought oversight from an independent Evaluation Advisory Group (EAG) that includes Indigenous members to provide direction, accountability and advice throughout the project. The EAG has provided input to key deliverables (including an evaluation plan) as well as draft and final reports.</w:t>
      </w:r>
      <w:r w:rsidR="006951FB" w:rsidRPr="002F6224">
        <w:rPr>
          <w:vertAlign w:val="superscript"/>
          <w:lang w:val="en-MY" w:eastAsia="en-AU"/>
        </w:rPr>
        <w:footnoteReference w:id="65"/>
      </w:r>
      <w:r w:rsidRPr="002F6224">
        <w:rPr>
          <w:lang w:val="en-MY" w:eastAsia="en-AU"/>
        </w:rPr>
        <w:t xml:space="preserve"> NIAA’s Indigenous Evaluation Committee (IEC) has also provided</w:t>
      </w:r>
      <w:r w:rsidR="00030041" w:rsidRPr="002F6224">
        <w:rPr>
          <w:lang w:val="en-MY" w:eastAsia="en-AU"/>
        </w:rPr>
        <w:t xml:space="preserve"> </w:t>
      </w:r>
      <w:r w:rsidRPr="002F6224">
        <w:rPr>
          <w:lang w:val="en-MY" w:eastAsia="en-AU"/>
        </w:rPr>
        <w:t>scrutiny to ensure the cultural safety of the research and its alignment to the IAS Evaluation Framework.</w:t>
      </w:r>
      <w:r w:rsidRPr="002F6224">
        <w:rPr>
          <w:vertAlign w:val="superscript"/>
          <w:lang w:val="en-MY" w:eastAsia="en-AU"/>
        </w:rPr>
        <w:footnoteReference w:id="66"/>
      </w:r>
      <w:r w:rsidRPr="002F6224">
        <w:rPr>
          <w:lang w:val="en-MY" w:eastAsia="en-AU"/>
        </w:rPr>
        <w:t xml:space="preserve"> </w:t>
      </w:r>
    </w:p>
    <w:p w14:paraId="6EBA1175" w14:textId="733CB315" w:rsidR="00745F83" w:rsidRPr="00024565" w:rsidRDefault="009543E5" w:rsidP="00024565">
      <w:pPr>
        <w:spacing w:before="120" w:after="120"/>
        <w:jc w:val="both"/>
        <w:rPr>
          <w:lang w:val="en-MY" w:eastAsia="en-AU"/>
        </w:rPr>
      </w:pPr>
      <w:r>
        <w:rPr>
          <w:lang w:val="en-MY" w:eastAsia="en-AU"/>
        </w:rPr>
        <w:t xml:space="preserve">In accordance with the requirements of the IAS Evaluation Framework, Keogh Bay’s research processes were additionally </w:t>
      </w:r>
      <w:r w:rsidRPr="00443C06">
        <w:rPr>
          <w:lang w:val="en-MY" w:eastAsia="en-AU"/>
        </w:rPr>
        <w:t xml:space="preserve">accountable to the </w:t>
      </w:r>
      <w:r w:rsidRPr="00157F3E">
        <w:rPr>
          <w:lang w:val="en-MY" w:eastAsia="en-AU"/>
        </w:rPr>
        <w:t>AIATSIS Ethics Committee</w:t>
      </w:r>
      <w:r>
        <w:rPr>
          <w:lang w:val="en-MY" w:eastAsia="en-AU"/>
        </w:rPr>
        <w:t>, with obligations to</w:t>
      </w:r>
      <w:r w:rsidRPr="00443C06">
        <w:rPr>
          <w:lang w:val="en-MY" w:eastAsia="en-AU"/>
        </w:rPr>
        <w:t xml:space="preserve"> report any changes to the project which may affect its ethical integrity (such as changes in personnel, or variations to protocols for engaging client-participants).</w:t>
      </w:r>
      <w:r w:rsidRPr="009543E5">
        <w:rPr>
          <w:lang w:val="en-MY" w:eastAsia="en-AU"/>
        </w:rPr>
        <w:t xml:space="preserve"> </w:t>
      </w:r>
      <w:r w:rsidRPr="00157F3E">
        <w:rPr>
          <w:lang w:val="en-MY" w:eastAsia="en-AU"/>
        </w:rPr>
        <w:t>Since th</w:t>
      </w:r>
      <w:r>
        <w:rPr>
          <w:lang w:val="en-MY" w:eastAsia="en-AU"/>
        </w:rPr>
        <w:t xml:space="preserve">e evaluation has involved </w:t>
      </w:r>
      <w:r w:rsidRPr="00157F3E">
        <w:rPr>
          <w:lang w:val="en-MY" w:eastAsia="en-AU"/>
        </w:rPr>
        <w:t xml:space="preserve">contact with potentially vulnerable adult </w:t>
      </w:r>
      <w:r>
        <w:rPr>
          <w:lang w:val="en-MY" w:eastAsia="en-AU"/>
        </w:rPr>
        <w:t xml:space="preserve">and youth </w:t>
      </w:r>
      <w:r w:rsidRPr="00157F3E">
        <w:rPr>
          <w:lang w:val="en-MY" w:eastAsia="en-AU"/>
        </w:rPr>
        <w:t xml:space="preserve">through-care clients with experience of detention, it </w:t>
      </w:r>
      <w:r>
        <w:rPr>
          <w:lang w:val="en-MY" w:eastAsia="en-AU"/>
        </w:rPr>
        <w:t xml:space="preserve">has been </w:t>
      </w:r>
      <w:r w:rsidRPr="00157F3E">
        <w:rPr>
          <w:lang w:val="en-MY" w:eastAsia="en-AU"/>
        </w:rPr>
        <w:t xml:space="preserve">crucial </w:t>
      </w:r>
      <w:r>
        <w:rPr>
          <w:lang w:val="en-MY" w:eastAsia="en-AU"/>
        </w:rPr>
        <w:t xml:space="preserve">for </w:t>
      </w:r>
      <w:r w:rsidRPr="00157F3E">
        <w:rPr>
          <w:lang w:val="en-MY" w:eastAsia="en-AU"/>
        </w:rPr>
        <w:t xml:space="preserve">any risks to these participants </w:t>
      </w:r>
      <w:r>
        <w:rPr>
          <w:lang w:val="en-MY" w:eastAsia="en-AU"/>
        </w:rPr>
        <w:t xml:space="preserve">to be identified </w:t>
      </w:r>
      <w:r w:rsidRPr="00157F3E">
        <w:rPr>
          <w:lang w:val="en-MY" w:eastAsia="en-AU"/>
        </w:rPr>
        <w:t xml:space="preserve">and all </w:t>
      </w:r>
      <w:r>
        <w:rPr>
          <w:lang w:val="en-MY" w:eastAsia="en-AU"/>
        </w:rPr>
        <w:t xml:space="preserve">agreed </w:t>
      </w:r>
      <w:r w:rsidRPr="00157F3E">
        <w:rPr>
          <w:lang w:val="en-MY" w:eastAsia="en-AU"/>
        </w:rPr>
        <w:t>ethical requirements</w:t>
      </w:r>
      <w:r>
        <w:rPr>
          <w:lang w:val="en-MY" w:eastAsia="en-AU"/>
        </w:rPr>
        <w:t>, particularly regarding privacy and informed consent</w:t>
      </w:r>
      <w:r w:rsidR="00E507D8">
        <w:rPr>
          <w:lang w:val="en-MY" w:eastAsia="en-AU"/>
        </w:rPr>
        <w:t xml:space="preserve">, </w:t>
      </w:r>
      <w:r>
        <w:rPr>
          <w:lang w:val="en-MY" w:eastAsia="en-AU"/>
        </w:rPr>
        <w:t xml:space="preserve">to be </w:t>
      </w:r>
      <w:r w:rsidRPr="00157F3E">
        <w:rPr>
          <w:lang w:val="en-MY" w:eastAsia="en-AU"/>
        </w:rPr>
        <w:t>adhered to.</w:t>
      </w:r>
      <w:r>
        <w:rPr>
          <w:lang w:val="en-MY" w:eastAsia="en-AU"/>
        </w:rPr>
        <w:t xml:space="preserve"> </w:t>
      </w:r>
      <w:r w:rsidRPr="001B2179">
        <w:rPr>
          <w:lang w:val="en-MY" w:eastAsia="en-AU"/>
        </w:rPr>
        <w:t xml:space="preserve">Formal ethics approval was granted by the AIATSIS Ethics Committee on 3 February 2023, with a variation to consult with Correctional Services staff approved in 11 April 2023. </w:t>
      </w:r>
    </w:p>
    <w:p w14:paraId="439D5F8D" w14:textId="77777777" w:rsidR="002F6224" w:rsidRPr="002F6224" w:rsidRDefault="009543E5" w:rsidP="002F6224">
      <w:pPr>
        <w:pStyle w:val="Subhead3"/>
        <w:rPr>
          <w:rFonts w:asciiTheme="minorHAnsi" w:hAnsiTheme="minorHAnsi" w:cstheme="minorHAnsi"/>
          <w:b w:val="0"/>
          <w:i/>
          <w:iCs/>
          <w:color w:val="4F81BD" w:themeColor="accent1"/>
          <w:sz w:val="22"/>
          <w:lang w:val="en-MY" w:eastAsia="en-AU"/>
        </w:rPr>
      </w:pPr>
      <w:r w:rsidRPr="002F6224">
        <w:rPr>
          <w:rFonts w:asciiTheme="minorHAnsi" w:hAnsiTheme="minorHAnsi" w:cstheme="minorHAnsi"/>
          <w:b w:val="0"/>
          <w:i/>
          <w:iCs/>
          <w:color w:val="4F81BD" w:themeColor="accent1"/>
          <w:sz w:val="22"/>
          <w:lang w:val="en-MY" w:eastAsia="en-AU"/>
        </w:rPr>
        <w:t>Participant Consent and Privacy</w:t>
      </w:r>
      <w:r w:rsidR="002F6224" w:rsidRPr="002F6224">
        <w:rPr>
          <w:rFonts w:asciiTheme="minorHAnsi" w:hAnsiTheme="minorHAnsi" w:cstheme="minorHAnsi"/>
          <w:b w:val="0"/>
          <w:i/>
          <w:iCs/>
          <w:color w:val="4F81BD" w:themeColor="accent1"/>
          <w:sz w:val="22"/>
          <w:lang w:val="en-MY" w:eastAsia="en-AU"/>
        </w:rPr>
        <w:t xml:space="preserve"> </w:t>
      </w:r>
    </w:p>
    <w:p w14:paraId="49425DE3" w14:textId="77777777" w:rsidR="007E19B5" w:rsidRDefault="007E19B5" w:rsidP="002F6224">
      <w:pPr>
        <w:pStyle w:val="Subhead3"/>
        <w:jc w:val="both"/>
        <w:rPr>
          <w:rFonts w:asciiTheme="minorHAnsi" w:hAnsiTheme="minorHAnsi" w:cstheme="minorHAnsi"/>
          <w:b w:val="0"/>
          <w:color w:val="auto"/>
          <w:sz w:val="22"/>
          <w:lang w:val="en-MY" w:eastAsia="en-AU"/>
        </w:rPr>
      </w:pPr>
    </w:p>
    <w:p w14:paraId="170C377D" w14:textId="076F05E9" w:rsidR="00564739" w:rsidRPr="002F6224" w:rsidRDefault="00564739" w:rsidP="002F6224">
      <w:pPr>
        <w:pStyle w:val="Subhead3"/>
        <w:jc w:val="both"/>
        <w:rPr>
          <w:rFonts w:asciiTheme="minorHAnsi" w:hAnsiTheme="minorHAnsi" w:cstheme="minorHAnsi"/>
          <w:b w:val="0"/>
          <w:color w:val="auto"/>
          <w:sz w:val="22"/>
          <w:lang w:val="en-MY" w:eastAsia="en-AU"/>
        </w:rPr>
      </w:pPr>
      <w:r w:rsidRPr="002F6224">
        <w:rPr>
          <w:rFonts w:asciiTheme="minorHAnsi" w:hAnsiTheme="minorHAnsi" w:cstheme="minorHAnsi"/>
          <w:b w:val="0"/>
          <w:color w:val="auto"/>
          <w:sz w:val="22"/>
          <w:lang w:val="en-MY" w:eastAsia="en-AU"/>
        </w:rPr>
        <w:t xml:space="preserve">Explicit informed consent to participate in the research process was required for all stakeholders, including verbal informed consent for all interviews and electronic consent for </w:t>
      </w:r>
      <w:r w:rsidR="005A21AD" w:rsidRPr="002F6224">
        <w:rPr>
          <w:rFonts w:asciiTheme="minorHAnsi" w:hAnsiTheme="minorHAnsi" w:cstheme="minorHAnsi"/>
          <w:b w:val="0"/>
          <w:color w:val="auto"/>
          <w:sz w:val="22"/>
          <w:lang w:val="en-MY" w:eastAsia="en-AU"/>
        </w:rPr>
        <w:t xml:space="preserve">completion of the </w:t>
      </w:r>
      <w:r w:rsidRPr="002F6224">
        <w:rPr>
          <w:rFonts w:asciiTheme="minorHAnsi" w:hAnsiTheme="minorHAnsi" w:cstheme="minorHAnsi"/>
          <w:b w:val="0"/>
          <w:color w:val="auto"/>
          <w:sz w:val="22"/>
          <w:lang w:val="en-MY" w:eastAsia="en-AU"/>
        </w:rPr>
        <w:t xml:space="preserve">online survey. Explicit informed consent of adult client-participants was required for all interviewees of the ATC program, with the requirement to either sign a consent form, or verbally agree to the protections in place, prior to </w:t>
      </w:r>
      <w:r w:rsidR="005A21AD" w:rsidRPr="002F6224">
        <w:rPr>
          <w:rFonts w:asciiTheme="minorHAnsi" w:hAnsiTheme="minorHAnsi" w:cstheme="minorHAnsi"/>
          <w:b w:val="0"/>
          <w:color w:val="auto"/>
          <w:sz w:val="22"/>
          <w:lang w:val="en-MY" w:eastAsia="en-AU"/>
        </w:rPr>
        <w:t xml:space="preserve">each </w:t>
      </w:r>
      <w:r w:rsidRPr="002F6224">
        <w:rPr>
          <w:rFonts w:asciiTheme="minorHAnsi" w:hAnsiTheme="minorHAnsi" w:cstheme="minorHAnsi"/>
          <w:b w:val="0"/>
          <w:color w:val="auto"/>
          <w:sz w:val="22"/>
          <w:lang w:val="en-MY" w:eastAsia="en-AU"/>
        </w:rPr>
        <w:t>interview. The process for obtaining the informed consent of YTC client-participants was two-fold, with a statement of consent required from a parent or guardian in addition to the approval of the youth-participant.</w:t>
      </w:r>
    </w:p>
    <w:p w14:paraId="49D1B097" w14:textId="77777777" w:rsidR="00564739" w:rsidRDefault="00564739" w:rsidP="00F7298B">
      <w:pPr>
        <w:jc w:val="both"/>
        <w:rPr>
          <w:rFonts w:cstheme="minorHAnsi"/>
          <w:lang w:val="en-MY" w:eastAsia="en-AU"/>
        </w:rPr>
      </w:pPr>
    </w:p>
    <w:p w14:paraId="54443E41" w14:textId="19855F33" w:rsidR="00F7298B" w:rsidRDefault="005A21AD" w:rsidP="00F7298B">
      <w:pPr>
        <w:jc w:val="both"/>
        <w:rPr>
          <w:rFonts w:cstheme="minorHAnsi"/>
          <w:lang w:val="en-MY" w:eastAsia="en-AU"/>
        </w:rPr>
      </w:pPr>
      <w:r>
        <w:rPr>
          <w:rFonts w:cstheme="minorHAnsi"/>
          <w:lang w:val="en-MY" w:eastAsia="en-AU"/>
        </w:rPr>
        <w:t>C</w:t>
      </w:r>
      <w:r w:rsidR="00F7298B" w:rsidRPr="00157F3E">
        <w:rPr>
          <w:rFonts w:cstheme="minorHAnsi"/>
          <w:lang w:val="en-MY" w:eastAsia="en-AU"/>
        </w:rPr>
        <w:t>ontact with Indigenous client-participants and their family or kin w</w:t>
      </w:r>
      <w:r>
        <w:rPr>
          <w:rFonts w:cstheme="minorHAnsi"/>
          <w:lang w:val="en-MY" w:eastAsia="en-AU"/>
        </w:rPr>
        <w:t xml:space="preserve">as </w:t>
      </w:r>
      <w:r w:rsidR="00F7298B" w:rsidRPr="00157F3E">
        <w:rPr>
          <w:rFonts w:cstheme="minorHAnsi"/>
          <w:lang w:val="en-MY" w:eastAsia="en-AU"/>
        </w:rPr>
        <w:t xml:space="preserve">facilitated with the support of the through-care service provider. While guided by Keogh Bay in terms of </w:t>
      </w:r>
      <w:r>
        <w:rPr>
          <w:rFonts w:cstheme="minorHAnsi"/>
          <w:lang w:val="en-MY" w:eastAsia="en-AU"/>
        </w:rPr>
        <w:t>participant</w:t>
      </w:r>
      <w:r w:rsidR="00F7298B" w:rsidRPr="00157F3E">
        <w:rPr>
          <w:rFonts w:cstheme="minorHAnsi"/>
          <w:lang w:val="en-MY" w:eastAsia="en-AU"/>
        </w:rPr>
        <w:t xml:space="preserve"> </w:t>
      </w:r>
      <w:r>
        <w:rPr>
          <w:rFonts w:cstheme="minorHAnsi"/>
          <w:lang w:val="en-MY" w:eastAsia="en-AU"/>
        </w:rPr>
        <w:t>criteria</w:t>
      </w:r>
      <w:r w:rsidR="00F7298B" w:rsidRPr="00157F3E">
        <w:rPr>
          <w:rFonts w:cstheme="minorHAnsi"/>
          <w:lang w:val="en-MY" w:eastAsia="en-AU"/>
        </w:rPr>
        <w:t>, such stakeholders w</w:t>
      </w:r>
      <w:r>
        <w:rPr>
          <w:rFonts w:cstheme="minorHAnsi"/>
          <w:lang w:val="en-MY" w:eastAsia="en-AU"/>
        </w:rPr>
        <w:t xml:space="preserve">ere </w:t>
      </w:r>
      <w:r w:rsidR="00F7298B" w:rsidRPr="00157F3E">
        <w:rPr>
          <w:rFonts w:cstheme="minorHAnsi"/>
          <w:lang w:val="en-MY" w:eastAsia="en-AU"/>
        </w:rPr>
        <w:t xml:space="preserve">identified </w:t>
      </w:r>
      <w:r>
        <w:rPr>
          <w:rFonts w:cstheme="minorHAnsi"/>
          <w:lang w:val="en-MY" w:eastAsia="en-AU"/>
        </w:rPr>
        <w:t>by case workers and managers known to these individuals</w:t>
      </w:r>
      <w:r w:rsidR="00F7298B" w:rsidRPr="00157F3E">
        <w:rPr>
          <w:rFonts w:cstheme="minorHAnsi"/>
          <w:lang w:val="en-MY" w:eastAsia="en-AU"/>
        </w:rPr>
        <w:t>.</w:t>
      </w:r>
      <w:r>
        <w:rPr>
          <w:rFonts w:cstheme="minorHAnsi"/>
          <w:lang w:val="en-MY" w:eastAsia="en-AU"/>
        </w:rPr>
        <w:t xml:space="preserve"> This enabled a number of practices to be put in place with the assistance of case workers, including helping to e</w:t>
      </w:r>
      <w:r w:rsidRPr="00157F3E">
        <w:rPr>
          <w:rFonts w:cstheme="minorHAnsi"/>
          <w:lang w:val="en-MY" w:eastAsia="en-AU"/>
        </w:rPr>
        <w:t>nsur</w:t>
      </w:r>
      <w:r>
        <w:rPr>
          <w:rFonts w:cstheme="minorHAnsi"/>
          <w:lang w:val="en-MY" w:eastAsia="en-AU"/>
        </w:rPr>
        <w:t>e</w:t>
      </w:r>
      <w:r w:rsidRPr="00157F3E">
        <w:rPr>
          <w:rFonts w:cstheme="minorHAnsi"/>
          <w:lang w:val="en-MY" w:eastAsia="en-AU"/>
        </w:rPr>
        <w:t xml:space="preserve"> that the participant has agreed to participate </w:t>
      </w:r>
      <w:r>
        <w:rPr>
          <w:rFonts w:cstheme="minorHAnsi"/>
          <w:lang w:val="en-MY" w:eastAsia="en-AU"/>
        </w:rPr>
        <w:t xml:space="preserve">in advance of </w:t>
      </w:r>
      <w:r w:rsidR="00A70C7B">
        <w:rPr>
          <w:rFonts w:cstheme="minorHAnsi"/>
          <w:lang w:val="en-MY" w:eastAsia="en-AU"/>
        </w:rPr>
        <w:t>the interview</w:t>
      </w:r>
      <w:r>
        <w:rPr>
          <w:rFonts w:cstheme="minorHAnsi"/>
          <w:lang w:val="en-MY" w:eastAsia="en-AU"/>
        </w:rPr>
        <w:t>; c</w:t>
      </w:r>
      <w:r w:rsidR="00F7298B" w:rsidRPr="00157F3E">
        <w:rPr>
          <w:rFonts w:cstheme="minorHAnsi"/>
          <w:lang w:val="en-MY" w:eastAsia="en-AU"/>
        </w:rPr>
        <w:t>onducting consultations at a venue of the participant’s choice</w:t>
      </w:r>
      <w:r>
        <w:rPr>
          <w:rFonts w:cstheme="minorHAnsi"/>
          <w:lang w:val="en-MY" w:eastAsia="en-AU"/>
        </w:rPr>
        <w:t>; and c</w:t>
      </w:r>
      <w:r w:rsidR="00F7298B" w:rsidRPr="00157F3E">
        <w:rPr>
          <w:rFonts w:cstheme="minorHAnsi"/>
          <w:lang w:val="en-MY" w:eastAsia="en-AU"/>
        </w:rPr>
        <w:t>hoosing an appropriate time of day that will minimise disruption to the person’s usual routine</w:t>
      </w:r>
      <w:r w:rsidR="00F7298B" w:rsidRPr="0020640D">
        <w:rPr>
          <w:rFonts w:cstheme="minorHAnsi"/>
          <w:lang w:val="en-MY" w:eastAsia="en-AU"/>
        </w:rPr>
        <w:t>.</w:t>
      </w:r>
      <w:r w:rsidR="00E507D8">
        <w:rPr>
          <w:rFonts w:cstheme="minorHAnsi"/>
          <w:lang w:val="en-MY" w:eastAsia="en-AU"/>
        </w:rPr>
        <w:t xml:space="preserve"> As a further incentive to participate, client-participants were provided with a $50 dollar food voucher at commencement of their interview. </w:t>
      </w:r>
    </w:p>
    <w:p w14:paraId="2031A4B9" w14:textId="77777777" w:rsidR="00FF4B0A" w:rsidRDefault="00FF4B0A" w:rsidP="00F7298B">
      <w:pPr>
        <w:jc w:val="both"/>
        <w:rPr>
          <w:rFonts w:cstheme="minorHAnsi"/>
          <w:lang w:val="en-MY" w:eastAsia="en-AU"/>
        </w:rPr>
      </w:pPr>
    </w:p>
    <w:p w14:paraId="46F1485A" w14:textId="707A23A6" w:rsidR="00A70C7B" w:rsidRPr="00B0029E" w:rsidRDefault="0050458E" w:rsidP="00F7298B">
      <w:pPr>
        <w:jc w:val="both"/>
        <w:rPr>
          <w:rFonts w:cstheme="minorHAnsi"/>
          <w:lang w:val="en-MY" w:eastAsia="en-AU"/>
        </w:rPr>
      </w:pPr>
      <w:r w:rsidRPr="00B0029E">
        <w:rPr>
          <w:rFonts w:cstheme="minorHAnsi"/>
          <w:lang w:val="en-MY" w:eastAsia="en-AU"/>
        </w:rPr>
        <w:t>T</w:t>
      </w:r>
      <w:r>
        <w:rPr>
          <w:rFonts w:cstheme="minorHAnsi"/>
          <w:lang w:val="en-MY" w:eastAsia="en-AU"/>
        </w:rPr>
        <w:t xml:space="preserve">o protect the privacy and confidentiality of participants all evaluation </w:t>
      </w:r>
      <w:r w:rsidRPr="00B0029E">
        <w:rPr>
          <w:rFonts w:cstheme="minorHAnsi"/>
          <w:lang w:val="en-MY" w:eastAsia="en-AU"/>
        </w:rPr>
        <w:t xml:space="preserve">activities </w:t>
      </w:r>
      <w:r>
        <w:rPr>
          <w:rFonts w:cstheme="minorHAnsi"/>
          <w:lang w:val="en-MY" w:eastAsia="en-AU"/>
        </w:rPr>
        <w:t xml:space="preserve">have </w:t>
      </w:r>
      <w:r w:rsidRPr="00B0029E">
        <w:rPr>
          <w:rFonts w:cstheme="minorHAnsi"/>
          <w:lang w:val="en-MY" w:eastAsia="en-AU"/>
        </w:rPr>
        <w:t>adhere</w:t>
      </w:r>
      <w:r>
        <w:rPr>
          <w:rFonts w:cstheme="minorHAnsi"/>
          <w:lang w:val="en-MY" w:eastAsia="en-AU"/>
        </w:rPr>
        <w:t>d</w:t>
      </w:r>
      <w:r w:rsidRPr="00B0029E">
        <w:rPr>
          <w:rFonts w:cstheme="minorHAnsi"/>
          <w:lang w:val="en-MY" w:eastAsia="en-AU"/>
        </w:rPr>
        <w:t xml:space="preserve"> to the Australian Privacy Principles in the Privacy Act 1988 (Cth). </w:t>
      </w:r>
      <w:r>
        <w:rPr>
          <w:rFonts w:cstheme="minorHAnsi"/>
          <w:lang w:val="en-MY" w:eastAsia="en-AU"/>
        </w:rPr>
        <w:t>A</w:t>
      </w:r>
      <w:r w:rsidRPr="00157F3E">
        <w:rPr>
          <w:rFonts w:cstheme="minorHAnsi"/>
          <w:lang w:val="en-MY" w:eastAsia="en-AU"/>
        </w:rPr>
        <w:t>s well as providing an environment where stakeholders feel comfortable to contribute confidentially</w:t>
      </w:r>
      <w:r>
        <w:rPr>
          <w:rFonts w:cstheme="minorHAnsi"/>
          <w:lang w:val="en-MY" w:eastAsia="en-AU"/>
        </w:rPr>
        <w:t>,</w:t>
      </w:r>
      <w:r w:rsidR="00AD53CC">
        <w:rPr>
          <w:rFonts w:cstheme="minorHAnsi"/>
          <w:lang w:val="en-MY" w:eastAsia="en-AU"/>
        </w:rPr>
        <w:t xml:space="preserve"> Keogh Bay </w:t>
      </w:r>
      <w:r>
        <w:rPr>
          <w:rFonts w:cstheme="minorHAnsi"/>
          <w:lang w:val="en-MY" w:eastAsia="en-AU"/>
        </w:rPr>
        <w:t xml:space="preserve">has </w:t>
      </w:r>
      <w:r w:rsidR="00F7298B" w:rsidRPr="00157F3E">
        <w:rPr>
          <w:rFonts w:cstheme="minorHAnsi"/>
          <w:lang w:val="en-MY" w:eastAsia="en-AU"/>
        </w:rPr>
        <w:t>ensure</w:t>
      </w:r>
      <w:r>
        <w:rPr>
          <w:rFonts w:cstheme="minorHAnsi"/>
          <w:lang w:val="en-MY" w:eastAsia="en-AU"/>
        </w:rPr>
        <w:t>d</w:t>
      </w:r>
      <w:r w:rsidR="00F7298B" w:rsidRPr="00157F3E">
        <w:rPr>
          <w:rFonts w:cstheme="minorHAnsi"/>
          <w:lang w:val="en-MY" w:eastAsia="en-AU"/>
        </w:rPr>
        <w:t xml:space="preserve"> that</w:t>
      </w:r>
      <w:r>
        <w:rPr>
          <w:rFonts w:cstheme="minorHAnsi"/>
          <w:lang w:val="en-MY" w:eastAsia="en-AU"/>
        </w:rPr>
        <w:t xml:space="preserve"> d</w:t>
      </w:r>
      <w:r w:rsidRPr="00B0029E">
        <w:rPr>
          <w:rFonts w:cstheme="minorHAnsi"/>
          <w:lang w:val="en-MY" w:eastAsia="en-AU"/>
        </w:rPr>
        <w:t xml:space="preserve">ata collection tools </w:t>
      </w:r>
      <w:r>
        <w:rPr>
          <w:rFonts w:cstheme="minorHAnsi"/>
          <w:lang w:val="en-MY" w:eastAsia="en-AU"/>
        </w:rPr>
        <w:t xml:space="preserve">do not </w:t>
      </w:r>
      <w:r w:rsidRPr="00B0029E">
        <w:rPr>
          <w:rFonts w:cstheme="minorHAnsi"/>
          <w:lang w:val="en-MY" w:eastAsia="en-AU"/>
        </w:rPr>
        <w:t>name any individual</w:t>
      </w:r>
      <w:r>
        <w:rPr>
          <w:rFonts w:cstheme="minorHAnsi"/>
          <w:lang w:val="en-MY" w:eastAsia="en-AU"/>
        </w:rPr>
        <w:t xml:space="preserve">; </w:t>
      </w:r>
      <w:r w:rsidR="00F7298B" w:rsidRPr="00157F3E">
        <w:rPr>
          <w:rFonts w:cstheme="minorHAnsi"/>
          <w:lang w:val="en-MY" w:eastAsia="en-AU"/>
        </w:rPr>
        <w:t xml:space="preserve">no individual </w:t>
      </w:r>
      <w:r>
        <w:rPr>
          <w:rFonts w:cstheme="minorHAnsi"/>
          <w:lang w:val="en-MY" w:eastAsia="en-AU"/>
        </w:rPr>
        <w:t xml:space="preserve">is </w:t>
      </w:r>
      <w:r w:rsidR="00F7298B" w:rsidRPr="00157F3E">
        <w:rPr>
          <w:rFonts w:cstheme="minorHAnsi"/>
          <w:lang w:val="en-MY" w:eastAsia="en-AU"/>
        </w:rPr>
        <w:t xml:space="preserve">identified in any </w:t>
      </w:r>
      <w:r>
        <w:rPr>
          <w:rFonts w:cstheme="minorHAnsi"/>
          <w:lang w:val="en-MY" w:eastAsia="en-AU"/>
        </w:rPr>
        <w:t xml:space="preserve">deliverables or </w:t>
      </w:r>
      <w:r w:rsidR="00F7298B" w:rsidRPr="00157F3E">
        <w:rPr>
          <w:rFonts w:cstheme="minorHAnsi"/>
          <w:lang w:val="en-MY" w:eastAsia="en-AU"/>
        </w:rPr>
        <w:t>reports;</w:t>
      </w:r>
      <w:r w:rsidR="00F7298B">
        <w:rPr>
          <w:rFonts w:cstheme="minorHAnsi"/>
          <w:lang w:val="en-MY" w:eastAsia="en-AU"/>
        </w:rPr>
        <w:t xml:space="preserve"> </w:t>
      </w:r>
      <w:r>
        <w:rPr>
          <w:rFonts w:cstheme="minorHAnsi"/>
          <w:lang w:val="en-MY" w:eastAsia="en-AU"/>
        </w:rPr>
        <w:t xml:space="preserve">and that </w:t>
      </w:r>
      <w:r w:rsidRPr="00157F3E">
        <w:rPr>
          <w:rFonts w:cstheme="minorHAnsi"/>
          <w:lang w:val="en-MY" w:eastAsia="en-AU"/>
        </w:rPr>
        <w:t xml:space="preserve">details </w:t>
      </w:r>
      <w:r>
        <w:rPr>
          <w:rFonts w:cstheme="minorHAnsi"/>
          <w:lang w:val="en-MY" w:eastAsia="en-AU"/>
        </w:rPr>
        <w:t xml:space="preserve">which </w:t>
      </w:r>
      <w:r w:rsidRPr="00157F3E">
        <w:rPr>
          <w:rFonts w:cstheme="minorHAnsi"/>
          <w:lang w:val="en-MY" w:eastAsia="en-AU"/>
        </w:rPr>
        <w:t xml:space="preserve">could identify an individual </w:t>
      </w:r>
      <w:r>
        <w:rPr>
          <w:rFonts w:cstheme="minorHAnsi"/>
          <w:lang w:val="en-MY" w:eastAsia="en-AU"/>
        </w:rPr>
        <w:t xml:space="preserve">have been </w:t>
      </w:r>
      <w:r w:rsidRPr="00157F3E">
        <w:rPr>
          <w:rFonts w:cstheme="minorHAnsi"/>
          <w:lang w:val="en-MY" w:eastAsia="en-AU"/>
        </w:rPr>
        <w:t xml:space="preserve">removed </w:t>
      </w:r>
      <w:r>
        <w:rPr>
          <w:rFonts w:cstheme="minorHAnsi"/>
          <w:lang w:val="en-MY" w:eastAsia="en-AU"/>
        </w:rPr>
        <w:t xml:space="preserve">from </w:t>
      </w:r>
      <w:r w:rsidR="00AD53CC">
        <w:rPr>
          <w:rFonts w:cstheme="minorHAnsi"/>
          <w:lang w:val="en-MY" w:eastAsia="en-AU"/>
        </w:rPr>
        <w:t xml:space="preserve">all </w:t>
      </w:r>
      <w:r w:rsidR="00F7298B" w:rsidRPr="00157F3E">
        <w:rPr>
          <w:rFonts w:cstheme="minorHAnsi"/>
          <w:lang w:val="en-MY" w:eastAsia="en-AU"/>
        </w:rPr>
        <w:t>administrative data.</w:t>
      </w:r>
      <w:r w:rsidR="00AD53CC">
        <w:rPr>
          <w:rFonts w:cstheme="minorHAnsi"/>
          <w:lang w:val="en-MY" w:eastAsia="en-AU"/>
        </w:rPr>
        <w:t xml:space="preserve"> Furthermore, outcomes d</w:t>
      </w:r>
      <w:r w:rsidR="00F7298B" w:rsidRPr="00B0029E">
        <w:rPr>
          <w:rFonts w:cstheme="minorHAnsi"/>
          <w:lang w:val="en-MY" w:eastAsia="en-AU"/>
        </w:rPr>
        <w:t xml:space="preserve">ata collected from ATC and YTC service providers </w:t>
      </w:r>
      <w:r w:rsidR="00AD53CC">
        <w:rPr>
          <w:rFonts w:cstheme="minorHAnsi"/>
          <w:lang w:val="en-MY" w:eastAsia="en-AU"/>
        </w:rPr>
        <w:t xml:space="preserve">has </w:t>
      </w:r>
      <w:r w:rsidR="00F7298B" w:rsidRPr="00B0029E">
        <w:rPr>
          <w:rFonts w:cstheme="minorHAnsi"/>
          <w:lang w:val="en-MY" w:eastAsia="en-AU"/>
        </w:rPr>
        <w:t>be</w:t>
      </w:r>
      <w:r w:rsidR="00AD53CC">
        <w:rPr>
          <w:rFonts w:cstheme="minorHAnsi"/>
          <w:lang w:val="en-MY" w:eastAsia="en-AU"/>
        </w:rPr>
        <w:t>en</w:t>
      </w:r>
      <w:r w:rsidR="00F7298B" w:rsidRPr="00B0029E">
        <w:rPr>
          <w:rFonts w:cstheme="minorHAnsi"/>
          <w:lang w:val="en-MY" w:eastAsia="en-AU"/>
        </w:rPr>
        <w:t xml:space="preserve"> analysed at an organisational level in un-published working documents</w:t>
      </w:r>
      <w:r w:rsidR="00AD53CC">
        <w:rPr>
          <w:rFonts w:cstheme="minorHAnsi"/>
          <w:lang w:val="en-MY" w:eastAsia="en-AU"/>
        </w:rPr>
        <w:t xml:space="preserve"> only,</w:t>
      </w:r>
      <w:r w:rsidR="00F7298B" w:rsidRPr="00B0029E">
        <w:rPr>
          <w:rFonts w:cstheme="minorHAnsi"/>
          <w:lang w:val="en-MY" w:eastAsia="en-AU"/>
        </w:rPr>
        <w:t xml:space="preserve"> prior to analysis at </w:t>
      </w:r>
      <w:r w:rsidR="00AD53CC">
        <w:rPr>
          <w:rFonts w:cstheme="minorHAnsi"/>
          <w:lang w:val="en-MY" w:eastAsia="en-AU"/>
        </w:rPr>
        <w:t xml:space="preserve">the </w:t>
      </w:r>
      <w:r w:rsidR="00F7298B" w:rsidRPr="00B0029E">
        <w:rPr>
          <w:rFonts w:cstheme="minorHAnsi"/>
          <w:lang w:val="en-MY" w:eastAsia="en-AU"/>
        </w:rPr>
        <w:t>whole of program level</w:t>
      </w:r>
      <w:r w:rsidR="00AD53CC">
        <w:rPr>
          <w:rFonts w:cstheme="minorHAnsi"/>
          <w:lang w:val="en-MY" w:eastAsia="en-AU"/>
        </w:rPr>
        <w:t>, as presented in this report</w:t>
      </w:r>
      <w:r w:rsidR="00F7298B" w:rsidRPr="00B0029E">
        <w:rPr>
          <w:rFonts w:cstheme="minorHAnsi"/>
          <w:lang w:val="en-MY" w:eastAsia="en-AU"/>
        </w:rPr>
        <w:t xml:space="preserve">. </w:t>
      </w:r>
      <w:r w:rsidR="00597757">
        <w:rPr>
          <w:rFonts w:cstheme="minorHAnsi"/>
          <w:lang w:val="en-MY" w:eastAsia="en-AU"/>
        </w:rPr>
        <w:t>Any names used when quoting informants or within vignettes are fictional.</w:t>
      </w:r>
    </w:p>
    <w:p w14:paraId="4C078D91" w14:textId="797020B2" w:rsidR="003B75A9" w:rsidRPr="00443C06" w:rsidRDefault="006B455E" w:rsidP="003B75A9">
      <w:pPr>
        <w:pStyle w:val="Heading2"/>
        <w:rPr>
          <w:rFonts w:cstheme="minorHAnsi"/>
          <w:lang w:val="en-MY" w:eastAsia="en-AU"/>
        </w:rPr>
      </w:pPr>
      <w:bookmarkStart w:id="25" w:name="_Toc150784199"/>
      <w:r w:rsidRPr="00443C06">
        <w:rPr>
          <w:rFonts w:cstheme="minorHAnsi"/>
          <w:lang w:val="en-MY" w:eastAsia="en-AU"/>
        </w:rPr>
        <w:t xml:space="preserve">Evaluation </w:t>
      </w:r>
      <w:r w:rsidR="005306C3">
        <w:rPr>
          <w:rFonts w:cstheme="minorHAnsi"/>
          <w:lang w:val="en-MY" w:eastAsia="en-AU"/>
        </w:rPr>
        <w:t>A</w:t>
      </w:r>
      <w:r w:rsidRPr="00443C06">
        <w:rPr>
          <w:rFonts w:cstheme="minorHAnsi"/>
          <w:lang w:val="en-MY" w:eastAsia="en-AU"/>
        </w:rPr>
        <w:t>ctivities</w:t>
      </w:r>
      <w:bookmarkEnd w:id="25"/>
    </w:p>
    <w:p w14:paraId="61893E30" w14:textId="4A26254D" w:rsidR="006B455E" w:rsidRDefault="00085D14" w:rsidP="00443C06">
      <w:pPr>
        <w:jc w:val="both"/>
        <w:rPr>
          <w:rFonts w:cstheme="minorHAnsi"/>
          <w:lang w:val="en-MY" w:eastAsia="en-AU"/>
        </w:rPr>
      </w:pPr>
      <w:r w:rsidRPr="0020640D">
        <w:rPr>
          <w:rFonts w:cstheme="minorHAnsi"/>
          <w:lang w:val="en-MY" w:eastAsia="en-AU"/>
        </w:rPr>
        <w:t xml:space="preserve">Findings presented in subsequent </w:t>
      </w:r>
      <w:r>
        <w:rPr>
          <w:rFonts w:cstheme="minorHAnsi"/>
          <w:lang w:val="en-MY" w:eastAsia="en-AU"/>
        </w:rPr>
        <w:t xml:space="preserve">chapters of this report </w:t>
      </w:r>
      <w:r w:rsidRPr="0020640D">
        <w:rPr>
          <w:rFonts w:cstheme="minorHAnsi"/>
          <w:lang w:val="en-MY" w:eastAsia="en-AU"/>
        </w:rPr>
        <w:t>reflect the integration of multiple sources of evidence as the basis of the conclusions presented.</w:t>
      </w:r>
      <w:r>
        <w:rPr>
          <w:rFonts w:cstheme="minorHAnsi"/>
          <w:lang w:val="en-MY" w:eastAsia="en-AU"/>
        </w:rPr>
        <w:t xml:space="preserve"> </w:t>
      </w:r>
      <w:r w:rsidRPr="0020640D">
        <w:rPr>
          <w:rFonts w:cstheme="minorHAnsi"/>
          <w:lang w:val="en-MY" w:eastAsia="en-AU"/>
        </w:rPr>
        <w:t xml:space="preserve">This section describes the </w:t>
      </w:r>
      <w:r>
        <w:rPr>
          <w:rFonts w:cstheme="minorHAnsi"/>
          <w:lang w:val="en-MY" w:eastAsia="en-AU"/>
        </w:rPr>
        <w:t xml:space="preserve">design </w:t>
      </w:r>
      <w:r w:rsidRPr="0020640D">
        <w:rPr>
          <w:rFonts w:cstheme="minorHAnsi"/>
          <w:lang w:val="en-MY" w:eastAsia="en-AU"/>
        </w:rPr>
        <w:t xml:space="preserve">of the various research activities </w:t>
      </w:r>
      <w:r>
        <w:rPr>
          <w:rFonts w:cstheme="minorHAnsi"/>
          <w:lang w:val="en-MY" w:eastAsia="en-AU"/>
        </w:rPr>
        <w:t xml:space="preserve">implemented and the </w:t>
      </w:r>
      <w:r w:rsidRPr="0020640D">
        <w:rPr>
          <w:rFonts w:cstheme="minorHAnsi"/>
          <w:lang w:val="en-MY" w:eastAsia="en-AU"/>
        </w:rPr>
        <w:t xml:space="preserve">risks or challenges </w:t>
      </w:r>
      <w:r>
        <w:rPr>
          <w:rFonts w:cstheme="minorHAnsi"/>
          <w:lang w:val="en-MY" w:eastAsia="en-AU"/>
        </w:rPr>
        <w:t>associated with their</w:t>
      </w:r>
      <w:r w:rsidRPr="0020640D">
        <w:rPr>
          <w:rFonts w:cstheme="minorHAnsi"/>
          <w:lang w:val="en-MY" w:eastAsia="en-AU"/>
        </w:rPr>
        <w:t xml:space="preserve"> </w:t>
      </w:r>
      <w:r w:rsidR="00622E87">
        <w:rPr>
          <w:rFonts w:cstheme="minorHAnsi"/>
          <w:lang w:val="en-MY" w:eastAsia="en-AU"/>
        </w:rPr>
        <w:t>implementation</w:t>
      </w:r>
      <w:r>
        <w:rPr>
          <w:rFonts w:cstheme="minorHAnsi"/>
          <w:lang w:val="en-MY" w:eastAsia="en-AU"/>
        </w:rPr>
        <w:t xml:space="preserve">. </w:t>
      </w:r>
      <w:r w:rsidR="003B75A9" w:rsidRPr="00F25FC1">
        <w:rPr>
          <w:rFonts w:cstheme="minorHAnsi"/>
          <w:lang w:val="en-MY" w:eastAsia="en-AU"/>
        </w:rPr>
        <w:t>Consultations and information gathering w</w:t>
      </w:r>
      <w:r>
        <w:rPr>
          <w:rFonts w:cstheme="minorHAnsi"/>
          <w:lang w:val="en-MY" w:eastAsia="en-AU"/>
        </w:rPr>
        <w:t>as</w:t>
      </w:r>
      <w:r w:rsidR="003B75A9" w:rsidRPr="00F25FC1">
        <w:rPr>
          <w:rFonts w:cstheme="minorHAnsi"/>
          <w:lang w:val="en-MY" w:eastAsia="en-AU"/>
        </w:rPr>
        <w:t xml:space="preserve"> undertaken </w:t>
      </w:r>
      <w:r>
        <w:rPr>
          <w:rFonts w:cstheme="minorHAnsi"/>
          <w:lang w:val="en-MY" w:eastAsia="en-AU"/>
        </w:rPr>
        <w:t xml:space="preserve">by Keogh Bay </w:t>
      </w:r>
      <w:r w:rsidR="003B75A9" w:rsidRPr="00F25FC1">
        <w:rPr>
          <w:rFonts w:cstheme="minorHAnsi"/>
          <w:lang w:val="en-MY" w:eastAsia="en-AU"/>
        </w:rPr>
        <w:t>on a jurisdiction</w:t>
      </w:r>
      <w:r>
        <w:rPr>
          <w:rFonts w:cstheme="minorHAnsi"/>
          <w:lang w:val="en-MY" w:eastAsia="en-AU"/>
        </w:rPr>
        <w:t>-</w:t>
      </w:r>
      <w:r w:rsidR="003B75A9" w:rsidRPr="00F25FC1">
        <w:rPr>
          <w:rFonts w:cstheme="minorHAnsi"/>
          <w:lang w:val="en-MY" w:eastAsia="en-AU"/>
        </w:rPr>
        <w:t>by</w:t>
      </w:r>
      <w:r>
        <w:rPr>
          <w:rFonts w:cstheme="minorHAnsi"/>
          <w:lang w:val="en-MY" w:eastAsia="en-AU"/>
        </w:rPr>
        <w:t>-</w:t>
      </w:r>
      <w:r w:rsidR="003B75A9" w:rsidRPr="00F25FC1">
        <w:rPr>
          <w:rFonts w:cstheme="minorHAnsi"/>
          <w:lang w:val="en-MY" w:eastAsia="en-AU"/>
        </w:rPr>
        <w:t>jurisdiction basis, with site visits to a total of 2</w:t>
      </w:r>
      <w:r>
        <w:rPr>
          <w:rFonts w:cstheme="minorHAnsi"/>
          <w:lang w:val="en-MY" w:eastAsia="en-AU"/>
        </w:rPr>
        <w:t>1</w:t>
      </w:r>
      <w:r w:rsidR="003B75A9" w:rsidRPr="00F25FC1">
        <w:rPr>
          <w:rFonts w:cstheme="minorHAnsi"/>
          <w:lang w:val="en-MY" w:eastAsia="en-AU"/>
        </w:rPr>
        <w:t xml:space="preserve"> service-</w:t>
      </w:r>
      <w:r>
        <w:rPr>
          <w:rFonts w:cstheme="minorHAnsi"/>
          <w:lang w:val="en-MY" w:eastAsia="en-AU"/>
        </w:rPr>
        <w:t xml:space="preserve">delivery sites </w:t>
      </w:r>
      <w:r w:rsidR="003B75A9" w:rsidRPr="00F25FC1">
        <w:rPr>
          <w:rFonts w:cstheme="minorHAnsi"/>
          <w:lang w:val="en-MY" w:eastAsia="en-AU"/>
        </w:rPr>
        <w:t xml:space="preserve">across seven States and Territories. </w:t>
      </w:r>
      <w:r w:rsidR="006B455E" w:rsidRPr="00443C06">
        <w:rPr>
          <w:rFonts w:cstheme="minorHAnsi"/>
          <w:lang w:val="en-MY" w:eastAsia="en-AU"/>
        </w:rPr>
        <w:t xml:space="preserve">Stakeholder consultations in these locations </w:t>
      </w:r>
      <w:r>
        <w:rPr>
          <w:rFonts w:cstheme="minorHAnsi"/>
          <w:lang w:val="en-MY" w:eastAsia="en-AU"/>
        </w:rPr>
        <w:t xml:space="preserve">were </w:t>
      </w:r>
      <w:r w:rsidR="006B455E" w:rsidRPr="00443C06">
        <w:rPr>
          <w:rFonts w:cstheme="minorHAnsi"/>
          <w:lang w:val="en-MY" w:eastAsia="en-AU"/>
        </w:rPr>
        <w:t>undertaken as part of a mixed methods approach including:</w:t>
      </w:r>
    </w:p>
    <w:p w14:paraId="1C332F4F" w14:textId="77777777" w:rsidR="003B75A9" w:rsidRPr="00443C06" w:rsidRDefault="003B75A9" w:rsidP="00443C06">
      <w:pPr>
        <w:jc w:val="both"/>
        <w:rPr>
          <w:rFonts w:cstheme="minorHAnsi"/>
          <w:lang w:val="en-MY" w:eastAsia="en-AU"/>
        </w:rPr>
      </w:pPr>
    </w:p>
    <w:p w14:paraId="54E8C036" w14:textId="3008DFB5" w:rsidR="003B75A9" w:rsidRDefault="006B455E" w:rsidP="00B77817">
      <w:pPr>
        <w:pStyle w:val="ListParagraph"/>
        <w:numPr>
          <w:ilvl w:val="0"/>
          <w:numId w:val="68"/>
        </w:numPr>
        <w:jc w:val="both"/>
        <w:rPr>
          <w:rFonts w:cstheme="minorHAnsi"/>
          <w:lang w:val="en-MY" w:eastAsia="en-AU"/>
        </w:rPr>
      </w:pPr>
      <w:r w:rsidRPr="003B75A9">
        <w:rPr>
          <w:rFonts w:cstheme="minorHAnsi"/>
          <w:lang w:val="en-MY" w:eastAsia="en-AU"/>
        </w:rPr>
        <w:t>Semi-structured interviews with ATC and YTC service provider staff, including interviews with program management and through-care case workers and support staff</w:t>
      </w:r>
      <w:r w:rsidR="00085D14">
        <w:rPr>
          <w:rFonts w:cstheme="minorHAnsi"/>
          <w:lang w:val="en-MY" w:eastAsia="en-AU"/>
        </w:rPr>
        <w:t xml:space="preserve"> responsible for program implementation</w:t>
      </w:r>
      <w:r w:rsidR="003B75A9" w:rsidRPr="003B75A9">
        <w:rPr>
          <w:rFonts w:cstheme="minorHAnsi"/>
          <w:lang w:val="en-MY" w:eastAsia="en-AU"/>
        </w:rPr>
        <w:t>.</w:t>
      </w:r>
    </w:p>
    <w:p w14:paraId="061C769A" w14:textId="77777777" w:rsidR="00537EC2" w:rsidRPr="003B75A9" w:rsidRDefault="00537EC2" w:rsidP="00537EC2">
      <w:pPr>
        <w:pStyle w:val="ListParagraph"/>
        <w:jc w:val="both"/>
        <w:rPr>
          <w:rFonts w:cstheme="minorHAnsi"/>
          <w:lang w:val="en-MY" w:eastAsia="en-AU"/>
        </w:rPr>
      </w:pPr>
    </w:p>
    <w:p w14:paraId="18E75029" w14:textId="70BAA0BA" w:rsidR="006B455E" w:rsidRDefault="006B455E" w:rsidP="00B77817">
      <w:pPr>
        <w:pStyle w:val="ListParagraph"/>
        <w:numPr>
          <w:ilvl w:val="0"/>
          <w:numId w:val="68"/>
        </w:numPr>
        <w:jc w:val="both"/>
        <w:rPr>
          <w:rFonts w:cstheme="minorHAnsi"/>
          <w:lang w:val="en-MY" w:eastAsia="en-AU"/>
        </w:rPr>
      </w:pPr>
      <w:r w:rsidRPr="003B75A9">
        <w:rPr>
          <w:rFonts w:cstheme="minorHAnsi"/>
          <w:lang w:val="en-MY" w:eastAsia="en-AU"/>
        </w:rPr>
        <w:t>Semi-structured interviews with</w:t>
      </w:r>
      <w:r w:rsidR="00085D14">
        <w:rPr>
          <w:rFonts w:cstheme="minorHAnsi"/>
          <w:lang w:val="en-MY" w:eastAsia="en-AU"/>
        </w:rPr>
        <w:t xml:space="preserve"> </w:t>
      </w:r>
      <w:r w:rsidRPr="003B75A9">
        <w:rPr>
          <w:rFonts w:cstheme="minorHAnsi"/>
          <w:lang w:val="en-MY" w:eastAsia="en-AU"/>
        </w:rPr>
        <w:t>Correctional Services</w:t>
      </w:r>
      <w:r w:rsidR="00085D14">
        <w:rPr>
          <w:rFonts w:cstheme="minorHAnsi"/>
          <w:lang w:val="en-MY" w:eastAsia="en-AU"/>
        </w:rPr>
        <w:t xml:space="preserve"> agency </w:t>
      </w:r>
      <w:r w:rsidRPr="003B75A9">
        <w:rPr>
          <w:rFonts w:cstheme="minorHAnsi"/>
          <w:lang w:val="en-MY" w:eastAsia="en-AU"/>
        </w:rPr>
        <w:t>staff in each service location</w:t>
      </w:r>
      <w:r w:rsidR="00085D14">
        <w:rPr>
          <w:rFonts w:cstheme="minorHAnsi"/>
          <w:lang w:val="en-MY" w:eastAsia="en-AU"/>
        </w:rPr>
        <w:t>, including non-custodial program staff and community corrections</w:t>
      </w:r>
      <w:r w:rsidRPr="003B75A9">
        <w:rPr>
          <w:rFonts w:cstheme="minorHAnsi"/>
          <w:lang w:val="en-MY" w:eastAsia="en-AU"/>
        </w:rPr>
        <w:t>.</w:t>
      </w:r>
    </w:p>
    <w:p w14:paraId="21A10073" w14:textId="77777777" w:rsidR="00537EC2" w:rsidRPr="003B75A9" w:rsidRDefault="00537EC2" w:rsidP="00537EC2">
      <w:pPr>
        <w:pStyle w:val="ListParagraph"/>
        <w:jc w:val="both"/>
        <w:rPr>
          <w:rFonts w:cstheme="minorHAnsi"/>
          <w:lang w:val="en-MY" w:eastAsia="en-AU"/>
        </w:rPr>
      </w:pPr>
    </w:p>
    <w:p w14:paraId="2117B3E0" w14:textId="3885A543" w:rsidR="003B75A9" w:rsidRDefault="006B455E" w:rsidP="00B77817">
      <w:pPr>
        <w:pStyle w:val="ListParagraph"/>
        <w:numPr>
          <w:ilvl w:val="0"/>
          <w:numId w:val="68"/>
        </w:numPr>
        <w:jc w:val="both"/>
        <w:rPr>
          <w:rFonts w:cstheme="minorHAnsi"/>
          <w:lang w:val="en-MY" w:eastAsia="en-AU"/>
        </w:rPr>
      </w:pPr>
      <w:r w:rsidRPr="003B75A9">
        <w:rPr>
          <w:rFonts w:cstheme="minorHAnsi"/>
          <w:lang w:val="en-MY" w:eastAsia="en-AU"/>
        </w:rPr>
        <w:t>Semi-structured interviews with through-care clients and their families</w:t>
      </w:r>
      <w:r w:rsidR="00085D14">
        <w:rPr>
          <w:rFonts w:cstheme="minorHAnsi"/>
          <w:lang w:val="en-MY" w:eastAsia="en-AU"/>
        </w:rPr>
        <w:t>, including a</w:t>
      </w:r>
      <w:r w:rsidR="003B75A9" w:rsidRPr="003B75A9">
        <w:rPr>
          <w:rFonts w:cstheme="minorHAnsi"/>
          <w:lang w:val="en-MY" w:eastAsia="en-AU"/>
        </w:rPr>
        <w:t xml:space="preserve">ctive </w:t>
      </w:r>
      <w:r w:rsidR="00085D14">
        <w:rPr>
          <w:rFonts w:cstheme="minorHAnsi"/>
          <w:lang w:val="en-MY" w:eastAsia="en-AU"/>
        </w:rPr>
        <w:t xml:space="preserve">post-release </w:t>
      </w:r>
      <w:r w:rsidR="003B75A9" w:rsidRPr="003B75A9">
        <w:rPr>
          <w:rFonts w:cstheme="minorHAnsi"/>
          <w:lang w:val="en-MY" w:eastAsia="en-AU"/>
        </w:rPr>
        <w:t>and recently exited clients of both programs.</w:t>
      </w:r>
    </w:p>
    <w:p w14:paraId="2DA52216" w14:textId="77777777" w:rsidR="00537EC2" w:rsidRPr="003B75A9" w:rsidRDefault="00537EC2" w:rsidP="00537EC2">
      <w:pPr>
        <w:pStyle w:val="ListParagraph"/>
        <w:jc w:val="both"/>
        <w:rPr>
          <w:rFonts w:cstheme="minorHAnsi"/>
          <w:lang w:val="en-MY" w:eastAsia="en-AU"/>
        </w:rPr>
      </w:pPr>
    </w:p>
    <w:p w14:paraId="1AA22237" w14:textId="6B5EC266" w:rsidR="006B455E" w:rsidRDefault="006B455E" w:rsidP="00B77817">
      <w:pPr>
        <w:pStyle w:val="ListParagraph"/>
        <w:numPr>
          <w:ilvl w:val="0"/>
          <w:numId w:val="68"/>
        </w:numPr>
        <w:jc w:val="both"/>
        <w:rPr>
          <w:rFonts w:cstheme="minorHAnsi"/>
          <w:lang w:val="en-MY" w:eastAsia="en-AU"/>
        </w:rPr>
      </w:pPr>
      <w:r w:rsidRPr="003B75A9">
        <w:rPr>
          <w:rFonts w:cstheme="minorHAnsi"/>
          <w:lang w:val="en-MY" w:eastAsia="en-AU"/>
        </w:rPr>
        <w:t>A survey of ATC and YTC third-party referral partners</w:t>
      </w:r>
      <w:r w:rsidR="00537EC2">
        <w:rPr>
          <w:rFonts w:cstheme="minorHAnsi"/>
          <w:lang w:val="en-MY" w:eastAsia="en-AU"/>
        </w:rPr>
        <w:t>, including representatives from</w:t>
      </w:r>
      <w:r w:rsidR="00085D14">
        <w:rPr>
          <w:rFonts w:cstheme="minorHAnsi"/>
          <w:lang w:val="en-MY" w:eastAsia="en-AU"/>
        </w:rPr>
        <w:t xml:space="preserve"> </w:t>
      </w:r>
      <w:r w:rsidR="003B75A9" w:rsidRPr="003B75A9">
        <w:rPr>
          <w:rFonts w:cstheme="minorHAnsi"/>
          <w:lang w:val="en-MY" w:eastAsia="en-AU"/>
        </w:rPr>
        <w:t>government, Aboriginal community controlled, and other not-for-profit</w:t>
      </w:r>
      <w:r w:rsidR="00537EC2">
        <w:rPr>
          <w:rFonts w:cstheme="minorHAnsi"/>
          <w:lang w:val="en-MY" w:eastAsia="en-AU"/>
        </w:rPr>
        <w:t xml:space="preserve"> organisations </w:t>
      </w:r>
      <w:r w:rsidR="003B75A9" w:rsidRPr="003B75A9">
        <w:rPr>
          <w:rFonts w:cstheme="minorHAnsi"/>
          <w:lang w:val="en-MY" w:eastAsia="en-AU"/>
        </w:rPr>
        <w:t xml:space="preserve">providing complimentary support services in partnership with </w:t>
      </w:r>
      <w:r w:rsidR="00537EC2">
        <w:rPr>
          <w:rFonts w:cstheme="minorHAnsi"/>
          <w:lang w:val="en-MY" w:eastAsia="en-AU"/>
        </w:rPr>
        <w:t xml:space="preserve">through-care </w:t>
      </w:r>
      <w:r w:rsidR="003B75A9" w:rsidRPr="003B75A9">
        <w:rPr>
          <w:rFonts w:cstheme="minorHAnsi"/>
          <w:lang w:val="en-MY" w:eastAsia="en-AU"/>
        </w:rPr>
        <w:t>service providers.</w:t>
      </w:r>
    </w:p>
    <w:p w14:paraId="6FEBB25B" w14:textId="77777777" w:rsidR="00537EC2" w:rsidRDefault="00537EC2" w:rsidP="00537EC2">
      <w:pPr>
        <w:pStyle w:val="ListParagraph"/>
        <w:jc w:val="both"/>
        <w:rPr>
          <w:rFonts w:cstheme="minorHAnsi"/>
          <w:lang w:val="en-MY" w:eastAsia="en-AU"/>
        </w:rPr>
      </w:pPr>
    </w:p>
    <w:p w14:paraId="615044A6" w14:textId="29628B74" w:rsidR="00537EC2" w:rsidRDefault="00537EC2" w:rsidP="00B77817">
      <w:pPr>
        <w:pStyle w:val="ListParagraph"/>
        <w:numPr>
          <w:ilvl w:val="0"/>
          <w:numId w:val="68"/>
        </w:numPr>
        <w:jc w:val="both"/>
        <w:rPr>
          <w:rFonts w:cstheme="minorHAnsi"/>
          <w:lang w:val="en-MY" w:eastAsia="en-AU"/>
        </w:rPr>
      </w:pPr>
      <w:r>
        <w:rPr>
          <w:rFonts w:cstheme="minorHAnsi"/>
          <w:lang w:val="en-MY" w:eastAsia="en-AU"/>
        </w:rPr>
        <w:t xml:space="preserve">Desk-top research and </w:t>
      </w:r>
      <w:r w:rsidRPr="003B75A9">
        <w:rPr>
          <w:rFonts w:cstheme="minorHAnsi"/>
          <w:lang w:val="en-MY" w:eastAsia="en-AU"/>
        </w:rPr>
        <w:t>analysis of program documentation</w:t>
      </w:r>
      <w:r>
        <w:rPr>
          <w:rFonts w:cstheme="minorHAnsi"/>
          <w:lang w:val="en-MY" w:eastAsia="en-AU"/>
        </w:rPr>
        <w:t>, including a best-practice literature review</w:t>
      </w:r>
      <w:r w:rsidR="00622E87">
        <w:rPr>
          <w:rFonts w:cstheme="minorHAnsi"/>
          <w:lang w:val="en-MY" w:eastAsia="en-AU"/>
        </w:rPr>
        <w:t xml:space="preserve">, </w:t>
      </w:r>
      <w:r>
        <w:rPr>
          <w:rFonts w:cstheme="minorHAnsi"/>
          <w:lang w:val="en-MY" w:eastAsia="en-AU"/>
        </w:rPr>
        <w:t xml:space="preserve">and a </w:t>
      </w:r>
      <w:r w:rsidRPr="00537EC2">
        <w:rPr>
          <w:rFonts w:cstheme="minorHAnsi"/>
          <w:lang w:val="en-MY" w:eastAsia="en-AU"/>
        </w:rPr>
        <w:t>quantitative analysis of service provider program data gathered from performance reporting.</w:t>
      </w:r>
    </w:p>
    <w:p w14:paraId="0BDDBCD9" w14:textId="77777777" w:rsidR="00537EC2" w:rsidRDefault="00537EC2" w:rsidP="00537EC2">
      <w:pPr>
        <w:jc w:val="both"/>
        <w:rPr>
          <w:rFonts w:cstheme="minorHAnsi"/>
          <w:lang w:val="en-MY" w:eastAsia="en-AU"/>
        </w:rPr>
      </w:pPr>
    </w:p>
    <w:p w14:paraId="006E9CA4" w14:textId="49CCBB8A" w:rsidR="00537EC2" w:rsidRPr="002D6EBD" w:rsidRDefault="00FF2BE9" w:rsidP="00537EC2">
      <w:pPr>
        <w:jc w:val="both"/>
        <w:rPr>
          <w:rFonts w:cstheme="minorHAnsi"/>
          <w:lang w:val="en-MY" w:eastAsia="en-AU"/>
        </w:rPr>
      </w:pPr>
      <w:r w:rsidRPr="00537EC2">
        <w:rPr>
          <w:rFonts w:cstheme="minorHAnsi"/>
          <w:lang w:val="en-MY" w:eastAsia="en-AU"/>
        </w:rPr>
        <w:t xml:space="preserve">Activity enumeration data </w:t>
      </w:r>
      <w:r w:rsidR="00537EC2" w:rsidRPr="00537EC2">
        <w:rPr>
          <w:rFonts w:cstheme="minorHAnsi"/>
          <w:lang w:val="en-MY" w:eastAsia="en-AU"/>
        </w:rPr>
        <w:t xml:space="preserve">for each </w:t>
      </w:r>
      <w:r w:rsidR="00537EC2">
        <w:rPr>
          <w:rFonts w:cstheme="minorHAnsi"/>
          <w:lang w:val="en-MY" w:eastAsia="en-AU"/>
        </w:rPr>
        <w:t xml:space="preserve">research activity </w:t>
      </w:r>
      <w:r w:rsidRPr="00537EC2">
        <w:rPr>
          <w:rFonts w:cstheme="minorHAnsi"/>
          <w:lang w:val="en-MY" w:eastAsia="en-AU"/>
        </w:rPr>
        <w:t xml:space="preserve">is summarised </w:t>
      </w:r>
      <w:r w:rsidR="00537EC2">
        <w:rPr>
          <w:rFonts w:cstheme="minorHAnsi"/>
          <w:lang w:val="en-MY" w:eastAsia="en-AU"/>
        </w:rPr>
        <w:t xml:space="preserve">in the table </w:t>
      </w:r>
      <w:r w:rsidRPr="00537EC2">
        <w:rPr>
          <w:rFonts w:cstheme="minorHAnsi"/>
          <w:lang w:val="en-MY" w:eastAsia="en-AU"/>
        </w:rPr>
        <w:t>below</w:t>
      </w:r>
      <w:r w:rsidR="00537EC2">
        <w:rPr>
          <w:rFonts w:cstheme="minorHAnsi"/>
          <w:lang w:val="en-MY" w:eastAsia="en-AU"/>
        </w:rPr>
        <w:t xml:space="preserve">, with </w:t>
      </w:r>
      <w:r w:rsidR="00537EC2" w:rsidRPr="002D6EBD">
        <w:rPr>
          <w:rFonts w:cstheme="minorHAnsi"/>
          <w:lang w:val="en-MY" w:eastAsia="en-AU"/>
        </w:rPr>
        <w:t>a further explanation of sampling, target groups and delivery mechanisms provided over page.</w:t>
      </w:r>
      <w:r w:rsidR="00537EC2">
        <w:rPr>
          <w:rFonts w:cstheme="minorHAnsi"/>
          <w:lang w:val="en-MY" w:eastAsia="en-AU"/>
        </w:rPr>
        <w:t xml:space="preserve"> C</w:t>
      </w:r>
      <w:r w:rsidR="00537EC2" w:rsidRPr="002D6EBD">
        <w:rPr>
          <w:rFonts w:cstheme="minorHAnsi"/>
          <w:lang w:val="en-MY" w:eastAsia="en-AU"/>
        </w:rPr>
        <w:t xml:space="preserve">opies of </w:t>
      </w:r>
      <w:r w:rsidR="00537EC2">
        <w:rPr>
          <w:rFonts w:cstheme="minorHAnsi"/>
          <w:lang w:val="en-MY" w:eastAsia="en-AU"/>
        </w:rPr>
        <w:t xml:space="preserve">the collection instruments described are </w:t>
      </w:r>
      <w:r w:rsidR="00537EC2" w:rsidRPr="002D6EBD">
        <w:rPr>
          <w:rFonts w:cstheme="minorHAnsi"/>
          <w:lang w:val="en-MY" w:eastAsia="en-AU"/>
        </w:rPr>
        <w:t>provided a</w:t>
      </w:r>
      <w:r w:rsidR="00537EC2">
        <w:rPr>
          <w:rFonts w:cstheme="minorHAnsi"/>
          <w:lang w:val="en-MY" w:eastAsia="en-AU"/>
        </w:rPr>
        <w:t>t Appendix B.</w:t>
      </w:r>
      <w:r w:rsidR="00537EC2" w:rsidRPr="002D6EBD">
        <w:rPr>
          <w:rFonts w:cstheme="minorHAnsi"/>
          <w:lang w:val="en-MY" w:eastAsia="en-AU"/>
        </w:rPr>
        <w:t xml:space="preserve"> </w:t>
      </w:r>
    </w:p>
    <w:p w14:paraId="1E397120" w14:textId="2E7BE4E5" w:rsidR="00FF2BE9" w:rsidRPr="00537EC2" w:rsidRDefault="00FF2BE9" w:rsidP="00537EC2">
      <w:pPr>
        <w:jc w:val="both"/>
        <w:rPr>
          <w:rFonts w:cstheme="minorHAnsi"/>
          <w:lang w:val="en-MY" w:eastAsia="en-AU"/>
        </w:rPr>
      </w:pPr>
    </w:p>
    <w:p w14:paraId="325BEF24" w14:textId="77777777" w:rsidR="0020640D" w:rsidRDefault="0020640D" w:rsidP="0020640D">
      <w:pPr>
        <w:jc w:val="both"/>
        <w:rPr>
          <w:rFonts w:cstheme="minorHAnsi"/>
          <w:lang w:val="en-MY" w:eastAsia="en-AU"/>
        </w:rPr>
      </w:pPr>
    </w:p>
    <w:p w14:paraId="172443E3" w14:textId="77777777" w:rsidR="00537EC2" w:rsidRDefault="00537EC2" w:rsidP="0020640D">
      <w:pPr>
        <w:jc w:val="both"/>
        <w:rPr>
          <w:rFonts w:cstheme="minorHAnsi"/>
          <w:lang w:val="en-MY" w:eastAsia="en-AU"/>
        </w:rPr>
      </w:pPr>
    </w:p>
    <w:p w14:paraId="6597C4BC" w14:textId="77777777" w:rsidR="00622E87" w:rsidRDefault="00622E87" w:rsidP="0020640D">
      <w:pPr>
        <w:jc w:val="both"/>
        <w:rPr>
          <w:rFonts w:cstheme="minorHAnsi"/>
          <w:lang w:val="en-MY" w:eastAsia="en-AU"/>
        </w:rPr>
      </w:pPr>
    </w:p>
    <w:p w14:paraId="1CF0946C" w14:textId="77777777" w:rsidR="00622E87" w:rsidRDefault="00622E87" w:rsidP="0020640D">
      <w:pPr>
        <w:jc w:val="both"/>
        <w:rPr>
          <w:rFonts w:cstheme="minorHAnsi"/>
          <w:lang w:val="en-MY" w:eastAsia="en-AU"/>
        </w:rPr>
      </w:pPr>
    </w:p>
    <w:p w14:paraId="02938C30" w14:textId="77777777" w:rsidR="00622E87" w:rsidRDefault="00622E87" w:rsidP="0020640D">
      <w:pPr>
        <w:jc w:val="both"/>
        <w:rPr>
          <w:rFonts w:cstheme="minorHAnsi"/>
          <w:lang w:val="en-MY" w:eastAsia="en-AU"/>
        </w:rPr>
      </w:pPr>
    </w:p>
    <w:p w14:paraId="5A3A0E97" w14:textId="77777777" w:rsidR="00537EC2" w:rsidRPr="0020640D" w:rsidRDefault="00537EC2" w:rsidP="0020640D">
      <w:pPr>
        <w:jc w:val="both"/>
        <w:rPr>
          <w:rFonts w:cstheme="minorHAnsi"/>
          <w:lang w:val="en-MY" w:eastAsia="en-AU"/>
        </w:rPr>
      </w:pPr>
    </w:p>
    <w:p w14:paraId="0B6D0EAF" w14:textId="77777777" w:rsidR="007B263E" w:rsidRDefault="007B263E" w:rsidP="00CE5A23">
      <w:pPr>
        <w:rPr>
          <w:rFonts w:cstheme="minorHAnsi"/>
          <w:i/>
          <w:iCs/>
          <w:color w:val="1F497D" w:themeColor="text2"/>
          <w:sz w:val="20"/>
          <w:szCs w:val="20"/>
        </w:rPr>
      </w:pPr>
    </w:p>
    <w:p w14:paraId="2CE3E092" w14:textId="77777777" w:rsidR="007B263E" w:rsidRDefault="007B263E" w:rsidP="00CE5A23">
      <w:pPr>
        <w:rPr>
          <w:rFonts w:cstheme="minorHAnsi"/>
          <w:i/>
          <w:iCs/>
          <w:color w:val="1F497D" w:themeColor="text2"/>
          <w:sz w:val="20"/>
          <w:szCs w:val="20"/>
        </w:rPr>
      </w:pPr>
    </w:p>
    <w:p w14:paraId="3596EABF" w14:textId="77777777" w:rsidR="007B263E" w:rsidRDefault="007B263E" w:rsidP="00CE5A23">
      <w:pPr>
        <w:rPr>
          <w:rFonts w:cstheme="minorHAnsi"/>
          <w:i/>
          <w:iCs/>
          <w:color w:val="1F497D" w:themeColor="text2"/>
          <w:sz w:val="20"/>
          <w:szCs w:val="20"/>
        </w:rPr>
      </w:pPr>
    </w:p>
    <w:p w14:paraId="315CDFC9" w14:textId="77777777" w:rsidR="007B263E" w:rsidRDefault="007B263E" w:rsidP="00CE5A23">
      <w:pPr>
        <w:rPr>
          <w:rFonts w:cstheme="minorHAnsi"/>
          <w:i/>
          <w:iCs/>
          <w:color w:val="1F497D" w:themeColor="text2"/>
          <w:sz w:val="20"/>
          <w:szCs w:val="20"/>
        </w:rPr>
      </w:pPr>
    </w:p>
    <w:p w14:paraId="09BB6B8D" w14:textId="77777777" w:rsidR="007B263E" w:rsidRDefault="007B263E" w:rsidP="00CE5A23">
      <w:pPr>
        <w:rPr>
          <w:rFonts w:cstheme="minorHAnsi"/>
          <w:i/>
          <w:iCs/>
          <w:color w:val="1F497D" w:themeColor="text2"/>
          <w:sz w:val="20"/>
          <w:szCs w:val="20"/>
        </w:rPr>
      </w:pPr>
    </w:p>
    <w:p w14:paraId="2A105EE4" w14:textId="77777777" w:rsidR="00745F83" w:rsidRDefault="00745F83" w:rsidP="00CE5A23">
      <w:pPr>
        <w:rPr>
          <w:rFonts w:cstheme="minorHAnsi"/>
          <w:i/>
          <w:iCs/>
          <w:color w:val="1F497D" w:themeColor="text2"/>
          <w:sz w:val="20"/>
          <w:szCs w:val="20"/>
        </w:rPr>
      </w:pPr>
    </w:p>
    <w:p w14:paraId="54DB9702" w14:textId="77777777" w:rsidR="007B263E" w:rsidRDefault="007B263E" w:rsidP="00CE5A23">
      <w:pPr>
        <w:rPr>
          <w:rFonts w:cstheme="minorHAnsi"/>
          <w:i/>
          <w:iCs/>
          <w:color w:val="1F497D" w:themeColor="text2"/>
          <w:sz w:val="20"/>
          <w:szCs w:val="20"/>
        </w:rPr>
      </w:pPr>
    </w:p>
    <w:p w14:paraId="69B296BF" w14:textId="77777777" w:rsidR="007B263E" w:rsidRDefault="007B263E" w:rsidP="00CE5A23">
      <w:pPr>
        <w:rPr>
          <w:rFonts w:cstheme="minorHAnsi"/>
          <w:i/>
          <w:iCs/>
          <w:color w:val="1F497D" w:themeColor="text2"/>
          <w:sz w:val="20"/>
          <w:szCs w:val="20"/>
        </w:rPr>
      </w:pPr>
    </w:p>
    <w:p w14:paraId="61704A10" w14:textId="1F03A3E0" w:rsidR="00CE5A23" w:rsidRDefault="00CE5A23" w:rsidP="00CE5A23">
      <w:pPr>
        <w:rPr>
          <w:rFonts w:cstheme="minorHAnsi"/>
          <w:i/>
          <w:iCs/>
          <w:color w:val="1F497D" w:themeColor="text2"/>
          <w:sz w:val="20"/>
          <w:szCs w:val="20"/>
        </w:rPr>
      </w:pPr>
      <w:r w:rsidRPr="00537EC2">
        <w:rPr>
          <w:rFonts w:cstheme="minorHAnsi"/>
          <w:i/>
          <w:iCs/>
          <w:color w:val="1F497D" w:themeColor="text2"/>
          <w:sz w:val="20"/>
          <w:szCs w:val="20"/>
        </w:rPr>
        <w:t>Table 3 – Evaluation Research Activity Data</w:t>
      </w:r>
    </w:p>
    <w:p w14:paraId="5448C975" w14:textId="77777777" w:rsidR="00537EC2" w:rsidRPr="00537EC2" w:rsidRDefault="00537EC2" w:rsidP="00CE5A23">
      <w:pPr>
        <w:rPr>
          <w:rFonts w:cstheme="minorHAnsi"/>
          <w:i/>
          <w:iCs/>
          <w:color w:val="1F497D" w:themeColor="text2"/>
          <w:sz w:val="20"/>
          <w:szCs w:val="20"/>
        </w:rPr>
      </w:pPr>
    </w:p>
    <w:tbl>
      <w:tblPr>
        <w:tblStyle w:val="GridTable1Light-Accent1"/>
        <w:tblW w:w="9067" w:type="dxa"/>
        <w:tblLook w:val="04A0" w:firstRow="1" w:lastRow="0" w:firstColumn="1" w:lastColumn="0" w:noHBand="0" w:noVBand="1"/>
        <w:tblCaption w:val="Table 3 - Evaluation Research Activity Data"/>
        <w:tblDescription w:val="The table has 2 columsn and 6 rows in total. One column is titled 'research activity' and lists 5 types of research activities underneath. The other column is titled 'count' and lists the number of each research activity."/>
      </w:tblPr>
      <w:tblGrid>
        <w:gridCol w:w="3681"/>
        <w:gridCol w:w="5386"/>
      </w:tblGrid>
      <w:tr w:rsidR="0089184E" w:rsidRPr="0089184E" w14:paraId="35948D5B" w14:textId="35F493EC" w:rsidTr="0089184E">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BD639DB" w14:textId="046CB9D2" w:rsidR="0089184E" w:rsidRPr="0089184E" w:rsidRDefault="0089184E" w:rsidP="0089184E">
            <w:pPr>
              <w:jc w:val="center"/>
              <w:rPr>
                <w:rFonts w:cstheme="minorHAnsi"/>
                <w:sz w:val="20"/>
                <w:szCs w:val="20"/>
                <w:lang w:val="en-MY" w:eastAsia="en-AU"/>
              </w:rPr>
            </w:pPr>
            <w:r w:rsidRPr="0089184E">
              <w:rPr>
                <w:rFonts w:cstheme="minorHAnsi"/>
                <w:sz w:val="20"/>
                <w:szCs w:val="20"/>
                <w:lang w:val="en-MY" w:eastAsia="en-AU"/>
              </w:rPr>
              <w:t>Research Activity</w:t>
            </w:r>
          </w:p>
        </w:tc>
        <w:tc>
          <w:tcPr>
            <w:tcW w:w="5386" w:type="dxa"/>
            <w:vAlign w:val="center"/>
          </w:tcPr>
          <w:p w14:paraId="54764B91" w14:textId="5953CB36"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MY" w:eastAsia="en-AU"/>
              </w:rPr>
            </w:pPr>
            <w:r w:rsidRPr="0089184E">
              <w:rPr>
                <w:rFonts w:cstheme="minorHAnsi"/>
                <w:sz w:val="20"/>
                <w:szCs w:val="20"/>
                <w:lang w:val="en-MY" w:eastAsia="en-AU"/>
              </w:rPr>
              <w:t>Count</w:t>
            </w:r>
          </w:p>
        </w:tc>
      </w:tr>
      <w:tr w:rsidR="0089184E" w:rsidRPr="0089184E" w14:paraId="4E2AA744" w14:textId="3D11CE14" w:rsidTr="0089184E">
        <w:trPr>
          <w:cnfStyle w:val="100000000000" w:firstRow="1" w:lastRow="0" w:firstColumn="0" w:lastColumn="0" w:oddVBand="0" w:evenVBand="0" w:oddHBand="0" w:evenHBand="0" w:firstRowFirstColumn="0" w:firstRowLastColumn="0" w:lastRowFirstColumn="0" w:lastRowLastColumn="0"/>
          <w:trHeight w:val="1393"/>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EFFB53A" w14:textId="62437A65" w:rsidR="0089184E" w:rsidRPr="0089184E" w:rsidRDefault="0089184E" w:rsidP="0089184E">
            <w:pPr>
              <w:rPr>
                <w:rFonts w:cstheme="minorHAnsi"/>
                <w:b w:val="0"/>
                <w:bCs w:val="0"/>
                <w:sz w:val="20"/>
                <w:szCs w:val="20"/>
                <w:lang w:val="en-MY" w:eastAsia="en-AU"/>
              </w:rPr>
            </w:pPr>
            <w:r w:rsidRPr="0089184E">
              <w:rPr>
                <w:rFonts w:cstheme="minorHAnsi"/>
                <w:b w:val="0"/>
                <w:bCs w:val="0"/>
                <w:sz w:val="20"/>
                <w:szCs w:val="20"/>
                <w:lang w:val="en-MY" w:eastAsia="en-AU"/>
              </w:rPr>
              <w:t>SEMI-STRUCTURED INTERVIEWS WITH SERVICE PROVIDERS (Including Case Workers, Managers and Data Administrators)</w:t>
            </w:r>
          </w:p>
        </w:tc>
        <w:tc>
          <w:tcPr>
            <w:tcW w:w="5386" w:type="dxa"/>
            <w:vAlign w:val="center"/>
          </w:tcPr>
          <w:p w14:paraId="52D82B64" w14:textId="08B32FC8"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89184E">
              <w:rPr>
                <w:rFonts w:cstheme="minorHAnsi"/>
                <w:b w:val="0"/>
                <w:bCs w:val="0"/>
                <w:sz w:val="20"/>
                <w:szCs w:val="20"/>
                <w:lang w:val="en-MY" w:eastAsia="en-AU"/>
              </w:rPr>
              <w:t>87 [inc. 22 Youth focused]</w:t>
            </w:r>
          </w:p>
        </w:tc>
      </w:tr>
      <w:tr w:rsidR="0089184E" w:rsidRPr="0089184E" w14:paraId="737EFEF6" w14:textId="10EEEBF5" w:rsidTr="0089184E">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55FC726" w14:textId="12482C74" w:rsidR="0089184E" w:rsidRPr="0089184E" w:rsidRDefault="0089184E" w:rsidP="0089184E">
            <w:pPr>
              <w:rPr>
                <w:rFonts w:cstheme="minorHAnsi"/>
                <w:b w:val="0"/>
                <w:bCs w:val="0"/>
                <w:sz w:val="20"/>
                <w:szCs w:val="20"/>
                <w:lang w:val="en-MY" w:eastAsia="en-AU"/>
              </w:rPr>
            </w:pPr>
            <w:r w:rsidRPr="0089184E">
              <w:rPr>
                <w:rFonts w:cstheme="minorHAnsi"/>
                <w:b w:val="0"/>
                <w:bCs w:val="0"/>
                <w:sz w:val="20"/>
                <w:szCs w:val="20"/>
                <w:lang w:val="en-MY" w:eastAsia="en-AU"/>
              </w:rPr>
              <w:t>SEMI-STRUCTURED INTERVIEWS WITH CORRECTIONAL SERVICES STAFF</w:t>
            </w:r>
          </w:p>
        </w:tc>
        <w:tc>
          <w:tcPr>
            <w:tcW w:w="5386" w:type="dxa"/>
            <w:vAlign w:val="center"/>
          </w:tcPr>
          <w:p w14:paraId="5667E8C6" w14:textId="5C5C3D0C"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Pr>
                <w:rFonts w:cstheme="minorHAnsi"/>
                <w:b w:val="0"/>
                <w:bCs w:val="0"/>
                <w:sz w:val="20"/>
                <w:szCs w:val="20"/>
                <w:lang w:val="en-MY" w:eastAsia="en-AU"/>
              </w:rPr>
              <w:t>1</w:t>
            </w:r>
            <w:r w:rsidR="00537EC2">
              <w:rPr>
                <w:rFonts w:cstheme="minorHAnsi"/>
                <w:b w:val="0"/>
                <w:bCs w:val="0"/>
                <w:sz w:val="20"/>
                <w:szCs w:val="20"/>
                <w:lang w:val="en-MY" w:eastAsia="en-AU"/>
              </w:rPr>
              <w:t>2</w:t>
            </w:r>
            <w:r>
              <w:rPr>
                <w:rFonts w:cstheme="minorHAnsi"/>
                <w:b w:val="0"/>
                <w:bCs w:val="0"/>
                <w:sz w:val="20"/>
                <w:szCs w:val="20"/>
                <w:lang w:val="en-MY" w:eastAsia="en-AU"/>
              </w:rPr>
              <w:t xml:space="preserve"> </w:t>
            </w:r>
            <w:r w:rsidRPr="0089184E">
              <w:rPr>
                <w:rFonts w:cstheme="minorHAnsi"/>
                <w:b w:val="0"/>
                <w:bCs w:val="0"/>
                <w:sz w:val="20"/>
                <w:szCs w:val="20"/>
                <w:lang w:val="en-MY" w:eastAsia="en-AU"/>
              </w:rPr>
              <w:t>[inc. 4 Youth focused]</w:t>
            </w:r>
          </w:p>
        </w:tc>
      </w:tr>
      <w:tr w:rsidR="0089184E" w:rsidRPr="0089184E" w14:paraId="45466DD5" w14:textId="56294240" w:rsidTr="0089184E">
        <w:trPr>
          <w:cnfStyle w:val="100000000000" w:firstRow="1" w:lastRow="0" w:firstColumn="0" w:lastColumn="0" w:oddVBand="0" w:evenVBand="0" w:oddHBand="0" w:evenHBand="0" w:firstRowFirstColumn="0" w:firstRowLastColumn="0" w:lastRowFirstColumn="0" w:lastRowLastColumn="0"/>
          <w:trHeight w:val="688"/>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A0825F7" w14:textId="574D0149" w:rsidR="0089184E" w:rsidRPr="0089184E" w:rsidRDefault="0089184E" w:rsidP="0089184E">
            <w:pPr>
              <w:rPr>
                <w:rFonts w:cstheme="minorHAnsi"/>
                <w:b w:val="0"/>
                <w:bCs w:val="0"/>
                <w:sz w:val="20"/>
                <w:szCs w:val="20"/>
                <w:lang w:val="en-MY" w:eastAsia="en-AU"/>
              </w:rPr>
            </w:pPr>
            <w:r w:rsidRPr="0089184E">
              <w:rPr>
                <w:rFonts w:cstheme="minorHAnsi"/>
                <w:b w:val="0"/>
                <w:bCs w:val="0"/>
                <w:sz w:val="20"/>
                <w:szCs w:val="20"/>
                <w:lang w:val="en-MY" w:eastAsia="en-AU"/>
              </w:rPr>
              <w:t>SEMI-STRUCTURED INTERVIEWS WITH CLIENTS AND FAMILY</w:t>
            </w:r>
          </w:p>
        </w:tc>
        <w:tc>
          <w:tcPr>
            <w:tcW w:w="5386" w:type="dxa"/>
            <w:vAlign w:val="center"/>
          </w:tcPr>
          <w:p w14:paraId="55A565A5" w14:textId="5165B2F6"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89184E">
              <w:rPr>
                <w:rFonts w:cstheme="minorHAnsi"/>
                <w:b w:val="0"/>
                <w:bCs w:val="0"/>
                <w:sz w:val="20"/>
                <w:szCs w:val="20"/>
                <w:lang w:val="en-MY" w:eastAsia="en-AU"/>
              </w:rPr>
              <w:t>8</w:t>
            </w:r>
            <w:r w:rsidR="00237241">
              <w:rPr>
                <w:rFonts w:cstheme="minorHAnsi"/>
                <w:b w:val="0"/>
                <w:bCs w:val="0"/>
                <w:sz w:val="20"/>
                <w:szCs w:val="20"/>
                <w:lang w:val="en-MY" w:eastAsia="en-AU"/>
              </w:rPr>
              <w:t>6</w:t>
            </w:r>
            <w:r w:rsidRPr="0089184E">
              <w:rPr>
                <w:rFonts w:cstheme="minorHAnsi"/>
                <w:b w:val="0"/>
                <w:bCs w:val="0"/>
                <w:sz w:val="20"/>
                <w:szCs w:val="20"/>
                <w:lang w:val="en-MY" w:eastAsia="en-AU"/>
              </w:rPr>
              <w:t xml:space="preserve"> [inc. 24 Youth focused]</w:t>
            </w:r>
          </w:p>
        </w:tc>
      </w:tr>
      <w:tr w:rsidR="0089184E" w:rsidRPr="0089184E" w14:paraId="6642191F" w14:textId="77777777" w:rsidTr="0089184E">
        <w:trPr>
          <w:cnfStyle w:val="100000000000" w:firstRow="1" w:lastRow="0" w:firstColumn="0" w:lastColumn="0" w:oddVBand="0" w:evenVBand="0" w:oddHBand="0" w:evenHBand="0" w:firstRowFirstColumn="0" w:firstRowLastColumn="0" w:lastRowFirstColumn="0" w:lastRowLastColumn="0"/>
          <w:trHeight w:val="671"/>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71E7712" w14:textId="369F697B" w:rsidR="0089184E" w:rsidRPr="0089184E" w:rsidRDefault="0089184E" w:rsidP="0089184E">
            <w:pPr>
              <w:rPr>
                <w:rFonts w:cstheme="minorHAnsi"/>
                <w:sz w:val="20"/>
                <w:szCs w:val="20"/>
                <w:lang w:val="en-MY" w:eastAsia="en-AU"/>
              </w:rPr>
            </w:pPr>
            <w:r>
              <w:rPr>
                <w:rFonts w:cstheme="minorHAnsi"/>
                <w:b w:val="0"/>
                <w:bCs w:val="0"/>
                <w:sz w:val="20"/>
                <w:szCs w:val="20"/>
                <w:lang w:val="en-MY" w:eastAsia="en-AU"/>
              </w:rPr>
              <w:t>DESK-TOP REVIEW (Including literature and Performance Reports)</w:t>
            </w:r>
          </w:p>
        </w:tc>
        <w:tc>
          <w:tcPr>
            <w:tcW w:w="5386" w:type="dxa"/>
            <w:vAlign w:val="center"/>
          </w:tcPr>
          <w:p w14:paraId="46CAC1D5" w14:textId="484483D2"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sidRPr="0089184E">
              <w:rPr>
                <w:rFonts w:cstheme="minorHAnsi"/>
                <w:b w:val="0"/>
                <w:bCs w:val="0"/>
                <w:sz w:val="20"/>
                <w:szCs w:val="20"/>
                <w:lang w:val="en-MY" w:eastAsia="en-AU"/>
              </w:rPr>
              <w:t>N/A</w:t>
            </w:r>
          </w:p>
        </w:tc>
      </w:tr>
      <w:tr w:rsidR="0089184E" w:rsidRPr="0089184E" w14:paraId="08015A31" w14:textId="77777777" w:rsidTr="0089184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E0E9148" w14:textId="6B0CE822" w:rsidR="0089184E" w:rsidRPr="0089184E" w:rsidRDefault="0089184E" w:rsidP="0089184E">
            <w:pPr>
              <w:rPr>
                <w:rFonts w:cstheme="minorHAnsi"/>
                <w:sz w:val="20"/>
                <w:szCs w:val="20"/>
                <w:lang w:val="en-MY" w:eastAsia="en-AU"/>
              </w:rPr>
            </w:pPr>
            <w:r w:rsidRPr="0089184E">
              <w:rPr>
                <w:rFonts w:cstheme="minorHAnsi"/>
                <w:b w:val="0"/>
                <w:bCs w:val="0"/>
                <w:sz w:val="20"/>
                <w:szCs w:val="20"/>
                <w:lang w:val="en-MY" w:eastAsia="en-AU"/>
              </w:rPr>
              <w:t>SURVEY OF REFERRAL PARTNERS</w:t>
            </w:r>
          </w:p>
        </w:tc>
        <w:tc>
          <w:tcPr>
            <w:tcW w:w="5386" w:type="dxa"/>
            <w:vAlign w:val="center"/>
          </w:tcPr>
          <w:p w14:paraId="6FE86B11" w14:textId="7B662B2B" w:rsidR="0089184E" w:rsidRPr="0089184E" w:rsidRDefault="0089184E" w:rsidP="008918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val="en-MY" w:eastAsia="en-AU"/>
              </w:rPr>
            </w:pPr>
            <w:r>
              <w:rPr>
                <w:rFonts w:cstheme="minorHAnsi"/>
                <w:b w:val="0"/>
                <w:bCs w:val="0"/>
                <w:sz w:val="20"/>
                <w:szCs w:val="20"/>
                <w:lang w:val="en-MY" w:eastAsia="en-AU"/>
              </w:rPr>
              <w:t>7</w:t>
            </w:r>
            <w:r w:rsidR="00BD326B">
              <w:rPr>
                <w:rFonts w:cstheme="minorHAnsi"/>
                <w:b w:val="0"/>
                <w:bCs w:val="0"/>
                <w:sz w:val="20"/>
                <w:szCs w:val="20"/>
                <w:lang w:val="en-MY" w:eastAsia="en-AU"/>
              </w:rPr>
              <w:t>3</w:t>
            </w:r>
            <w:r>
              <w:rPr>
                <w:rFonts w:cstheme="minorHAnsi"/>
                <w:b w:val="0"/>
                <w:bCs w:val="0"/>
                <w:sz w:val="20"/>
                <w:szCs w:val="20"/>
                <w:lang w:val="en-MY" w:eastAsia="en-AU"/>
              </w:rPr>
              <w:t xml:space="preserve"> [n</w:t>
            </w:r>
            <w:r w:rsidRPr="0089184E">
              <w:rPr>
                <w:rFonts w:cstheme="minorHAnsi"/>
                <w:b w:val="0"/>
                <w:bCs w:val="0"/>
                <w:sz w:val="20"/>
                <w:szCs w:val="20"/>
                <w:lang w:val="en-MY" w:eastAsia="en-AU"/>
              </w:rPr>
              <w:t>=329</w:t>
            </w:r>
            <w:r>
              <w:rPr>
                <w:rFonts w:cstheme="minorHAnsi"/>
                <w:b w:val="0"/>
                <w:bCs w:val="0"/>
                <w:sz w:val="20"/>
                <w:szCs w:val="20"/>
                <w:lang w:val="en-MY" w:eastAsia="en-AU"/>
              </w:rPr>
              <w:t>]</w:t>
            </w:r>
          </w:p>
        </w:tc>
      </w:tr>
    </w:tbl>
    <w:p w14:paraId="6BCCA168" w14:textId="77777777" w:rsidR="002F6224" w:rsidRDefault="00FF4B0A" w:rsidP="002F6224">
      <w:pPr>
        <w:pStyle w:val="SUBHEAD2"/>
        <w:rPr>
          <w:rFonts w:asciiTheme="minorHAnsi" w:hAnsiTheme="minorHAnsi" w:cstheme="minorHAnsi"/>
          <w:lang w:val="en-MY" w:eastAsia="en-AU"/>
        </w:rPr>
      </w:pPr>
      <w:r>
        <w:rPr>
          <w:rFonts w:asciiTheme="minorHAnsi" w:hAnsiTheme="minorHAnsi" w:cstheme="minorHAnsi"/>
          <w:lang w:val="en-MY" w:eastAsia="en-AU"/>
        </w:rPr>
        <w:t>Semi-Structured Interviews with Service Providers</w:t>
      </w:r>
    </w:p>
    <w:p w14:paraId="11570790" w14:textId="04988FAD" w:rsidR="00B0029E" w:rsidRPr="002F6224" w:rsidRDefault="00B0029E" w:rsidP="00AB7135">
      <w:pPr>
        <w:spacing w:before="120" w:after="120"/>
        <w:jc w:val="both"/>
        <w:rPr>
          <w:b/>
          <w:smallCaps/>
          <w:lang w:val="en-MY" w:eastAsia="en-AU"/>
        </w:rPr>
      </w:pPr>
      <w:r w:rsidRPr="002F6224">
        <w:rPr>
          <w:lang w:val="en-MY" w:eastAsia="en-AU"/>
        </w:rPr>
        <w:t xml:space="preserve">Semi-structured interviews with case workers, program managers and data administrators </w:t>
      </w:r>
      <w:r w:rsidR="00D953CA" w:rsidRPr="002F6224">
        <w:rPr>
          <w:lang w:val="en-MY" w:eastAsia="en-AU"/>
        </w:rPr>
        <w:t xml:space="preserve">currently employed by through-care service providers were </w:t>
      </w:r>
      <w:r w:rsidRPr="002F6224">
        <w:rPr>
          <w:lang w:val="en-MY" w:eastAsia="en-AU"/>
        </w:rPr>
        <w:t xml:space="preserve">undertaken at </w:t>
      </w:r>
      <w:r w:rsidR="00D953CA" w:rsidRPr="002F6224">
        <w:rPr>
          <w:lang w:val="en-MY" w:eastAsia="en-AU"/>
        </w:rPr>
        <w:t xml:space="preserve">each service </w:t>
      </w:r>
      <w:r w:rsidRPr="002F6224">
        <w:rPr>
          <w:lang w:val="en-MY" w:eastAsia="en-AU"/>
        </w:rPr>
        <w:t>delivery site.</w:t>
      </w:r>
      <w:r w:rsidR="00164CAB" w:rsidRPr="002F6224">
        <w:rPr>
          <w:lang w:val="en-MY" w:eastAsia="en-AU"/>
        </w:rPr>
        <w:t xml:space="preserve"> </w:t>
      </w:r>
      <w:r w:rsidRPr="002F6224">
        <w:rPr>
          <w:lang w:val="en-MY" w:eastAsia="en-AU"/>
        </w:rPr>
        <w:t xml:space="preserve">These interviews were conducted to discuss the service’s implementation of the relevant through-care model, including whether the design and implementation is meeting client needs, and the extent to which services have adapted the model in response to local circumstances. </w:t>
      </w:r>
      <w:r w:rsidR="00164CAB" w:rsidRPr="002F6224">
        <w:rPr>
          <w:lang w:val="en-MY" w:eastAsia="en-AU"/>
        </w:rPr>
        <w:t>I</w:t>
      </w:r>
      <w:r w:rsidRPr="002F6224">
        <w:rPr>
          <w:lang w:val="en-MY" w:eastAsia="en-AU"/>
        </w:rPr>
        <w:t xml:space="preserve">nterviews with case workers </w:t>
      </w:r>
      <w:r w:rsidR="00164CAB" w:rsidRPr="002F6224">
        <w:rPr>
          <w:lang w:val="en-MY" w:eastAsia="en-AU"/>
        </w:rPr>
        <w:t xml:space="preserve">have </w:t>
      </w:r>
      <w:r w:rsidRPr="002F6224">
        <w:rPr>
          <w:lang w:val="en-MY" w:eastAsia="en-AU"/>
        </w:rPr>
        <w:t>emphasise</w:t>
      </w:r>
      <w:r w:rsidR="00164CAB" w:rsidRPr="002F6224">
        <w:rPr>
          <w:lang w:val="en-MY" w:eastAsia="en-AU"/>
        </w:rPr>
        <w:t>d</w:t>
      </w:r>
      <w:r w:rsidRPr="002F6224">
        <w:rPr>
          <w:lang w:val="en-MY" w:eastAsia="en-AU"/>
        </w:rPr>
        <w:t xml:space="preserve"> day-to-day program delivery and the impacts for clients, while interviews with managers and </w:t>
      </w:r>
      <w:r w:rsidR="00164CAB" w:rsidRPr="002F6224">
        <w:rPr>
          <w:lang w:val="en-MY" w:eastAsia="en-AU"/>
        </w:rPr>
        <w:t xml:space="preserve">data </w:t>
      </w:r>
      <w:r w:rsidRPr="002F6224">
        <w:rPr>
          <w:lang w:val="en-MY" w:eastAsia="en-AU"/>
        </w:rPr>
        <w:t xml:space="preserve">administrators </w:t>
      </w:r>
      <w:r w:rsidR="00164CAB" w:rsidRPr="002F6224">
        <w:rPr>
          <w:lang w:val="en-MY" w:eastAsia="en-AU"/>
        </w:rPr>
        <w:t xml:space="preserve">have </w:t>
      </w:r>
      <w:r w:rsidRPr="002F6224">
        <w:rPr>
          <w:lang w:val="en-MY" w:eastAsia="en-AU"/>
        </w:rPr>
        <w:t>explore</w:t>
      </w:r>
      <w:r w:rsidR="00164CAB" w:rsidRPr="002F6224">
        <w:rPr>
          <w:lang w:val="en-MY" w:eastAsia="en-AU"/>
        </w:rPr>
        <w:t>d</w:t>
      </w:r>
      <w:r w:rsidRPr="002F6224">
        <w:rPr>
          <w:lang w:val="en-MY" w:eastAsia="en-AU"/>
        </w:rPr>
        <w:t xml:space="preserve"> enabling and organisational factors such as workforce</w:t>
      </w:r>
      <w:r w:rsidR="00587BDE" w:rsidRPr="002F6224">
        <w:rPr>
          <w:lang w:val="en-MY" w:eastAsia="en-AU"/>
        </w:rPr>
        <w:t>, governance</w:t>
      </w:r>
      <w:r w:rsidRPr="002F6224">
        <w:rPr>
          <w:lang w:val="en-MY" w:eastAsia="en-AU"/>
        </w:rPr>
        <w:t xml:space="preserve"> and data collection </w:t>
      </w:r>
      <w:r w:rsidR="00164CAB" w:rsidRPr="002F6224">
        <w:rPr>
          <w:lang w:val="en-MY" w:eastAsia="en-AU"/>
        </w:rPr>
        <w:t>processes</w:t>
      </w:r>
      <w:r w:rsidRPr="002F6224">
        <w:rPr>
          <w:lang w:val="en-MY" w:eastAsia="en-AU"/>
        </w:rPr>
        <w:t xml:space="preserve">. </w:t>
      </w:r>
    </w:p>
    <w:p w14:paraId="52C9D7E2" w14:textId="006E2270" w:rsidR="00B0029E" w:rsidRPr="0088670E" w:rsidRDefault="00B0029E" w:rsidP="00AB7135">
      <w:pPr>
        <w:spacing w:before="120" w:after="120"/>
        <w:jc w:val="both"/>
        <w:rPr>
          <w:lang w:val="en-MY" w:eastAsia="en-AU"/>
        </w:rPr>
      </w:pPr>
      <w:r w:rsidRPr="0088670E">
        <w:rPr>
          <w:lang w:val="en-MY" w:eastAsia="en-AU"/>
        </w:rPr>
        <w:t xml:space="preserve">As </w:t>
      </w:r>
      <w:r w:rsidR="00587BDE">
        <w:rPr>
          <w:lang w:val="en-MY" w:eastAsia="en-AU"/>
        </w:rPr>
        <w:t>expected</w:t>
      </w:r>
      <w:r w:rsidRPr="0088670E">
        <w:rPr>
          <w:lang w:val="en-MY" w:eastAsia="en-AU"/>
        </w:rPr>
        <w:t>, the number of interviews conducted by organisation</w:t>
      </w:r>
      <w:r w:rsidR="006076A4">
        <w:rPr>
          <w:lang w:val="en-MY" w:eastAsia="en-AU"/>
        </w:rPr>
        <w:t xml:space="preserve"> </w:t>
      </w:r>
      <w:r w:rsidR="00587BDE">
        <w:rPr>
          <w:lang w:val="en-MY" w:eastAsia="en-AU"/>
        </w:rPr>
        <w:t xml:space="preserve">and site has varied in </w:t>
      </w:r>
      <w:r w:rsidRPr="0088670E">
        <w:rPr>
          <w:lang w:val="en-MY" w:eastAsia="en-AU"/>
        </w:rPr>
        <w:t>accord</w:t>
      </w:r>
      <w:r w:rsidR="00587BDE">
        <w:rPr>
          <w:lang w:val="en-MY" w:eastAsia="en-AU"/>
        </w:rPr>
        <w:t xml:space="preserve">ance with the </w:t>
      </w:r>
      <w:r w:rsidR="006076A4">
        <w:rPr>
          <w:lang w:val="en-MY" w:eastAsia="en-AU"/>
        </w:rPr>
        <w:t xml:space="preserve">distribution of funded positions outlined in Tables 1 and 2. </w:t>
      </w:r>
      <w:r w:rsidRPr="0088670E">
        <w:rPr>
          <w:lang w:val="en-MY" w:eastAsia="en-AU"/>
        </w:rPr>
        <w:t>Since more interviews were conducted at larger services</w:t>
      </w:r>
      <w:r w:rsidR="00587BDE">
        <w:rPr>
          <w:lang w:val="en-MY" w:eastAsia="en-AU"/>
        </w:rPr>
        <w:t xml:space="preserve"> and in urban centres</w:t>
      </w:r>
      <w:r w:rsidRPr="0088670E">
        <w:rPr>
          <w:lang w:val="en-MY" w:eastAsia="en-AU"/>
        </w:rPr>
        <w:t xml:space="preserve">, this has created </w:t>
      </w:r>
      <w:r w:rsidR="00164CAB">
        <w:rPr>
          <w:lang w:val="en-MY" w:eastAsia="en-AU"/>
        </w:rPr>
        <w:t>some</w:t>
      </w:r>
      <w:r w:rsidRPr="0088670E">
        <w:rPr>
          <w:lang w:val="en-MY" w:eastAsia="en-AU"/>
        </w:rPr>
        <w:t xml:space="preserve"> bias in data collection.</w:t>
      </w:r>
      <w:r w:rsidR="00587BDE">
        <w:rPr>
          <w:lang w:val="en-MY" w:eastAsia="en-AU"/>
        </w:rPr>
        <w:t xml:space="preserve"> </w:t>
      </w:r>
      <w:r w:rsidRPr="0088670E">
        <w:rPr>
          <w:lang w:val="en-MY" w:eastAsia="en-AU"/>
        </w:rPr>
        <w:t>Reported findings from interviews with service providers are therefore careful to distinguish between issues that are common to all providers and those which apply to a particular organisation or grouping</w:t>
      </w:r>
      <w:r w:rsidR="00587BDE">
        <w:rPr>
          <w:lang w:val="en-MY" w:eastAsia="en-AU"/>
        </w:rPr>
        <w:t xml:space="preserve"> of sites (for instance, distinguishing between urban and remote locations)</w:t>
      </w:r>
      <w:r w:rsidRPr="0088670E">
        <w:rPr>
          <w:lang w:val="en-MY" w:eastAsia="en-AU"/>
        </w:rPr>
        <w:t xml:space="preserve">. </w:t>
      </w:r>
    </w:p>
    <w:p w14:paraId="5126272C" w14:textId="2728882E" w:rsidR="002F6224" w:rsidRDefault="00B0029E" w:rsidP="00AB7135">
      <w:pPr>
        <w:spacing w:before="120" w:after="120"/>
        <w:jc w:val="both"/>
        <w:rPr>
          <w:lang w:val="en-MY" w:eastAsia="en-AU"/>
        </w:rPr>
      </w:pPr>
      <w:r w:rsidRPr="0088670E">
        <w:rPr>
          <w:lang w:val="en-MY" w:eastAsia="en-AU"/>
        </w:rPr>
        <w:t>Overall, since the employees of through-care services have a direct interest in the evaluation</w:t>
      </w:r>
      <w:r w:rsidR="00B95ABE">
        <w:rPr>
          <w:lang w:val="en-MY" w:eastAsia="en-AU"/>
        </w:rPr>
        <w:t xml:space="preserve">, </w:t>
      </w:r>
      <w:r w:rsidRPr="0088670E">
        <w:rPr>
          <w:lang w:val="en-MY" w:eastAsia="en-AU"/>
        </w:rPr>
        <w:t xml:space="preserve">levels of participation </w:t>
      </w:r>
      <w:r w:rsidR="00164CAB">
        <w:rPr>
          <w:lang w:val="en-MY" w:eastAsia="en-AU"/>
        </w:rPr>
        <w:t xml:space="preserve">were </w:t>
      </w:r>
      <w:r w:rsidRPr="0088670E">
        <w:rPr>
          <w:lang w:val="en-MY" w:eastAsia="en-AU"/>
        </w:rPr>
        <w:t>high, with incidents of non-participation</w:t>
      </w:r>
      <w:r w:rsidR="006076A4">
        <w:rPr>
          <w:lang w:val="en-MY" w:eastAsia="en-AU"/>
        </w:rPr>
        <w:t xml:space="preserve"> </w:t>
      </w:r>
      <w:r w:rsidRPr="0088670E">
        <w:rPr>
          <w:lang w:val="en-MY" w:eastAsia="en-AU"/>
        </w:rPr>
        <w:t xml:space="preserve">isolated to staff absent from work over the period of the visit. </w:t>
      </w:r>
      <w:r w:rsidR="00AF65E7">
        <w:rPr>
          <w:lang w:val="en-MY" w:eastAsia="en-AU"/>
        </w:rPr>
        <w:t xml:space="preserve">Out of a total pool of 57 case workers </w:t>
      </w:r>
      <w:r w:rsidR="006076A4">
        <w:rPr>
          <w:lang w:val="en-MY" w:eastAsia="en-AU"/>
        </w:rPr>
        <w:t>(65 funded positions less 8 vacancies) 54 individuals were consulted</w:t>
      </w:r>
      <w:r w:rsidR="00934CA5">
        <w:rPr>
          <w:lang w:val="en-MY" w:eastAsia="en-AU"/>
        </w:rPr>
        <w:t xml:space="preserve"> (or 95 percent of available staff)</w:t>
      </w:r>
      <w:r w:rsidR="006076A4">
        <w:rPr>
          <w:lang w:val="en-MY" w:eastAsia="en-AU"/>
        </w:rPr>
        <w:t xml:space="preserve">, in addition to 33 </w:t>
      </w:r>
      <w:r w:rsidRPr="0088670E">
        <w:rPr>
          <w:lang w:val="en-MY" w:eastAsia="en-AU"/>
        </w:rPr>
        <w:t>individual</w:t>
      </w:r>
      <w:r w:rsidR="006076A4">
        <w:rPr>
          <w:lang w:val="en-MY" w:eastAsia="en-AU"/>
        </w:rPr>
        <w:t>s</w:t>
      </w:r>
      <w:r w:rsidRPr="0088670E">
        <w:rPr>
          <w:lang w:val="en-MY" w:eastAsia="en-AU"/>
        </w:rPr>
        <w:t xml:space="preserve"> </w:t>
      </w:r>
      <w:r w:rsidR="006076A4">
        <w:rPr>
          <w:lang w:val="en-MY" w:eastAsia="en-AU"/>
        </w:rPr>
        <w:t xml:space="preserve">in management or administrative positions </w:t>
      </w:r>
      <w:r w:rsidR="00587BDE">
        <w:rPr>
          <w:lang w:val="en-MY" w:eastAsia="en-AU"/>
        </w:rPr>
        <w:t>but not managing a case</w:t>
      </w:r>
      <w:r w:rsidR="00694565">
        <w:rPr>
          <w:lang w:val="en-MY" w:eastAsia="en-AU"/>
        </w:rPr>
        <w:t>-</w:t>
      </w:r>
      <w:r w:rsidR="00587BDE">
        <w:rPr>
          <w:lang w:val="en-MY" w:eastAsia="en-AU"/>
        </w:rPr>
        <w:t xml:space="preserve">load. </w:t>
      </w:r>
      <w:r w:rsidRPr="0088670E">
        <w:rPr>
          <w:lang w:val="en-MY" w:eastAsia="en-AU"/>
        </w:rPr>
        <w:t>Of the</w:t>
      </w:r>
      <w:r w:rsidR="00D9088F">
        <w:rPr>
          <w:lang w:val="en-MY" w:eastAsia="en-AU"/>
        </w:rPr>
        <w:t xml:space="preserve"> total, </w:t>
      </w:r>
      <w:r w:rsidRPr="0088670E">
        <w:rPr>
          <w:lang w:val="en-MY" w:eastAsia="en-AU"/>
        </w:rPr>
        <w:t xml:space="preserve">22 interviews focused on the YTC Program (noting a disproportionately higher number of </w:t>
      </w:r>
      <w:r w:rsidR="00B95ABE">
        <w:rPr>
          <w:lang w:val="en-MY" w:eastAsia="en-AU"/>
        </w:rPr>
        <w:t>y</w:t>
      </w:r>
      <w:r w:rsidRPr="0088670E">
        <w:rPr>
          <w:lang w:val="en-MY" w:eastAsia="en-AU"/>
        </w:rPr>
        <w:t>outh-related positions vacant</w:t>
      </w:r>
      <w:r w:rsidR="00B95ABE">
        <w:rPr>
          <w:lang w:val="en-MY" w:eastAsia="en-AU"/>
        </w:rPr>
        <w:t>,</w:t>
      </w:r>
      <w:r w:rsidRPr="0088670E">
        <w:rPr>
          <w:lang w:val="en-MY" w:eastAsia="en-AU"/>
        </w:rPr>
        <w:t xml:space="preserve"> or staff absent).</w:t>
      </w:r>
    </w:p>
    <w:p w14:paraId="618EFD39" w14:textId="77777777" w:rsidR="00EC273E" w:rsidRDefault="00EC273E">
      <w:pPr>
        <w:spacing w:after="200" w:line="276" w:lineRule="auto"/>
        <w:jc w:val="both"/>
        <w:rPr>
          <w:rFonts w:cstheme="minorHAnsi"/>
          <w:b/>
          <w:smallCaps/>
          <w:color w:val="17375D"/>
          <w:spacing w:val="10"/>
          <w:lang w:val="en-MY" w:eastAsia="en-AU"/>
        </w:rPr>
      </w:pPr>
      <w:r>
        <w:rPr>
          <w:rFonts w:cstheme="minorHAnsi"/>
          <w:lang w:val="en-MY" w:eastAsia="en-AU"/>
        </w:rPr>
        <w:br w:type="page"/>
      </w:r>
    </w:p>
    <w:p w14:paraId="4BC015B3" w14:textId="6CFA8360" w:rsidR="002F6224" w:rsidRDefault="00B0029E" w:rsidP="002F6224">
      <w:pPr>
        <w:pStyle w:val="SUBHEAD2"/>
        <w:rPr>
          <w:rFonts w:asciiTheme="minorHAnsi" w:hAnsiTheme="minorHAnsi" w:cstheme="minorHAnsi"/>
          <w:lang w:val="en-MY" w:eastAsia="en-AU"/>
        </w:rPr>
      </w:pPr>
      <w:r w:rsidRPr="0088670E">
        <w:rPr>
          <w:rFonts w:asciiTheme="minorHAnsi" w:hAnsiTheme="minorHAnsi" w:cstheme="minorHAnsi"/>
          <w:lang w:val="en-MY" w:eastAsia="en-AU"/>
        </w:rPr>
        <w:t>Semi-Structured Interviews With Correctional Services Staff</w:t>
      </w:r>
    </w:p>
    <w:p w14:paraId="32815262" w14:textId="66BF161C" w:rsidR="00B0029E" w:rsidRPr="002F6224" w:rsidRDefault="00B0029E" w:rsidP="00AB7135">
      <w:pPr>
        <w:spacing w:before="120" w:after="120"/>
        <w:jc w:val="both"/>
        <w:rPr>
          <w:b/>
          <w:smallCaps/>
          <w:lang w:val="en-MY" w:eastAsia="en-AU"/>
        </w:rPr>
      </w:pPr>
      <w:r w:rsidRPr="002F6224">
        <w:rPr>
          <w:lang w:val="en-MY" w:eastAsia="en-AU"/>
        </w:rPr>
        <w:t>Keogh Bay conduct</w:t>
      </w:r>
      <w:r w:rsidR="00CC2DF0" w:rsidRPr="002F6224">
        <w:rPr>
          <w:lang w:val="en-MY" w:eastAsia="en-AU"/>
        </w:rPr>
        <w:t xml:space="preserve">ed </w:t>
      </w:r>
      <w:r w:rsidRPr="002F6224">
        <w:rPr>
          <w:lang w:val="en-MY" w:eastAsia="en-AU"/>
        </w:rPr>
        <w:t xml:space="preserve">semi-structured interviews with </w:t>
      </w:r>
      <w:r w:rsidR="00B95ABE" w:rsidRPr="002F6224">
        <w:rPr>
          <w:lang w:val="en-MY" w:eastAsia="en-AU"/>
        </w:rPr>
        <w:t>c</w:t>
      </w:r>
      <w:r w:rsidRPr="002F6224">
        <w:rPr>
          <w:lang w:val="en-MY" w:eastAsia="en-AU"/>
        </w:rPr>
        <w:t xml:space="preserve">orrectional </w:t>
      </w:r>
      <w:r w:rsidR="00B95ABE" w:rsidRPr="002F6224">
        <w:rPr>
          <w:lang w:val="en-MY" w:eastAsia="en-AU"/>
        </w:rPr>
        <w:t>s</w:t>
      </w:r>
      <w:r w:rsidRPr="002F6224">
        <w:rPr>
          <w:lang w:val="en-MY" w:eastAsia="en-AU"/>
        </w:rPr>
        <w:t xml:space="preserve">ervices staff, including Community Liaison Officers, transition support staff, parole officers and other community corrections </w:t>
      </w:r>
      <w:r w:rsidR="00E264F8" w:rsidRPr="002F6224">
        <w:rPr>
          <w:lang w:val="en-MY" w:eastAsia="en-AU"/>
        </w:rPr>
        <w:t>staff</w:t>
      </w:r>
      <w:r w:rsidRPr="002F6224">
        <w:rPr>
          <w:lang w:val="en-MY" w:eastAsia="en-AU"/>
        </w:rPr>
        <w:t xml:space="preserve"> employed by the relevant correctional services department in each jurisdiction. </w:t>
      </w:r>
      <w:r w:rsidR="0041738B" w:rsidRPr="002F6224">
        <w:rPr>
          <w:lang w:val="en-MY" w:eastAsia="en-AU"/>
        </w:rPr>
        <w:t xml:space="preserve">These interviews were included in the evaluation design following feedback from the IEC. </w:t>
      </w:r>
      <w:r w:rsidRPr="002F6224">
        <w:rPr>
          <w:lang w:val="en-MY" w:eastAsia="en-AU"/>
        </w:rPr>
        <w:t>Discussions consider</w:t>
      </w:r>
      <w:r w:rsidR="00CC2DF0" w:rsidRPr="002F6224">
        <w:rPr>
          <w:lang w:val="en-MY" w:eastAsia="en-AU"/>
        </w:rPr>
        <w:t>ed</w:t>
      </w:r>
      <w:r w:rsidRPr="002F6224">
        <w:rPr>
          <w:lang w:val="en-MY" w:eastAsia="en-AU"/>
        </w:rPr>
        <w:t xml:space="preserve"> implementation of the relevant through-care service </w:t>
      </w:r>
      <w:r w:rsidR="00CC2DF0" w:rsidRPr="002F6224">
        <w:rPr>
          <w:lang w:val="en-MY" w:eastAsia="en-AU"/>
        </w:rPr>
        <w:t xml:space="preserve">model </w:t>
      </w:r>
      <w:r w:rsidRPr="002F6224">
        <w:rPr>
          <w:lang w:val="en-MY" w:eastAsia="en-AU"/>
        </w:rPr>
        <w:t xml:space="preserve">from a </w:t>
      </w:r>
      <w:r w:rsidR="00B95ABE" w:rsidRPr="002F6224">
        <w:rPr>
          <w:lang w:val="en-MY" w:eastAsia="en-AU"/>
        </w:rPr>
        <w:t>c</w:t>
      </w:r>
      <w:r w:rsidRPr="002F6224">
        <w:rPr>
          <w:lang w:val="en-MY" w:eastAsia="en-AU"/>
        </w:rPr>
        <w:t xml:space="preserve">orrections perspective, </w:t>
      </w:r>
      <w:r w:rsidR="00CC2DF0" w:rsidRPr="002F6224">
        <w:rPr>
          <w:lang w:val="en-MY" w:eastAsia="en-AU"/>
        </w:rPr>
        <w:t xml:space="preserve">including </w:t>
      </w:r>
      <w:r w:rsidRPr="002F6224">
        <w:rPr>
          <w:lang w:val="en-MY" w:eastAsia="en-AU"/>
        </w:rPr>
        <w:t>whether th</w:t>
      </w:r>
      <w:r w:rsidR="00E264F8" w:rsidRPr="002F6224">
        <w:rPr>
          <w:lang w:val="en-MY" w:eastAsia="en-AU"/>
        </w:rPr>
        <w:t>e service model</w:t>
      </w:r>
      <w:r w:rsidRPr="002F6224">
        <w:rPr>
          <w:lang w:val="en-MY" w:eastAsia="en-AU"/>
        </w:rPr>
        <w:t xml:space="preserve"> is meeting client needs and agency views on areas for service model improvement. </w:t>
      </w:r>
    </w:p>
    <w:p w14:paraId="0CF79D1E" w14:textId="40D288CD" w:rsidR="00B0029E" w:rsidRPr="0088670E" w:rsidRDefault="00E264F8" w:rsidP="00AB7135">
      <w:pPr>
        <w:spacing w:before="120" w:after="120"/>
        <w:jc w:val="both"/>
        <w:rPr>
          <w:lang w:val="en-MY" w:eastAsia="en-AU"/>
        </w:rPr>
      </w:pPr>
      <w:r>
        <w:rPr>
          <w:lang w:val="en-MY" w:eastAsia="en-AU"/>
        </w:rPr>
        <w:t>As with service provider staff interviews, t</w:t>
      </w:r>
      <w:r w:rsidRPr="0088670E">
        <w:rPr>
          <w:lang w:val="en-MY" w:eastAsia="en-AU"/>
        </w:rPr>
        <w:t xml:space="preserve">he number </w:t>
      </w:r>
      <w:r>
        <w:rPr>
          <w:lang w:val="en-MY" w:eastAsia="en-AU"/>
        </w:rPr>
        <w:t xml:space="preserve">of interviews </w:t>
      </w:r>
      <w:r w:rsidRPr="0088670E">
        <w:rPr>
          <w:lang w:val="en-MY" w:eastAsia="en-AU"/>
        </w:rPr>
        <w:t xml:space="preserve">conducted </w:t>
      </w:r>
      <w:r>
        <w:rPr>
          <w:lang w:val="en-MY" w:eastAsia="en-AU"/>
        </w:rPr>
        <w:t xml:space="preserve">has varied </w:t>
      </w:r>
      <w:r w:rsidRPr="0088670E">
        <w:rPr>
          <w:lang w:val="en-MY" w:eastAsia="en-AU"/>
        </w:rPr>
        <w:t xml:space="preserve">by service </w:t>
      </w:r>
      <w:r w:rsidR="00D87078">
        <w:rPr>
          <w:lang w:val="en-MY" w:eastAsia="en-AU"/>
        </w:rPr>
        <w:t>site</w:t>
      </w:r>
      <w:r w:rsidRPr="0088670E">
        <w:rPr>
          <w:lang w:val="en-MY" w:eastAsia="en-AU"/>
        </w:rPr>
        <w:t xml:space="preserve">, dependent on the footprint of </w:t>
      </w:r>
      <w:r w:rsidR="00B95ABE">
        <w:rPr>
          <w:lang w:val="en-MY" w:eastAsia="en-AU"/>
        </w:rPr>
        <w:t>c</w:t>
      </w:r>
      <w:r w:rsidRPr="0088670E">
        <w:rPr>
          <w:lang w:val="en-MY" w:eastAsia="en-AU"/>
        </w:rPr>
        <w:t xml:space="preserve">orrectional </w:t>
      </w:r>
      <w:r w:rsidR="00B95ABE">
        <w:rPr>
          <w:lang w:val="en-MY" w:eastAsia="en-AU"/>
        </w:rPr>
        <w:t>s</w:t>
      </w:r>
      <w:r w:rsidRPr="0088670E">
        <w:rPr>
          <w:lang w:val="en-MY" w:eastAsia="en-AU"/>
        </w:rPr>
        <w:t>ervices in that location</w:t>
      </w:r>
      <w:r>
        <w:rPr>
          <w:lang w:val="en-MY" w:eastAsia="en-AU"/>
        </w:rPr>
        <w:t xml:space="preserve"> and </w:t>
      </w:r>
      <w:r w:rsidRPr="0088670E">
        <w:rPr>
          <w:lang w:val="en-MY" w:eastAsia="en-AU"/>
        </w:rPr>
        <w:t>the precise service model applied by the through-care service.</w:t>
      </w:r>
      <w:r w:rsidRPr="00CC2DF0">
        <w:rPr>
          <w:vertAlign w:val="superscript"/>
          <w:lang w:val="en-MY" w:eastAsia="en-AU"/>
        </w:rPr>
        <w:footnoteReference w:id="67"/>
      </w:r>
      <w:r w:rsidRPr="0088670E">
        <w:rPr>
          <w:lang w:val="en-MY" w:eastAsia="en-AU"/>
        </w:rPr>
        <w:t xml:space="preserve"> Contact lists of </w:t>
      </w:r>
      <w:r w:rsidR="00B95ABE">
        <w:rPr>
          <w:lang w:val="en-MY" w:eastAsia="en-AU"/>
        </w:rPr>
        <w:t>c</w:t>
      </w:r>
      <w:r w:rsidRPr="0088670E">
        <w:rPr>
          <w:lang w:val="en-MY" w:eastAsia="en-AU"/>
        </w:rPr>
        <w:t xml:space="preserve">orrections </w:t>
      </w:r>
      <w:r w:rsidR="00B95ABE">
        <w:rPr>
          <w:lang w:val="en-MY" w:eastAsia="en-AU"/>
        </w:rPr>
        <w:t>s</w:t>
      </w:r>
      <w:r w:rsidRPr="0088670E">
        <w:rPr>
          <w:lang w:val="en-MY" w:eastAsia="en-AU"/>
        </w:rPr>
        <w:t xml:space="preserve">taff familiar with each service </w:t>
      </w:r>
      <w:r>
        <w:rPr>
          <w:lang w:val="en-MY" w:eastAsia="en-AU"/>
        </w:rPr>
        <w:t xml:space="preserve">were </w:t>
      </w:r>
      <w:r w:rsidRPr="0088670E">
        <w:rPr>
          <w:lang w:val="en-MY" w:eastAsia="en-AU"/>
        </w:rPr>
        <w:t xml:space="preserve">collected from most </w:t>
      </w:r>
      <w:r>
        <w:rPr>
          <w:lang w:val="en-MY" w:eastAsia="en-AU"/>
        </w:rPr>
        <w:t xml:space="preserve">service </w:t>
      </w:r>
      <w:r w:rsidRPr="0088670E">
        <w:rPr>
          <w:lang w:val="en-MY" w:eastAsia="en-AU"/>
        </w:rPr>
        <w:t xml:space="preserve">providers, </w:t>
      </w:r>
      <w:r>
        <w:rPr>
          <w:lang w:val="en-MY" w:eastAsia="en-AU"/>
        </w:rPr>
        <w:t xml:space="preserve">noting that the ability of services to provide complete lists was dependent on the </w:t>
      </w:r>
      <w:r w:rsidRPr="0088670E">
        <w:rPr>
          <w:lang w:val="en-MY" w:eastAsia="en-AU"/>
        </w:rPr>
        <w:t>quality of relationships locally</w:t>
      </w:r>
      <w:r>
        <w:rPr>
          <w:lang w:val="en-MY" w:eastAsia="en-AU"/>
        </w:rPr>
        <w:t xml:space="preserve">. </w:t>
      </w:r>
      <w:r w:rsidR="00D035DC">
        <w:rPr>
          <w:lang w:val="en-MY" w:eastAsia="en-AU"/>
        </w:rPr>
        <w:t>While</w:t>
      </w:r>
      <w:r>
        <w:rPr>
          <w:lang w:val="en-MY" w:eastAsia="en-AU"/>
        </w:rPr>
        <w:t xml:space="preserve"> invitations and follow-up was undertaken with over 50 prospective interviewees a total of</w:t>
      </w:r>
      <w:r w:rsidR="00D035DC">
        <w:rPr>
          <w:lang w:val="en-MY" w:eastAsia="en-AU"/>
        </w:rPr>
        <w:t xml:space="preserve"> just</w:t>
      </w:r>
      <w:r>
        <w:rPr>
          <w:lang w:val="en-MY" w:eastAsia="en-AU"/>
        </w:rPr>
        <w:t xml:space="preserve"> 12 such interviewees were consulted, with many either declining to be interviewed</w:t>
      </w:r>
      <w:r w:rsidR="00D87078">
        <w:rPr>
          <w:lang w:val="en-MY" w:eastAsia="en-AU"/>
        </w:rPr>
        <w:t>, not responding to calls or email</w:t>
      </w:r>
      <w:r w:rsidR="00BC0610">
        <w:rPr>
          <w:lang w:val="en-MY" w:eastAsia="en-AU"/>
        </w:rPr>
        <w:t>s</w:t>
      </w:r>
      <w:r w:rsidR="00D87078">
        <w:rPr>
          <w:lang w:val="en-MY" w:eastAsia="en-AU"/>
        </w:rPr>
        <w:t xml:space="preserve">, or else seeking </w:t>
      </w:r>
      <w:r w:rsidR="00200C92">
        <w:rPr>
          <w:lang w:val="en-MY" w:eastAsia="en-AU"/>
        </w:rPr>
        <w:t xml:space="preserve">unforthcoming </w:t>
      </w:r>
      <w:r w:rsidR="00D87078">
        <w:rPr>
          <w:lang w:val="en-MY" w:eastAsia="en-AU"/>
        </w:rPr>
        <w:t xml:space="preserve">permission from managers to </w:t>
      </w:r>
      <w:r w:rsidR="00200C92">
        <w:rPr>
          <w:lang w:val="en-MY" w:eastAsia="en-AU"/>
        </w:rPr>
        <w:t>participate</w:t>
      </w:r>
      <w:r>
        <w:rPr>
          <w:lang w:val="en-MY" w:eastAsia="en-AU"/>
        </w:rPr>
        <w:t>.</w:t>
      </w:r>
      <w:r w:rsidR="00D87078">
        <w:rPr>
          <w:rStyle w:val="FootnoteReference"/>
          <w:rFonts w:cstheme="minorHAnsi"/>
          <w:lang w:val="en-MY" w:eastAsia="en-AU"/>
        </w:rPr>
        <w:footnoteReference w:id="68"/>
      </w:r>
      <w:r w:rsidR="0096191E">
        <w:rPr>
          <w:lang w:val="en-MY" w:eastAsia="en-AU"/>
        </w:rPr>
        <w:t xml:space="preserve"> Fu</w:t>
      </w:r>
      <w:r w:rsidR="00AE0439">
        <w:rPr>
          <w:lang w:val="en-MY" w:eastAsia="en-AU"/>
        </w:rPr>
        <w:t>r</w:t>
      </w:r>
      <w:r w:rsidR="0096191E">
        <w:rPr>
          <w:lang w:val="en-MY" w:eastAsia="en-AU"/>
        </w:rPr>
        <w:t>thermore, ten of these 12 interviews were with contacts provided by just three of the nine service providers.</w:t>
      </w:r>
    </w:p>
    <w:p w14:paraId="28F508E0" w14:textId="77777777" w:rsidR="002F6224" w:rsidRDefault="00164CAB" w:rsidP="002F6224">
      <w:pPr>
        <w:pStyle w:val="SUBHEAD2"/>
        <w:rPr>
          <w:rFonts w:asciiTheme="minorHAnsi" w:hAnsiTheme="minorHAnsi" w:cstheme="minorHAnsi"/>
          <w:lang w:val="en-MY" w:eastAsia="en-AU"/>
        </w:rPr>
      </w:pPr>
      <w:r w:rsidRPr="0088670E">
        <w:rPr>
          <w:rFonts w:asciiTheme="minorHAnsi" w:hAnsiTheme="minorHAnsi" w:cstheme="minorHAnsi"/>
          <w:lang w:val="en-MY" w:eastAsia="en-AU"/>
        </w:rPr>
        <w:t>Semi-Structured Interviews With Clients and Family</w:t>
      </w:r>
    </w:p>
    <w:p w14:paraId="2C1DB2B2" w14:textId="780D153F" w:rsidR="00164CAB" w:rsidRPr="002F6224" w:rsidRDefault="00164CAB" w:rsidP="00AB7135">
      <w:pPr>
        <w:spacing w:before="120" w:after="120"/>
        <w:jc w:val="both"/>
        <w:rPr>
          <w:b/>
          <w:smallCaps/>
          <w:lang w:val="en-MY" w:eastAsia="en-AU"/>
        </w:rPr>
      </w:pPr>
      <w:r w:rsidRPr="002F6224">
        <w:rPr>
          <w:lang w:val="en-MY" w:eastAsia="en-AU"/>
        </w:rPr>
        <w:t>Keogh Bay originally proposed Yarning Circles as a means of consultation with client-participants and family support persons, with the option to participate in a one-to-one or small family</w:t>
      </w:r>
      <w:r w:rsidR="00B95ABE" w:rsidRPr="002F6224">
        <w:rPr>
          <w:lang w:val="en-MY" w:eastAsia="en-AU"/>
        </w:rPr>
        <w:t xml:space="preserve"> </w:t>
      </w:r>
      <w:r w:rsidRPr="002F6224">
        <w:rPr>
          <w:lang w:val="en-MY" w:eastAsia="en-AU"/>
        </w:rPr>
        <w:t xml:space="preserve">grouping provided only as an alternative. For several reasons - including the preference of client-participants for greater privacy, the need for flexibility to conduct meetings at a time and place of the client’s choosing, as well as the logistical infeasibility of transporting participants large distances to attend </w:t>
      </w:r>
      <w:r w:rsidR="00B02752" w:rsidRPr="002F6224">
        <w:rPr>
          <w:lang w:val="en-MY" w:eastAsia="en-AU"/>
        </w:rPr>
        <w:t xml:space="preserve">groups sessions </w:t>
      </w:r>
      <w:r w:rsidRPr="002F6224">
        <w:rPr>
          <w:lang w:val="en-MY" w:eastAsia="en-AU"/>
        </w:rPr>
        <w:t>– the option to conduct interviews individually was taken in all cases. No yarning circles were facilitated and interviews with client-participants were conducted individually or in small family-groups in a wide range of settings depending on individual circumstances.</w:t>
      </w:r>
      <w:r w:rsidR="00B02752" w:rsidRPr="002F6224">
        <w:rPr>
          <w:vertAlign w:val="superscript"/>
        </w:rPr>
        <w:footnoteReference w:id="69"/>
      </w:r>
      <w:r w:rsidR="00B02752" w:rsidRPr="002F6224">
        <w:rPr>
          <w:lang w:val="en-MY" w:eastAsia="en-AU"/>
        </w:rPr>
        <w:t xml:space="preserve"> </w:t>
      </w:r>
      <w:r w:rsidRPr="002F6224">
        <w:rPr>
          <w:lang w:val="en-MY" w:eastAsia="en-AU"/>
        </w:rPr>
        <w:t xml:space="preserve">Appendix </w:t>
      </w:r>
      <w:r w:rsidR="00B02752" w:rsidRPr="002F6224">
        <w:rPr>
          <w:lang w:val="en-MY" w:eastAsia="en-AU"/>
        </w:rPr>
        <w:t xml:space="preserve">B </w:t>
      </w:r>
      <w:r w:rsidRPr="002F6224">
        <w:rPr>
          <w:lang w:val="en-MY" w:eastAsia="en-AU"/>
        </w:rPr>
        <w:t xml:space="preserve">details the range of interview questions, designed to develop an understanding of program outcomes and areas for improvement from a client perspective. </w:t>
      </w:r>
    </w:p>
    <w:p w14:paraId="4CA05974" w14:textId="6B22DC36" w:rsidR="00237241" w:rsidRDefault="00164CAB" w:rsidP="00AB7135">
      <w:pPr>
        <w:spacing w:before="120" w:after="120"/>
        <w:jc w:val="both"/>
        <w:rPr>
          <w:lang w:val="en-MY" w:eastAsia="en-AU"/>
        </w:rPr>
      </w:pPr>
      <w:r w:rsidRPr="0088670E">
        <w:rPr>
          <w:lang w:val="en-MY" w:eastAsia="en-AU"/>
        </w:rPr>
        <w:t xml:space="preserve">Notwithstanding the risk of selection bias, contact with client-participants was facilitated by case workers, with the pool of available contacts driven by case workers’ individual relationship with the client, and – in the case of those who have exited the program – access to </w:t>
      </w:r>
      <w:r w:rsidR="00CE53F0">
        <w:rPr>
          <w:lang w:val="en-MY" w:eastAsia="en-AU"/>
        </w:rPr>
        <w:t xml:space="preserve">valid </w:t>
      </w:r>
      <w:r w:rsidRPr="0088670E">
        <w:rPr>
          <w:lang w:val="en-MY" w:eastAsia="en-AU"/>
        </w:rPr>
        <w:t>contact details.</w:t>
      </w:r>
      <w:r w:rsidRPr="0088670E">
        <w:rPr>
          <w:vertAlign w:val="superscript"/>
          <w:lang w:val="en-MY" w:eastAsia="en-AU"/>
        </w:rPr>
        <w:footnoteReference w:id="70"/>
      </w:r>
      <w:r w:rsidRPr="0088670E">
        <w:rPr>
          <w:vertAlign w:val="superscript"/>
          <w:lang w:val="en-MY" w:eastAsia="en-AU"/>
        </w:rPr>
        <w:t xml:space="preserve"> </w:t>
      </w:r>
      <w:r w:rsidRPr="0088670E">
        <w:rPr>
          <w:lang w:val="en-MY" w:eastAsia="en-AU"/>
        </w:rPr>
        <w:t xml:space="preserve"> To the extent possible such bias was mitigated through the conduct of the interview (probing for examples for statements made) and by ensuring the privacy of the client-participant to speak freely.</w:t>
      </w:r>
      <w:r w:rsidR="00261645">
        <w:rPr>
          <w:lang w:val="en-MY" w:eastAsia="en-AU"/>
        </w:rPr>
        <w:t xml:space="preserve"> </w:t>
      </w:r>
      <w:r w:rsidR="00B02752">
        <w:rPr>
          <w:lang w:val="en-MY" w:eastAsia="en-AU"/>
        </w:rPr>
        <w:t>P</w:t>
      </w:r>
      <w:r w:rsidR="00B02752" w:rsidRPr="002D6EBD">
        <w:rPr>
          <w:lang w:val="en-MY" w:eastAsia="en-AU"/>
        </w:rPr>
        <w:t xml:space="preserve">articipants </w:t>
      </w:r>
      <w:r w:rsidR="00B02752">
        <w:rPr>
          <w:lang w:val="en-MY" w:eastAsia="en-AU"/>
        </w:rPr>
        <w:t xml:space="preserve">were furthermore </w:t>
      </w:r>
      <w:r w:rsidR="00B02752" w:rsidRPr="002D6EBD">
        <w:rPr>
          <w:lang w:val="en-MY" w:eastAsia="en-AU"/>
        </w:rPr>
        <w:t xml:space="preserve">selected </w:t>
      </w:r>
      <w:r w:rsidR="00237241">
        <w:rPr>
          <w:lang w:val="en-MY" w:eastAsia="en-AU"/>
        </w:rPr>
        <w:t xml:space="preserve">based on criteria provided by Keogh Bay, </w:t>
      </w:r>
      <w:r w:rsidR="00B02752" w:rsidRPr="002D6EBD">
        <w:rPr>
          <w:lang w:val="en-MY" w:eastAsia="en-AU"/>
        </w:rPr>
        <w:t>inten</w:t>
      </w:r>
      <w:r w:rsidR="00237241">
        <w:rPr>
          <w:lang w:val="en-MY" w:eastAsia="en-AU"/>
        </w:rPr>
        <w:t xml:space="preserve">ded </w:t>
      </w:r>
      <w:r w:rsidR="00B02752" w:rsidRPr="002D6EBD">
        <w:rPr>
          <w:lang w:val="en-MY" w:eastAsia="en-AU"/>
        </w:rPr>
        <w:t>to achieve a balance of age, gender, status (active or exited), location of residence and period of involvement with the program.</w:t>
      </w:r>
    </w:p>
    <w:p w14:paraId="2033C194" w14:textId="16A71F09" w:rsidR="00237241" w:rsidRDefault="00164CAB" w:rsidP="00AB7135">
      <w:pPr>
        <w:spacing w:before="120" w:after="120"/>
        <w:jc w:val="both"/>
        <w:rPr>
          <w:lang w:val="en-MY" w:eastAsia="en-AU"/>
        </w:rPr>
      </w:pPr>
      <w:r w:rsidRPr="0088670E">
        <w:rPr>
          <w:lang w:val="en-MY" w:eastAsia="en-AU"/>
        </w:rPr>
        <w:t>A total of 8</w:t>
      </w:r>
      <w:r w:rsidR="00237241">
        <w:rPr>
          <w:lang w:val="en-MY" w:eastAsia="en-AU"/>
        </w:rPr>
        <w:t>6</w:t>
      </w:r>
      <w:r w:rsidRPr="0088670E">
        <w:rPr>
          <w:lang w:val="en-MY" w:eastAsia="en-AU"/>
        </w:rPr>
        <w:t xml:space="preserve"> </w:t>
      </w:r>
      <w:r w:rsidR="00237241">
        <w:rPr>
          <w:lang w:val="en-MY" w:eastAsia="en-AU"/>
        </w:rPr>
        <w:t xml:space="preserve">individual </w:t>
      </w:r>
      <w:r w:rsidRPr="0088670E">
        <w:rPr>
          <w:lang w:val="en-MY" w:eastAsia="en-AU"/>
        </w:rPr>
        <w:t xml:space="preserve">client-participants and family members </w:t>
      </w:r>
      <w:r w:rsidR="00237241">
        <w:rPr>
          <w:lang w:val="en-MY" w:eastAsia="en-AU"/>
        </w:rPr>
        <w:t xml:space="preserve">were </w:t>
      </w:r>
      <w:r w:rsidRPr="0088670E">
        <w:rPr>
          <w:lang w:val="en-MY" w:eastAsia="en-AU"/>
        </w:rPr>
        <w:t xml:space="preserve">consulted across </w:t>
      </w:r>
      <w:r w:rsidR="00237241">
        <w:rPr>
          <w:lang w:val="en-MY" w:eastAsia="en-AU"/>
        </w:rPr>
        <w:t xml:space="preserve">a </w:t>
      </w:r>
      <w:r w:rsidRPr="0088670E">
        <w:rPr>
          <w:lang w:val="en-MY" w:eastAsia="en-AU"/>
        </w:rPr>
        <w:t xml:space="preserve">diverse range of geographies and age groups. Despite the additional challenge of engaging with youth - in what </w:t>
      </w:r>
      <w:r w:rsidR="00237241">
        <w:rPr>
          <w:lang w:val="en-MY" w:eastAsia="en-AU"/>
        </w:rPr>
        <w:t xml:space="preserve">could </w:t>
      </w:r>
      <w:r w:rsidRPr="0088670E">
        <w:rPr>
          <w:lang w:val="en-MY" w:eastAsia="en-AU"/>
        </w:rPr>
        <w:t>be perceived to be an institutional context - this count includes 24 youth-focused interviews, inclusive of 11 accompanying adults.</w:t>
      </w:r>
      <w:r w:rsidRPr="0088670E">
        <w:rPr>
          <w:vertAlign w:val="superscript"/>
          <w:lang w:val="en-MY" w:eastAsia="en-AU"/>
        </w:rPr>
        <w:footnoteReference w:id="71"/>
      </w:r>
      <w:r w:rsidRPr="0088670E">
        <w:rPr>
          <w:vertAlign w:val="superscript"/>
          <w:lang w:val="en-MY" w:eastAsia="en-AU"/>
        </w:rPr>
        <w:t xml:space="preserve"> </w:t>
      </w:r>
      <w:r w:rsidRPr="0088670E">
        <w:rPr>
          <w:lang w:val="en-MY" w:eastAsia="en-AU"/>
        </w:rPr>
        <w:t>This enumeration is broadly reflective of the funding and staffing ratios for the two programs</w:t>
      </w:r>
      <w:r w:rsidR="00CE53F0">
        <w:rPr>
          <w:lang w:val="en-MY" w:eastAsia="en-AU"/>
        </w:rPr>
        <w:t xml:space="preserve"> (see Tables 1 and 2)</w:t>
      </w:r>
      <w:r w:rsidRPr="0088670E">
        <w:rPr>
          <w:lang w:val="en-MY" w:eastAsia="en-AU"/>
        </w:rPr>
        <w:t xml:space="preserve"> despite the fact that for one of the three YTC service</w:t>
      </w:r>
      <w:r w:rsidR="00B95ABE">
        <w:rPr>
          <w:lang w:val="en-MY" w:eastAsia="en-AU"/>
        </w:rPr>
        <w:t xml:space="preserve">s </w:t>
      </w:r>
      <w:r w:rsidRPr="0088670E">
        <w:rPr>
          <w:lang w:val="en-MY" w:eastAsia="en-AU"/>
        </w:rPr>
        <w:t>no prospective client-participants accepted the invitation to participate.</w:t>
      </w:r>
      <w:r w:rsidRPr="0088670E">
        <w:rPr>
          <w:vertAlign w:val="superscript"/>
          <w:lang w:val="en-MY" w:eastAsia="en-AU"/>
        </w:rPr>
        <w:footnoteReference w:id="72"/>
      </w:r>
      <w:r w:rsidRPr="0088670E">
        <w:rPr>
          <w:vertAlign w:val="superscript"/>
          <w:lang w:val="en-MY" w:eastAsia="en-AU"/>
        </w:rPr>
        <w:t xml:space="preserve"> </w:t>
      </w:r>
    </w:p>
    <w:p w14:paraId="0CE98947" w14:textId="77777777" w:rsidR="002F6224" w:rsidRDefault="00164CAB" w:rsidP="002F6224">
      <w:pPr>
        <w:pStyle w:val="SUBHEAD2"/>
        <w:rPr>
          <w:rFonts w:asciiTheme="minorHAnsi" w:hAnsiTheme="minorHAnsi" w:cstheme="minorHAnsi"/>
          <w:lang w:val="en-MY" w:eastAsia="en-AU"/>
        </w:rPr>
      </w:pPr>
      <w:r>
        <w:rPr>
          <w:rFonts w:asciiTheme="minorHAnsi" w:hAnsiTheme="minorHAnsi" w:cstheme="minorHAnsi"/>
          <w:lang w:val="en-MY" w:eastAsia="en-AU"/>
        </w:rPr>
        <w:t>Survey of Third-Party Service Partners</w:t>
      </w:r>
    </w:p>
    <w:p w14:paraId="7C7BFFDC" w14:textId="374FD6A0" w:rsidR="00934CA5" w:rsidRPr="002F6224" w:rsidRDefault="00237C6E" w:rsidP="00AB7135">
      <w:pPr>
        <w:spacing w:before="120" w:after="120"/>
        <w:jc w:val="both"/>
        <w:rPr>
          <w:b/>
          <w:smallCaps/>
          <w:lang w:val="en-MY" w:eastAsia="en-AU"/>
        </w:rPr>
      </w:pPr>
      <w:r w:rsidRPr="002F6224">
        <w:rPr>
          <w:lang w:val="en-MY" w:eastAsia="en-AU"/>
        </w:rPr>
        <w:t>To research the perspectives of through-care service partners across a larger number of organisations than can be achieved through face-to-face delivery, a</w:t>
      </w:r>
      <w:r w:rsidR="00164CAB" w:rsidRPr="002F6224">
        <w:rPr>
          <w:lang w:val="en-MY" w:eastAsia="en-AU"/>
        </w:rPr>
        <w:t xml:space="preserve">n online survey of </w:t>
      </w:r>
      <w:r w:rsidRPr="002F6224">
        <w:rPr>
          <w:lang w:val="en-MY" w:eastAsia="en-AU"/>
        </w:rPr>
        <w:t xml:space="preserve">third-party </w:t>
      </w:r>
      <w:r w:rsidR="00164CAB" w:rsidRPr="002F6224">
        <w:rPr>
          <w:lang w:val="en-MY" w:eastAsia="en-AU"/>
        </w:rPr>
        <w:t xml:space="preserve">providers of secondary support services </w:t>
      </w:r>
      <w:r w:rsidRPr="002F6224">
        <w:rPr>
          <w:lang w:val="en-MY" w:eastAsia="en-AU"/>
        </w:rPr>
        <w:t xml:space="preserve">was undertaken. The survey </w:t>
      </w:r>
      <w:r w:rsidR="00164CAB" w:rsidRPr="002F6224">
        <w:rPr>
          <w:lang w:val="en-MY" w:eastAsia="en-AU"/>
        </w:rPr>
        <w:t xml:space="preserve">was launched by </w:t>
      </w:r>
      <w:r w:rsidRPr="002F6224">
        <w:rPr>
          <w:lang w:val="en-MY" w:eastAsia="en-AU"/>
        </w:rPr>
        <w:t xml:space="preserve">email </w:t>
      </w:r>
      <w:r w:rsidR="00164CAB" w:rsidRPr="002F6224">
        <w:rPr>
          <w:lang w:val="en-MY" w:eastAsia="en-AU"/>
        </w:rPr>
        <w:t xml:space="preserve">on 4 May </w:t>
      </w:r>
      <w:r w:rsidRPr="002F6224">
        <w:rPr>
          <w:lang w:val="en-MY" w:eastAsia="en-AU"/>
        </w:rPr>
        <w:t xml:space="preserve">2023 </w:t>
      </w:r>
      <w:r w:rsidR="00164CAB" w:rsidRPr="002F6224">
        <w:rPr>
          <w:lang w:val="en-MY" w:eastAsia="en-AU"/>
        </w:rPr>
        <w:t>and remain</w:t>
      </w:r>
      <w:r w:rsidR="002C479A" w:rsidRPr="002F6224">
        <w:rPr>
          <w:lang w:val="en-MY" w:eastAsia="en-AU"/>
        </w:rPr>
        <w:t>ed</w:t>
      </w:r>
      <w:r w:rsidR="00164CAB" w:rsidRPr="002F6224">
        <w:rPr>
          <w:lang w:val="en-MY" w:eastAsia="en-AU"/>
        </w:rPr>
        <w:t xml:space="preserve"> open until </w:t>
      </w:r>
      <w:r w:rsidR="00CE53F0" w:rsidRPr="002F6224">
        <w:rPr>
          <w:lang w:val="en-MY" w:eastAsia="en-AU"/>
        </w:rPr>
        <w:t xml:space="preserve">30 June </w:t>
      </w:r>
      <w:r w:rsidR="00164CAB" w:rsidRPr="002F6224">
        <w:rPr>
          <w:lang w:val="en-MY" w:eastAsia="en-AU"/>
        </w:rPr>
        <w:t>2023</w:t>
      </w:r>
      <w:r w:rsidR="00CE53F0" w:rsidRPr="002F6224">
        <w:rPr>
          <w:lang w:val="en-MY" w:eastAsia="en-AU"/>
        </w:rPr>
        <w:t xml:space="preserve"> (following a three week extension and reminder email to improve response rates)</w:t>
      </w:r>
      <w:r w:rsidR="00164CAB" w:rsidRPr="002F6224">
        <w:rPr>
          <w:lang w:val="en-MY" w:eastAsia="en-AU"/>
        </w:rPr>
        <w:t xml:space="preserve">. </w:t>
      </w:r>
      <w:r w:rsidRPr="002F6224">
        <w:rPr>
          <w:lang w:val="en-MY" w:eastAsia="en-AU"/>
        </w:rPr>
        <w:t>The survey consists of 20 short questions, taking 6 to 10 minutes to complete, using the SurveyMonkey application to enable monitoring of response rates and ease of quantification for closed question responses. Survey content, including use of specific phrases and wording to convey meaning and enhance the user experience, was refined through internal piloting. Survey questions are detailed at Appendix B.</w:t>
      </w:r>
      <w:r w:rsidRPr="002F6224">
        <w:rPr>
          <w:vertAlign w:val="superscript"/>
          <w:lang w:val="en-MY" w:eastAsia="en-AU"/>
        </w:rPr>
        <w:footnoteReference w:id="73"/>
      </w:r>
    </w:p>
    <w:p w14:paraId="72B2226C" w14:textId="53E63EAC" w:rsidR="00FC5AD2" w:rsidRDefault="00164CAB" w:rsidP="00AB7135">
      <w:pPr>
        <w:spacing w:before="120" w:after="120"/>
        <w:jc w:val="both"/>
        <w:rPr>
          <w:lang w:val="en-MY" w:eastAsia="en-AU"/>
        </w:rPr>
      </w:pPr>
      <w:r w:rsidRPr="0088670E">
        <w:rPr>
          <w:lang w:val="en-MY" w:eastAsia="en-AU"/>
        </w:rPr>
        <w:t xml:space="preserve">The survey frame is constituted by contact lists extracted from the existing contacts </w:t>
      </w:r>
      <w:r w:rsidR="00237C6E">
        <w:rPr>
          <w:lang w:val="en-MY" w:eastAsia="en-AU"/>
        </w:rPr>
        <w:t xml:space="preserve"> </w:t>
      </w:r>
      <w:r w:rsidRPr="0088670E">
        <w:rPr>
          <w:lang w:val="en-MY" w:eastAsia="en-AU"/>
        </w:rPr>
        <w:t xml:space="preserve">database of service providers provided to Keogh Bay </w:t>
      </w:r>
      <w:r w:rsidR="00237C6E">
        <w:rPr>
          <w:lang w:val="en-MY" w:eastAsia="en-AU"/>
        </w:rPr>
        <w:t xml:space="preserve">by site </w:t>
      </w:r>
      <w:r w:rsidRPr="0088670E">
        <w:rPr>
          <w:lang w:val="en-MY" w:eastAsia="en-AU"/>
        </w:rPr>
        <w:t>for each ATC and YTC service.</w:t>
      </w:r>
      <w:r w:rsidR="00237C6E">
        <w:rPr>
          <w:lang w:val="en-MY" w:eastAsia="en-AU"/>
        </w:rPr>
        <w:t xml:space="preserve"> </w:t>
      </w:r>
      <w:r w:rsidRPr="0088670E">
        <w:rPr>
          <w:lang w:val="en-MY" w:eastAsia="en-AU"/>
        </w:rPr>
        <w:t xml:space="preserve">A total of 329 unique contacts </w:t>
      </w:r>
      <w:r w:rsidR="00310F81">
        <w:rPr>
          <w:lang w:val="en-MY" w:eastAsia="en-AU"/>
        </w:rPr>
        <w:t xml:space="preserve">(including </w:t>
      </w:r>
      <w:r w:rsidR="00310F81" w:rsidRPr="0088670E">
        <w:rPr>
          <w:lang w:val="en-MY" w:eastAsia="en-AU"/>
        </w:rPr>
        <w:t xml:space="preserve">past as well as current </w:t>
      </w:r>
      <w:r w:rsidR="00B95ABE">
        <w:rPr>
          <w:lang w:val="en-MY" w:eastAsia="en-AU"/>
        </w:rPr>
        <w:t xml:space="preserve">service </w:t>
      </w:r>
      <w:r w:rsidR="00310F81" w:rsidRPr="0088670E">
        <w:rPr>
          <w:lang w:val="en-MY" w:eastAsia="en-AU"/>
        </w:rPr>
        <w:t>partners</w:t>
      </w:r>
      <w:r w:rsidR="00310F81">
        <w:rPr>
          <w:lang w:val="en-MY" w:eastAsia="en-AU"/>
        </w:rPr>
        <w:t>)</w:t>
      </w:r>
      <w:r w:rsidR="00310F81" w:rsidRPr="0088670E">
        <w:rPr>
          <w:lang w:val="en-MY" w:eastAsia="en-AU"/>
        </w:rPr>
        <w:t xml:space="preserve"> </w:t>
      </w:r>
      <w:r w:rsidRPr="0088670E">
        <w:rPr>
          <w:lang w:val="en-MY" w:eastAsia="en-AU"/>
        </w:rPr>
        <w:t>were submitted after an initial process of cleaning and follow-up research to ensure the validity of email addresses.</w:t>
      </w:r>
      <w:r w:rsidRPr="0088670E">
        <w:rPr>
          <w:vertAlign w:val="superscript"/>
          <w:lang w:val="en-MY" w:eastAsia="en-AU"/>
        </w:rPr>
        <w:footnoteReference w:id="74"/>
      </w:r>
      <w:r w:rsidR="00310F81">
        <w:rPr>
          <w:lang w:val="en-MY" w:eastAsia="en-AU"/>
        </w:rPr>
        <w:t xml:space="preserve"> A total of 7</w:t>
      </w:r>
      <w:r w:rsidR="00BD326B">
        <w:rPr>
          <w:lang w:val="en-MY" w:eastAsia="en-AU"/>
        </w:rPr>
        <w:t>3</w:t>
      </w:r>
      <w:r w:rsidR="00310F81">
        <w:rPr>
          <w:lang w:val="en-MY" w:eastAsia="en-AU"/>
        </w:rPr>
        <w:t xml:space="preserve"> complete responses </w:t>
      </w:r>
      <w:r w:rsidR="00FC5AD2">
        <w:rPr>
          <w:lang w:val="en-MY" w:eastAsia="en-AU"/>
        </w:rPr>
        <w:t xml:space="preserve">were </w:t>
      </w:r>
      <w:r w:rsidR="00310F81">
        <w:rPr>
          <w:lang w:val="en-MY" w:eastAsia="en-AU"/>
        </w:rPr>
        <w:t xml:space="preserve">received </w:t>
      </w:r>
      <w:r w:rsidR="00FC5AD2">
        <w:rPr>
          <w:lang w:val="en-MY" w:eastAsia="en-AU"/>
        </w:rPr>
        <w:t>(a response rate of 22 percent).</w:t>
      </w:r>
      <w:r w:rsidR="00FC5AD2">
        <w:rPr>
          <w:rStyle w:val="FootnoteReference"/>
          <w:rFonts w:cstheme="minorHAnsi"/>
          <w:lang w:val="en-MY" w:eastAsia="en-AU"/>
        </w:rPr>
        <w:footnoteReference w:id="75"/>
      </w:r>
      <w:r w:rsidR="00FC5AD2">
        <w:rPr>
          <w:lang w:val="en-MY" w:eastAsia="en-AU"/>
        </w:rPr>
        <w:t xml:space="preserve"> </w:t>
      </w:r>
      <w:r w:rsidR="00FC5AD2" w:rsidRPr="00FC5AD2">
        <w:rPr>
          <w:lang w:val="en-MY" w:eastAsia="en-AU"/>
        </w:rPr>
        <w:t>Although the distribution of responses is roughly proportionate to the size of the corresponding through care service, it should be noted that, overall, survey responses are disproportionately skewed towards the largest two services with 7</w:t>
      </w:r>
      <w:r w:rsidR="00FC5AD2">
        <w:rPr>
          <w:lang w:val="en-MY" w:eastAsia="en-AU"/>
        </w:rPr>
        <w:t>1</w:t>
      </w:r>
      <w:r w:rsidR="00FC5AD2" w:rsidRPr="00FC5AD2">
        <w:rPr>
          <w:lang w:val="en-MY" w:eastAsia="en-AU"/>
        </w:rPr>
        <w:t xml:space="preserve"> percent of all responses relating to NAAJA and ATSILS.</w:t>
      </w:r>
      <w:r w:rsidR="00DC621F">
        <w:rPr>
          <w:rStyle w:val="FootnoteReference"/>
        </w:rPr>
        <w:footnoteReference w:id="76"/>
      </w:r>
      <w:r w:rsidR="00DC621F">
        <w:t xml:space="preserve"> </w:t>
      </w:r>
      <w:r w:rsidR="00FC5AD2" w:rsidRPr="00FC5AD2">
        <w:rPr>
          <w:lang w:val="en-MY" w:eastAsia="en-AU"/>
        </w:rPr>
        <w:t>While no statistical weighting is applied (given the relatively small number of responses) this bias is considered throughout the analysis of survey results.</w:t>
      </w:r>
    </w:p>
    <w:p w14:paraId="56BD6BE5" w14:textId="778AC99E" w:rsidR="00237C6E" w:rsidRDefault="00BD326B" w:rsidP="00164CAB">
      <w:pPr>
        <w:jc w:val="both"/>
        <w:rPr>
          <w:rFonts w:cstheme="minorHAnsi"/>
          <w:lang w:val="en-MY" w:eastAsia="en-AU"/>
        </w:rPr>
      </w:pPr>
      <w:r w:rsidRPr="00FC5AD2">
        <w:rPr>
          <w:rFonts w:cstheme="minorHAnsi"/>
          <w:lang w:val="en-MY" w:eastAsia="en-AU"/>
        </w:rPr>
        <w:t xml:space="preserve">Respondents represented organisations across a wide spectrum of service types, with providers of Housing, AOD Rehabilitation, Cultural Strengthening, Education and Training, Employment DFV Support, Family Support and Correctional Services, each providing more than 10 percent of responses respectively. </w:t>
      </w:r>
      <w:r w:rsidR="00FC5AD2" w:rsidRPr="00FC5AD2">
        <w:rPr>
          <w:rFonts w:cstheme="minorHAnsi"/>
          <w:lang w:val="en-MY" w:eastAsia="en-AU"/>
        </w:rPr>
        <w:t xml:space="preserve">Approximately 20 percent of responses were received from </w:t>
      </w:r>
      <w:r w:rsidR="00FC5AD2">
        <w:rPr>
          <w:rFonts w:cstheme="minorHAnsi"/>
          <w:lang w:val="en-MY" w:eastAsia="en-AU"/>
        </w:rPr>
        <w:t>ACCOs</w:t>
      </w:r>
      <w:r w:rsidR="00FC5AD2" w:rsidRPr="00FC5AD2">
        <w:rPr>
          <w:rFonts w:cstheme="minorHAnsi"/>
          <w:lang w:val="en-MY" w:eastAsia="en-AU"/>
        </w:rPr>
        <w:t xml:space="preserve"> and a further </w:t>
      </w:r>
      <w:r w:rsidR="00FC5AD2">
        <w:rPr>
          <w:rFonts w:cstheme="minorHAnsi"/>
          <w:lang w:val="en-MY" w:eastAsia="en-AU"/>
        </w:rPr>
        <w:t xml:space="preserve">40 </w:t>
      </w:r>
      <w:r w:rsidR="00FC5AD2" w:rsidRPr="00FC5AD2">
        <w:rPr>
          <w:rFonts w:cstheme="minorHAnsi"/>
          <w:lang w:val="en-MY" w:eastAsia="en-AU"/>
        </w:rPr>
        <w:t xml:space="preserve">percent </w:t>
      </w:r>
      <w:r w:rsidR="00FC5AD2">
        <w:rPr>
          <w:rFonts w:cstheme="minorHAnsi"/>
          <w:lang w:val="en-MY" w:eastAsia="en-AU"/>
        </w:rPr>
        <w:t>and 30 percent</w:t>
      </w:r>
      <w:r w:rsidR="00B95ABE">
        <w:rPr>
          <w:rFonts w:cstheme="minorHAnsi"/>
          <w:lang w:val="en-MY" w:eastAsia="en-AU"/>
        </w:rPr>
        <w:t xml:space="preserve">, respectively, </w:t>
      </w:r>
      <w:r w:rsidR="00FC5AD2" w:rsidRPr="00FC5AD2">
        <w:rPr>
          <w:rFonts w:cstheme="minorHAnsi"/>
          <w:lang w:val="en-MY" w:eastAsia="en-AU"/>
        </w:rPr>
        <w:t xml:space="preserve">from </w:t>
      </w:r>
      <w:r w:rsidR="00FC5AD2">
        <w:rPr>
          <w:rFonts w:cstheme="minorHAnsi"/>
          <w:lang w:val="en-MY" w:eastAsia="en-AU"/>
        </w:rPr>
        <w:t xml:space="preserve">other not-for-profits or a </w:t>
      </w:r>
      <w:r w:rsidR="00FC5AD2" w:rsidRPr="00FC5AD2">
        <w:rPr>
          <w:rFonts w:cstheme="minorHAnsi"/>
          <w:lang w:val="en-MY" w:eastAsia="en-AU"/>
        </w:rPr>
        <w:t xml:space="preserve">State or Territory Government </w:t>
      </w:r>
      <w:r w:rsidR="00FC5AD2">
        <w:rPr>
          <w:rFonts w:cstheme="minorHAnsi"/>
          <w:lang w:val="en-MY" w:eastAsia="en-AU"/>
        </w:rPr>
        <w:t xml:space="preserve">human services </w:t>
      </w:r>
      <w:r w:rsidR="00FC5AD2" w:rsidRPr="00FC5AD2">
        <w:rPr>
          <w:rFonts w:cstheme="minorHAnsi"/>
          <w:lang w:val="en-MY" w:eastAsia="en-AU"/>
        </w:rPr>
        <w:t>agenc</w:t>
      </w:r>
      <w:r w:rsidR="00FC5AD2">
        <w:rPr>
          <w:rFonts w:cstheme="minorHAnsi"/>
          <w:lang w:val="en-MY" w:eastAsia="en-AU"/>
        </w:rPr>
        <w:t>y</w:t>
      </w:r>
      <w:r w:rsidR="00FC5AD2" w:rsidRPr="00FC5AD2">
        <w:rPr>
          <w:rFonts w:cstheme="minorHAnsi"/>
          <w:lang w:val="en-MY" w:eastAsia="en-AU"/>
        </w:rPr>
        <w:t xml:space="preserve">. Of those responding, 58 percent are in regular contact with a through-care service to either receive or make a referral, with a further 49 percent doing so on an occasional basis.  </w:t>
      </w:r>
    </w:p>
    <w:p w14:paraId="6DB13D9F" w14:textId="77777777" w:rsidR="002F6224" w:rsidRDefault="00164CAB" w:rsidP="002F6224">
      <w:pPr>
        <w:pStyle w:val="SUBHEAD2"/>
        <w:rPr>
          <w:rFonts w:asciiTheme="minorHAnsi" w:hAnsiTheme="minorHAnsi" w:cstheme="minorHAnsi"/>
          <w:lang w:val="en-MY" w:eastAsia="en-AU"/>
        </w:rPr>
      </w:pPr>
      <w:r>
        <w:rPr>
          <w:rFonts w:asciiTheme="minorHAnsi" w:hAnsiTheme="minorHAnsi" w:cstheme="minorHAnsi"/>
          <w:lang w:val="en-MY" w:eastAsia="en-AU"/>
        </w:rPr>
        <w:t>Desk-Top Review and Analysis</w:t>
      </w:r>
    </w:p>
    <w:p w14:paraId="6505BF74" w14:textId="427A6CEB" w:rsidR="009558B6" w:rsidRPr="002F6224" w:rsidRDefault="009558B6" w:rsidP="00AB7135">
      <w:pPr>
        <w:spacing w:before="120" w:after="120"/>
        <w:jc w:val="both"/>
        <w:rPr>
          <w:b/>
          <w:smallCaps/>
          <w:lang w:val="en-MY" w:eastAsia="en-AU"/>
        </w:rPr>
      </w:pPr>
      <w:r w:rsidRPr="002F6224">
        <w:rPr>
          <w:lang w:val="en-MY" w:eastAsia="en-AU"/>
        </w:rPr>
        <w:t xml:space="preserve">Keogh Bay </w:t>
      </w:r>
      <w:r w:rsidR="00E935CF" w:rsidRPr="002F6224">
        <w:rPr>
          <w:lang w:val="en-MY" w:eastAsia="en-AU"/>
        </w:rPr>
        <w:t>has undertaken a</w:t>
      </w:r>
      <w:r w:rsidRPr="002F6224">
        <w:rPr>
          <w:lang w:val="en-MY" w:eastAsia="en-AU"/>
        </w:rPr>
        <w:t xml:space="preserve"> narrative literature review of through-care best practice in the Indigenous Australian and international First Nation’s contexts, as a means of further assessing the extent to which the design of </w:t>
      </w:r>
      <w:r w:rsidR="0096191E" w:rsidRPr="002F6224">
        <w:rPr>
          <w:lang w:val="en-MY" w:eastAsia="en-AU"/>
        </w:rPr>
        <w:t>the ABT model is</w:t>
      </w:r>
      <w:r w:rsidRPr="002F6224">
        <w:rPr>
          <w:lang w:val="en-MY" w:eastAsia="en-AU"/>
        </w:rPr>
        <w:t xml:space="preserve"> consistent with best-practice. </w:t>
      </w:r>
      <w:r w:rsidR="00E935CF" w:rsidRPr="002F6224">
        <w:rPr>
          <w:lang w:val="en-MY" w:eastAsia="en-AU"/>
        </w:rPr>
        <w:t>Drawing from the reference list detailed at the end of this report, the outputs of this analysis are provided in the preceding chapter (where a further description of the ATC and YTC program models is pro</w:t>
      </w:r>
      <w:r w:rsidR="00CE53F0" w:rsidRPr="002F6224">
        <w:rPr>
          <w:lang w:val="en-MY" w:eastAsia="en-AU"/>
        </w:rPr>
        <w:t>vided</w:t>
      </w:r>
      <w:r w:rsidR="00E935CF" w:rsidRPr="002F6224">
        <w:rPr>
          <w:lang w:val="en-MY" w:eastAsia="en-AU"/>
        </w:rPr>
        <w:t>)</w:t>
      </w:r>
      <w:r w:rsidRPr="002F6224">
        <w:rPr>
          <w:lang w:val="en-MY" w:eastAsia="en-AU"/>
        </w:rPr>
        <w:t>.</w:t>
      </w:r>
    </w:p>
    <w:p w14:paraId="57AD68E3" w14:textId="511518FC" w:rsidR="00296FAD" w:rsidRPr="00745F83" w:rsidRDefault="009558B6" w:rsidP="00745F83">
      <w:pPr>
        <w:spacing w:before="120" w:after="120"/>
        <w:jc w:val="both"/>
        <w:rPr>
          <w:lang w:val="en-MY" w:eastAsia="en-AU"/>
        </w:rPr>
      </w:pPr>
      <w:r w:rsidRPr="0088670E">
        <w:rPr>
          <w:lang w:val="en-MY" w:eastAsia="en-AU"/>
        </w:rPr>
        <w:t xml:space="preserve">As a supplement to other qualitative sources, Keogh Bay </w:t>
      </w:r>
      <w:r w:rsidR="00E935CF">
        <w:rPr>
          <w:lang w:val="en-MY" w:eastAsia="en-AU"/>
        </w:rPr>
        <w:t xml:space="preserve">has </w:t>
      </w:r>
      <w:r w:rsidRPr="0088670E">
        <w:rPr>
          <w:lang w:val="en-MY" w:eastAsia="en-AU"/>
        </w:rPr>
        <w:t>also review</w:t>
      </w:r>
      <w:r w:rsidR="00E935CF">
        <w:rPr>
          <w:lang w:val="en-MY" w:eastAsia="en-AU"/>
        </w:rPr>
        <w:t xml:space="preserve">ed </w:t>
      </w:r>
      <w:r w:rsidRPr="0088670E">
        <w:rPr>
          <w:lang w:val="en-MY" w:eastAsia="en-AU"/>
        </w:rPr>
        <w:t xml:space="preserve">aspects of each service provider’s qualitative performance reporting, including case studies and other activity reports which constitute self-reporting of service delivery successes, challenges and any lessons learnt. </w:t>
      </w:r>
      <w:r w:rsidR="00E935CF">
        <w:rPr>
          <w:lang w:val="en-MY" w:eastAsia="en-AU"/>
        </w:rPr>
        <w:t>This information is noted to be</w:t>
      </w:r>
      <w:r w:rsidR="00E935CF" w:rsidRPr="00E935CF">
        <w:rPr>
          <w:lang w:val="en-MY" w:eastAsia="en-AU"/>
        </w:rPr>
        <w:t xml:space="preserve"> </w:t>
      </w:r>
      <w:r w:rsidR="00E935CF" w:rsidRPr="0088670E">
        <w:rPr>
          <w:lang w:val="en-MY" w:eastAsia="en-AU"/>
        </w:rPr>
        <w:t xml:space="preserve">of varying availability, quality and consistency </w:t>
      </w:r>
      <w:r w:rsidR="00E935CF">
        <w:rPr>
          <w:lang w:val="en-MY" w:eastAsia="en-AU"/>
        </w:rPr>
        <w:t>(</w:t>
      </w:r>
      <w:r w:rsidR="00E935CF" w:rsidRPr="0088670E">
        <w:rPr>
          <w:lang w:val="en-MY" w:eastAsia="en-AU"/>
        </w:rPr>
        <w:t>between service providers and time periods</w:t>
      </w:r>
      <w:r w:rsidR="00E935CF">
        <w:rPr>
          <w:lang w:val="en-MY" w:eastAsia="en-AU"/>
        </w:rPr>
        <w:t xml:space="preserve">) but, where appropriate, is </w:t>
      </w:r>
      <w:r w:rsidR="00E935CF" w:rsidRPr="0088670E">
        <w:rPr>
          <w:lang w:val="en-MY" w:eastAsia="en-AU"/>
        </w:rPr>
        <w:t>used to support, verify or otherwise compare to findings from semi-structured interview sources</w:t>
      </w:r>
      <w:r w:rsidR="00E935CF">
        <w:rPr>
          <w:lang w:val="en-MY" w:eastAsia="en-AU"/>
        </w:rPr>
        <w:t>.</w:t>
      </w:r>
    </w:p>
    <w:p w14:paraId="414F493A" w14:textId="77777777" w:rsidR="002F6224" w:rsidRPr="002F6224" w:rsidRDefault="00296FAD" w:rsidP="002F6224">
      <w:pPr>
        <w:jc w:val="both"/>
        <w:rPr>
          <w:rFonts w:cstheme="minorHAnsi"/>
          <w:i/>
          <w:iCs/>
          <w:color w:val="4F81BD" w:themeColor="accent1"/>
          <w:lang w:val="en-MY" w:eastAsia="en-AU"/>
        </w:rPr>
      </w:pPr>
      <w:r w:rsidRPr="002F6224">
        <w:rPr>
          <w:rFonts w:cstheme="minorHAnsi"/>
          <w:i/>
          <w:iCs/>
          <w:color w:val="4F81BD" w:themeColor="accent1"/>
          <w:lang w:val="en-MY" w:eastAsia="en-AU"/>
        </w:rPr>
        <w:t>Program Data Analysis</w:t>
      </w:r>
    </w:p>
    <w:p w14:paraId="75F30761" w14:textId="77777777" w:rsidR="007E19B5" w:rsidRDefault="007E19B5" w:rsidP="002F6224">
      <w:pPr>
        <w:jc w:val="both"/>
        <w:rPr>
          <w:rFonts w:cstheme="minorHAnsi"/>
          <w:lang w:val="en-MY" w:eastAsia="en-AU"/>
        </w:rPr>
      </w:pPr>
    </w:p>
    <w:p w14:paraId="3069DC80" w14:textId="1ED895AE" w:rsidR="00456158" w:rsidRPr="002F6224" w:rsidRDefault="00296FAD" w:rsidP="002F6224">
      <w:pPr>
        <w:jc w:val="both"/>
        <w:rPr>
          <w:rFonts w:cstheme="minorHAnsi"/>
          <w:lang w:val="en-MY" w:eastAsia="en-AU"/>
        </w:rPr>
      </w:pPr>
      <w:r w:rsidRPr="0088670E">
        <w:rPr>
          <w:rFonts w:cstheme="minorHAnsi"/>
          <w:lang w:val="en-MY" w:eastAsia="en-AU"/>
        </w:rPr>
        <w:t xml:space="preserve">ATC and YTC service providers are required to collect a broad range of client and service activity information within a Minimum Data Set submitted as part of an IAS Performance Report prepared six-monthly. The body of the </w:t>
      </w:r>
      <w:r w:rsidR="0036511C">
        <w:rPr>
          <w:rFonts w:cstheme="minorHAnsi"/>
          <w:lang w:val="en-MY" w:eastAsia="en-AU"/>
        </w:rPr>
        <w:t xml:space="preserve">Performance Report </w:t>
      </w:r>
      <w:r w:rsidRPr="0088670E">
        <w:rPr>
          <w:rFonts w:cstheme="minorHAnsi"/>
          <w:lang w:val="en-MY" w:eastAsia="en-AU"/>
        </w:rPr>
        <w:t>provides a brief self-reported assessment of progress in delivering program outcomes and reports against contractual measures regarding Indigenous employment levels and overall client numbers.</w:t>
      </w:r>
      <w:r w:rsidR="00456158">
        <w:rPr>
          <w:rFonts w:cstheme="minorHAnsi"/>
          <w:lang w:val="en-MY" w:eastAsia="en-AU"/>
        </w:rPr>
        <w:t xml:space="preserve"> </w:t>
      </w:r>
      <w:r w:rsidRPr="0088670E">
        <w:rPr>
          <w:rFonts w:cstheme="minorHAnsi"/>
          <w:lang w:val="en-MY" w:eastAsia="en-AU"/>
        </w:rPr>
        <w:t>Annexures to the P</w:t>
      </w:r>
      <w:r w:rsidR="00B95ABE">
        <w:rPr>
          <w:rFonts w:cstheme="minorHAnsi"/>
          <w:lang w:val="en-MY" w:eastAsia="en-AU"/>
        </w:rPr>
        <w:t xml:space="preserve">erformance </w:t>
      </w:r>
      <w:r w:rsidRPr="0088670E">
        <w:rPr>
          <w:rFonts w:cstheme="minorHAnsi"/>
          <w:lang w:val="en-MY" w:eastAsia="en-AU"/>
        </w:rPr>
        <w:t>R</w:t>
      </w:r>
      <w:r w:rsidR="00B95ABE">
        <w:rPr>
          <w:rFonts w:cstheme="minorHAnsi"/>
          <w:lang w:val="en-MY" w:eastAsia="en-AU"/>
        </w:rPr>
        <w:t>eport</w:t>
      </w:r>
      <w:r w:rsidRPr="0088670E">
        <w:rPr>
          <w:rFonts w:cstheme="minorHAnsi"/>
          <w:lang w:val="en-MY" w:eastAsia="en-AU"/>
        </w:rPr>
        <w:t xml:space="preserve"> are intended to be organised into three excel workbooks plus additional qualitative attachments, including:</w:t>
      </w:r>
    </w:p>
    <w:p w14:paraId="00F5D324" w14:textId="77777777" w:rsidR="00456158" w:rsidRDefault="00456158" w:rsidP="00296FAD">
      <w:pPr>
        <w:jc w:val="both"/>
        <w:rPr>
          <w:rFonts w:cstheme="minorHAnsi"/>
          <w:lang w:val="en-MY" w:eastAsia="en-AU"/>
        </w:rPr>
      </w:pPr>
    </w:p>
    <w:p w14:paraId="125727E4" w14:textId="77777777" w:rsidR="00456158" w:rsidRDefault="00296FAD" w:rsidP="00B77817">
      <w:pPr>
        <w:pStyle w:val="ListParagraph"/>
        <w:numPr>
          <w:ilvl w:val="0"/>
          <w:numId w:val="69"/>
        </w:numPr>
        <w:jc w:val="both"/>
        <w:rPr>
          <w:rFonts w:cstheme="minorHAnsi"/>
          <w:lang w:val="en-MY" w:eastAsia="en-AU"/>
        </w:rPr>
      </w:pPr>
      <w:r w:rsidRPr="00456158">
        <w:rPr>
          <w:rFonts w:cstheme="minorHAnsi"/>
          <w:b/>
          <w:bCs/>
          <w:lang w:val="en-MY" w:eastAsia="en-AU"/>
        </w:rPr>
        <w:t>An Organisation Wide Reporting Template</w:t>
      </w:r>
      <w:r w:rsidRPr="00456158">
        <w:rPr>
          <w:rFonts w:cstheme="minorHAnsi"/>
          <w:lang w:val="en-MY" w:eastAsia="en-AU"/>
        </w:rPr>
        <w:t xml:space="preserve"> – Consisting of a Stats Reporting Form (covering information on client demographics, offences, pre-release and post release duration, reoffending, program outcomes, services offered and client exit information) and a Qualitative Reporting Form (detailing information on client feedback, staff suggestions or lessons learnt, and client case studies).</w:t>
      </w:r>
    </w:p>
    <w:p w14:paraId="463AB34B" w14:textId="77777777" w:rsidR="00456158" w:rsidRDefault="00456158" w:rsidP="00456158">
      <w:pPr>
        <w:pStyle w:val="ListParagraph"/>
        <w:jc w:val="both"/>
        <w:rPr>
          <w:rFonts w:cstheme="minorHAnsi"/>
          <w:lang w:val="en-MY" w:eastAsia="en-AU"/>
        </w:rPr>
      </w:pPr>
    </w:p>
    <w:p w14:paraId="0A589EE1" w14:textId="58FD1D68" w:rsidR="00456158" w:rsidRDefault="00296FAD" w:rsidP="00B77817">
      <w:pPr>
        <w:pStyle w:val="ListParagraph"/>
        <w:numPr>
          <w:ilvl w:val="0"/>
          <w:numId w:val="69"/>
        </w:numPr>
        <w:jc w:val="both"/>
        <w:rPr>
          <w:rFonts w:cstheme="minorHAnsi"/>
          <w:lang w:val="en-MY" w:eastAsia="en-AU"/>
        </w:rPr>
      </w:pPr>
      <w:r w:rsidRPr="00456158">
        <w:rPr>
          <w:rFonts w:cstheme="minorHAnsi"/>
          <w:b/>
          <w:bCs/>
          <w:lang w:val="en-MY" w:eastAsia="en-AU"/>
        </w:rPr>
        <w:t xml:space="preserve">A Manager Reporting Template </w:t>
      </w:r>
      <w:r w:rsidRPr="00456158">
        <w:rPr>
          <w:rFonts w:cstheme="minorHAnsi"/>
          <w:lang w:val="en-MY" w:eastAsia="en-AU"/>
        </w:rPr>
        <w:t>– Consisting of a Manager Report Form (detailing information on staff case</w:t>
      </w:r>
      <w:r w:rsidR="00694565">
        <w:rPr>
          <w:rFonts w:cstheme="minorHAnsi"/>
          <w:lang w:val="en-MY" w:eastAsia="en-AU"/>
        </w:rPr>
        <w:t>-</w:t>
      </w:r>
      <w:r w:rsidRPr="00456158">
        <w:rPr>
          <w:rFonts w:cstheme="minorHAnsi"/>
          <w:lang w:val="en-MY" w:eastAsia="en-AU"/>
        </w:rPr>
        <w:t>loads, required trainings, management, cultural, and clinical supervision completed) and a Dates List (with the required dates for clients in the ATC program and some demographic data such as date of enrolment, date of release from prison, date of exit from program, date of returning to prison if it occurs, age and gender of clients).</w:t>
      </w:r>
    </w:p>
    <w:p w14:paraId="4DB1D548" w14:textId="77777777" w:rsidR="00456158" w:rsidRDefault="00456158" w:rsidP="00456158">
      <w:pPr>
        <w:pStyle w:val="ListParagraph"/>
        <w:jc w:val="both"/>
        <w:rPr>
          <w:rFonts w:cstheme="minorHAnsi"/>
          <w:lang w:val="en-MY" w:eastAsia="en-AU"/>
        </w:rPr>
      </w:pPr>
    </w:p>
    <w:p w14:paraId="03250209" w14:textId="04D3D57D" w:rsidR="00296FAD" w:rsidRPr="00456158" w:rsidRDefault="00296FAD" w:rsidP="00B77817">
      <w:pPr>
        <w:pStyle w:val="ListParagraph"/>
        <w:numPr>
          <w:ilvl w:val="0"/>
          <w:numId w:val="69"/>
        </w:numPr>
        <w:jc w:val="both"/>
        <w:rPr>
          <w:rFonts w:cstheme="minorHAnsi"/>
          <w:lang w:val="en-MY" w:eastAsia="en-AU"/>
        </w:rPr>
      </w:pPr>
      <w:r w:rsidRPr="00456158">
        <w:rPr>
          <w:rFonts w:cstheme="minorHAnsi"/>
          <w:b/>
          <w:bCs/>
          <w:lang w:val="en-MY" w:eastAsia="en-AU"/>
        </w:rPr>
        <w:t>An (Optional) Case Worker Reporting Template</w:t>
      </w:r>
      <w:r w:rsidRPr="00456158">
        <w:rPr>
          <w:rFonts w:cstheme="minorHAnsi"/>
          <w:lang w:val="en-MY" w:eastAsia="en-AU"/>
        </w:rPr>
        <w:t>, with the same two spreadsheets used for organization-wide reporting (but designed for ATC Case Workers to fill out periodically).</w:t>
      </w:r>
    </w:p>
    <w:p w14:paraId="3DCBB67C" w14:textId="77777777" w:rsidR="00296FAD" w:rsidRPr="0088670E" w:rsidRDefault="00296FAD" w:rsidP="00296FAD">
      <w:pPr>
        <w:jc w:val="both"/>
        <w:rPr>
          <w:rFonts w:cstheme="minorHAnsi"/>
          <w:lang w:val="en-MY" w:eastAsia="en-AU"/>
        </w:rPr>
      </w:pPr>
    </w:p>
    <w:p w14:paraId="13819A54" w14:textId="22182359" w:rsidR="00456158" w:rsidRDefault="00296FAD" w:rsidP="00296FAD">
      <w:pPr>
        <w:jc w:val="both"/>
        <w:rPr>
          <w:rFonts w:cstheme="minorHAnsi"/>
          <w:lang w:val="en-MY" w:eastAsia="en-AU"/>
        </w:rPr>
      </w:pPr>
      <w:r w:rsidRPr="0088670E">
        <w:rPr>
          <w:rFonts w:cstheme="minorHAnsi"/>
          <w:lang w:val="en-MY" w:eastAsia="en-AU"/>
        </w:rPr>
        <w:t xml:space="preserve">Keogh Bay has extracted and synthesised available quantitative information from these reports (in particular the Organisation Wide Stats Reporting Forms and the Manager Report Form) to assess reported service activity and </w:t>
      </w:r>
      <w:r w:rsidR="00A6555D" w:rsidRPr="0088670E">
        <w:rPr>
          <w:rFonts w:cstheme="minorHAnsi"/>
          <w:lang w:val="en-MY" w:eastAsia="en-AU"/>
        </w:rPr>
        <w:t xml:space="preserve">available </w:t>
      </w:r>
      <w:r w:rsidRPr="0088670E">
        <w:rPr>
          <w:rFonts w:cstheme="minorHAnsi"/>
          <w:lang w:val="en-MY" w:eastAsia="en-AU"/>
        </w:rPr>
        <w:t>client outcome dat</w:t>
      </w:r>
      <w:r w:rsidR="00A6555D">
        <w:rPr>
          <w:rFonts w:cstheme="minorHAnsi"/>
          <w:lang w:val="en-MY" w:eastAsia="en-AU"/>
        </w:rPr>
        <w:t>a</w:t>
      </w:r>
      <w:r w:rsidRPr="0088670E">
        <w:rPr>
          <w:rFonts w:cstheme="minorHAnsi"/>
          <w:lang w:val="en-MY" w:eastAsia="en-AU"/>
        </w:rPr>
        <w:t>, and</w:t>
      </w:r>
      <w:r w:rsidR="00A6555D">
        <w:rPr>
          <w:rFonts w:cstheme="minorHAnsi"/>
          <w:lang w:val="en-MY" w:eastAsia="en-AU"/>
        </w:rPr>
        <w:t xml:space="preserve"> to </w:t>
      </w:r>
      <w:r w:rsidRPr="0088670E">
        <w:rPr>
          <w:rFonts w:cstheme="minorHAnsi"/>
          <w:lang w:val="en-MY" w:eastAsia="en-AU"/>
        </w:rPr>
        <w:t xml:space="preserve">evaluate the performance of the ATC and YTC programs against the measures listed in </w:t>
      </w:r>
      <w:r w:rsidR="00456158">
        <w:rPr>
          <w:rFonts w:cstheme="minorHAnsi"/>
          <w:lang w:val="en-MY" w:eastAsia="en-AU"/>
        </w:rPr>
        <w:t>the evaluation data matrix</w:t>
      </w:r>
      <w:r w:rsidRPr="0088670E">
        <w:rPr>
          <w:rFonts w:cstheme="minorHAnsi"/>
          <w:lang w:val="en-MY" w:eastAsia="en-AU"/>
        </w:rPr>
        <w:t>.</w:t>
      </w:r>
      <w:r w:rsidR="00456158">
        <w:rPr>
          <w:rStyle w:val="FootnoteReference"/>
          <w:rFonts w:cstheme="minorHAnsi"/>
          <w:lang w:val="en-MY" w:eastAsia="en-AU"/>
        </w:rPr>
        <w:footnoteReference w:id="77"/>
      </w:r>
      <w:r w:rsidR="00456158">
        <w:rPr>
          <w:rFonts w:cstheme="minorHAnsi"/>
          <w:lang w:val="en-MY" w:eastAsia="en-AU"/>
        </w:rPr>
        <w:t xml:space="preserve"> </w:t>
      </w:r>
    </w:p>
    <w:p w14:paraId="19AC50F3" w14:textId="77777777" w:rsidR="00456158" w:rsidRDefault="00456158" w:rsidP="00296FAD">
      <w:pPr>
        <w:jc w:val="both"/>
        <w:rPr>
          <w:rFonts w:cstheme="minorHAnsi"/>
          <w:lang w:val="en-MY" w:eastAsia="en-AU"/>
        </w:rPr>
      </w:pPr>
    </w:p>
    <w:p w14:paraId="639EAF61" w14:textId="137CC602" w:rsidR="00296FAD" w:rsidRPr="00456158" w:rsidRDefault="00296FAD" w:rsidP="00456158">
      <w:pPr>
        <w:jc w:val="both"/>
        <w:rPr>
          <w:rFonts w:cstheme="minorHAnsi"/>
          <w:lang w:val="en-MY" w:eastAsia="en-AU"/>
        </w:rPr>
      </w:pPr>
      <w:r w:rsidRPr="0088670E">
        <w:rPr>
          <w:rFonts w:cstheme="minorHAnsi"/>
          <w:lang w:val="en-MY" w:eastAsia="en-AU"/>
        </w:rPr>
        <w:t xml:space="preserve">In undertaking this analysis Keogh Bay note several </w:t>
      </w:r>
      <w:r w:rsidR="00456158">
        <w:rPr>
          <w:rFonts w:cstheme="minorHAnsi"/>
          <w:lang w:val="en-MY" w:eastAsia="en-AU"/>
        </w:rPr>
        <w:t xml:space="preserve">fundamental </w:t>
      </w:r>
      <w:r w:rsidRPr="0088670E">
        <w:rPr>
          <w:rFonts w:cstheme="minorHAnsi"/>
          <w:lang w:val="en-MY" w:eastAsia="en-AU"/>
        </w:rPr>
        <w:t xml:space="preserve">limitations with the quality and availability of the data sets provided, and for which we have identified operational </w:t>
      </w:r>
      <w:r w:rsidR="00B95ABE">
        <w:rPr>
          <w:rFonts w:cstheme="minorHAnsi"/>
          <w:lang w:val="en-MY" w:eastAsia="en-AU"/>
        </w:rPr>
        <w:t xml:space="preserve">challenges </w:t>
      </w:r>
      <w:r w:rsidRPr="0088670E">
        <w:rPr>
          <w:rFonts w:cstheme="minorHAnsi"/>
          <w:lang w:val="en-MY" w:eastAsia="en-AU"/>
        </w:rPr>
        <w:t>amongst service providers that have contributed to data quality issues. These issues, ranging from the COVID-19 Pandemic, organisational capacity to human error with manual processing, are discussed elsewhere in this report, but are manifest within the data sets in terms of</w:t>
      </w:r>
      <w:r w:rsidR="00456158">
        <w:rPr>
          <w:rFonts w:cstheme="minorHAnsi"/>
          <w:lang w:val="en-MY" w:eastAsia="en-AU"/>
        </w:rPr>
        <w:t xml:space="preserve"> m</w:t>
      </w:r>
      <w:r w:rsidRPr="00456158">
        <w:rPr>
          <w:rFonts w:cstheme="minorHAnsi"/>
          <w:lang w:val="en-MY" w:eastAsia="en-AU"/>
        </w:rPr>
        <w:t>issing, incomplete and erroneous Stats Reporting Form data (also known as Organisational Reports) and Managers Report Form data, which were not consistently available across service providers, and in available reports contained various calculation errors, missing entries and fundamentally differing interpretations of counting rules</w:t>
      </w:r>
      <w:r w:rsidR="00456158">
        <w:rPr>
          <w:rFonts w:cstheme="minorHAnsi"/>
          <w:lang w:val="en-MY" w:eastAsia="en-AU"/>
        </w:rPr>
        <w:t>.</w:t>
      </w:r>
      <w:r w:rsidR="00456158">
        <w:rPr>
          <w:rStyle w:val="FootnoteReference"/>
          <w:rFonts w:cstheme="minorHAnsi"/>
          <w:lang w:val="en-MY" w:eastAsia="en-AU"/>
        </w:rPr>
        <w:footnoteReference w:id="78"/>
      </w:r>
    </w:p>
    <w:p w14:paraId="59BB05A9" w14:textId="77777777" w:rsidR="00296FAD" w:rsidRPr="0088670E" w:rsidRDefault="00296FAD" w:rsidP="00296FAD">
      <w:pPr>
        <w:jc w:val="both"/>
        <w:rPr>
          <w:rFonts w:cstheme="minorHAnsi"/>
          <w:lang w:val="en-MY" w:eastAsia="en-AU"/>
        </w:rPr>
      </w:pPr>
    </w:p>
    <w:p w14:paraId="576F9F8A" w14:textId="0160792A" w:rsidR="00456158" w:rsidRDefault="00296FAD" w:rsidP="00296FAD">
      <w:pPr>
        <w:jc w:val="both"/>
        <w:rPr>
          <w:rFonts w:cstheme="minorHAnsi"/>
          <w:lang w:val="en-MY" w:eastAsia="en-AU"/>
        </w:rPr>
      </w:pPr>
      <w:r w:rsidRPr="0088670E">
        <w:rPr>
          <w:rFonts w:cstheme="minorHAnsi"/>
          <w:lang w:val="en-MY" w:eastAsia="en-AU"/>
        </w:rPr>
        <w:t xml:space="preserve">With respect to the ATC </w:t>
      </w:r>
      <w:r w:rsidR="00B95ABE">
        <w:rPr>
          <w:rFonts w:cstheme="minorHAnsi"/>
          <w:lang w:val="en-MY" w:eastAsia="en-AU"/>
        </w:rPr>
        <w:t>p</w:t>
      </w:r>
      <w:r w:rsidRPr="0088670E">
        <w:rPr>
          <w:rFonts w:cstheme="minorHAnsi"/>
          <w:lang w:val="en-MY" w:eastAsia="en-AU"/>
        </w:rPr>
        <w:t xml:space="preserve">rogram the following specific data limitations should also be considered when reading the quantitative findings presented elsewhere in this report: </w:t>
      </w:r>
    </w:p>
    <w:p w14:paraId="245F16DE" w14:textId="77777777" w:rsidR="00456158" w:rsidRDefault="00456158" w:rsidP="00296FAD">
      <w:pPr>
        <w:jc w:val="both"/>
        <w:rPr>
          <w:rFonts w:cstheme="minorHAnsi"/>
          <w:lang w:val="en-MY" w:eastAsia="en-AU"/>
        </w:rPr>
      </w:pPr>
    </w:p>
    <w:p w14:paraId="32CCD92C" w14:textId="54C68846" w:rsidR="00456158" w:rsidRDefault="00296FAD" w:rsidP="00B77817">
      <w:pPr>
        <w:pStyle w:val="ListParagraph"/>
        <w:numPr>
          <w:ilvl w:val="0"/>
          <w:numId w:val="70"/>
        </w:numPr>
        <w:jc w:val="both"/>
        <w:rPr>
          <w:rFonts w:cstheme="minorHAnsi"/>
          <w:lang w:val="en-MY" w:eastAsia="en-AU"/>
        </w:rPr>
      </w:pPr>
      <w:r w:rsidRPr="00456158">
        <w:rPr>
          <w:rFonts w:cstheme="minorHAnsi"/>
          <w:lang w:val="en-MY" w:eastAsia="en-AU"/>
        </w:rPr>
        <w:t xml:space="preserve">Several services (namely Nulsen, RYSS, ATSILS, NAAJA and to a lesser degree CRC and CHAC) deliver services to both adult and youth clients (aged 18 years or under). Other than for ATSILS and NAAJA this data has not been extracted separately, given the services delivered to youth for the other providers are funded under the ATC </w:t>
      </w:r>
      <w:r w:rsidR="00B95ABE">
        <w:rPr>
          <w:rFonts w:cstheme="minorHAnsi"/>
          <w:lang w:val="en-MY" w:eastAsia="en-AU"/>
        </w:rPr>
        <w:t>p</w:t>
      </w:r>
      <w:r w:rsidRPr="00456158">
        <w:rPr>
          <w:rFonts w:cstheme="minorHAnsi"/>
          <w:lang w:val="en-MY" w:eastAsia="en-AU"/>
        </w:rPr>
        <w:t>rogram.</w:t>
      </w:r>
    </w:p>
    <w:p w14:paraId="56116C3C" w14:textId="77777777" w:rsidR="00456158" w:rsidRDefault="00456158" w:rsidP="00456158">
      <w:pPr>
        <w:pStyle w:val="ListParagraph"/>
        <w:jc w:val="both"/>
        <w:rPr>
          <w:rFonts w:cstheme="minorHAnsi"/>
          <w:lang w:val="en-MY" w:eastAsia="en-AU"/>
        </w:rPr>
      </w:pPr>
    </w:p>
    <w:p w14:paraId="60C651DB" w14:textId="77777777" w:rsidR="00456158" w:rsidRDefault="00296FAD" w:rsidP="00B77817">
      <w:pPr>
        <w:pStyle w:val="ListParagraph"/>
        <w:numPr>
          <w:ilvl w:val="0"/>
          <w:numId w:val="70"/>
        </w:numPr>
        <w:jc w:val="both"/>
        <w:rPr>
          <w:rFonts w:cstheme="minorHAnsi"/>
          <w:lang w:val="en-MY" w:eastAsia="en-AU"/>
        </w:rPr>
      </w:pPr>
      <w:r w:rsidRPr="00456158">
        <w:rPr>
          <w:rFonts w:cstheme="minorHAnsi"/>
          <w:lang w:val="en-MY" w:eastAsia="en-AU"/>
        </w:rPr>
        <w:t xml:space="preserve">Two providers (namely CHAC and Nulsen) have used legacy reporting templates for the July to December 2019 and January to June 2020 periods, for which historical indicators and different accounting rules have applied. This means the data provided for these periods is limited when comparing to other periods for the same organisation or to the reports of different providers for the same periods. </w:t>
      </w:r>
    </w:p>
    <w:p w14:paraId="16AED1B2" w14:textId="77777777" w:rsidR="00456158" w:rsidRDefault="00456158" w:rsidP="00456158">
      <w:pPr>
        <w:pStyle w:val="ListParagraph"/>
        <w:jc w:val="both"/>
        <w:rPr>
          <w:rFonts w:cstheme="minorHAnsi"/>
          <w:lang w:val="en-MY" w:eastAsia="en-AU"/>
        </w:rPr>
      </w:pPr>
    </w:p>
    <w:p w14:paraId="615AD9BD" w14:textId="134A51B7" w:rsidR="00456158" w:rsidRDefault="00296FAD" w:rsidP="00B77817">
      <w:pPr>
        <w:pStyle w:val="ListParagraph"/>
        <w:numPr>
          <w:ilvl w:val="0"/>
          <w:numId w:val="70"/>
        </w:numPr>
        <w:jc w:val="both"/>
        <w:rPr>
          <w:rFonts w:cstheme="minorHAnsi"/>
          <w:lang w:val="en-MY" w:eastAsia="en-AU"/>
        </w:rPr>
      </w:pPr>
      <w:r w:rsidRPr="00456158">
        <w:rPr>
          <w:rFonts w:cstheme="minorHAnsi"/>
          <w:lang w:val="en-MY" w:eastAsia="en-AU"/>
        </w:rPr>
        <w:t xml:space="preserve">Keogh Bay excluded two CHAC Organisational ‘Sub-Reports’ (one of two reports provided for July to September 2020 and one of two reports for January to March 2022) </w:t>
      </w:r>
      <w:r w:rsidR="00B95ABE">
        <w:rPr>
          <w:rFonts w:cstheme="minorHAnsi"/>
          <w:lang w:val="en-MY" w:eastAsia="en-AU"/>
        </w:rPr>
        <w:t xml:space="preserve">which were found to be </w:t>
      </w:r>
      <w:r w:rsidRPr="00456158">
        <w:rPr>
          <w:rFonts w:cstheme="minorHAnsi"/>
          <w:lang w:val="en-MY" w:eastAsia="en-AU"/>
        </w:rPr>
        <w:t>duplicates. Whilst there is some data for these periods available</w:t>
      </w:r>
      <w:r w:rsidR="00B95ABE">
        <w:rPr>
          <w:rFonts w:cstheme="minorHAnsi"/>
          <w:lang w:val="en-MY" w:eastAsia="en-AU"/>
        </w:rPr>
        <w:t xml:space="preserve"> and where appropriate an average is taken</w:t>
      </w:r>
      <w:r w:rsidRPr="00456158">
        <w:rPr>
          <w:rFonts w:cstheme="minorHAnsi"/>
          <w:lang w:val="en-MY" w:eastAsia="en-AU"/>
        </w:rPr>
        <w:t>, the</w:t>
      </w:r>
      <w:r w:rsidR="00456158">
        <w:rPr>
          <w:rFonts w:cstheme="minorHAnsi"/>
          <w:lang w:val="en-MY" w:eastAsia="en-AU"/>
        </w:rPr>
        <w:t xml:space="preserve"> likelihood of an undercount is increased by this decision</w:t>
      </w:r>
      <w:r w:rsidRPr="00456158">
        <w:rPr>
          <w:rFonts w:cstheme="minorHAnsi"/>
          <w:lang w:val="en-MY" w:eastAsia="en-AU"/>
        </w:rPr>
        <w:t>.</w:t>
      </w:r>
    </w:p>
    <w:p w14:paraId="01A48077" w14:textId="77777777" w:rsidR="00456158" w:rsidRDefault="00456158" w:rsidP="00456158">
      <w:pPr>
        <w:pStyle w:val="ListParagraph"/>
        <w:jc w:val="both"/>
        <w:rPr>
          <w:rFonts w:cstheme="minorHAnsi"/>
          <w:lang w:val="en-MY" w:eastAsia="en-AU"/>
        </w:rPr>
      </w:pPr>
    </w:p>
    <w:p w14:paraId="340B3F7B" w14:textId="60B4AB2F" w:rsidR="00296FAD" w:rsidRPr="00456158" w:rsidRDefault="00296FAD" w:rsidP="00B77817">
      <w:pPr>
        <w:pStyle w:val="ListParagraph"/>
        <w:numPr>
          <w:ilvl w:val="0"/>
          <w:numId w:val="70"/>
        </w:numPr>
        <w:jc w:val="both"/>
        <w:rPr>
          <w:rFonts w:cstheme="minorHAnsi"/>
          <w:lang w:val="en-MY" w:eastAsia="en-AU"/>
        </w:rPr>
      </w:pPr>
      <w:r w:rsidRPr="00456158">
        <w:rPr>
          <w:rFonts w:cstheme="minorHAnsi"/>
          <w:lang w:val="en-MY" w:eastAsia="en-AU"/>
        </w:rPr>
        <w:t>ATC service provider Organisational Reports were not consistently reported across the same time series, with several providers reporting on a quarterly rather than six-monthly basis. In both cases there are several missing reports (despite follow-up with the services by NIAA). For providers who have missing reports</w:t>
      </w:r>
      <w:r w:rsidR="0005487E">
        <w:rPr>
          <w:rFonts w:cstheme="minorHAnsi"/>
          <w:lang w:val="en-MY" w:eastAsia="en-AU"/>
        </w:rPr>
        <w:t xml:space="preserve">, despite use of averages, </w:t>
      </w:r>
      <w:r w:rsidRPr="00456158">
        <w:rPr>
          <w:rFonts w:cstheme="minorHAnsi"/>
          <w:lang w:val="en-MY" w:eastAsia="en-AU"/>
        </w:rPr>
        <w:t xml:space="preserve">there may be an undercount of clients, activity, and outcomes.  </w:t>
      </w:r>
    </w:p>
    <w:p w14:paraId="2E8F333E" w14:textId="77777777" w:rsidR="00296FAD" w:rsidRPr="0088670E" w:rsidRDefault="00296FAD" w:rsidP="00296FAD">
      <w:pPr>
        <w:jc w:val="both"/>
        <w:rPr>
          <w:rFonts w:cstheme="minorHAnsi"/>
          <w:lang w:val="en-MY" w:eastAsia="en-AU"/>
        </w:rPr>
      </w:pPr>
    </w:p>
    <w:p w14:paraId="21D64849" w14:textId="6FFDA2B6" w:rsidR="00456158" w:rsidRDefault="00296FAD" w:rsidP="00296FAD">
      <w:pPr>
        <w:jc w:val="both"/>
        <w:rPr>
          <w:rFonts w:cstheme="minorHAnsi"/>
          <w:lang w:val="en-MY" w:eastAsia="en-AU"/>
        </w:rPr>
      </w:pPr>
      <w:r w:rsidRPr="0088670E">
        <w:rPr>
          <w:rFonts w:cstheme="minorHAnsi"/>
          <w:lang w:val="en-MY" w:eastAsia="en-AU"/>
        </w:rPr>
        <w:t xml:space="preserve">With respect to the YTC </w:t>
      </w:r>
      <w:r w:rsidR="0005487E">
        <w:rPr>
          <w:rFonts w:cstheme="minorHAnsi"/>
          <w:lang w:val="en-MY" w:eastAsia="en-AU"/>
        </w:rPr>
        <w:t>p</w:t>
      </w:r>
      <w:r w:rsidRPr="0088670E">
        <w:rPr>
          <w:rFonts w:cstheme="minorHAnsi"/>
          <w:lang w:val="en-MY" w:eastAsia="en-AU"/>
        </w:rPr>
        <w:t>rogram the following specific data limitation should also be considered:</w:t>
      </w:r>
    </w:p>
    <w:p w14:paraId="761BF0DC" w14:textId="77777777" w:rsidR="00456158" w:rsidRDefault="00456158" w:rsidP="00296FAD">
      <w:pPr>
        <w:jc w:val="both"/>
        <w:rPr>
          <w:rFonts w:cstheme="minorHAnsi"/>
          <w:lang w:val="en-MY" w:eastAsia="en-AU"/>
        </w:rPr>
      </w:pPr>
    </w:p>
    <w:p w14:paraId="4A7C45E9" w14:textId="77777777" w:rsidR="00456158" w:rsidRDefault="00296FAD" w:rsidP="00B77817">
      <w:pPr>
        <w:pStyle w:val="ListParagraph"/>
        <w:numPr>
          <w:ilvl w:val="0"/>
          <w:numId w:val="71"/>
        </w:numPr>
        <w:jc w:val="both"/>
        <w:rPr>
          <w:rFonts w:cstheme="minorHAnsi"/>
          <w:lang w:val="en-MY" w:eastAsia="en-AU"/>
        </w:rPr>
      </w:pPr>
      <w:r w:rsidRPr="00456158">
        <w:rPr>
          <w:rFonts w:cstheme="minorHAnsi"/>
          <w:lang w:val="en-MY" w:eastAsia="en-AU"/>
        </w:rPr>
        <w:t>YTC time series data relating to YTC Data Reports (also known as Organisational Reports) is limited for two of the three providers (ATSILS and VACCA). Data prior to June 2021 was utilised for a YTC trial project and was stored and recorded elsewhere in a different format with only extracts of this data available to the researchers.</w:t>
      </w:r>
    </w:p>
    <w:p w14:paraId="493CDA66" w14:textId="77777777" w:rsidR="00456158" w:rsidRDefault="00456158" w:rsidP="00456158">
      <w:pPr>
        <w:pStyle w:val="ListParagraph"/>
        <w:jc w:val="both"/>
        <w:rPr>
          <w:rFonts w:cstheme="minorHAnsi"/>
          <w:lang w:val="en-MY" w:eastAsia="en-AU"/>
        </w:rPr>
      </w:pPr>
    </w:p>
    <w:p w14:paraId="1E968F17" w14:textId="79F324C1" w:rsidR="00F361A9" w:rsidRPr="00024565" w:rsidRDefault="00296FAD" w:rsidP="00024565">
      <w:pPr>
        <w:pStyle w:val="ListParagraph"/>
        <w:numPr>
          <w:ilvl w:val="0"/>
          <w:numId w:val="71"/>
        </w:numPr>
        <w:jc w:val="both"/>
        <w:rPr>
          <w:rFonts w:cstheme="minorHAnsi"/>
          <w:lang w:val="en-MY" w:eastAsia="en-AU"/>
        </w:rPr>
      </w:pPr>
      <w:r w:rsidRPr="00456158">
        <w:rPr>
          <w:rFonts w:cstheme="minorHAnsi"/>
          <w:lang w:val="en-MY" w:eastAsia="en-AU"/>
        </w:rPr>
        <w:t>The Data Reports available for the three YTC service providers are for different periods which limits their utility for comparative analysis.</w:t>
      </w:r>
      <w:r w:rsidRPr="0088670E">
        <w:rPr>
          <w:vertAlign w:val="superscript"/>
          <w:lang w:val="en-MY" w:eastAsia="en-AU"/>
        </w:rPr>
        <w:footnoteReference w:id="79"/>
      </w:r>
      <w:r w:rsidR="00F361A9">
        <w:br w:type="page"/>
      </w:r>
    </w:p>
    <w:p w14:paraId="135CB88F" w14:textId="7BAD79A1" w:rsidR="00AC47AC" w:rsidRPr="00F66F99" w:rsidRDefault="006603DD" w:rsidP="00F66F99">
      <w:pPr>
        <w:pStyle w:val="Heading1"/>
        <w:rPr>
          <w:rFonts w:cstheme="minorHAnsi"/>
        </w:rPr>
      </w:pPr>
      <w:bookmarkStart w:id="26" w:name="_Toc150784200"/>
      <w:r w:rsidRPr="00F66F99">
        <w:rPr>
          <w:rFonts w:cstheme="minorHAnsi"/>
        </w:rPr>
        <w:t>E</w:t>
      </w:r>
      <w:r w:rsidR="00F66F99">
        <w:rPr>
          <w:rFonts w:cstheme="minorHAnsi"/>
        </w:rPr>
        <w:t xml:space="preserve">valuation </w:t>
      </w:r>
      <w:r w:rsidR="00AC47AC" w:rsidRPr="00F66F99">
        <w:rPr>
          <w:rFonts w:cstheme="minorHAnsi"/>
        </w:rPr>
        <w:t>F</w:t>
      </w:r>
      <w:r w:rsidR="00F66F99">
        <w:rPr>
          <w:rFonts w:cstheme="minorHAnsi"/>
        </w:rPr>
        <w:t>indings</w:t>
      </w:r>
      <w:bookmarkEnd w:id="26"/>
    </w:p>
    <w:p w14:paraId="2B032A68" w14:textId="391C754E" w:rsidR="002F6224" w:rsidRPr="002F6224" w:rsidRDefault="00083F71" w:rsidP="002F6224">
      <w:pPr>
        <w:jc w:val="both"/>
        <w:rPr>
          <w:rFonts w:cstheme="minorHAnsi"/>
          <w:lang w:val="en-MY" w:eastAsia="en-AU"/>
        </w:rPr>
      </w:pPr>
      <w:r>
        <w:rPr>
          <w:rFonts w:cstheme="minorHAnsi"/>
          <w:lang w:val="en-MY" w:eastAsia="en-AU"/>
        </w:rPr>
        <w:t xml:space="preserve">This chapter presents </w:t>
      </w:r>
      <w:r w:rsidR="00934CA5" w:rsidRPr="00083F71">
        <w:rPr>
          <w:rFonts w:cstheme="minorHAnsi"/>
          <w:lang w:val="en-MY" w:eastAsia="en-AU"/>
        </w:rPr>
        <w:t xml:space="preserve">the evaluation findings based on Keogh Bay’s analysis and interpretation of available evidence. </w:t>
      </w:r>
      <w:r w:rsidR="009B3E00">
        <w:rPr>
          <w:rFonts w:cstheme="minorHAnsi"/>
          <w:lang w:val="en-MY" w:eastAsia="en-AU"/>
        </w:rPr>
        <w:t xml:space="preserve">Findings </w:t>
      </w:r>
      <w:r w:rsidR="009B3E00" w:rsidRPr="00761305">
        <w:rPr>
          <w:rFonts w:cstheme="minorHAnsi"/>
          <w:lang w:val="en-MY" w:eastAsia="en-AU"/>
        </w:rPr>
        <w:t>are structured by evaluation research question</w:t>
      </w:r>
      <w:r>
        <w:rPr>
          <w:rFonts w:cstheme="minorHAnsi"/>
          <w:lang w:val="en-MY" w:eastAsia="en-AU"/>
        </w:rPr>
        <w:t xml:space="preserve"> and </w:t>
      </w:r>
      <w:r w:rsidR="009B3E00" w:rsidRPr="00761305">
        <w:rPr>
          <w:rFonts w:cstheme="minorHAnsi"/>
          <w:lang w:val="en-MY" w:eastAsia="en-AU"/>
        </w:rPr>
        <w:t>presented at a whole of program level</w:t>
      </w:r>
      <w:r>
        <w:rPr>
          <w:rFonts w:cstheme="minorHAnsi"/>
          <w:lang w:val="en-MY" w:eastAsia="en-AU"/>
        </w:rPr>
        <w:t xml:space="preserve"> </w:t>
      </w:r>
      <w:r w:rsidRPr="00761305">
        <w:rPr>
          <w:rFonts w:cstheme="minorHAnsi"/>
          <w:lang w:val="en-MY" w:eastAsia="en-AU"/>
        </w:rPr>
        <w:t>unless otherwise indicated</w:t>
      </w:r>
      <w:r w:rsidR="009B3E00" w:rsidRPr="00761305">
        <w:rPr>
          <w:rFonts w:cstheme="minorHAnsi"/>
          <w:lang w:val="en-MY" w:eastAsia="en-AU"/>
        </w:rPr>
        <w:t xml:space="preserve">. Moreover, since </w:t>
      </w:r>
      <w:r w:rsidR="00AF1A54">
        <w:rPr>
          <w:rFonts w:cstheme="minorHAnsi"/>
          <w:lang w:val="en-MY" w:eastAsia="en-AU"/>
        </w:rPr>
        <w:t>y</w:t>
      </w:r>
      <w:r w:rsidR="009B3E00" w:rsidRPr="00761305">
        <w:rPr>
          <w:rFonts w:cstheme="minorHAnsi"/>
          <w:lang w:val="en-MY" w:eastAsia="en-AU"/>
        </w:rPr>
        <w:t xml:space="preserve">outh and </w:t>
      </w:r>
      <w:r w:rsidR="00AF1A54">
        <w:rPr>
          <w:rFonts w:cstheme="minorHAnsi"/>
          <w:lang w:val="en-MY" w:eastAsia="en-AU"/>
        </w:rPr>
        <w:t>a</w:t>
      </w:r>
      <w:r w:rsidR="009B3E00" w:rsidRPr="00761305">
        <w:rPr>
          <w:rFonts w:cstheme="minorHAnsi"/>
          <w:lang w:val="en-MY" w:eastAsia="en-AU"/>
        </w:rPr>
        <w:t xml:space="preserve">dult programs </w:t>
      </w:r>
      <w:r w:rsidR="0088475D">
        <w:rPr>
          <w:rFonts w:cstheme="minorHAnsi"/>
          <w:lang w:val="en-MY" w:eastAsia="en-AU"/>
        </w:rPr>
        <w:t xml:space="preserve">were found to be </w:t>
      </w:r>
      <w:r w:rsidR="009B3E00" w:rsidRPr="00761305">
        <w:rPr>
          <w:rFonts w:cstheme="minorHAnsi"/>
          <w:lang w:val="en-MY" w:eastAsia="en-AU"/>
        </w:rPr>
        <w:t xml:space="preserve">integrated within the management structures and practice frameworks of services operating both programs, to avoid unnecessary duplication, findings and observations in relation to both </w:t>
      </w:r>
      <w:r w:rsidR="008869C8">
        <w:rPr>
          <w:rFonts w:cstheme="minorHAnsi"/>
          <w:lang w:val="en-MY" w:eastAsia="en-AU"/>
        </w:rPr>
        <w:t xml:space="preserve">programs </w:t>
      </w:r>
      <w:r w:rsidR="009B3E00" w:rsidRPr="00761305">
        <w:rPr>
          <w:rFonts w:cstheme="minorHAnsi"/>
          <w:lang w:val="en-MY" w:eastAsia="en-AU"/>
        </w:rPr>
        <w:t>are combined</w:t>
      </w:r>
      <w:r w:rsidR="00BE6558" w:rsidRPr="002F6224">
        <w:rPr>
          <w:rFonts w:cstheme="minorHAnsi"/>
          <w:lang w:val="en-MY" w:eastAsia="en-AU"/>
        </w:rPr>
        <w:t>.</w:t>
      </w:r>
    </w:p>
    <w:p w14:paraId="211BF405" w14:textId="77777777" w:rsidR="008A1B41" w:rsidRDefault="00C26E9A" w:rsidP="008A1B41">
      <w:pPr>
        <w:pStyle w:val="SUBHEAD2"/>
        <w:rPr>
          <w:rFonts w:asciiTheme="minorHAnsi" w:hAnsiTheme="minorHAnsi" w:cstheme="minorHAnsi"/>
          <w:lang w:val="en-MY" w:eastAsia="en-AU"/>
        </w:rPr>
      </w:pPr>
      <w:r w:rsidRPr="002F6224">
        <w:rPr>
          <w:rFonts w:asciiTheme="minorHAnsi" w:hAnsiTheme="minorHAnsi" w:cstheme="minorHAnsi"/>
          <w:lang w:val="en-MY" w:eastAsia="en-AU"/>
        </w:rPr>
        <w:t>Note on Limitations</w:t>
      </w:r>
    </w:p>
    <w:p w14:paraId="6CC1FE5C" w14:textId="08CFA5E5" w:rsidR="00EE52FE" w:rsidRPr="008A1B41" w:rsidRDefault="00EE52FE" w:rsidP="00AB7135">
      <w:pPr>
        <w:spacing w:before="120" w:after="120"/>
        <w:jc w:val="both"/>
        <w:rPr>
          <w:b/>
          <w:smallCaps/>
          <w:lang w:val="en-MY" w:eastAsia="en-AU"/>
        </w:rPr>
      </w:pPr>
      <w:r w:rsidRPr="008A1B41">
        <w:rPr>
          <w:lang w:val="en-MY" w:eastAsia="en-AU"/>
        </w:rPr>
        <w:t>Given the fundamental limitations noted with respect to the quantitative data in available service Performance Reports, the research is reliant on qualitative data from interviews to evidence findings. Since more interviews were conducted at larger services and in urban centres, this has created some bias in data collection. Findings are therefore careful to distinguish between issues that are common to all providers and those which apply to a particular organisation or grouping. Interviews with correctional services staff and responses to the online survey were particularly skewed in this regard, with the number of interviews and survey responses largely dependent on the footprint of the through-care service in that location, and the quality of the external relationships developed by local through-care teams. The responses are therefore skewed towards the largest two services with approximately two-thirds of all such responses relating to NAAJA and ATSILS. Furthermore, contact with client-participants was facilitated by case workers, with the pool of available contacts driven by a case workers’ individual relationship with the client as well as access to valid contact details. To the extent possible, any selection bias in this processes was mitigated through use of selection criteria provided by Keogh Bay, and through careful conduct of the interview (e.g. ensuring the privacy of the client-participant to speak freely).</w:t>
      </w:r>
    </w:p>
    <w:p w14:paraId="6F254A24" w14:textId="72CD95A5" w:rsidR="00EE52FE" w:rsidRPr="0088475D" w:rsidRDefault="00EE52FE" w:rsidP="00AB7135">
      <w:pPr>
        <w:spacing w:before="120" w:after="120"/>
        <w:jc w:val="both"/>
        <w:rPr>
          <w:lang w:val="en-MY" w:eastAsia="en-AU"/>
        </w:rPr>
      </w:pPr>
      <w:r>
        <w:rPr>
          <w:lang w:val="en-MY" w:eastAsia="en-AU"/>
        </w:rPr>
        <w:t xml:space="preserve">With respect to quantitative data limitations, </w:t>
      </w:r>
      <w:r w:rsidRPr="00425C76">
        <w:rPr>
          <w:lang w:val="en-MY" w:eastAsia="en-AU"/>
        </w:rPr>
        <w:t>Keogh Bay note</w:t>
      </w:r>
      <w:r>
        <w:rPr>
          <w:lang w:val="en-MY" w:eastAsia="en-AU"/>
        </w:rPr>
        <w:t>s</w:t>
      </w:r>
      <w:r w:rsidRPr="00425C76">
        <w:rPr>
          <w:lang w:val="en-MY" w:eastAsia="en-AU"/>
        </w:rPr>
        <w:t xml:space="preserve"> several fundamental </w:t>
      </w:r>
      <w:r>
        <w:rPr>
          <w:lang w:val="en-MY" w:eastAsia="en-AU"/>
        </w:rPr>
        <w:t xml:space="preserve">issues </w:t>
      </w:r>
      <w:r w:rsidRPr="00425C76">
        <w:rPr>
          <w:lang w:val="en-MY" w:eastAsia="en-AU"/>
        </w:rPr>
        <w:t xml:space="preserve">with the quality and availability of the data sets provided, and for which we have identified operational challenges amongst service providers that have contributed to data quality </w:t>
      </w:r>
      <w:r>
        <w:rPr>
          <w:lang w:val="en-MY" w:eastAsia="en-AU"/>
        </w:rPr>
        <w:t xml:space="preserve">challenges. </w:t>
      </w:r>
      <w:r w:rsidRPr="0005326A">
        <w:rPr>
          <w:lang w:val="en-MY" w:eastAsia="en-AU"/>
        </w:rPr>
        <w:t>These issues, ranging from the COVID-19 Pandemic</w:t>
      </w:r>
      <w:r w:rsidR="008C11C7">
        <w:rPr>
          <w:lang w:val="en-MY" w:eastAsia="en-AU"/>
        </w:rPr>
        <w:t xml:space="preserve"> (which constrained face-to-face service delivery</w:t>
      </w:r>
      <w:r w:rsidR="00131EAE">
        <w:rPr>
          <w:lang w:val="en-MY" w:eastAsia="en-AU"/>
        </w:rPr>
        <w:t xml:space="preserve"> and related measures</w:t>
      </w:r>
      <w:r w:rsidR="008C11C7">
        <w:rPr>
          <w:lang w:val="en-MY" w:eastAsia="en-AU"/>
        </w:rPr>
        <w:t>)</w:t>
      </w:r>
      <w:r w:rsidRPr="0005326A">
        <w:rPr>
          <w:lang w:val="en-MY" w:eastAsia="en-AU"/>
        </w:rPr>
        <w:t>, organisational capacity</w:t>
      </w:r>
      <w:r w:rsidR="00131EAE">
        <w:rPr>
          <w:lang w:val="en-MY" w:eastAsia="en-AU"/>
        </w:rPr>
        <w:t xml:space="preserve">, </w:t>
      </w:r>
      <w:r w:rsidRPr="0005326A">
        <w:rPr>
          <w:lang w:val="en-MY" w:eastAsia="en-AU"/>
        </w:rPr>
        <w:t>to human error with manual processing, are manifest within the data sets in terms of missing, incomplete and erroneous Stats Reporting Form data (also known as Organisational Reports) and Managers Report Form data, which were not consistently available across service providers, and in available reports contained various calculation errors, missing entries and fundamentally differing interpretations of counting rules.</w:t>
      </w:r>
    </w:p>
    <w:p w14:paraId="4DF98FE7" w14:textId="11D19FDF" w:rsidR="00123BF2" w:rsidRPr="0088475D" w:rsidRDefault="00421CD3" w:rsidP="00B77817">
      <w:pPr>
        <w:pStyle w:val="Heading2"/>
        <w:numPr>
          <w:ilvl w:val="0"/>
          <w:numId w:val="33"/>
        </w:numPr>
        <w:rPr>
          <w:rFonts w:cstheme="minorHAnsi"/>
          <w:lang w:val="en-MY" w:eastAsia="en-AU"/>
        </w:rPr>
      </w:pPr>
      <w:bookmarkStart w:id="27" w:name="_Toc150784201"/>
      <w:r w:rsidRPr="0088475D">
        <w:rPr>
          <w:rFonts w:cstheme="minorHAnsi"/>
          <w:lang w:val="en-MY" w:eastAsia="en-AU"/>
        </w:rPr>
        <w:t>Design Appropriateness</w:t>
      </w:r>
      <w:bookmarkEnd w:id="27"/>
    </w:p>
    <w:p w14:paraId="57C1B0D5" w14:textId="6BC44189" w:rsidR="00665AB1" w:rsidRPr="008A1B41" w:rsidRDefault="00421CD3" w:rsidP="008A1B41">
      <w:pPr>
        <w:rPr>
          <w:rFonts w:cstheme="minorHAnsi"/>
          <w:i/>
          <w:iCs/>
          <w:color w:val="4F81BD" w:themeColor="accent1"/>
          <w:lang w:val="en-MY" w:eastAsia="en-AU"/>
        </w:rPr>
      </w:pPr>
      <w:r w:rsidRPr="00124E6C">
        <w:rPr>
          <w:rFonts w:cstheme="minorHAnsi"/>
          <w:i/>
          <w:iCs/>
          <w:color w:val="4F81BD" w:themeColor="accent1"/>
          <w:lang w:val="en-MY" w:eastAsia="en-AU"/>
        </w:rPr>
        <w:t>How appropriate is the design of both the ATC and YTC models to meet the needs of clients and stakeholders? To what extent are the models strengths based, culturally respectful and collaborative? To what extent does it represent an Indigenous approach?</w:t>
      </w:r>
    </w:p>
    <w:p w14:paraId="114FD900" w14:textId="77777777" w:rsidR="008A1B41" w:rsidRDefault="00665AB1" w:rsidP="008A1B41">
      <w:pPr>
        <w:pStyle w:val="SUBHEAD2"/>
        <w:rPr>
          <w:rFonts w:asciiTheme="minorHAnsi" w:hAnsiTheme="minorHAnsi" w:cstheme="minorHAnsi"/>
          <w:lang w:val="en-MY" w:eastAsia="en-AU"/>
        </w:rPr>
      </w:pPr>
      <w:r w:rsidRPr="008A1B41">
        <w:rPr>
          <w:rFonts w:asciiTheme="minorHAnsi" w:hAnsiTheme="minorHAnsi" w:cstheme="minorHAnsi"/>
          <w:lang w:val="en-MY" w:eastAsia="en-AU"/>
        </w:rPr>
        <w:t>Appropriateness of Design</w:t>
      </w:r>
    </w:p>
    <w:p w14:paraId="4A7F453D" w14:textId="2C75541B" w:rsidR="00C26E9A" w:rsidRPr="008A1B41" w:rsidRDefault="006330EC" w:rsidP="00AB7135">
      <w:pPr>
        <w:spacing w:before="120" w:after="120"/>
        <w:jc w:val="both"/>
        <w:rPr>
          <w:b/>
          <w:smallCaps/>
          <w:lang w:val="en-MY" w:eastAsia="en-AU"/>
        </w:rPr>
      </w:pPr>
      <w:r w:rsidRPr="008A1B41">
        <w:rPr>
          <w:lang w:val="en-MY" w:eastAsia="en-AU"/>
        </w:rPr>
        <w:t xml:space="preserve">A key finding of this evaluation is that neither adult nor youth through-care services have explicitly adopted the ABT model and associated practice frameworks developed during the 2019 co-design process, with </w:t>
      </w:r>
      <w:r w:rsidR="00DA110D">
        <w:rPr>
          <w:lang w:val="en-MY" w:eastAsia="en-AU"/>
        </w:rPr>
        <w:t xml:space="preserve">case worker </w:t>
      </w:r>
      <w:r w:rsidRPr="008A1B41">
        <w:rPr>
          <w:lang w:val="en-MY" w:eastAsia="en-AU"/>
        </w:rPr>
        <w:t>staff at</w:t>
      </w:r>
      <w:r w:rsidR="00DA110D">
        <w:rPr>
          <w:lang w:val="en-MY" w:eastAsia="en-AU"/>
        </w:rPr>
        <w:t xml:space="preserve"> only two services</w:t>
      </w:r>
      <w:r w:rsidR="00AF1A54" w:rsidRPr="008A1B41">
        <w:rPr>
          <w:lang w:val="en-MY" w:eastAsia="en-AU"/>
        </w:rPr>
        <w:t xml:space="preserve"> </w:t>
      </w:r>
      <w:r w:rsidRPr="008A1B41">
        <w:rPr>
          <w:lang w:val="en-MY" w:eastAsia="en-AU"/>
        </w:rPr>
        <w:t xml:space="preserve">indicating knowledge of the ABT work. </w:t>
      </w:r>
      <w:r w:rsidR="00C26E9A" w:rsidRPr="008A1B41">
        <w:rPr>
          <w:lang w:val="en-MY" w:eastAsia="en-AU"/>
        </w:rPr>
        <w:t>To the extent that services are cognisant of following a national approach, case</w:t>
      </w:r>
      <w:r w:rsidR="00694565">
        <w:rPr>
          <w:lang w:val="en-MY" w:eastAsia="en-AU"/>
        </w:rPr>
        <w:t xml:space="preserve"> </w:t>
      </w:r>
      <w:r w:rsidR="00C26E9A" w:rsidRPr="008A1B41">
        <w:rPr>
          <w:lang w:val="en-MY" w:eastAsia="en-AU"/>
        </w:rPr>
        <w:t xml:space="preserve">workers felt constrained by its </w:t>
      </w:r>
      <w:r w:rsidR="00805595" w:rsidRPr="008A1B41">
        <w:rPr>
          <w:lang w:val="en-MY" w:eastAsia="en-AU"/>
        </w:rPr>
        <w:t>eligibility requirements</w:t>
      </w:r>
      <w:r w:rsidR="00C26E9A" w:rsidRPr="008A1B41">
        <w:rPr>
          <w:lang w:val="en-MY" w:eastAsia="en-AU"/>
        </w:rPr>
        <w:t>, which were perceived to be prescriptive</w:t>
      </w:r>
      <w:r w:rsidR="00805595" w:rsidRPr="008A1B41">
        <w:rPr>
          <w:lang w:val="en-MY" w:eastAsia="en-AU"/>
        </w:rPr>
        <w:t xml:space="preserve">; and its reporting requirements, which were perceived to be </w:t>
      </w:r>
      <w:r w:rsidR="00C26E9A" w:rsidRPr="008A1B41">
        <w:rPr>
          <w:lang w:val="en-MY" w:eastAsia="en-AU"/>
        </w:rPr>
        <w:t>and process-driven</w:t>
      </w:r>
      <w:r w:rsidR="00805595" w:rsidRPr="008A1B41">
        <w:rPr>
          <w:lang w:val="en-MY" w:eastAsia="en-AU"/>
        </w:rPr>
        <w:t xml:space="preserve"> </w:t>
      </w:r>
      <w:r w:rsidR="00C26E9A" w:rsidRPr="008A1B41">
        <w:rPr>
          <w:lang w:val="en-MY" w:eastAsia="en-AU"/>
        </w:rPr>
        <w:t xml:space="preserve">and </w:t>
      </w:r>
      <w:r w:rsidR="00805595" w:rsidRPr="008A1B41">
        <w:rPr>
          <w:lang w:val="en-MY" w:eastAsia="en-AU"/>
        </w:rPr>
        <w:t>believed to</w:t>
      </w:r>
      <w:r w:rsidR="00C26E9A" w:rsidRPr="008A1B41">
        <w:rPr>
          <w:lang w:val="en-MY" w:eastAsia="en-AU"/>
        </w:rPr>
        <w:t xml:space="preserve"> drive practice while lacking the necessary contextual guidance and practical strategies required for effective implementation.</w:t>
      </w:r>
    </w:p>
    <w:p w14:paraId="60821901" w14:textId="73E3589B" w:rsidR="006330EC" w:rsidRDefault="006330EC" w:rsidP="00AB7135">
      <w:pPr>
        <w:spacing w:before="120" w:after="120"/>
        <w:jc w:val="both"/>
        <w:rPr>
          <w:lang w:val="en-MY" w:eastAsia="en-AU"/>
        </w:rPr>
      </w:pPr>
      <w:r w:rsidRPr="00373022">
        <w:rPr>
          <w:lang w:val="en-MY" w:eastAsia="en-AU"/>
        </w:rPr>
        <w:t xml:space="preserve">The </w:t>
      </w:r>
      <w:r w:rsidR="008869C8">
        <w:rPr>
          <w:lang w:val="en-MY" w:eastAsia="en-AU"/>
        </w:rPr>
        <w:t xml:space="preserve">service </w:t>
      </w:r>
      <w:r w:rsidRPr="00373022">
        <w:rPr>
          <w:lang w:val="en-MY" w:eastAsia="en-AU"/>
        </w:rPr>
        <w:t xml:space="preserve">models implemented are largely based on legacy practices and the content of prior funding agreements that have not fundamentally changed since 2019. In the case of NAAJA, whose adult and youth models were considered by service managers to most closely align with the ABT practice framework, it was explained that since the ABT work was based on NAAJA’s existing practice, this negated the need to consciously </w:t>
      </w:r>
      <w:r w:rsidR="00A23C75">
        <w:rPr>
          <w:lang w:val="en-MY" w:eastAsia="en-AU"/>
        </w:rPr>
        <w:t xml:space="preserve">re-package </w:t>
      </w:r>
      <w:r w:rsidRPr="00373022">
        <w:rPr>
          <w:lang w:val="en-MY" w:eastAsia="en-AU"/>
        </w:rPr>
        <w:t xml:space="preserve">their </w:t>
      </w:r>
      <w:r>
        <w:rPr>
          <w:lang w:val="en-MY" w:eastAsia="en-AU"/>
        </w:rPr>
        <w:t xml:space="preserve">own </w:t>
      </w:r>
      <w:r w:rsidRPr="00373022">
        <w:rPr>
          <w:lang w:val="en-MY" w:eastAsia="en-AU"/>
        </w:rPr>
        <w:t>model.</w:t>
      </w:r>
      <w:r>
        <w:rPr>
          <w:lang w:val="en-MY" w:eastAsia="en-AU"/>
        </w:rPr>
        <w:t xml:space="preserve"> </w:t>
      </w:r>
      <w:r w:rsidRPr="00373022">
        <w:rPr>
          <w:lang w:val="en-MY" w:eastAsia="en-AU"/>
        </w:rPr>
        <w:t xml:space="preserve">Beyond selected managers, no case workers were aware of the ABT model </w:t>
      </w:r>
      <w:r>
        <w:rPr>
          <w:lang w:val="en-MY" w:eastAsia="en-AU"/>
        </w:rPr>
        <w:t xml:space="preserve">at all, </w:t>
      </w:r>
      <w:r w:rsidRPr="00373022">
        <w:rPr>
          <w:lang w:val="en-MY" w:eastAsia="en-AU"/>
        </w:rPr>
        <w:t>and understood that their practice framework (where documented) had been locally adapted from generic quality standards for case management in human services.</w:t>
      </w:r>
      <w:r>
        <w:rPr>
          <w:lang w:val="en-MY" w:eastAsia="en-AU"/>
        </w:rPr>
        <w:t xml:space="preserve"> </w:t>
      </w:r>
    </w:p>
    <w:p w14:paraId="5A25727F" w14:textId="7CE0D9BD" w:rsidR="006330EC" w:rsidRPr="00B21295" w:rsidRDefault="006330EC" w:rsidP="00AB7135">
      <w:pPr>
        <w:spacing w:before="120" w:after="120"/>
        <w:jc w:val="both"/>
        <w:rPr>
          <w:lang w:val="en-MY" w:eastAsia="en-AU"/>
        </w:rPr>
      </w:pPr>
      <w:r>
        <w:rPr>
          <w:lang w:val="en-MY" w:eastAsia="en-AU"/>
        </w:rPr>
        <w:t xml:space="preserve">According to service managers, </w:t>
      </w:r>
      <w:r w:rsidRPr="000632A9">
        <w:rPr>
          <w:lang w:val="en-MY" w:eastAsia="en-AU"/>
        </w:rPr>
        <w:t xml:space="preserve">the lack of </w:t>
      </w:r>
      <w:r w:rsidR="00D2772F">
        <w:rPr>
          <w:lang w:val="en-MY" w:eastAsia="en-AU"/>
        </w:rPr>
        <w:t xml:space="preserve">conscious </w:t>
      </w:r>
      <w:r w:rsidRPr="000632A9">
        <w:rPr>
          <w:lang w:val="en-MY" w:eastAsia="en-AU"/>
        </w:rPr>
        <w:t xml:space="preserve">alignment between the co-design models and </w:t>
      </w:r>
      <w:r w:rsidR="00D2772F">
        <w:rPr>
          <w:lang w:val="en-MY" w:eastAsia="en-AU"/>
        </w:rPr>
        <w:t xml:space="preserve">the models of </w:t>
      </w:r>
      <w:r w:rsidRPr="000632A9">
        <w:rPr>
          <w:lang w:val="en-MY" w:eastAsia="en-AU"/>
        </w:rPr>
        <w:t>service implement</w:t>
      </w:r>
      <w:r w:rsidR="00D2772F">
        <w:rPr>
          <w:lang w:val="en-MY" w:eastAsia="en-AU"/>
        </w:rPr>
        <w:t xml:space="preserve">ed </w:t>
      </w:r>
      <w:r w:rsidR="00C55C6D">
        <w:rPr>
          <w:lang w:val="en-MY" w:eastAsia="en-AU"/>
        </w:rPr>
        <w:t xml:space="preserve">is attributed to </w:t>
      </w:r>
      <w:r>
        <w:rPr>
          <w:lang w:val="en-MY" w:eastAsia="en-AU"/>
        </w:rPr>
        <w:t>h</w:t>
      </w:r>
      <w:r w:rsidRPr="000632A9">
        <w:rPr>
          <w:lang w:val="en-MY" w:eastAsia="en-AU"/>
        </w:rPr>
        <w:t>istorically high rates of staff turnover</w:t>
      </w:r>
      <w:r>
        <w:rPr>
          <w:lang w:val="en-MY" w:eastAsia="en-AU"/>
        </w:rPr>
        <w:t xml:space="preserve"> at most services</w:t>
      </w:r>
      <w:r w:rsidRPr="000632A9">
        <w:rPr>
          <w:lang w:val="en-MY" w:eastAsia="en-AU"/>
        </w:rPr>
        <w:t xml:space="preserve">, including at the management level, which has </w:t>
      </w:r>
      <w:r w:rsidR="00127408">
        <w:rPr>
          <w:lang w:val="en-MY" w:eastAsia="en-AU"/>
        </w:rPr>
        <w:t xml:space="preserve">resulted in </w:t>
      </w:r>
      <w:r w:rsidRPr="000632A9">
        <w:rPr>
          <w:lang w:val="en-MY" w:eastAsia="en-AU"/>
        </w:rPr>
        <w:t>a lack of continuity between those teams present during the co-design process and those presently working at through-care services.</w:t>
      </w:r>
      <w:r>
        <w:rPr>
          <w:lang w:val="en-MY" w:eastAsia="en-AU"/>
        </w:rPr>
        <w:t xml:space="preserve"> </w:t>
      </w:r>
      <w:r w:rsidRPr="000632A9">
        <w:rPr>
          <w:lang w:val="en-MY" w:eastAsia="en-AU"/>
        </w:rPr>
        <w:t xml:space="preserve">A view held by </w:t>
      </w:r>
      <w:r w:rsidR="00C55C6D">
        <w:rPr>
          <w:lang w:val="en-MY" w:eastAsia="en-AU"/>
        </w:rPr>
        <w:t xml:space="preserve">those </w:t>
      </w:r>
      <w:r w:rsidRPr="000632A9">
        <w:rPr>
          <w:lang w:val="en-MY" w:eastAsia="en-AU"/>
        </w:rPr>
        <w:t>service managers with knowledge of the process was that the co</w:t>
      </w:r>
      <w:r w:rsidRPr="00B21295">
        <w:rPr>
          <w:lang w:val="en-MY" w:eastAsia="en-AU"/>
        </w:rPr>
        <w:t xml:space="preserve">-design project was flawed, and failed to either acknowledge prior practice or reflect the context within </w:t>
      </w:r>
      <w:r w:rsidR="00B12342">
        <w:rPr>
          <w:lang w:val="en-MY" w:eastAsia="en-AU"/>
        </w:rPr>
        <w:t xml:space="preserve">which </w:t>
      </w:r>
      <w:r w:rsidRPr="00B21295">
        <w:rPr>
          <w:lang w:val="en-MY" w:eastAsia="en-AU"/>
        </w:rPr>
        <w:t>services operate. Th</w:t>
      </w:r>
      <w:r w:rsidR="00127408" w:rsidRPr="00B21295">
        <w:rPr>
          <w:lang w:val="en-MY" w:eastAsia="en-AU"/>
        </w:rPr>
        <w:t>e</w:t>
      </w:r>
      <w:r w:rsidRPr="00B21295">
        <w:rPr>
          <w:lang w:val="en-MY" w:eastAsia="en-AU"/>
        </w:rPr>
        <w:t xml:space="preserve"> implication was that service providers disengaged from later stages of the process and did not ultimately support the </w:t>
      </w:r>
      <w:r w:rsidR="00D2772F" w:rsidRPr="00B21295">
        <w:rPr>
          <w:lang w:val="en-MY" w:eastAsia="en-AU"/>
        </w:rPr>
        <w:t xml:space="preserve">model’s </w:t>
      </w:r>
      <w:r w:rsidRPr="00B21295">
        <w:rPr>
          <w:lang w:val="en-MY" w:eastAsia="en-AU"/>
        </w:rPr>
        <w:t>implementation.</w:t>
      </w:r>
    </w:p>
    <w:p w14:paraId="2CFF7902" w14:textId="6F91958C" w:rsidR="006330EC" w:rsidRPr="00B21295" w:rsidRDefault="006330EC" w:rsidP="006330EC">
      <w:pPr>
        <w:jc w:val="both"/>
        <w:rPr>
          <w:rFonts w:cstheme="minorHAnsi"/>
          <w:lang w:val="en-MY" w:eastAsia="en-AU"/>
        </w:rPr>
      </w:pPr>
      <w:r w:rsidRPr="00B21295">
        <w:rPr>
          <w:rFonts w:cstheme="minorHAnsi"/>
          <w:lang w:val="en-MY" w:eastAsia="en-AU"/>
        </w:rPr>
        <w:t xml:space="preserve">Moreover, </w:t>
      </w:r>
      <w:r w:rsidR="00471891">
        <w:rPr>
          <w:rFonts w:cstheme="minorHAnsi"/>
          <w:lang w:val="en-MY" w:eastAsia="en-AU"/>
        </w:rPr>
        <w:t xml:space="preserve">through-care staff at </w:t>
      </w:r>
      <w:r w:rsidRPr="00B21295">
        <w:rPr>
          <w:rFonts w:cstheme="minorHAnsi"/>
          <w:lang w:val="en-MY" w:eastAsia="en-AU"/>
        </w:rPr>
        <w:t xml:space="preserve">several organisations, including </w:t>
      </w:r>
      <w:r w:rsidR="004F2194">
        <w:rPr>
          <w:rFonts w:cstheme="minorHAnsi"/>
          <w:lang w:val="en-MY" w:eastAsia="en-AU"/>
        </w:rPr>
        <w:t xml:space="preserve">two </w:t>
      </w:r>
      <w:r w:rsidRPr="00B21295">
        <w:rPr>
          <w:rFonts w:cstheme="minorHAnsi"/>
          <w:lang w:val="en-MY" w:eastAsia="en-AU"/>
        </w:rPr>
        <w:t xml:space="preserve">large state-wide providers, have </w:t>
      </w:r>
      <w:r w:rsidR="00471891">
        <w:rPr>
          <w:rFonts w:cstheme="minorHAnsi"/>
          <w:lang w:val="en-MY" w:eastAsia="en-AU"/>
        </w:rPr>
        <w:t xml:space="preserve">reported </w:t>
      </w:r>
      <w:r w:rsidRPr="00B21295">
        <w:rPr>
          <w:rFonts w:cstheme="minorHAnsi"/>
          <w:lang w:val="en-MY" w:eastAsia="en-AU"/>
        </w:rPr>
        <w:t xml:space="preserve">a historical lack of board and executive oversight of their through-care programs, which although </w:t>
      </w:r>
      <w:r w:rsidR="00B277DD">
        <w:rPr>
          <w:rFonts w:cstheme="minorHAnsi"/>
          <w:lang w:val="en-MY" w:eastAsia="en-AU"/>
        </w:rPr>
        <w:t xml:space="preserve">understood </w:t>
      </w:r>
      <w:r w:rsidRPr="00B21295">
        <w:rPr>
          <w:rFonts w:cstheme="minorHAnsi"/>
          <w:lang w:val="en-MY" w:eastAsia="en-AU"/>
        </w:rPr>
        <w:t xml:space="preserve">to be ‘a good thing’ have lacked a direct voice to the board or explicit consideration in strategic planning. </w:t>
      </w:r>
      <w:r w:rsidR="00B277DD">
        <w:rPr>
          <w:rFonts w:cstheme="minorHAnsi"/>
          <w:lang w:val="en-MY" w:eastAsia="en-AU"/>
        </w:rPr>
        <w:t xml:space="preserve">While one organisation noted that </w:t>
      </w:r>
      <w:r w:rsidR="00B277DD" w:rsidRPr="00B277DD">
        <w:rPr>
          <w:rFonts w:cstheme="minorHAnsi"/>
          <w:lang w:val="en-MY" w:eastAsia="en-AU"/>
        </w:rPr>
        <w:t xml:space="preserve">it is not the role of their professional </w:t>
      </w:r>
      <w:r w:rsidR="00B277DD">
        <w:rPr>
          <w:rFonts w:cstheme="minorHAnsi"/>
          <w:lang w:val="en-MY" w:eastAsia="en-AU"/>
        </w:rPr>
        <w:t>b</w:t>
      </w:r>
      <w:r w:rsidR="00B277DD" w:rsidRPr="00B277DD">
        <w:rPr>
          <w:rFonts w:cstheme="minorHAnsi"/>
          <w:lang w:val="en-MY" w:eastAsia="en-AU"/>
        </w:rPr>
        <w:t>oard to be hands on</w:t>
      </w:r>
      <w:r w:rsidR="00B277DD">
        <w:rPr>
          <w:rFonts w:cstheme="minorHAnsi"/>
          <w:lang w:val="en-MY" w:eastAsia="en-AU"/>
        </w:rPr>
        <w:t>, t</w:t>
      </w:r>
      <w:r w:rsidRPr="00B21295">
        <w:rPr>
          <w:rFonts w:cstheme="minorHAnsi"/>
          <w:lang w:val="en-MY" w:eastAsia="en-AU"/>
        </w:rPr>
        <w:t xml:space="preserve">his </w:t>
      </w:r>
      <w:r w:rsidR="00B277DD">
        <w:rPr>
          <w:rFonts w:cstheme="minorHAnsi"/>
          <w:lang w:val="en-MY" w:eastAsia="en-AU"/>
        </w:rPr>
        <w:t xml:space="preserve">is perceived </w:t>
      </w:r>
      <w:r w:rsidR="00471891">
        <w:rPr>
          <w:rFonts w:cstheme="minorHAnsi"/>
          <w:lang w:val="en-MY" w:eastAsia="en-AU"/>
        </w:rPr>
        <w:t xml:space="preserve">by staff </w:t>
      </w:r>
      <w:r w:rsidRPr="00B21295">
        <w:rPr>
          <w:rFonts w:cstheme="minorHAnsi"/>
          <w:lang w:val="en-MY" w:eastAsia="en-AU"/>
        </w:rPr>
        <w:t xml:space="preserve">to have weakened managerial accountability and exposed the programs to the vagaries of organisational politics, including </w:t>
      </w:r>
      <w:r w:rsidR="00471891">
        <w:rPr>
          <w:rFonts w:cstheme="minorHAnsi"/>
          <w:lang w:val="en-MY" w:eastAsia="en-AU"/>
        </w:rPr>
        <w:t xml:space="preserve">a perceived </w:t>
      </w:r>
      <w:r w:rsidRPr="00B21295">
        <w:rPr>
          <w:rFonts w:cstheme="minorHAnsi"/>
          <w:lang w:val="en-MY" w:eastAsia="en-AU"/>
        </w:rPr>
        <w:t>disinterest in how the programs are implemented</w:t>
      </w:r>
      <w:r w:rsidR="00471891">
        <w:rPr>
          <w:rFonts w:cstheme="minorHAnsi"/>
          <w:lang w:val="en-MY" w:eastAsia="en-AU"/>
        </w:rPr>
        <w:t xml:space="preserve"> (relative </w:t>
      </w:r>
      <w:r w:rsidR="00127408" w:rsidRPr="00B21295">
        <w:rPr>
          <w:rFonts w:cstheme="minorHAnsi"/>
          <w:lang w:val="en-MY" w:eastAsia="en-AU"/>
        </w:rPr>
        <w:t xml:space="preserve">to the </w:t>
      </w:r>
      <w:r w:rsidR="00471891">
        <w:rPr>
          <w:rFonts w:cstheme="minorHAnsi"/>
          <w:lang w:val="en-MY" w:eastAsia="en-AU"/>
        </w:rPr>
        <w:t xml:space="preserve">organisation’s </w:t>
      </w:r>
      <w:r w:rsidR="00127408" w:rsidRPr="00B21295">
        <w:rPr>
          <w:rFonts w:cstheme="minorHAnsi"/>
          <w:lang w:val="en-MY" w:eastAsia="en-AU"/>
        </w:rPr>
        <w:t>main legal functions</w:t>
      </w:r>
      <w:r w:rsidR="00471891">
        <w:rPr>
          <w:rFonts w:cstheme="minorHAnsi"/>
          <w:lang w:val="en-MY" w:eastAsia="en-AU"/>
        </w:rPr>
        <w:t>)</w:t>
      </w:r>
      <w:r w:rsidR="00B277DD">
        <w:rPr>
          <w:rFonts w:cstheme="minorHAnsi"/>
          <w:lang w:val="en-MY" w:eastAsia="en-AU"/>
        </w:rPr>
        <w:t xml:space="preserve">. This is despite evidence of </w:t>
      </w:r>
      <w:r w:rsidR="00B277DD" w:rsidRPr="00B277DD">
        <w:rPr>
          <w:rFonts w:cstheme="minorHAnsi"/>
          <w:lang w:val="en-MY" w:eastAsia="en-AU"/>
        </w:rPr>
        <w:t xml:space="preserve">managerial accountability structures </w:t>
      </w:r>
      <w:r w:rsidR="00B277DD">
        <w:rPr>
          <w:rFonts w:cstheme="minorHAnsi"/>
          <w:lang w:val="en-MY" w:eastAsia="en-AU"/>
        </w:rPr>
        <w:t xml:space="preserve">put </w:t>
      </w:r>
      <w:r w:rsidR="00B277DD" w:rsidRPr="00B277DD">
        <w:rPr>
          <w:rFonts w:cstheme="minorHAnsi"/>
          <w:lang w:val="en-MY" w:eastAsia="en-AU"/>
        </w:rPr>
        <w:t>in place</w:t>
      </w:r>
      <w:r w:rsidR="00B277DD">
        <w:rPr>
          <w:rFonts w:cstheme="minorHAnsi"/>
          <w:lang w:val="en-MY" w:eastAsia="en-AU"/>
        </w:rPr>
        <w:t xml:space="preserve"> by the executive in at least one of these organisations. Indeed, one executive </w:t>
      </w:r>
      <w:r w:rsidR="00B277DD" w:rsidRPr="00B277DD">
        <w:rPr>
          <w:rFonts w:cstheme="minorHAnsi"/>
          <w:lang w:val="en-MY" w:eastAsia="en-AU"/>
        </w:rPr>
        <w:t xml:space="preserve">described their </w:t>
      </w:r>
      <w:r w:rsidR="00B277DD">
        <w:rPr>
          <w:rFonts w:cstheme="minorHAnsi"/>
          <w:lang w:val="en-MY" w:eastAsia="en-AU"/>
        </w:rPr>
        <w:t>t</w:t>
      </w:r>
      <w:r w:rsidR="00B277DD" w:rsidRPr="00B277DD">
        <w:rPr>
          <w:rFonts w:cstheme="minorHAnsi"/>
          <w:lang w:val="en-MY" w:eastAsia="en-AU"/>
        </w:rPr>
        <w:t>hrough</w:t>
      </w:r>
      <w:r w:rsidR="00B277DD">
        <w:rPr>
          <w:rFonts w:cstheme="minorHAnsi"/>
          <w:lang w:val="en-MY" w:eastAsia="en-AU"/>
        </w:rPr>
        <w:t>-c</w:t>
      </w:r>
      <w:r w:rsidR="00B277DD" w:rsidRPr="00B277DD">
        <w:rPr>
          <w:rFonts w:cstheme="minorHAnsi"/>
          <w:lang w:val="en-MY" w:eastAsia="en-AU"/>
        </w:rPr>
        <w:t>are program as ‘significant’</w:t>
      </w:r>
      <w:r w:rsidR="00B277DD">
        <w:rPr>
          <w:rFonts w:cstheme="minorHAnsi"/>
          <w:lang w:val="en-MY" w:eastAsia="en-AU"/>
        </w:rPr>
        <w:t xml:space="preserve">, </w:t>
      </w:r>
      <w:r w:rsidR="00B277DD" w:rsidRPr="00B277DD">
        <w:rPr>
          <w:rFonts w:cstheme="minorHAnsi"/>
          <w:lang w:val="en-MY" w:eastAsia="en-AU"/>
        </w:rPr>
        <w:t>not</w:t>
      </w:r>
      <w:r w:rsidR="00B277DD">
        <w:rPr>
          <w:rFonts w:cstheme="minorHAnsi"/>
          <w:lang w:val="en-MY" w:eastAsia="en-AU"/>
        </w:rPr>
        <w:t>ing</w:t>
      </w:r>
      <w:r w:rsidR="00B277DD" w:rsidRPr="00B277DD">
        <w:rPr>
          <w:rFonts w:cstheme="minorHAnsi"/>
          <w:lang w:val="en-MY" w:eastAsia="en-AU"/>
        </w:rPr>
        <w:t xml:space="preserve"> </w:t>
      </w:r>
      <w:r w:rsidR="00B277DD">
        <w:rPr>
          <w:rFonts w:cstheme="minorHAnsi"/>
          <w:lang w:val="en-MY" w:eastAsia="en-AU"/>
        </w:rPr>
        <w:t xml:space="preserve">that </w:t>
      </w:r>
      <w:r w:rsidR="00B277DD" w:rsidRPr="00B277DD">
        <w:rPr>
          <w:rFonts w:cstheme="minorHAnsi"/>
          <w:lang w:val="en-MY" w:eastAsia="en-AU"/>
        </w:rPr>
        <w:t>the program provides an  avenue for prevention and diversion in a way that core legal programs do not.</w:t>
      </w:r>
      <w:r w:rsidR="00B277DD">
        <w:rPr>
          <w:rFonts w:cstheme="minorHAnsi"/>
          <w:lang w:val="en-MY" w:eastAsia="en-AU"/>
        </w:rPr>
        <w:t xml:space="preserve"> </w:t>
      </w:r>
    </w:p>
    <w:p w14:paraId="33418DD9" w14:textId="77777777" w:rsidR="00471891" w:rsidRDefault="00471891" w:rsidP="006330EC">
      <w:pPr>
        <w:jc w:val="both"/>
        <w:rPr>
          <w:rFonts w:cstheme="minorHAnsi"/>
          <w:lang w:val="en-MY" w:eastAsia="en-AU"/>
        </w:rPr>
      </w:pPr>
    </w:p>
    <w:p w14:paraId="1C482521" w14:textId="2795A757" w:rsidR="006330EC" w:rsidRPr="00204EE2" w:rsidRDefault="006330EC" w:rsidP="006330EC">
      <w:pPr>
        <w:jc w:val="both"/>
        <w:rPr>
          <w:rFonts w:cstheme="minorHAnsi"/>
          <w:lang w:val="en-MY" w:eastAsia="en-AU"/>
        </w:rPr>
      </w:pPr>
      <w:r w:rsidRPr="00B21295">
        <w:rPr>
          <w:rFonts w:cstheme="minorHAnsi"/>
          <w:lang w:val="en-MY" w:eastAsia="en-AU"/>
        </w:rPr>
        <w:t xml:space="preserve">The ABT model is not explicitly implemented by any IAS funded though-care service, </w:t>
      </w:r>
      <w:r w:rsidR="00C923E8">
        <w:rPr>
          <w:rFonts w:cstheme="minorHAnsi"/>
          <w:lang w:val="en-MY" w:eastAsia="en-AU"/>
        </w:rPr>
        <w:t xml:space="preserve">with the service models implemented by service providers </w:t>
      </w:r>
      <w:r w:rsidR="00C923E8" w:rsidRPr="00B21295">
        <w:rPr>
          <w:rFonts w:cstheme="minorHAnsi"/>
          <w:lang w:val="en-MY" w:eastAsia="en-AU"/>
        </w:rPr>
        <w:t>sometimes</w:t>
      </w:r>
      <w:r w:rsidR="00C923E8" w:rsidRPr="00B21295" w:rsidDel="00C923E8">
        <w:rPr>
          <w:rFonts w:cstheme="minorHAnsi"/>
          <w:lang w:val="en-MY" w:eastAsia="en-AU"/>
        </w:rPr>
        <w:t xml:space="preserve"> </w:t>
      </w:r>
      <w:r w:rsidRPr="00B21295">
        <w:rPr>
          <w:rFonts w:cstheme="minorHAnsi"/>
          <w:lang w:val="en-MY" w:eastAsia="en-AU"/>
        </w:rPr>
        <w:t>vary</w:t>
      </w:r>
      <w:r w:rsidR="00C923E8">
        <w:rPr>
          <w:rFonts w:cstheme="minorHAnsi"/>
          <w:lang w:val="en-MY" w:eastAsia="en-AU"/>
        </w:rPr>
        <w:t xml:space="preserve">ing </w:t>
      </w:r>
      <w:r w:rsidRPr="00B21295">
        <w:rPr>
          <w:rFonts w:cstheme="minorHAnsi"/>
          <w:lang w:val="en-MY" w:eastAsia="en-AU"/>
        </w:rPr>
        <w:t xml:space="preserve">from the </w:t>
      </w:r>
      <w:r w:rsidR="00C923E8">
        <w:rPr>
          <w:rFonts w:cstheme="minorHAnsi"/>
          <w:lang w:val="en-MY" w:eastAsia="en-AU"/>
        </w:rPr>
        <w:t xml:space="preserve">ABT </w:t>
      </w:r>
      <w:r w:rsidRPr="00B21295">
        <w:rPr>
          <w:rFonts w:cstheme="minorHAnsi"/>
          <w:lang w:val="en-MY" w:eastAsia="en-AU"/>
        </w:rPr>
        <w:t>model</w:t>
      </w:r>
      <w:r w:rsidR="00C923E8">
        <w:rPr>
          <w:rFonts w:cstheme="minorHAnsi"/>
          <w:lang w:val="en-MY" w:eastAsia="en-AU"/>
        </w:rPr>
        <w:t xml:space="preserve"> </w:t>
      </w:r>
      <w:r w:rsidRPr="00B21295">
        <w:rPr>
          <w:rFonts w:cstheme="minorHAnsi"/>
          <w:lang w:val="en-MY" w:eastAsia="en-AU"/>
        </w:rPr>
        <w:t xml:space="preserve">in fundamental ways. </w:t>
      </w:r>
      <w:r w:rsidR="00DA110D">
        <w:rPr>
          <w:rFonts w:cstheme="minorHAnsi"/>
          <w:lang w:val="en-MY" w:eastAsia="en-AU"/>
        </w:rPr>
        <w:t xml:space="preserve">A service </w:t>
      </w:r>
      <w:r w:rsidRPr="00B21295">
        <w:rPr>
          <w:rFonts w:cstheme="minorHAnsi"/>
          <w:lang w:val="en-MY" w:eastAsia="en-AU"/>
        </w:rPr>
        <w:t>practicing intensive case management and coordinated client support,</w:t>
      </w:r>
      <w:r w:rsidR="00DA110D">
        <w:rPr>
          <w:rFonts w:cstheme="minorHAnsi"/>
          <w:lang w:val="en-MY" w:eastAsia="en-AU"/>
        </w:rPr>
        <w:t xml:space="preserve"> for example, is </w:t>
      </w:r>
      <w:r w:rsidRPr="00B21295">
        <w:rPr>
          <w:rFonts w:cstheme="minorHAnsi"/>
          <w:lang w:val="en-MY" w:eastAsia="en-AU"/>
        </w:rPr>
        <w:t>not technically</w:t>
      </w:r>
      <w:r w:rsidR="00DA110D">
        <w:rPr>
          <w:rFonts w:cstheme="minorHAnsi"/>
          <w:lang w:val="en-MY" w:eastAsia="en-AU"/>
        </w:rPr>
        <w:t xml:space="preserve"> a</w:t>
      </w:r>
      <w:r w:rsidRPr="00B21295">
        <w:rPr>
          <w:rFonts w:cstheme="minorHAnsi"/>
          <w:lang w:val="en-MY" w:eastAsia="en-AU"/>
        </w:rPr>
        <w:t xml:space="preserve"> through-care service</w:t>
      </w:r>
      <w:r w:rsidR="00DA110D">
        <w:rPr>
          <w:rFonts w:cstheme="minorHAnsi"/>
          <w:lang w:val="en-MY" w:eastAsia="en-AU"/>
        </w:rPr>
        <w:t xml:space="preserve">, if it </w:t>
      </w:r>
      <w:r w:rsidRPr="00B21295">
        <w:rPr>
          <w:rFonts w:cstheme="minorHAnsi"/>
          <w:lang w:val="en-MY" w:eastAsia="en-AU"/>
        </w:rPr>
        <w:t>deliver</w:t>
      </w:r>
      <w:r w:rsidR="00DA110D">
        <w:rPr>
          <w:rFonts w:cstheme="minorHAnsi"/>
          <w:lang w:val="en-MY" w:eastAsia="en-AU"/>
        </w:rPr>
        <w:t>s</w:t>
      </w:r>
      <w:r w:rsidRPr="00B21295">
        <w:rPr>
          <w:rFonts w:cstheme="minorHAnsi"/>
          <w:lang w:val="en-MY" w:eastAsia="en-AU"/>
        </w:rPr>
        <w:t xml:space="preserve"> no pre-release client support.</w:t>
      </w:r>
      <w:r w:rsidR="00DA110D">
        <w:rPr>
          <w:rFonts w:cstheme="minorHAnsi"/>
          <w:lang w:val="en-MY" w:eastAsia="en-AU"/>
        </w:rPr>
        <w:t xml:space="preserve"> </w:t>
      </w:r>
      <w:r w:rsidRPr="00B21295">
        <w:rPr>
          <w:rFonts w:cstheme="minorHAnsi"/>
          <w:lang w:val="en-MY" w:eastAsia="en-AU"/>
        </w:rPr>
        <w:t>Moreover, several adult services</w:t>
      </w:r>
      <w:r w:rsidR="00DA110D">
        <w:rPr>
          <w:rFonts w:cstheme="minorHAnsi"/>
          <w:lang w:val="en-MY" w:eastAsia="en-AU"/>
        </w:rPr>
        <w:t xml:space="preserve"> </w:t>
      </w:r>
      <w:r w:rsidRPr="00B21295">
        <w:rPr>
          <w:rFonts w:cstheme="minorHAnsi"/>
          <w:lang w:val="en-MY" w:eastAsia="en-AU"/>
        </w:rPr>
        <w:t xml:space="preserve">currently use a portion of their ATC program funds to service youth, </w:t>
      </w:r>
      <w:r w:rsidR="00D73A24">
        <w:rPr>
          <w:rFonts w:cstheme="minorHAnsi"/>
          <w:lang w:val="en-MY" w:eastAsia="en-AU"/>
        </w:rPr>
        <w:t xml:space="preserve">which although </w:t>
      </w:r>
      <w:r w:rsidR="00D73A24" w:rsidRPr="00D73A24">
        <w:rPr>
          <w:rFonts w:cstheme="minorHAnsi"/>
          <w:lang w:val="en-MY" w:eastAsia="en-AU"/>
        </w:rPr>
        <w:t>include</w:t>
      </w:r>
      <w:r w:rsidR="00D73A24">
        <w:rPr>
          <w:rFonts w:cstheme="minorHAnsi"/>
          <w:lang w:val="en-MY" w:eastAsia="en-AU"/>
        </w:rPr>
        <w:t>d</w:t>
      </w:r>
      <w:r w:rsidR="00D73A24" w:rsidRPr="00D73A24">
        <w:rPr>
          <w:rFonts w:cstheme="minorHAnsi"/>
          <w:lang w:val="en-MY" w:eastAsia="en-AU"/>
        </w:rPr>
        <w:t xml:space="preserve"> </w:t>
      </w:r>
      <w:r w:rsidR="00D73A24">
        <w:rPr>
          <w:rFonts w:cstheme="minorHAnsi"/>
          <w:lang w:val="en-MY" w:eastAsia="en-AU"/>
        </w:rPr>
        <w:t>their IAS funding agreements, raises the question as to why two separate programs with otherwise distinct funding agreements are in operation</w:t>
      </w:r>
      <w:r w:rsidRPr="00B21295">
        <w:rPr>
          <w:rFonts w:cstheme="minorHAnsi"/>
          <w:lang w:val="en-MY" w:eastAsia="en-AU"/>
        </w:rPr>
        <w:t>.</w:t>
      </w:r>
      <w:r w:rsidRPr="00B21295">
        <w:rPr>
          <w:rFonts w:cstheme="minorHAnsi"/>
          <w:vertAlign w:val="superscript"/>
          <w:lang w:val="en-MY" w:eastAsia="en-AU"/>
        </w:rPr>
        <w:footnoteReference w:id="80"/>
      </w:r>
      <w:r w:rsidRPr="00B21295">
        <w:rPr>
          <w:rFonts w:cstheme="minorHAnsi"/>
          <w:lang w:val="en-MY" w:eastAsia="en-AU"/>
        </w:rPr>
        <w:t xml:space="preserve"> While the definition of youth can be debated, this is defined within the ABT model as applying only to young persons aged less than 18 years. This fundamental variance reflects the historical practices of these organisations and the priorities of their respective boards to service the youth population, despite not having participated in YTC </w:t>
      </w:r>
      <w:r w:rsidR="00D73A24">
        <w:rPr>
          <w:rFonts w:cstheme="minorHAnsi"/>
          <w:lang w:val="en-MY" w:eastAsia="en-AU"/>
        </w:rPr>
        <w:t xml:space="preserve">program </w:t>
      </w:r>
      <w:r w:rsidRPr="00B21295">
        <w:rPr>
          <w:rFonts w:cstheme="minorHAnsi"/>
          <w:lang w:val="en-MY" w:eastAsia="en-AU"/>
        </w:rPr>
        <w:t>trials.</w:t>
      </w:r>
      <w:r w:rsidRPr="00204EE2">
        <w:rPr>
          <w:rFonts w:cstheme="minorHAnsi"/>
          <w:lang w:val="en-MY" w:eastAsia="en-AU"/>
        </w:rPr>
        <w:t xml:space="preserve">  </w:t>
      </w:r>
    </w:p>
    <w:p w14:paraId="16C528F9" w14:textId="77777777" w:rsidR="006330EC" w:rsidRPr="00204EE2" w:rsidRDefault="006330EC" w:rsidP="006330EC">
      <w:pPr>
        <w:jc w:val="both"/>
        <w:rPr>
          <w:rFonts w:cstheme="minorHAnsi"/>
          <w:lang w:val="en-MY" w:eastAsia="en-AU"/>
        </w:rPr>
      </w:pPr>
    </w:p>
    <w:p w14:paraId="084A0603" w14:textId="2A02A48A" w:rsidR="006330EC" w:rsidRPr="00204EE2" w:rsidRDefault="006330EC" w:rsidP="006330EC">
      <w:pPr>
        <w:jc w:val="both"/>
        <w:rPr>
          <w:rFonts w:cstheme="minorHAnsi"/>
          <w:lang w:val="en-MY" w:eastAsia="en-AU"/>
        </w:rPr>
      </w:pPr>
      <w:r w:rsidRPr="00C26E9A">
        <w:rPr>
          <w:rFonts w:cstheme="minorHAnsi"/>
          <w:lang w:val="en-MY" w:eastAsia="en-AU"/>
        </w:rPr>
        <w:t>Elements of the model proposed are</w:t>
      </w:r>
      <w:r w:rsidR="00D2772F" w:rsidRPr="00C26E9A">
        <w:rPr>
          <w:rFonts w:cstheme="minorHAnsi"/>
          <w:lang w:val="en-MY" w:eastAsia="en-AU"/>
        </w:rPr>
        <w:t xml:space="preserve"> </w:t>
      </w:r>
      <w:r w:rsidR="00A41E2F" w:rsidRPr="00C26E9A">
        <w:rPr>
          <w:rFonts w:cstheme="minorHAnsi"/>
          <w:lang w:val="en-MY" w:eastAsia="en-AU"/>
        </w:rPr>
        <w:t xml:space="preserve">therefore </w:t>
      </w:r>
      <w:r w:rsidRPr="00C26E9A">
        <w:rPr>
          <w:rFonts w:cstheme="minorHAnsi"/>
          <w:lang w:val="en-MY" w:eastAsia="en-AU"/>
        </w:rPr>
        <w:t>varied by service providers to a greater or lesser degree, either as a genuine attempt to improve practices in response to local circumstances, or because their ability to</w:t>
      </w:r>
      <w:r w:rsidR="00331FC8" w:rsidRPr="00C26E9A">
        <w:rPr>
          <w:rFonts w:cstheme="minorHAnsi"/>
          <w:lang w:val="en-MY" w:eastAsia="en-AU"/>
        </w:rPr>
        <w:t xml:space="preserve"> </w:t>
      </w:r>
      <w:r w:rsidRPr="00C26E9A">
        <w:rPr>
          <w:rFonts w:cstheme="minorHAnsi"/>
          <w:lang w:val="en-MY" w:eastAsia="en-AU"/>
        </w:rPr>
        <w:t>meet the requirements of the model is constrained by organisational capacity or some external environmental factor.</w:t>
      </w:r>
      <w:r w:rsidR="00C26E9A" w:rsidRPr="00C26E9A">
        <w:rPr>
          <w:rFonts w:cstheme="minorHAnsi"/>
          <w:lang w:val="en-MY" w:eastAsia="en-AU"/>
        </w:rPr>
        <w:t xml:space="preserve"> </w:t>
      </w:r>
      <w:r w:rsidRPr="00C26E9A">
        <w:rPr>
          <w:rFonts w:cstheme="minorHAnsi"/>
          <w:lang w:val="en-MY" w:eastAsia="en-AU"/>
        </w:rPr>
        <w:t>Variations</w:t>
      </w:r>
      <w:r>
        <w:rPr>
          <w:rFonts w:cstheme="minorHAnsi"/>
          <w:lang w:val="en-MY" w:eastAsia="en-AU"/>
        </w:rPr>
        <w:t xml:space="preserve"> in through-care practice, away from the </w:t>
      </w:r>
      <w:r w:rsidR="00D2772F">
        <w:rPr>
          <w:rFonts w:cstheme="minorHAnsi"/>
          <w:lang w:val="en-MY" w:eastAsia="en-AU"/>
        </w:rPr>
        <w:t xml:space="preserve">ABT </w:t>
      </w:r>
      <w:r>
        <w:rPr>
          <w:rFonts w:cstheme="minorHAnsi"/>
          <w:lang w:val="en-MY" w:eastAsia="en-AU"/>
        </w:rPr>
        <w:t>model prescribed, include around the extent to which eligibility is limited to sentenced clients and prescribed age groups</w:t>
      </w:r>
      <w:r w:rsidR="00D2772F">
        <w:rPr>
          <w:rFonts w:cstheme="minorHAnsi"/>
          <w:lang w:val="en-MY" w:eastAsia="en-AU"/>
        </w:rPr>
        <w:t>;</w:t>
      </w:r>
      <w:r>
        <w:rPr>
          <w:rFonts w:cstheme="minorHAnsi"/>
          <w:lang w:val="en-MY" w:eastAsia="en-AU"/>
        </w:rPr>
        <w:t xml:space="preserve"> the extent to which services deliver pre-release support in prison</w:t>
      </w:r>
      <w:r w:rsidR="00D2772F">
        <w:rPr>
          <w:rFonts w:cstheme="minorHAnsi"/>
          <w:lang w:val="en-MY" w:eastAsia="en-AU"/>
        </w:rPr>
        <w:t>;</w:t>
      </w:r>
      <w:r>
        <w:rPr>
          <w:rFonts w:cstheme="minorHAnsi"/>
          <w:lang w:val="en-MY" w:eastAsia="en-AU"/>
        </w:rPr>
        <w:t xml:space="preserve"> the length of time post-release support is delivered</w:t>
      </w:r>
      <w:r w:rsidR="00C55C6D">
        <w:rPr>
          <w:rFonts w:cstheme="minorHAnsi"/>
          <w:lang w:val="en-MY" w:eastAsia="en-AU"/>
        </w:rPr>
        <w:t xml:space="preserve">. </w:t>
      </w:r>
      <w:r w:rsidR="008601A7">
        <w:rPr>
          <w:rFonts w:cstheme="minorHAnsi"/>
          <w:lang w:val="en-MY" w:eastAsia="en-AU"/>
        </w:rPr>
        <w:t xml:space="preserve">How </w:t>
      </w:r>
      <w:r w:rsidR="00E20EBD">
        <w:rPr>
          <w:rFonts w:cstheme="minorHAnsi"/>
          <w:lang w:val="en-MY" w:eastAsia="en-AU"/>
        </w:rPr>
        <w:t xml:space="preserve">and why </w:t>
      </w:r>
      <w:r w:rsidR="008601A7">
        <w:rPr>
          <w:rFonts w:cstheme="minorHAnsi"/>
          <w:lang w:val="en-MY" w:eastAsia="en-AU"/>
        </w:rPr>
        <w:t xml:space="preserve">services </w:t>
      </w:r>
      <w:r w:rsidR="00E20EBD">
        <w:rPr>
          <w:rFonts w:cstheme="minorHAnsi"/>
          <w:lang w:val="en-MY" w:eastAsia="en-AU"/>
        </w:rPr>
        <w:t xml:space="preserve">have varied </w:t>
      </w:r>
      <w:r w:rsidR="00C55C6D">
        <w:rPr>
          <w:rFonts w:cstheme="minorHAnsi"/>
          <w:lang w:val="en-MY" w:eastAsia="en-AU"/>
        </w:rPr>
        <w:t xml:space="preserve">from the </w:t>
      </w:r>
      <w:r w:rsidR="00E20EBD">
        <w:rPr>
          <w:rFonts w:cstheme="minorHAnsi"/>
          <w:lang w:val="en-MY" w:eastAsia="en-AU"/>
        </w:rPr>
        <w:t>model is discussed throughout this chapter.</w:t>
      </w:r>
    </w:p>
    <w:p w14:paraId="0910B1CF" w14:textId="77777777" w:rsidR="006330EC" w:rsidRDefault="006330EC" w:rsidP="00EC273E">
      <w:pPr>
        <w:rPr>
          <w:lang w:val="en-MY" w:eastAsia="en-AU"/>
        </w:rPr>
      </w:pPr>
    </w:p>
    <w:p w14:paraId="4F1C1D81" w14:textId="77777777" w:rsidR="00024565" w:rsidRDefault="00024565" w:rsidP="005D5E73">
      <w:pPr>
        <w:pStyle w:val="Heading3"/>
        <w:ind w:left="0" w:firstLine="0"/>
        <w:rPr>
          <w:rFonts w:cstheme="minorHAnsi"/>
          <w:b/>
          <w:color w:val="17375D"/>
          <w:spacing w:val="10"/>
          <w:lang w:val="en-MY" w:eastAsia="en-AU"/>
        </w:rPr>
      </w:pPr>
    </w:p>
    <w:p w14:paraId="1C84D40E" w14:textId="7FD5FB71" w:rsidR="005D5E73" w:rsidRDefault="00DF5AED" w:rsidP="005D5E73">
      <w:pPr>
        <w:pStyle w:val="Heading3"/>
        <w:ind w:left="0" w:firstLine="0"/>
        <w:rPr>
          <w:rFonts w:cstheme="minorHAnsi"/>
          <w:b/>
          <w:color w:val="17375D"/>
          <w:spacing w:val="10"/>
          <w:lang w:val="en-MY" w:eastAsia="en-AU"/>
        </w:rPr>
      </w:pPr>
      <w:r w:rsidRPr="00124E6C">
        <w:rPr>
          <w:rFonts w:cstheme="minorHAnsi"/>
          <w:b/>
          <w:color w:val="17375D"/>
          <w:spacing w:val="10"/>
          <w:lang w:val="en-MY" w:eastAsia="en-AU"/>
        </w:rPr>
        <w:t>Whether Service Models Meet Client Needs</w:t>
      </w:r>
    </w:p>
    <w:p w14:paraId="5B9DB043" w14:textId="4D9D8575" w:rsidR="00AB151A" w:rsidRPr="005D5E73" w:rsidRDefault="00223263" w:rsidP="00C241C1">
      <w:pPr>
        <w:spacing w:before="120" w:after="120"/>
        <w:jc w:val="both"/>
        <w:rPr>
          <w:b/>
          <w:color w:val="17375D"/>
          <w:spacing w:val="10"/>
          <w:lang w:val="en-MY" w:eastAsia="en-AU"/>
        </w:rPr>
      </w:pPr>
      <w:r w:rsidRPr="008A1B41">
        <w:rPr>
          <w:lang w:val="en-MY" w:eastAsia="en-AU"/>
        </w:rPr>
        <w:t>Findings from client and case worker interviews indicate that t</w:t>
      </w:r>
      <w:r w:rsidR="00AB151A" w:rsidRPr="008A1B41">
        <w:rPr>
          <w:lang w:val="en-MY" w:eastAsia="en-AU"/>
        </w:rPr>
        <w:t>hrough-care models which establish strong, trusted and culturally safe relationships between case workers and clients, and which facilitate access to high quality secondary services, have the potential to meet the needs of clients who are motivated to change.</w:t>
      </w:r>
      <w:r w:rsidR="007609AA" w:rsidRPr="008A1B41">
        <w:rPr>
          <w:lang w:val="en-MY" w:eastAsia="en-AU"/>
        </w:rPr>
        <w:t xml:space="preserve"> </w:t>
      </w:r>
      <w:r w:rsidR="00324195" w:rsidRPr="008A1B41">
        <w:rPr>
          <w:lang w:val="en-MY" w:eastAsia="en-AU"/>
        </w:rPr>
        <w:t xml:space="preserve">For many case workers </w:t>
      </w:r>
      <w:r w:rsidR="008F557C" w:rsidRPr="008A1B41">
        <w:rPr>
          <w:lang w:val="en-MY" w:eastAsia="en-AU"/>
        </w:rPr>
        <w:t xml:space="preserve">and clients </w:t>
      </w:r>
      <w:r w:rsidR="00324195" w:rsidRPr="008A1B41">
        <w:rPr>
          <w:lang w:val="en-MY" w:eastAsia="en-AU"/>
        </w:rPr>
        <w:t>a</w:t>
      </w:r>
      <w:r w:rsidR="00671C3E" w:rsidRPr="008A1B41">
        <w:rPr>
          <w:lang w:val="en-MY" w:eastAsia="en-AU"/>
        </w:rPr>
        <w:t xml:space="preserve"> key </w:t>
      </w:r>
      <w:r w:rsidR="00324195" w:rsidRPr="008A1B41">
        <w:rPr>
          <w:lang w:val="en-MY" w:eastAsia="en-AU"/>
        </w:rPr>
        <w:t xml:space="preserve">principle </w:t>
      </w:r>
      <w:r w:rsidR="00671C3E" w:rsidRPr="008A1B41">
        <w:rPr>
          <w:lang w:val="en-MY" w:eastAsia="en-AU"/>
        </w:rPr>
        <w:t xml:space="preserve">underpinning </w:t>
      </w:r>
      <w:r w:rsidR="007609AA" w:rsidRPr="008A1B41">
        <w:rPr>
          <w:lang w:val="en-MY" w:eastAsia="en-AU"/>
        </w:rPr>
        <w:t xml:space="preserve">client motivation </w:t>
      </w:r>
      <w:r w:rsidR="00671C3E" w:rsidRPr="008A1B41">
        <w:rPr>
          <w:lang w:val="en-MY" w:eastAsia="en-AU"/>
        </w:rPr>
        <w:t xml:space="preserve">is that through-care </w:t>
      </w:r>
      <w:r w:rsidR="00E20EBD" w:rsidRPr="008A1B41">
        <w:rPr>
          <w:lang w:val="en-MY" w:eastAsia="en-AU"/>
        </w:rPr>
        <w:t xml:space="preserve">as a model </w:t>
      </w:r>
      <w:r w:rsidR="00324195" w:rsidRPr="008A1B41">
        <w:rPr>
          <w:lang w:val="en-MY" w:eastAsia="en-AU"/>
        </w:rPr>
        <w:t>is</w:t>
      </w:r>
      <w:r w:rsidR="008F557C" w:rsidRPr="008A1B41">
        <w:rPr>
          <w:lang w:val="en-MY" w:eastAsia="en-AU"/>
        </w:rPr>
        <w:t xml:space="preserve"> </w:t>
      </w:r>
      <w:r w:rsidR="00671C3E" w:rsidRPr="008A1B41">
        <w:rPr>
          <w:lang w:val="en-MY" w:eastAsia="en-AU"/>
        </w:rPr>
        <w:t xml:space="preserve">not </w:t>
      </w:r>
      <w:r w:rsidR="00324195" w:rsidRPr="008A1B41">
        <w:rPr>
          <w:lang w:val="en-MY" w:eastAsia="en-AU"/>
        </w:rPr>
        <w:t xml:space="preserve">delivered </w:t>
      </w:r>
      <w:r w:rsidR="00671C3E" w:rsidRPr="008A1B41">
        <w:rPr>
          <w:lang w:val="en-MY" w:eastAsia="en-AU"/>
        </w:rPr>
        <w:t>by government</w:t>
      </w:r>
      <w:r w:rsidR="00324195" w:rsidRPr="008A1B41">
        <w:rPr>
          <w:lang w:val="en-MY" w:eastAsia="en-AU"/>
        </w:rPr>
        <w:t>, but exist</w:t>
      </w:r>
      <w:r w:rsidR="008F557C" w:rsidRPr="008A1B41">
        <w:rPr>
          <w:lang w:val="en-MY" w:eastAsia="en-AU"/>
        </w:rPr>
        <w:t>s</w:t>
      </w:r>
      <w:r w:rsidR="00A56DA7" w:rsidRPr="008A1B41">
        <w:rPr>
          <w:lang w:val="en-MY" w:eastAsia="en-AU"/>
        </w:rPr>
        <w:t xml:space="preserve"> </w:t>
      </w:r>
      <w:r w:rsidR="00324195" w:rsidRPr="008A1B41">
        <w:rPr>
          <w:lang w:val="en-MY" w:eastAsia="en-AU"/>
        </w:rPr>
        <w:t xml:space="preserve">instead as a client-driven and voluntary program, working </w:t>
      </w:r>
      <w:r w:rsidR="00A56DA7" w:rsidRPr="008A1B41">
        <w:rPr>
          <w:lang w:val="en-MY" w:eastAsia="en-AU"/>
        </w:rPr>
        <w:t xml:space="preserve">alongside </w:t>
      </w:r>
      <w:r w:rsidR="009A062D" w:rsidRPr="008A1B41">
        <w:rPr>
          <w:lang w:val="en-MY" w:eastAsia="en-AU"/>
        </w:rPr>
        <w:t>clients</w:t>
      </w:r>
      <w:r w:rsidR="008F557C" w:rsidRPr="008A1B41">
        <w:rPr>
          <w:lang w:val="en-MY" w:eastAsia="en-AU"/>
        </w:rPr>
        <w:t xml:space="preserve"> </w:t>
      </w:r>
      <w:r w:rsidR="00324195" w:rsidRPr="008A1B41">
        <w:rPr>
          <w:lang w:val="en-MY" w:eastAsia="en-AU"/>
        </w:rPr>
        <w:t xml:space="preserve">independently of </w:t>
      </w:r>
      <w:r w:rsidR="008F557C" w:rsidRPr="008A1B41">
        <w:rPr>
          <w:lang w:val="en-MY" w:eastAsia="en-AU"/>
        </w:rPr>
        <w:t xml:space="preserve">their mandatory </w:t>
      </w:r>
      <w:r w:rsidR="00324195" w:rsidRPr="008A1B41">
        <w:rPr>
          <w:lang w:val="en-MY" w:eastAsia="en-AU"/>
        </w:rPr>
        <w:t>obligation</w:t>
      </w:r>
      <w:r w:rsidR="008F557C" w:rsidRPr="008A1B41">
        <w:rPr>
          <w:lang w:val="en-MY" w:eastAsia="en-AU"/>
        </w:rPr>
        <w:t>s</w:t>
      </w:r>
      <w:r w:rsidR="00324195" w:rsidRPr="008A1B41">
        <w:rPr>
          <w:lang w:val="en-MY" w:eastAsia="en-AU"/>
        </w:rPr>
        <w:t xml:space="preserve">.  </w:t>
      </w:r>
    </w:p>
    <w:p w14:paraId="0648C8D4" w14:textId="316C5251" w:rsidR="008A1B41" w:rsidRPr="00745F83" w:rsidRDefault="00AE4207" w:rsidP="00745F83">
      <w:pPr>
        <w:spacing w:before="120" w:after="120"/>
        <w:jc w:val="both"/>
        <w:rPr>
          <w:lang w:val="en-MY" w:eastAsia="en-AU"/>
        </w:rPr>
      </w:pPr>
      <w:r w:rsidRPr="00B21295">
        <w:rPr>
          <w:lang w:val="en-MY" w:eastAsia="en-AU"/>
        </w:rPr>
        <w:t>Service managers and case</w:t>
      </w:r>
      <w:r w:rsidR="00694565">
        <w:rPr>
          <w:lang w:val="en-MY" w:eastAsia="en-AU"/>
        </w:rPr>
        <w:t xml:space="preserve"> </w:t>
      </w:r>
      <w:r w:rsidRPr="00B21295">
        <w:rPr>
          <w:lang w:val="en-MY" w:eastAsia="en-AU"/>
        </w:rPr>
        <w:t>workers</w:t>
      </w:r>
      <w:r w:rsidR="009547D9" w:rsidRPr="00B21295">
        <w:rPr>
          <w:lang w:val="en-MY" w:eastAsia="en-AU"/>
        </w:rPr>
        <w:t xml:space="preserve"> stated that the ATC and YTC programs have the potential to work extremely well for client</w:t>
      </w:r>
      <w:r w:rsidR="00253CF5">
        <w:rPr>
          <w:lang w:val="en-MY" w:eastAsia="en-AU"/>
        </w:rPr>
        <w:t>s</w:t>
      </w:r>
      <w:r w:rsidR="009547D9" w:rsidRPr="00B21295">
        <w:rPr>
          <w:lang w:val="en-MY" w:eastAsia="en-AU"/>
        </w:rPr>
        <w:t xml:space="preserve"> who have made a decision to change (often motivated by an underlying change in individual circumstances, such as the birth or death of a family member, or a desire to be a role model to someone more vulnerable).</w:t>
      </w:r>
      <w:r w:rsidR="00050C8B" w:rsidRPr="00B21295">
        <w:rPr>
          <w:lang w:val="en-MY" w:eastAsia="en-AU"/>
        </w:rPr>
        <w:t xml:space="preserve"> In addition to client motivation, the process of intensive case management was considered by managers and case workers to benefit from ‘continuity’, in terms of responsive and consistent practices delivered by a trusted case worker, and ‘time’, </w:t>
      </w:r>
      <w:r w:rsidR="00AB5191" w:rsidRPr="00B21295">
        <w:rPr>
          <w:lang w:val="en-MY" w:eastAsia="en-AU"/>
        </w:rPr>
        <w:t xml:space="preserve">with through-care </w:t>
      </w:r>
      <w:r w:rsidR="00050C8B" w:rsidRPr="00B21295">
        <w:rPr>
          <w:lang w:val="en-MY" w:eastAsia="en-AU"/>
        </w:rPr>
        <w:t xml:space="preserve">being a long term process, </w:t>
      </w:r>
      <w:r w:rsidR="007609AA" w:rsidRPr="00B21295">
        <w:rPr>
          <w:lang w:val="en-MY" w:eastAsia="en-AU"/>
        </w:rPr>
        <w:t xml:space="preserve">ideally (but not always) </w:t>
      </w:r>
      <w:r w:rsidR="00050C8B" w:rsidRPr="00B21295">
        <w:rPr>
          <w:lang w:val="en-MY" w:eastAsia="en-AU"/>
        </w:rPr>
        <w:t xml:space="preserve">delivered 3 to 6 months prior to release and </w:t>
      </w:r>
      <w:r w:rsidR="00B84941" w:rsidRPr="00B21295">
        <w:rPr>
          <w:lang w:val="en-MY" w:eastAsia="en-AU"/>
        </w:rPr>
        <w:t xml:space="preserve">a minimum of </w:t>
      </w:r>
      <w:r w:rsidR="00050C8B" w:rsidRPr="00B21295">
        <w:rPr>
          <w:lang w:val="en-MY" w:eastAsia="en-AU"/>
        </w:rPr>
        <w:t>18 months post-release from prison or detention. Case workers considered th</w:t>
      </w:r>
      <w:r w:rsidR="007609AA" w:rsidRPr="00B21295">
        <w:rPr>
          <w:lang w:val="en-MY" w:eastAsia="en-AU"/>
        </w:rPr>
        <w:t xml:space="preserve">e length of the support </w:t>
      </w:r>
      <w:r w:rsidR="00050C8B" w:rsidRPr="00B21295">
        <w:rPr>
          <w:lang w:val="en-MY" w:eastAsia="en-AU"/>
        </w:rPr>
        <w:t>timeframe to be a crucial aspect of the model, and essential for understanding the whole person and learning from interactions with family and services.</w:t>
      </w:r>
    </w:p>
    <w:p w14:paraId="10E5BDD3" w14:textId="2C6DAB13" w:rsidR="00AE2CE9" w:rsidRPr="008A1B41" w:rsidRDefault="00AE2CE9" w:rsidP="008A1B41">
      <w:pPr>
        <w:jc w:val="both"/>
        <w:rPr>
          <w:rFonts w:cstheme="minorHAnsi"/>
          <w:i/>
          <w:iCs/>
          <w:lang w:val="en-MY" w:eastAsia="en-AU"/>
        </w:rPr>
      </w:pPr>
      <w:r w:rsidRPr="008A1B41">
        <w:rPr>
          <w:i/>
          <w:iCs/>
          <w:color w:val="4F81BD" w:themeColor="accent1"/>
          <w:lang w:val="en-MY" w:eastAsia="en-AU"/>
        </w:rPr>
        <w:t>Timing and Place of Throughcare Service Delivery</w:t>
      </w:r>
    </w:p>
    <w:p w14:paraId="0F61326F" w14:textId="77777777" w:rsidR="007E19B5" w:rsidRDefault="007E19B5" w:rsidP="001B0979">
      <w:pPr>
        <w:jc w:val="both"/>
        <w:rPr>
          <w:rFonts w:cstheme="minorHAnsi"/>
          <w:lang w:val="en-MY" w:eastAsia="en-AU"/>
        </w:rPr>
      </w:pPr>
    </w:p>
    <w:p w14:paraId="36BC0FE9" w14:textId="0B9C89DA" w:rsidR="001B0979" w:rsidRPr="00B21295" w:rsidRDefault="001B0979" w:rsidP="001B0979">
      <w:pPr>
        <w:jc w:val="both"/>
        <w:rPr>
          <w:rFonts w:cstheme="minorHAnsi"/>
          <w:lang w:val="en-MY" w:eastAsia="en-AU"/>
        </w:rPr>
      </w:pPr>
      <w:r w:rsidRPr="00B21295">
        <w:rPr>
          <w:rFonts w:cstheme="minorHAnsi"/>
          <w:lang w:val="en-MY" w:eastAsia="en-AU"/>
        </w:rPr>
        <w:t>All ATC services except</w:t>
      </w:r>
      <w:r w:rsidR="00DA110D">
        <w:rPr>
          <w:rFonts w:cstheme="minorHAnsi"/>
          <w:lang w:val="en-MY" w:eastAsia="en-AU"/>
        </w:rPr>
        <w:t xml:space="preserve"> one (which operates a post-release supported accommodation service)</w:t>
      </w:r>
      <w:r w:rsidR="0004322F">
        <w:rPr>
          <w:rFonts w:cstheme="minorHAnsi"/>
          <w:lang w:val="en-MY" w:eastAsia="en-AU"/>
        </w:rPr>
        <w:t xml:space="preserve"> aim</w:t>
      </w:r>
      <w:r w:rsidR="00215926">
        <w:rPr>
          <w:rFonts w:cstheme="minorHAnsi"/>
          <w:lang w:val="en-MY" w:eastAsia="en-AU"/>
        </w:rPr>
        <w:t>ed, ideally,</w:t>
      </w:r>
      <w:r w:rsidR="0004322F">
        <w:rPr>
          <w:rFonts w:cstheme="minorHAnsi"/>
          <w:lang w:val="en-MY" w:eastAsia="en-AU"/>
        </w:rPr>
        <w:t xml:space="preserve"> to </w:t>
      </w:r>
      <w:r w:rsidRPr="00B21295">
        <w:rPr>
          <w:rFonts w:cstheme="minorHAnsi"/>
          <w:lang w:val="en-MY" w:eastAsia="en-AU"/>
        </w:rPr>
        <w:t>wo</w:t>
      </w:r>
      <w:r w:rsidR="0004322F">
        <w:rPr>
          <w:rFonts w:cstheme="minorHAnsi"/>
          <w:lang w:val="en-MY" w:eastAsia="en-AU"/>
        </w:rPr>
        <w:t>rk</w:t>
      </w:r>
      <w:r w:rsidRPr="00B21295">
        <w:rPr>
          <w:rFonts w:cstheme="minorHAnsi"/>
          <w:lang w:val="en-MY" w:eastAsia="en-AU"/>
        </w:rPr>
        <w:t xml:space="preserve"> with clients at both pre-release and post-release stages</w:t>
      </w:r>
      <w:r w:rsidR="0004322F">
        <w:rPr>
          <w:rFonts w:cstheme="minorHAnsi"/>
          <w:lang w:val="en-MY" w:eastAsia="en-AU"/>
        </w:rPr>
        <w:t>, but</w:t>
      </w:r>
      <w:r w:rsidRPr="00B21295">
        <w:rPr>
          <w:rFonts w:cstheme="minorHAnsi"/>
          <w:lang w:val="en-MY" w:eastAsia="en-AU"/>
        </w:rPr>
        <w:t xml:space="preserve"> </w:t>
      </w:r>
      <w:r w:rsidR="00215926">
        <w:rPr>
          <w:rFonts w:cstheme="minorHAnsi"/>
          <w:lang w:val="en-MY" w:eastAsia="en-AU"/>
        </w:rPr>
        <w:t xml:space="preserve">considered </w:t>
      </w:r>
      <w:r w:rsidR="006F0F27">
        <w:rPr>
          <w:rFonts w:cstheme="minorHAnsi"/>
          <w:lang w:val="en-MY" w:eastAsia="en-AU"/>
        </w:rPr>
        <w:t>this</w:t>
      </w:r>
      <w:r w:rsidR="00215926">
        <w:rPr>
          <w:rFonts w:cstheme="minorHAnsi"/>
          <w:lang w:val="en-MY" w:eastAsia="en-AU"/>
        </w:rPr>
        <w:t xml:space="preserve"> to be un</w:t>
      </w:r>
      <w:r w:rsidR="002F072E">
        <w:rPr>
          <w:rFonts w:cstheme="minorHAnsi"/>
          <w:lang w:val="en-MY" w:eastAsia="en-AU"/>
        </w:rPr>
        <w:t>achievable</w:t>
      </w:r>
      <w:r w:rsidR="00215926">
        <w:rPr>
          <w:rFonts w:cstheme="minorHAnsi"/>
          <w:lang w:val="en-MY" w:eastAsia="en-AU"/>
        </w:rPr>
        <w:t xml:space="preserve"> in some circumstances</w:t>
      </w:r>
      <w:r w:rsidR="002F072E">
        <w:rPr>
          <w:rFonts w:cstheme="minorHAnsi"/>
          <w:lang w:val="en-MY" w:eastAsia="en-AU"/>
        </w:rPr>
        <w:t xml:space="preserve">. While </w:t>
      </w:r>
      <w:r w:rsidR="0004322F">
        <w:rPr>
          <w:rFonts w:cstheme="minorHAnsi"/>
          <w:lang w:val="en-MY" w:eastAsia="en-AU"/>
        </w:rPr>
        <w:t xml:space="preserve">clients </w:t>
      </w:r>
      <w:r w:rsidR="00F72E73">
        <w:rPr>
          <w:rFonts w:cstheme="minorHAnsi"/>
          <w:lang w:val="en-MY" w:eastAsia="en-AU"/>
        </w:rPr>
        <w:t xml:space="preserve">at several services commenced the program </w:t>
      </w:r>
      <w:r w:rsidR="002F072E">
        <w:rPr>
          <w:rFonts w:cstheme="minorHAnsi"/>
          <w:lang w:val="en-MY" w:eastAsia="en-AU"/>
        </w:rPr>
        <w:t xml:space="preserve">pre-release, this was not </w:t>
      </w:r>
      <w:r w:rsidR="00F72E73">
        <w:rPr>
          <w:rFonts w:cstheme="minorHAnsi"/>
          <w:lang w:val="en-MY" w:eastAsia="en-AU"/>
        </w:rPr>
        <w:t xml:space="preserve">typically </w:t>
      </w:r>
      <w:r w:rsidR="002F072E">
        <w:rPr>
          <w:rFonts w:cstheme="minorHAnsi"/>
          <w:lang w:val="en-MY" w:eastAsia="en-AU"/>
        </w:rPr>
        <w:t xml:space="preserve">the case </w:t>
      </w:r>
      <w:r w:rsidR="00F72E73">
        <w:rPr>
          <w:rFonts w:cstheme="minorHAnsi"/>
          <w:lang w:val="en-MY" w:eastAsia="en-AU"/>
        </w:rPr>
        <w:t xml:space="preserve">for service sites </w:t>
      </w:r>
      <w:r w:rsidR="002F072E">
        <w:rPr>
          <w:rFonts w:cstheme="minorHAnsi"/>
          <w:lang w:val="en-MY" w:eastAsia="en-AU"/>
        </w:rPr>
        <w:t>operat</w:t>
      </w:r>
      <w:r w:rsidR="00F72E73">
        <w:rPr>
          <w:rFonts w:cstheme="minorHAnsi"/>
          <w:lang w:val="en-MY" w:eastAsia="en-AU"/>
        </w:rPr>
        <w:t xml:space="preserve">ing </w:t>
      </w:r>
      <w:r w:rsidR="002F072E">
        <w:rPr>
          <w:rFonts w:cstheme="minorHAnsi"/>
          <w:lang w:val="en-MY" w:eastAsia="en-AU"/>
        </w:rPr>
        <w:t xml:space="preserve">without access to a prison or </w:t>
      </w:r>
      <w:r w:rsidR="00F72E73">
        <w:rPr>
          <w:rFonts w:cstheme="minorHAnsi"/>
          <w:lang w:val="en-MY" w:eastAsia="en-AU"/>
        </w:rPr>
        <w:t xml:space="preserve">place of </w:t>
      </w:r>
      <w:r w:rsidR="002F072E">
        <w:rPr>
          <w:rFonts w:cstheme="minorHAnsi"/>
          <w:lang w:val="en-MY" w:eastAsia="en-AU"/>
        </w:rPr>
        <w:t>detention locally.</w:t>
      </w:r>
      <w:r w:rsidR="002F072E" w:rsidRPr="00B21295">
        <w:rPr>
          <w:rFonts w:cstheme="minorHAnsi"/>
          <w:lang w:val="en-MY" w:eastAsia="en-AU"/>
        </w:rPr>
        <w:t xml:space="preserve"> </w:t>
      </w:r>
      <w:r w:rsidRPr="00B21295">
        <w:rPr>
          <w:rFonts w:cstheme="minorHAnsi"/>
          <w:lang w:val="en-MY" w:eastAsia="en-AU"/>
        </w:rPr>
        <w:t>For case</w:t>
      </w:r>
      <w:r w:rsidR="00694565">
        <w:rPr>
          <w:rFonts w:cstheme="minorHAnsi"/>
          <w:lang w:val="en-MY" w:eastAsia="en-AU"/>
        </w:rPr>
        <w:t xml:space="preserve"> </w:t>
      </w:r>
      <w:r w:rsidRPr="00B21295">
        <w:rPr>
          <w:rFonts w:cstheme="minorHAnsi"/>
          <w:lang w:val="en-MY" w:eastAsia="en-AU"/>
        </w:rPr>
        <w:t xml:space="preserve">workers in more isolated locations, </w:t>
      </w:r>
      <w:r w:rsidR="002F072E">
        <w:rPr>
          <w:rFonts w:cstheme="minorHAnsi"/>
          <w:lang w:val="en-MY" w:eastAsia="en-AU"/>
        </w:rPr>
        <w:t>where clients may join the service post-release</w:t>
      </w:r>
      <w:r w:rsidRPr="00B21295">
        <w:rPr>
          <w:rFonts w:cstheme="minorHAnsi"/>
          <w:lang w:val="en-MY" w:eastAsia="en-AU"/>
        </w:rPr>
        <w:t>, any such departure from the through-care model, was not</w:t>
      </w:r>
      <w:r w:rsidR="002F072E">
        <w:rPr>
          <w:rFonts w:cstheme="minorHAnsi"/>
          <w:lang w:val="en-MY" w:eastAsia="en-AU"/>
        </w:rPr>
        <w:t xml:space="preserve">, however, </w:t>
      </w:r>
      <w:r w:rsidRPr="00B21295">
        <w:rPr>
          <w:rFonts w:cstheme="minorHAnsi"/>
          <w:lang w:val="en-MY" w:eastAsia="en-AU"/>
        </w:rPr>
        <w:t xml:space="preserve">considered </w:t>
      </w:r>
      <w:r w:rsidR="00760800" w:rsidRPr="00B21295">
        <w:rPr>
          <w:rFonts w:cstheme="minorHAnsi"/>
          <w:lang w:val="en-MY" w:eastAsia="en-AU"/>
        </w:rPr>
        <w:t xml:space="preserve">to be </w:t>
      </w:r>
      <w:r w:rsidRPr="00B21295">
        <w:rPr>
          <w:rFonts w:cstheme="minorHAnsi"/>
          <w:lang w:val="en-MY" w:eastAsia="en-AU"/>
        </w:rPr>
        <w:t xml:space="preserve">detrimental to client outcomes. </w:t>
      </w:r>
      <w:r w:rsidR="002F072E">
        <w:rPr>
          <w:rFonts w:cstheme="minorHAnsi"/>
          <w:lang w:val="en-MY" w:eastAsia="en-AU"/>
        </w:rPr>
        <w:t>At such locations, g</w:t>
      </w:r>
      <w:r w:rsidR="00760800" w:rsidRPr="00B21295">
        <w:rPr>
          <w:rFonts w:cstheme="minorHAnsi"/>
          <w:lang w:val="en-MY" w:eastAsia="en-AU"/>
        </w:rPr>
        <w:t>iven the more limited client base, case</w:t>
      </w:r>
      <w:r w:rsidR="00694565">
        <w:rPr>
          <w:rFonts w:cstheme="minorHAnsi"/>
          <w:lang w:val="en-MY" w:eastAsia="en-AU"/>
        </w:rPr>
        <w:t xml:space="preserve"> </w:t>
      </w:r>
      <w:r w:rsidR="00760800" w:rsidRPr="00B21295">
        <w:rPr>
          <w:rFonts w:cstheme="minorHAnsi"/>
          <w:lang w:val="en-MY" w:eastAsia="en-AU"/>
        </w:rPr>
        <w:t xml:space="preserve">workers have tended to assess the merits of working with an individual on a case-by-case basis, and – notwithstanding the theory favouring pre-release engagement </w:t>
      </w:r>
      <w:r w:rsidR="002F072E">
        <w:rPr>
          <w:rFonts w:cstheme="minorHAnsi"/>
          <w:lang w:val="en-MY" w:eastAsia="en-AU"/>
        </w:rPr>
        <w:t>–</w:t>
      </w:r>
      <w:r w:rsidR="00760800" w:rsidRPr="00B21295">
        <w:rPr>
          <w:rFonts w:cstheme="minorHAnsi"/>
          <w:lang w:val="en-MY" w:eastAsia="en-AU"/>
        </w:rPr>
        <w:t xml:space="preserve"> have not taken a prescriptive approach to selection</w:t>
      </w:r>
      <w:r w:rsidR="006F0F27">
        <w:rPr>
          <w:rFonts w:cstheme="minorHAnsi"/>
          <w:lang w:val="en-MY" w:eastAsia="en-AU"/>
        </w:rPr>
        <w:t xml:space="preserve"> based on release staging</w:t>
      </w:r>
      <w:r w:rsidR="002F072E">
        <w:rPr>
          <w:rFonts w:cstheme="minorHAnsi"/>
          <w:lang w:val="en-MY" w:eastAsia="en-AU"/>
        </w:rPr>
        <w:t xml:space="preserve">, preferring instead to identify clients </w:t>
      </w:r>
      <w:r w:rsidR="006F0F27">
        <w:rPr>
          <w:rFonts w:cstheme="minorHAnsi"/>
          <w:lang w:val="en-MY" w:eastAsia="en-AU"/>
        </w:rPr>
        <w:t xml:space="preserve">from the local pool of formerly incarcerated persons, </w:t>
      </w:r>
      <w:r w:rsidR="002F072E">
        <w:rPr>
          <w:rFonts w:cstheme="minorHAnsi"/>
          <w:lang w:val="en-MY" w:eastAsia="en-AU"/>
        </w:rPr>
        <w:t>based on their level of personal motivation and willingness to engage</w:t>
      </w:r>
      <w:r w:rsidR="00760800" w:rsidRPr="00B21295">
        <w:rPr>
          <w:rFonts w:cstheme="minorHAnsi"/>
          <w:lang w:val="en-MY" w:eastAsia="en-AU"/>
        </w:rPr>
        <w:t>.</w:t>
      </w:r>
    </w:p>
    <w:p w14:paraId="3E1D1D5E" w14:textId="77777777" w:rsidR="00760800" w:rsidRPr="00B21295" w:rsidRDefault="00760800" w:rsidP="001B0979">
      <w:pPr>
        <w:jc w:val="both"/>
        <w:rPr>
          <w:rFonts w:cstheme="minorHAnsi"/>
          <w:lang w:val="en-MY" w:eastAsia="en-AU"/>
        </w:rPr>
      </w:pPr>
    </w:p>
    <w:p w14:paraId="7A220EC2" w14:textId="65AB919C" w:rsidR="00760800" w:rsidRPr="00B21295" w:rsidRDefault="00760800" w:rsidP="00760800">
      <w:pPr>
        <w:jc w:val="both"/>
        <w:rPr>
          <w:rFonts w:cstheme="minorHAnsi"/>
          <w:lang w:val="en-MY" w:eastAsia="en-AU"/>
        </w:rPr>
      </w:pPr>
      <w:r w:rsidRPr="00B21295">
        <w:rPr>
          <w:rFonts w:cstheme="minorHAnsi"/>
          <w:lang w:val="en-MY" w:eastAsia="en-AU"/>
        </w:rPr>
        <w:t>It was furthermore argued by some case</w:t>
      </w:r>
      <w:r w:rsidR="00694565">
        <w:rPr>
          <w:rFonts w:cstheme="minorHAnsi"/>
          <w:lang w:val="en-MY" w:eastAsia="en-AU"/>
        </w:rPr>
        <w:t xml:space="preserve"> </w:t>
      </w:r>
      <w:r w:rsidRPr="00B21295">
        <w:rPr>
          <w:rFonts w:cstheme="minorHAnsi"/>
          <w:lang w:val="en-MY" w:eastAsia="en-AU"/>
        </w:rPr>
        <w:t xml:space="preserve">workers, that participants on full-term release (without a parole order) </w:t>
      </w:r>
      <w:r w:rsidR="00A33FBF">
        <w:rPr>
          <w:rFonts w:cstheme="minorHAnsi"/>
          <w:lang w:val="en-MY" w:eastAsia="en-AU"/>
        </w:rPr>
        <w:t xml:space="preserve">can </w:t>
      </w:r>
      <w:r w:rsidRPr="00B21295">
        <w:rPr>
          <w:rFonts w:cstheme="minorHAnsi"/>
          <w:lang w:val="en-MY" w:eastAsia="en-AU"/>
        </w:rPr>
        <w:t>demonstrate little buy-in to through-care services, irrespective of pre-release engagement</w:t>
      </w:r>
      <w:r w:rsidR="00B368EF" w:rsidRPr="00B21295">
        <w:rPr>
          <w:rFonts w:cstheme="minorHAnsi"/>
          <w:lang w:val="en-MY" w:eastAsia="en-AU"/>
        </w:rPr>
        <w:t>,</w:t>
      </w:r>
      <w:r w:rsidRPr="00B21295">
        <w:rPr>
          <w:rFonts w:cstheme="minorHAnsi"/>
          <w:lang w:val="en-MY" w:eastAsia="en-AU"/>
        </w:rPr>
        <w:t xml:space="preserve"> and despite what participants might intend whilst incarcerated. Multiple factors </w:t>
      </w:r>
      <w:r w:rsidR="00B368EF" w:rsidRPr="00B21295">
        <w:rPr>
          <w:rFonts w:cstheme="minorHAnsi"/>
          <w:lang w:val="en-MY" w:eastAsia="en-AU"/>
        </w:rPr>
        <w:t xml:space="preserve">were thought to </w:t>
      </w:r>
      <w:r w:rsidRPr="00B21295">
        <w:rPr>
          <w:rFonts w:cstheme="minorHAnsi"/>
          <w:lang w:val="en-MY" w:eastAsia="en-AU"/>
        </w:rPr>
        <w:t>contribut</w:t>
      </w:r>
      <w:r w:rsidR="00B368EF" w:rsidRPr="00B21295">
        <w:rPr>
          <w:rFonts w:cstheme="minorHAnsi"/>
          <w:lang w:val="en-MY" w:eastAsia="en-AU"/>
        </w:rPr>
        <w:t xml:space="preserve">e </w:t>
      </w:r>
      <w:r w:rsidRPr="00B21295">
        <w:rPr>
          <w:rFonts w:cstheme="minorHAnsi"/>
          <w:lang w:val="en-MY" w:eastAsia="en-AU"/>
        </w:rPr>
        <w:t>to disengagement on release</w:t>
      </w:r>
      <w:r w:rsidR="004B0421" w:rsidRPr="00B21295">
        <w:rPr>
          <w:rFonts w:cstheme="minorHAnsi"/>
          <w:lang w:val="en-MY" w:eastAsia="en-AU"/>
        </w:rPr>
        <w:t xml:space="preserve">, </w:t>
      </w:r>
      <w:r w:rsidRPr="00B21295">
        <w:rPr>
          <w:rFonts w:cstheme="minorHAnsi"/>
          <w:lang w:val="en-MY" w:eastAsia="en-AU"/>
        </w:rPr>
        <w:t>including humbug from family and kin</w:t>
      </w:r>
      <w:r w:rsidR="004B0421" w:rsidRPr="00B21295">
        <w:rPr>
          <w:rFonts w:cstheme="minorHAnsi"/>
          <w:lang w:val="en-MY" w:eastAsia="en-AU"/>
        </w:rPr>
        <w:t xml:space="preserve"> (with whom they have a preference to return to) and </w:t>
      </w:r>
      <w:r w:rsidRPr="00B21295">
        <w:rPr>
          <w:rFonts w:cstheme="minorHAnsi"/>
          <w:lang w:val="en-MY" w:eastAsia="en-AU"/>
        </w:rPr>
        <w:t>high levels of transience</w:t>
      </w:r>
      <w:r w:rsidR="004B0421" w:rsidRPr="00B21295">
        <w:rPr>
          <w:rFonts w:cstheme="minorHAnsi"/>
          <w:lang w:val="en-MY" w:eastAsia="en-AU"/>
        </w:rPr>
        <w:t xml:space="preserve"> which makes clients uncontactable</w:t>
      </w:r>
      <w:r w:rsidRPr="00B21295">
        <w:rPr>
          <w:rFonts w:cstheme="minorHAnsi"/>
          <w:lang w:val="en-MY" w:eastAsia="en-AU"/>
        </w:rPr>
        <w:t xml:space="preserve">. </w:t>
      </w:r>
    </w:p>
    <w:p w14:paraId="45A266A8" w14:textId="77777777" w:rsidR="004B0421" w:rsidRPr="00B21295" w:rsidRDefault="004B0421" w:rsidP="00760800">
      <w:pPr>
        <w:jc w:val="both"/>
        <w:rPr>
          <w:rFonts w:cstheme="minorHAnsi"/>
          <w:lang w:val="en-MY" w:eastAsia="en-AU"/>
        </w:rPr>
      </w:pPr>
    </w:p>
    <w:p w14:paraId="4B8E9541" w14:textId="413A917D" w:rsidR="004B0421" w:rsidRPr="00B21295" w:rsidRDefault="004B0421" w:rsidP="004B0421">
      <w:pPr>
        <w:jc w:val="both"/>
        <w:rPr>
          <w:rFonts w:cstheme="minorHAnsi"/>
          <w:lang w:val="en-MY" w:eastAsia="en-AU"/>
        </w:rPr>
      </w:pPr>
      <w:r w:rsidRPr="00B21295">
        <w:rPr>
          <w:rFonts w:cstheme="minorHAnsi"/>
          <w:lang w:val="en-MY" w:eastAsia="en-AU"/>
        </w:rPr>
        <w:t xml:space="preserve">Geographic and logistical factors such as the distance between places of detention, sites of service delivery and the home communities of clients, were observed to be strong determinants of the extent to which service providers were able to meet client needs generally, and the extent to which clients are engaged pre-release. Based on interviews with service managers and case workers, ATC service delivery sites that are far from a place of detention tend to have lower levels of pre-release prisoner supply and weaker relationships with prison-based correctional services staff. This means they are more removed from prison referral and entry processes, and less likely to have sufficient opportunity to intensively engage with clients pre-release. </w:t>
      </w:r>
      <w:r w:rsidR="004F2194">
        <w:rPr>
          <w:rFonts w:cstheme="minorHAnsi"/>
          <w:lang w:val="en-MY" w:eastAsia="en-AU"/>
        </w:rPr>
        <w:t xml:space="preserve">Large </w:t>
      </w:r>
      <w:r w:rsidR="008E1587" w:rsidRPr="00B21295">
        <w:rPr>
          <w:rFonts w:cstheme="minorHAnsi"/>
          <w:lang w:val="en-MY" w:eastAsia="en-AU"/>
        </w:rPr>
        <w:t>distance</w:t>
      </w:r>
      <w:r w:rsidR="004F2194">
        <w:rPr>
          <w:rFonts w:cstheme="minorHAnsi"/>
          <w:lang w:val="en-MY" w:eastAsia="en-AU"/>
        </w:rPr>
        <w:t>s</w:t>
      </w:r>
      <w:r w:rsidR="008E1587" w:rsidRPr="00B21295">
        <w:rPr>
          <w:rFonts w:cstheme="minorHAnsi"/>
          <w:lang w:val="en-MY" w:eastAsia="en-AU"/>
        </w:rPr>
        <w:t xml:space="preserve"> </w:t>
      </w:r>
      <w:r w:rsidR="004F2194">
        <w:rPr>
          <w:rFonts w:cstheme="minorHAnsi"/>
          <w:lang w:val="en-MY" w:eastAsia="en-AU"/>
        </w:rPr>
        <w:t xml:space="preserve">between service delivery sites </w:t>
      </w:r>
      <w:r w:rsidR="008E1587" w:rsidRPr="00B21295">
        <w:rPr>
          <w:rFonts w:cstheme="minorHAnsi"/>
          <w:lang w:val="en-MY" w:eastAsia="en-AU"/>
        </w:rPr>
        <w:t xml:space="preserve">to </w:t>
      </w:r>
      <w:r w:rsidR="004F2194">
        <w:rPr>
          <w:rFonts w:cstheme="minorHAnsi"/>
          <w:lang w:val="en-MY" w:eastAsia="en-AU"/>
        </w:rPr>
        <w:t xml:space="preserve">a </w:t>
      </w:r>
      <w:r w:rsidR="008E1587" w:rsidRPr="00B21295">
        <w:rPr>
          <w:rFonts w:cstheme="minorHAnsi"/>
          <w:lang w:val="en-MY" w:eastAsia="en-AU"/>
        </w:rPr>
        <w:t xml:space="preserve">prison </w:t>
      </w:r>
      <w:r w:rsidR="004F2194">
        <w:rPr>
          <w:rFonts w:cstheme="minorHAnsi"/>
          <w:lang w:val="en-MY" w:eastAsia="en-AU"/>
        </w:rPr>
        <w:t xml:space="preserve">or place of detention </w:t>
      </w:r>
      <w:r w:rsidRPr="00B21295">
        <w:rPr>
          <w:rFonts w:cstheme="minorHAnsi"/>
          <w:lang w:val="en-MY" w:eastAsia="en-AU"/>
        </w:rPr>
        <w:t xml:space="preserve">was acknowledged to be a limiting factor </w:t>
      </w:r>
      <w:r w:rsidR="008E1587" w:rsidRPr="00B21295">
        <w:rPr>
          <w:rFonts w:cstheme="minorHAnsi"/>
          <w:lang w:val="en-MY" w:eastAsia="en-AU"/>
        </w:rPr>
        <w:t xml:space="preserve">for engagement with </w:t>
      </w:r>
      <w:r w:rsidRPr="00B21295">
        <w:rPr>
          <w:rFonts w:cstheme="minorHAnsi"/>
          <w:lang w:val="en-MY" w:eastAsia="en-AU"/>
        </w:rPr>
        <w:t>pre-release</w:t>
      </w:r>
      <w:r w:rsidR="008E1587" w:rsidRPr="00B21295">
        <w:rPr>
          <w:rFonts w:cstheme="minorHAnsi"/>
          <w:lang w:val="en-MY" w:eastAsia="en-AU"/>
        </w:rPr>
        <w:t xml:space="preserve"> clients</w:t>
      </w:r>
      <w:r w:rsidR="004F2194">
        <w:rPr>
          <w:rFonts w:cstheme="minorHAnsi"/>
          <w:lang w:val="en-MY" w:eastAsia="en-AU"/>
        </w:rPr>
        <w:t xml:space="preserve"> at several services</w:t>
      </w:r>
      <w:r w:rsidRPr="00B21295">
        <w:rPr>
          <w:rFonts w:cstheme="minorHAnsi"/>
          <w:lang w:val="en-MY" w:eastAsia="en-AU"/>
        </w:rPr>
        <w:t xml:space="preserve">. </w:t>
      </w:r>
    </w:p>
    <w:p w14:paraId="4A842BBC" w14:textId="77777777" w:rsidR="004B0421" w:rsidRPr="00B21295" w:rsidRDefault="004B0421" w:rsidP="00760800">
      <w:pPr>
        <w:jc w:val="both"/>
        <w:rPr>
          <w:rFonts w:cstheme="minorHAnsi"/>
          <w:lang w:val="en-MY" w:eastAsia="en-AU"/>
        </w:rPr>
      </w:pPr>
    </w:p>
    <w:p w14:paraId="733C27D0" w14:textId="5229A93A" w:rsidR="00AE2CE9" w:rsidRPr="008A1B41" w:rsidRDefault="00AE2CE9" w:rsidP="00C55C6D">
      <w:pPr>
        <w:pStyle w:val="Caption"/>
        <w:rPr>
          <w:color w:val="4F81BD" w:themeColor="accent1"/>
          <w:sz w:val="22"/>
          <w:szCs w:val="22"/>
          <w:lang w:val="en-MY" w:eastAsia="en-AU"/>
        </w:rPr>
      </w:pPr>
      <w:r w:rsidRPr="008A1B41">
        <w:rPr>
          <w:color w:val="4F81BD" w:themeColor="accent1"/>
          <w:sz w:val="22"/>
          <w:szCs w:val="22"/>
          <w:lang w:val="en-MY" w:eastAsia="en-AU"/>
        </w:rPr>
        <w:t>Period of Service Delivery and Access to Secondary Services</w:t>
      </w:r>
    </w:p>
    <w:p w14:paraId="7802FF54" w14:textId="01FDFA06" w:rsidR="00E37409" w:rsidRPr="00B21295" w:rsidRDefault="001D18F3" w:rsidP="001D18F3">
      <w:pPr>
        <w:jc w:val="both"/>
        <w:rPr>
          <w:rFonts w:cstheme="minorHAnsi"/>
          <w:lang w:val="en-MY" w:eastAsia="en-AU"/>
        </w:rPr>
      </w:pPr>
      <w:r w:rsidRPr="00B21295">
        <w:rPr>
          <w:rFonts w:cstheme="minorHAnsi"/>
          <w:lang w:val="en-MY" w:eastAsia="en-AU"/>
        </w:rPr>
        <w:t>While evidence from client interviews suggests pre-release</w:t>
      </w:r>
      <w:r>
        <w:rPr>
          <w:rFonts w:cstheme="minorHAnsi"/>
          <w:lang w:val="en-MY" w:eastAsia="en-AU"/>
        </w:rPr>
        <w:t xml:space="preserve"> engagement with clients can be effective, </w:t>
      </w:r>
      <w:r w:rsidR="00E37409">
        <w:rPr>
          <w:rFonts w:cstheme="minorHAnsi"/>
          <w:lang w:val="en-MY" w:eastAsia="en-AU"/>
        </w:rPr>
        <w:t>there is little evidence, however, to support the hypothesis that post-release commencements are less effective</w:t>
      </w:r>
      <w:r w:rsidR="00AE2CE9">
        <w:rPr>
          <w:rFonts w:cstheme="minorHAnsi"/>
          <w:lang w:val="en-MY" w:eastAsia="en-AU"/>
        </w:rPr>
        <w:t xml:space="preserve"> in the long-term</w:t>
      </w:r>
      <w:r w:rsidR="00E37409">
        <w:rPr>
          <w:rFonts w:cstheme="minorHAnsi"/>
          <w:lang w:val="en-MY" w:eastAsia="en-AU"/>
        </w:rPr>
        <w:t xml:space="preserve">. None of the </w:t>
      </w:r>
      <w:r>
        <w:rPr>
          <w:rFonts w:cstheme="minorHAnsi"/>
          <w:lang w:val="en-MY" w:eastAsia="en-AU"/>
        </w:rPr>
        <w:t>client</w:t>
      </w:r>
      <w:r w:rsidR="00E37409">
        <w:rPr>
          <w:rFonts w:cstheme="minorHAnsi"/>
          <w:lang w:val="en-MY" w:eastAsia="en-AU"/>
        </w:rPr>
        <w:t>s</w:t>
      </w:r>
      <w:r>
        <w:rPr>
          <w:rFonts w:cstheme="minorHAnsi"/>
          <w:lang w:val="en-MY" w:eastAsia="en-AU"/>
        </w:rPr>
        <w:t xml:space="preserve"> </w:t>
      </w:r>
      <w:r w:rsidR="00E37409">
        <w:rPr>
          <w:rFonts w:cstheme="minorHAnsi"/>
          <w:lang w:val="en-MY" w:eastAsia="en-AU"/>
        </w:rPr>
        <w:t>who commenced with a through-care service post-release believed the quality of the support provided to them was necessarily diminished</w:t>
      </w:r>
      <w:r w:rsidR="00A6755E">
        <w:rPr>
          <w:rFonts w:cstheme="minorHAnsi"/>
          <w:lang w:val="en-MY" w:eastAsia="en-AU"/>
        </w:rPr>
        <w:t xml:space="preserve">, despite this being a finding in the best-practice literature (and in qualitative evidence from </w:t>
      </w:r>
      <w:r w:rsidR="008740A2">
        <w:rPr>
          <w:rFonts w:cstheme="minorHAnsi"/>
          <w:lang w:val="en-MY" w:eastAsia="en-AU"/>
        </w:rPr>
        <w:t xml:space="preserve">pre-release </w:t>
      </w:r>
      <w:r w:rsidR="00A6755E">
        <w:rPr>
          <w:rFonts w:cstheme="minorHAnsi"/>
          <w:lang w:val="en-MY" w:eastAsia="en-AU"/>
        </w:rPr>
        <w:t>clients that pre-release contact was beneficial for them)</w:t>
      </w:r>
      <w:r w:rsidR="00E37409">
        <w:rPr>
          <w:rFonts w:cstheme="minorHAnsi"/>
          <w:lang w:val="en-MY" w:eastAsia="en-AU"/>
        </w:rPr>
        <w:t>. Of more importance to them was the quality of their relationship with their case</w:t>
      </w:r>
      <w:r w:rsidR="00694565">
        <w:rPr>
          <w:rFonts w:cstheme="minorHAnsi"/>
          <w:lang w:val="en-MY" w:eastAsia="en-AU"/>
        </w:rPr>
        <w:t xml:space="preserve"> </w:t>
      </w:r>
      <w:r w:rsidR="00E37409">
        <w:rPr>
          <w:rFonts w:cstheme="minorHAnsi"/>
          <w:lang w:val="en-MY" w:eastAsia="en-AU"/>
        </w:rPr>
        <w:t xml:space="preserve">worker and the length and intensity of the time they were able to work with them after </w:t>
      </w:r>
      <w:r w:rsidR="00E37409" w:rsidRPr="00B21295">
        <w:rPr>
          <w:rFonts w:cstheme="minorHAnsi"/>
          <w:lang w:val="en-MY" w:eastAsia="en-AU"/>
        </w:rPr>
        <w:t xml:space="preserve">deciding to make a change to their lives. </w:t>
      </w:r>
    </w:p>
    <w:p w14:paraId="3258309F" w14:textId="77777777" w:rsidR="00E37409" w:rsidRPr="00B21295" w:rsidRDefault="00E37409" w:rsidP="001D18F3">
      <w:pPr>
        <w:jc w:val="both"/>
        <w:rPr>
          <w:rFonts w:cstheme="minorHAnsi"/>
          <w:lang w:val="en-MY" w:eastAsia="en-AU"/>
        </w:rPr>
      </w:pPr>
    </w:p>
    <w:p w14:paraId="060A6C46" w14:textId="09C834BB" w:rsidR="001E0D0B" w:rsidRPr="00B21295" w:rsidRDefault="00E37409" w:rsidP="006E6A55">
      <w:pPr>
        <w:jc w:val="both"/>
        <w:rPr>
          <w:rFonts w:cstheme="minorHAnsi"/>
          <w:lang w:val="en-MY" w:eastAsia="en-AU"/>
        </w:rPr>
      </w:pPr>
      <w:r w:rsidRPr="00B21295">
        <w:rPr>
          <w:rFonts w:cstheme="minorHAnsi"/>
          <w:lang w:val="en-MY" w:eastAsia="en-AU"/>
        </w:rPr>
        <w:t>The time-period over which a client could work with a case</w:t>
      </w:r>
      <w:r w:rsidR="00694565">
        <w:rPr>
          <w:rFonts w:cstheme="minorHAnsi"/>
          <w:lang w:val="en-MY" w:eastAsia="en-AU"/>
        </w:rPr>
        <w:t xml:space="preserve"> </w:t>
      </w:r>
      <w:r w:rsidRPr="00B21295">
        <w:rPr>
          <w:rFonts w:cstheme="minorHAnsi"/>
          <w:lang w:val="en-MY" w:eastAsia="en-AU"/>
        </w:rPr>
        <w:t>worker was regarded by case</w:t>
      </w:r>
      <w:r w:rsidR="00694565">
        <w:rPr>
          <w:rFonts w:cstheme="minorHAnsi"/>
          <w:lang w:val="en-MY" w:eastAsia="en-AU"/>
        </w:rPr>
        <w:t xml:space="preserve"> </w:t>
      </w:r>
      <w:r w:rsidRPr="00B21295">
        <w:rPr>
          <w:rFonts w:cstheme="minorHAnsi"/>
          <w:lang w:val="en-MY" w:eastAsia="en-AU"/>
        </w:rPr>
        <w:t>workers and clients to be crucial, noting that even after trust between the case</w:t>
      </w:r>
      <w:r w:rsidR="005C5A68">
        <w:rPr>
          <w:rFonts w:cstheme="minorHAnsi"/>
          <w:lang w:val="en-MY" w:eastAsia="en-AU"/>
        </w:rPr>
        <w:t xml:space="preserve"> </w:t>
      </w:r>
      <w:r w:rsidRPr="00B21295">
        <w:rPr>
          <w:rFonts w:cstheme="minorHAnsi"/>
          <w:lang w:val="en-MY" w:eastAsia="en-AU"/>
        </w:rPr>
        <w:t>worker and client was established</w:t>
      </w:r>
      <w:r w:rsidR="00B368EF" w:rsidRPr="00B21295">
        <w:rPr>
          <w:rFonts w:cstheme="minorHAnsi"/>
          <w:lang w:val="en-MY" w:eastAsia="en-AU"/>
        </w:rPr>
        <w:t>,</w:t>
      </w:r>
      <w:r w:rsidRPr="00B21295">
        <w:rPr>
          <w:rFonts w:cstheme="minorHAnsi"/>
          <w:lang w:val="en-MY" w:eastAsia="en-AU"/>
        </w:rPr>
        <w:t xml:space="preserve"> this needed to be maintained. In cases where clients have complex needs this </w:t>
      </w:r>
      <w:r w:rsidR="006E6A55" w:rsidRPr="00B21295">
        <w:rPr>
          <w:rFonts w:cstheme="minorHAnsi"/>
          <w:lang w:val="en-MY" w:eastAsia="en-AU"/>
        </w:rPr>
        <w:t>time period was considered by case workers and clients to be indefinite, given the extent of the individual’s ongoing support needs. Many of the case</w:t>
      </w:r>
      <w:r w:rsidR="005C5A68">
        <w:rPr>
          <w:rFonts w:cstheme="minorHAnsi"/>
          <w:lang w:val="en-MY" w:eastAsia="en-AU"/>
        </w:rPr>
        <w:t xml:space="preserve"> </w:t>
      </w:r>
      <w:r w:rsidR="006E6A55" w:rsidRPr="00B21295">
        <w:rPr>
          <w:rFonts w:cstheme="minorHAnsi"/>
          <w:lang w:val="en-MY" w:eastAsia="en-AU"/>
        </w:rPr>
        <w:t xml:space="preserve">workers interviewed, with the exception of </w:t>
      </w:r>
      <w:r w:rsidR="005C5A68">
        <w:rPr>
          <w:rFonts w:cstheme="minorHAnsi"/>
          <w:lang w:val="en-MY" w:eastAsia="en-AU"/>
        </w:rPr>
        <w:t xml:space="preserve">case workers at </w:t>
      </w:r>
      <w:r w:rsidR="00ED5B5B">
        <w:rPr>
          <w:rFonts w:cstheme="minorHAnsi"/>
          <w:lang w:val="en-MY" w:eastAsia="en-AU"/>
        </w:rPr>
        <w:t>two services</w:t>
      </w:r>
      <w:r w:rsidR="006E6A55" w:rsidRPr="00B21295">
        <w:rPr>
          <w:rFonts w:cstheme="minorHAnsi"/>
          <w:lang w:val="en-MY" w:eastAsia="en-AU"/>
        </w:rPr>
        <w:t>, acknowledged this sentiment to be a driver of their providing extended periods of support to individuals</w:t>
      </w:r>
      <w:r w:rsidR="00ED5B5B">
        <w:rPr>
          <w:rFonts w:cstheme="minorHAnsi"/>
          <w:lang w:val="en-MY" w:eastAsia="en-AU"/>
        </w:rPr>
        <w:t xml:space="preserve"> </w:t>
      </w:r>
      <w:r w:rsidR="006E6A55" w:rsidRPr="00B21295">
        <w:rPr>
          <w:rFonts w:cstheme="minorHAnsi"/>
          <w:lang w:val="en-MY" w:eastAsia="en-AU"/>
        </w:rPr>
        <w:t xml:space="preserve">well beyond the prescribed 18 months of support </w:t>
      </w:r>
      <w:r w:rsidR="00ED5B5B">
        <w:rPr>
          <w:rFonts w:cstheme="minorHAnsi"/>
          <w:lang w:val="en-MY" w:eastAsia="en-AU"/>
        </w:rPr>
        <w:t xml:space="preserve">for </w:t>
      </w:r>
      <w:r w:rsidR="006E6A55" w:rsidRPr="00B21295">
        <w:rPr>
          <w:rFonts w:cstheme="minorHAnsi"/>
          <w:lang w:val="en-MY" w:eastAsia="en-AU"/>
        </w:rPr>
        <w:t>the post-release period. From these discussions there is evidence of strong opinions in favour of longer periods of support, and that where the length of case management is limited</w:t>
      </w:r>
      <w:r w:rsidR="001E0D0B" w:rsidRPr="00B21295">
        <w:rPr>
          <w:rFonts w:cstheme="minorHAnsi"/>
          <w:lang w:val="en-MY" w:eastAsia="en-AU"/>
        </w:rPr>
        <w:t xml:space="preserve"> to two years</w:t>
      </w:r>
      <w:r w:rsidR="006E6A55" w:rsidRPr="00B21295">
        <w:rPr>
          <w:rFonts w:cstheme="minorHAnsi"/>
          <w:lang w:val="en-MY" w:eastAsia="en-AU"/>
        </w:rPr>
        <w:t xml:space="preserve">, clients are less likely to </w:t>
      </w:r>
      <w:r w:rsidR="001E0D0B" w:rsidRPr="00B21295">
        <w:rPr>
          <w:rFonts w:cstheme="minorHAnsi"/>
          <w:lang w:val="en-MY" w:eastAsia="en-AU"/>
        </w:rPr>
        <w:t xml:space="preserve">achieve </w:t>
      </w:r>
      <w:r w:rsidR="006E6A55" w:rsidRPr="00B21295">
        <w:rPr>
          <w:rFonts w:cstheme="minorHAnsi"/>
          <w:lang w:val="en-MY" w:eastAsia="en-AU"/>
        </w:rPr>
        <w:t>their long term goals.</w:t>
      </w:r>
      <w:r w:rsidR="001E0D0B" w:rsidRPr="00B21295">
        <w:rPr>
          <w:rFonts w:cstheme="minorHAnsi"/>
          <w:lang w:val="en-MY" w:eastAsia="en-AU"/>
        </w:rPr>
        <w:t xml:space="preserve"> </w:t>
      </w:r>
    </w:p>
    <w:p w14:paraId="4C715816" w14:textId="77777777" w:rsidR="001E0D0B" w:rsidRPr="00B21295" w:rsidRDefault="001E0D0B" w:rsidP="006E6A55">
      <w:pPr>
        <w:jc w:val="both"/>
        <w:rPr>
          <w:rFonts w:cstheme="minorHAnsi"/>
          <w:lang w:val="en-MY" w:eastAsia="en-AU"/>
        </w:rPr>
      </w:pPr>
    </w:p>
    <w:p w14:paraId="007DE3EF" w14:textId="609B923C" w:rsidR="001E0D0B" w:rsidRPr="00B21295" w:rsidRDefault="001E0D0B" w:rsidP="006E6A55">
      <w:pPr>
        <w:jc w:val="both"/>
        <w:rPr>
          <w:rFonts w:cstheme="minorHAnsi"/>
          <w:lang w:val="en-MY" w:eastAsia="en-AU"/>
        </w:rPr>
      </w:pPr>
      <w:r w:rsidRPr="00B21295">
        <w:rPr>
          <w:rFonts w:cstheme="minorHAnsi"/>
          <w:lang w:val="en-MY" w:eastAsia="en-AU"/>
        </w:rPr>
        <w:t xml:space="preserve">More practically, an extension to the timeframes permissible under the ABT through-care model was desired by </w:t>
      </w:r>
      <w:r w:rsidR="00A33FBF">
        <w:rPr>
          <w:rFonts w:cstheme="minorHAnsi"/>
          <w:lang w:val="en-MY" w:eastAsia="en-AU"/>
        </w:rPr>
        <w:t xml:space="preserve">some </w:t>
      </w:r>
      <w:r w:rsidRPr="00B21295">
        <w:rPr>
          <w:rFonts w:cstheme="minorHAnsi"/>
          <w:lang w:val="en-MY" w:eastAsia="en-AU"/>
        </w:rPr>
        <w:t>case</w:t>
      </w:r>
      <w:r w:rsidR="00694565">
        <w:rPr>
          <w:rFonts w:cstheme="minorHAnsi"/>
          <w:lang w:val="en-MY" w:eastAsia="en-AU"/>
        </w:rPr>
        <w:t xml:space="preserve"> </w:t>
      </w:r>
      <w:r w:rsidRPr="00B21295">
        <w:rPr>
          <w:rFonts w:cstheme="minorHAnsi"/>
          <w:lang w:val="en-MY" w:eastAsia="en-AU"/>
        </w:rPr>
        <w:t>workers for</w:t>
      </w:r>
      <w:r w:rsidR="00A33FBF">
        <w:rPr>
          <w:rFonts w:cstheme="minorHAnsi"/>
          <w:lang w:val="en-MY" w:eastAsia="en-AU"/>
        </w:rPr>
        <w:t xml:space="preserve"> motivated </w:t>
      </w:r>
      <w:r w:rsidRPr="00B21295">
        <w:rPr>
          <w:rFonts w:cstheme="minorHAnsi"/>
          <w:lang w:val="en-MY" w:eastAsia="en-AU"/>
        </w:rPr>
        <w:t xml:space="preserve">clients post a period of parole, claiming the “clock needs to start then!”, since only after these orders </w:t>
      </w:r>
      <w:r w:rsidR="00B368EF" w:rsidRPr="00B21295">
        <w:rPr>
          <w:rFonts w:cstheme="minorHAnsi"/>
          <w:lang w:val="en-MY" w:eastAsia="en-AU"/>
        </w:rPr>
        <w:t>are</w:t>
      </w:r>
      <w:r w:rsidRPr="00B21295">
        <w:rPr>
          <w:rFonts w:cstheme="minorHAnsi"/>
          <w:lang w:val="en-MY" w:eastAsia="en-AU"/>
        </w:rPr>
        <w:t xml:space="preserve"> complied with can the client’s true long-term motivations be assessed. The ability to work with youth well beyond the term of their parole was seen as particularly important where this coincides with a drop-off in ancillary support from Youth Justice. </w:t>
      </w:r>
      <w:r w:rsidR="00463863" w:rsidRPr="00B21295">
        <w:rPr>
          <w:rFonts w:cstheme="minorHAnsi"/>
          <w:lang w:val="en-MY" w:eastAsia="en-AU"/>
        </w:rPr>
        <w:t>Furthermore, s</w:t>
      </w:r>
      <w:r w:rsidRPr="00B21295">
        <w:rPr>
          <w:rFonts w:cstheme="minorHAnsi"/>
          <w:lang w:val="en-MY" w:eastAsia="en-AU"/>
        </w:rPr>
        <w:t>ervices for which the model of case management is limited to coincide with the period of parole</w:t>
      </w:r>
      <w:r w:rsidR="00463863" w:rsidRPr="00B21295">
        <w:rPr>
          <w:rFonts w:cstheme="minorHAnsi"/>
          <w:lang w:val="en-MY" w:eastAsia="en-AU"/>
        </w:rPr>
        <w:t xml:space="preserve">, </w:t>
      </w:r>
      <w:r w:rsidRPr="00B21295">
        <w:rPr>
          <w:rFonts w:cstheme="minorHAnsi"/>
          <w:lang w:val="en-MY" w:eastAsia="en-AU"/>
        </w:rPr>
        <w:t>are</w:t>
      </w:r>
      <w:r w:rsidR="00463863" w:rsidRPr="00B21295">
        <w:rPr>
          <w:rFonts w:cstheme="minorHAnsi"/>
          <w:lang w:val="en-MY" w:eastAsia="en-AU"/>
        </w:rPr>
        <w:t xml:space="preserve">, arguably, </w:t>
      </w:r>
      <w:r w:rsidRPr="00B21295">
        <w:rPr>
          <w:rFonts w:cstheme="minorHAnsi"/>
          <w:lang w:val="en-MY" w:eastAsia="en-AU"/>
        </w:rPr>
        <w:t>inherently limited in their ability to address a client’s long term goals</w:t>
      </w:r>
      <w:r w:rsidR="00463863" w:rsidRPr="00B21295">
        <w:rPr>
          <w:rFonts w:cstheme="minorHAnsi"/>
          <w:lang w:val="en-MY" w:eastAsia="en-AU"/>
        </w:rPr>
        <w:t>. All clients of this type of service, which assists clients post-release in a supported accommodation setting, are subject to short-term probation or parole orders (of approximately 3 to 6 months) and will typically have little to no contact with the service after meeting their conditions and upon expiry of their eligibility to remain in the accommodation provided.</w:t>
      </w:r>
    </w:p>
    <w:p w14:paraId="4CAA22D7" w14:textId="77777777" w:rsidR="00A276E1" w:rsidRPr="00B21295" w:rsidRDefault="00A276E1" w:rsidP="006E6A55">
      <w:pPr>
        <w:jc w:val="both"/>
        <w:rPr>
          <w:rFonts w:cstheme="minorHAnsi"/>
          <w:lang w:val="en-MY" w:eastAsia="en-AU"/>
        </w:rPr>
      </w:pPr>
    </w:p>
    <w:p w14:paraId="3F5C457B" w14:textId="54CC3A61" w:rsidR="00A276E1" w:rsidRPr="00B21295" w:rsidRDefault="00A276E1" w:rsidP="00A276E1">
      <w:pPr>
        <w:jc w:val="both"/>
        <w:rPr>
          <w:rFonts w:cstheme="minorHAnsi"/>
          <w:lang w:val="en-MY" w:eastAsia="en-AU"/>
        </w:rPr>
      </w:pPr>
      <w:r w:rsidRPr="00B21295">
        <w:rPr>
          <w:rFonts w:cstheme="minorHAnsi"/>
          <w:lang w:val="en-MY" w:eastAsia="en-AU"/>
        </w:rPr>
        <w:t>Where intensive case management with motivated clients is incremental and long-term, it is regarded by case</w:t>
      </w:r>
      <w:r w:rsidR="00694565">
        <w:rPr>
          <w:rFonts w:cstheme="minorHAnsi"/>
          <w:lang w:val="en-MY" w:eastAsia="en-AU"/>
        </w:rPr>
        <w:t xml:space="preserve"> </w:t>
      </w:r>
      <w:r w:rsidRPr="00B21295">
        <w:rPr>
          <w:rFonts w:cstheme="minorHAnsi"/>
          <w:lang w:val="en-MY" w:eastAsia="en-AU"/>
        </w:rPr>
        <w:t>workers and service managers to have greater potential to foster engagement with behavioural change services, such as Alcohol and Other Drugs or Family and Domestic Violence Counselling, which might otherwise be initially avoided by clients given the potential for personal shame. To the extent that clients were motivated to engage with secondary services, those interviewed acknowledged strong levels of advocacy and support from their case</w:t>
      </w:r>
      <w:r w:rsidR="00694565">
        <w:rPr>
          <w:rFonts w:cstheme="minorHAnsi"/>
          <w:lang w:val="en-MY" w:eastAsia="en-AU"/>
        </w:rPr>
        <w:t xml:space="preserve"> </w:t>
      </w:r>
      <w:r w:rsidRPr="00B21295">
        <w:rPr>
          <w:rFonts w:cstheme="minorHAnsi"/>
          <w:lang w:val="en-MY" w:eastAsia="en-AU"/>
        </w:rPr>
        <w:t xml:space="preserve">workers in meeting their need to access and benefit from these services. </w:t>
      </w:r>
    </w:p>
    <w:p w14:paraId="714115FD" w14:textId="77777777" w:rsidR="00A276E1" w:rsidRPr="00B21295" w:rsidRDefault="00A276E1" w:rsidP="00A276E1">
      <w:pPr>
        <w:jc w:val="both"/>
        <w:rPr>
          <w:rFonts w:cstheme="minorHAnsi"/>
          <w:lang w:val="en-MY" w:eastAsia="en-AU"/>
        </w:rPr>
      </w:pPr>
    </w:p>
    <w:p w14:paraId="0ECF1D73" w14:textId="77777777" w:rsidR="00775DB8" w:rsidRPr="00B21295" w:rsidRDefault="00A276E1" w:rsidP="00775DB8">
      <w:pPr>
        <w:jc w:val="both"/>
        <w:rPr>
          <w:rFonts w:cstheme="minorHAnsi"/>
          <w:lang w:val="en-MY" w:eastAsia="en-AU"/>
        </w:rPr>
      </w:pPr>
      <w:r w:rsidRPr="00B21295">
        <w:rPr>
          <w:rFonts w:cstheme="minorHAnsi"/>
          <w:lang w:val="en-MY" w:eastAsia="en-AU"/>
        </w:rPr>
        <w:t>Service delivery by through care providers was also considered by service partners responding to the online survey to be, for the most part, adequately supportive of clients in their interactions with external partners, with 56 percent of respondents identifying case workers as ‘always’ or ‘usually’ supporting clients to effectively engage, and 16 percent identifying this attribute as ‘rarely’ or ‘never’ delivered. During interviews with correctional services staff it was noted, however, that this aspect of service delivery could be strengthen with improved levels of communication between the case worker and the referred service, and that this was largely dependent on the capability and professionalism of the individual case worker. For their part, clients were overall satisfied with the quality of referrals, except in a small number of cases where these were not regarded to be culturally safe.</w:t>
      </w:r>
    </w:p>
    <w:p w14:paraId="13DB9740" w14:textId="77777777" w:rsidR="00775DB8" w:rsidRPr="00B21295" w:rsidRDefault="00775DB8" w:rsidP="00775DB8">
      <w:pPr>
        <w:jc w:val="both"/>
        <w:rPr>
          <w:rFonts w:cstheme="minorHAnsi"/>
          <w:lang w:val="en-MY" w:eastAsia="en-AU"/>
        </w:rPr>
      </w:pPr>
    </w:p>
    <w:p w14:paraId="0C48E02E" w14:textId="00F98927" w:rsidR="004F2194" w:rsidRPr="00B21295" w:rsidRDefault="00775DB8" w:rsidP="001F4724">
      <w:pPr>
        <w:jc w:val="both"/>
        <w:rPr>
          <w:rFonts w:cstheme="minorHAnsi"/>
          <w:lang w:val="en-MY" w:eastAsia="en-AU"/>
        </w:rPr>
      </w:pPr>
      <w:r w:rsidRPr="00B21295">
        <w:rPr>
          <w:rFonts w:cstheme="minorHAnsi"/>
          <w:lang w:val="en-MY" w:eastAsia="en-AU"/>
        </w:rPr>
        <w:t>Once again, the extent to which through-care services are meeting the needs of clients to access a range of secondary services and supports in pursuit of their goals, was seen to vary according to geography and the availability of these services. As evidenced in discussions with service managers, through-care sites that are remote and geographically isolated, often lack the necessary mix of secondary support services necessary to meet client needs locally,</w:t>
      </w:r>
      <w:r w:rsidR="001F4724" w:rsidRPr="00B21295">
        <w:rPr>
          <w:rFonts w:cstheme="minorHAnsi"/>
          <w:lang w:val="en-MY" w:eastAsia="en-AU"/>
        </w:rPr>
        <w:t xml:space="preserve"> or else are themselves limited in terms of their local client base, requiring travel over long distances and time-periods which lessens opportunities to develop a rapport. </w:t>
      </w:r>
      <w:r w:rsidRPr="00B21295">
        <w:rPr>
          <w:rFonts w:cstheme="minorHAnsi"/>
          <w:lang w:val="en-MY" w:eastAsia="en-AU"/>
        </w:rPr>
        <w:t xml:space="preserve">Sites with a small client base and lack of support services </w:t>
      </w:r>
      <w:r w:rsidR="004F2194">
        <w:rPr>
          <w:rFonts w:cstheme="minorHAnsi"/>
          <w:lang w:val="en-MY" w:eastAsia="en-AU"/>
        </w:rPr>
        <w:t>locally were found to be especially affected by this dynamic</w:t>
      </w:r>
      <w:r w:rsidRPr="00B21295">
        <w:rPr>
          <w:rFonts w:cstheme="minorHAnsi"/>
          <w:lang w:val="en-MY" w:eastAsia="en-AU"/>
        </w:rPr>
        <w:t xml:space="preserve">. </w:t>
      </w:r>
    </w:p>
    <w:p w14:paraId="55B15BB9" w14:textId="77777777" w:rsidR="000D48D6" w:rsidRPr="00B21295" w:rsidRDefault="000D48D6" w:rsidP="001F4724">
      <w:pPr>
        <w:jc w:val="both"/>
        <w:rPr>
          <w:rFonts w:cstheme="minorHAnsi"/>
          <w:lang w:val="en-MY" w:eastAsia="en-AU"/>
        </w:rPr>
      </w:pPr>
    </w:p>
    <w:p w14:paraId="1E4DBC78" w14:textId="55E0D100" w:rsidR="001F4724" w:rsidRDefault="001F4724" w:rsidP="001F4724">
      <w:pPr>
        <w:jc w:val="both"/>
        <w:rPr>
          <w:rFonts w:cstheme="minorHAnsi"/>
          <w:lang w:val="en-MY" w:eastAsia="en-AU"/>
        </w:rPr>
      </w:pPr>
      <w:r w:rsidRPr="00B21295">
        <w:rPr>
          <w:rFonts w:cstheme="minorHAnsi"/>
          <w:lang w:val="en-MY" w:eastAsia="en-AU"/>
        </w:rPr>
        <w:t xml:space="preserve">Service delivery sites that are not located close to the home location of their client base are similarly affected, even when the service-site base may be close to a place of detention or otherwise well serviced. </w:t>
      </w:r>
      <w:r w:rsidR="004F2194">
        <w:rPr>
          <w:rFonts w:cstheme="minorHAnsi"/>
          <w:lang w:val="en-MY" w:eastAsia="en-AU"/>
        </w:rPr>
        <w:t>G</w:t>
      </w:r>
      <w:r w:rsidRPr="0039029B">
        <w:rPr>
          <w:rFonts w:cstheme="minorHAnsi"/>
          <w:lang w:val="en-MY" w:eastAsia="en-AU"/>
        </w:rPr>
        <w:t xml:space="preserve">iven the remoteness of </w:t>
      </w:r>
      <w:r w:rsidR="007E4DBB">
        <w:rPr>
          <w:rFonts w:cstheme="minorHAnsi"/>
          <w:lang w:val="en-MY" w:eastAsia="en-AU"/>
        </w:rPr>
        <w:t xml:space="preserve">the </w:t>
      </w:r>
      <w:r w:rsidR="00F4651A">
        <w:rPr>
          <w:rFonts w:cstheme="minorHAnsi"/>
          <w:lang w:val="en-MY" w:eastAsia="en-AU"/>
        </w:rPr>
        <w:t xml:space="preserve">client’s </w:t>
      </w:r>
      <w:r w:rsidR="007E4DBB">
        <w:rPr>
          <w:rFonts w:cstheme="minorHAnsi"/>
          <w:lang w:val="en-MY" w:eastAsia="en-AU"/>
        </w:rPr>
        <w:t xml:space="preserve">home communities </w:t>
      </w:r>
      <w:r w:rsidRPr="0039029B">
        <w:rPr>
          <w:rFonts w:cstheme="minorHAnsi"/>
          <w:lang w:val="en-MY" w:eastAsia="en-AU"/>
        </w:rPr>
        <w:t xml:space="preserve">from </w:t>
      </w:r>
      <w:r w:rsidR="00F4651A">
        <w:rPr>
          <w:rFonts w:cstheme="minorHAnsi"/>
          <w:lang w:val="en-MY" w:eastAsia="en-AU"/>
        </w:rPr>
        <w:t xml:space="preserve">such </w:t>
      </w:r>
      <w:r w:rsidRPr="0039029B">
        <w:rPr>
          <w:rFonts w:cstheme="minorHAnsi"/>
          <w:lang w:val="en-MY" w:eastAsia="en-AU"/>
        </w:rPr>
        <w:t xml:space="preserve">services, the scope for intensive engagement </w:t>
      </w:r>
      <w:r w:rsidR="00F4651A" w:rsidRPr="0039029B">
        <w:rPr>
          <w:rFonts w:cstheme="minorHAnsi"/>
          <w:lang w:val="en-MY" w:eastAsia="en-AU"/>
        </w:rPr>
        <w:t xml:space="preserve">post-release </w:t>
      </w:r>
      <w:r w:rsidRPr="0039029B">
        <w:rPr>
          <w:rFonts w:cstheme="minorHAnsi"/>
          <w:lang w:val="en-MY" w:eastAsia="en-AU"/>
        </w:rPr>
        <w:t xml:space="preserve">was </w:t>
      </w:r>
      <w:r w:rsidR="00F4651A">
        <w:rPr>
          <w:rFonts w:cstheme="minorHAnsi"/>
          <w:lang w:val="en-MY" w:eastAsia="en-AU"/>
        </w:rPr>
        <w:t xml:space="preserve">often found to be </w:t>
      </w:r>
      <w:r w:rsidRPr="0039029B">
        <w:rPr>
          <w:rFonts w:cstheme="minorHAnsi"/>
          <w:lang w:val="en-MY" w:eastAsia="en-AU"/>
        </w:rPr>
        <w:t xml:space="preserve">limited. </w:t>
      </w:r>
      <w:r w:rsidR="00F4651A">
        <w:rPr>
          <w:rFonts w:cstheme="minorHAnsi"/>
          <w:lang w:val="en-MY" w:eastAsia="en-AU"/>
        </w:rPr>
        <w:t xml:space="preserve">In such examples, </w:t>
      </w:r>
      <w:r w:rsidRPr="0039029B">
        <w:rPr>
          <w:rFonts w:cstheme="minorHAnsi"/>
          <w:lang w:val="en-MY" w:eastAsia="en-AU"/>
        </w:rPr>
        <w:t>a large proportion of clients w</w:t>
      </w:r>
      <w:r w:rsidR="00F4651A">
        <w:rPr>
          <w:rFonts w:cstheme="minorHAnsi"/>
          <w:lang w:val="en-MY" w:eastAsia="en-AU"/>
        </w:rPr>
        <w:t xml:space="preserve">ill reportedly </w:t>
      </w:r>
      <w:r w:rsidRPr="0039029B">
        <w:rPr>
          <w:rFonts w:cstheme="minorHAnsi"/>
          <w:lang w:val="en-MY" w:eastAsia="en-AU"/>
        </w:rPr>
        <w:t xml:space="preserve">drop-off </w:t>
      </w:r>
      <w:r w:rsidR="00F4651A">
        <w:rPr>
          <w:rFonts w:cstheme="minorHAnsi"/>
          <w:lang w:val="en-MY" w:eastAsia="en-AU"/>
        </w:rPr>
        <w:t xml:space="preserve">the program </w:t>
      </w:r>
      <w:r w:rsidRPr="0039029B">
        <w:rPr>
          <w:rFonts w:cstheme="minorHAnsi"/>
          <w:lang w:val="en-MY" w:eastAsia="en-AU"/>
        </w:rPr>
        <w:t xml:space="preserve">soon after returning to their remote home community (given the unvirtuous circle of infrequent face-to-face contact and the client’s </w:t>
      </w:r>
      <w:r>
        <w:rPr>
          <w:rFonts w:cstheme="minorHAnsi"/>
          <w:lang w:val="en-MY" w:eastAsia="en-AU"/>
        </w:rPr>
        <w:t>self-</w:t>
      </w:r>
      <w:r w:rsidRPr="0039029B">
        <w:rPr>
          <w:rFonts w:cstheme="minorHAnsi"/>
          <w:lang w:val="en-MY" w:eastAsia="en-AU"/>
        </w:rPr>
        <w:t xml:space="preserve">immersion in the life of the community). </w:t>
      </w:r>
    </w:p>
    <w:p w14:paraId="04822C74" w14:textId="77777777" w:rsidR="00C317C9" w:rsidRDefault="00C317C9" w:rsidP="001F4724">
      <w:pPr>
        <w:jc w:val="both"/>
        <w:rPr>
          <w:rFonts w:cstheme="minorHAnsi"/>
          <w:lang w:val="en-MY" w:eastAsia="en-AU"/>
        </w:rPr>
      </w:pPr>
    </w:p>
    <w:p w14:paraId="62068CEB" w14:textId="6D6CF572" w:rsidR="00C317C9" w:rsidRPr="0039029B" w:rsidRDefault="00C317C9" w:rsidP="0039029B">
      <w:pPr>
        <w:jc w:val="both"/>
        <w:rPr>
          <w:rFonts w:cstheme="minorHAnsi"/>
          <w:lang w:val="en-MY" w:eastAsia="en-AU"/>
        </w:rPr>
      </w:pPr>
      <w:r w:rsidRPr="00AF6E3B">
        <w:rPr>
          <w:rFonts w:cstheme="minorHAnsi"/>
          <w:lang w:val="en-MY" w:eastAsia="en-AU"/>
        </w:rPr>
        <w:t>Management, case workers and clients also identified issues around service access</w:t>
      </w:r>
      <w:r>
        <w:rPr>
          <w:rFonts w:cstheme="minorHAnsi"/>
          <w:lang w:val="en-MY" w:eastAsia="en-AU"/>
        </w:rPr>
        <w:t xml:space="preserve"> for client’s with complex needs or perceived to be high-risk by the third-party service</w:t>
      </w:r>
      <w:r w:rsidRPr="00AF6E3B">
        <w:rPr>
          <w:rFonts w:cstheme="minorHAnsi"/>
          <w:lang w:val="en-MY" w:eastAsia="en-AU"/>
        </w:rPr>
        <w:t xml:space="preserve">. </w:t>
      </w:r>
      <w:r>
        <w:rPr>
          <w:rFonts w:cstheme="minorHAnsi"/>
          <w:lang w:val="en-MY" w:eastAsia="en-AU"/>
        </w:rPr>
        <w:t>This included concerns based on offence type and gender (for example, concerns regard</w:t>
      </w:r>
      <w:r w:rsidR="00003AC2">
        <w:rPr>
          <w:rFonts w:cstheme="minorHAnsi"/>
          <w:lang w:val="en-MY" w:eastAsia="en-AU"/>
        </w:rPr>
        <w:t xml:space="preserve">ing </w:t>
      </w:r>
      <w:r>
        <w:rPr>
          <w:rFonts w:cstheme="minorHAnsi"/>
          <w:lang w:val="en-MY" w:eastAsia="en-AU"/>
        </w:rPr>
        <w:t xml:space="preserve">female staff welfare when working with males convicted of family or domestic violence) or </w:t>
      </w:r>
      <w:r w:rsidRPr="00AF6E3B">
        <w:rPr>
          <w:rFonts w:cstheme="minorHAnsi"/>
          <w:lang w:val="en-MY" w:eastAsia="en-AU"/>
        </w:rPr>
        <w:t xml:space="preserve">instances where a service had refused to accept a client because of </w:t>
      </w:r>
      <w:r>
        <w:rPr>
          <w:rFonts w:cstheme="minorHAnsi"/>
          <w:lang w:val="en-MY" w:eastAsia="en-AU"/>
        </w:rPr>
        <w:t xml:space="preserve">offences of </w:t>
      </w:r>
      <w:r w:rsidRPr="00AF6E3B">
        <w:rPr>
          <w:rFonts w:cstheme="minorHAnsi"/>
          <w:lang w:val="en-MY" w:eastAsia="en-AU"/>
        </w:rPr>
        <w:t xml:space="preserve">a sexual nature. Some </w:t>
      </w:r>
      <w:r>
        <w:rPr>
          <w:rFonts w:cstheme="minorHAnsi"/>
          <w:lang w:val="en-MY" w:eastAsia="en-AU"/>
        </w:rPr>
        <w:t>case workers at small Aboriginal-controlled</w:t>
      </w:r>
      <w:r w:rsidR="00003AC2">
        <w:rPr>
          <w:rFonts w:cstheme="minorHAnsi"/>
          <w:lang w:val="en-MY" w:eastAsia="en-AU"/>
        </w:rPr>
        <w:t xml:space="preserve"> </w:t>
      </w:r>
      <w:r>
        <w:rPr>
          <w:rFonts w:cstheme="minorHAnsi"/>
          <w:lang w:val="en-MY" w:eastAsia="en-AU"/>
        </w:rPr>
        <w:t xml:space="preserve">through-care services </w:t>
      </w:r>
      <w:r w:rsidRPr="00AF6E3B">
        <w:rPr>
          <w:rFonts w:cstheme="minorHAnsi"/>
          <w:lang w:val="en-MY" w:eastAsia="en-AU"/>
        </w:rPr>
        <w:t xml:space="preserve">commented that </w:t>
      </w:r>
      <w:r>
        <w:rPr>
          <w:rFonts w:cstheme="minorHAnsi"/>
          <w:lang w:val="en-MY" w:eastAsia="en-AU"/>
        </w:rPr>
        <w:t xml:space="preserve">their </w:t>
      </w:r>
      <w:r w:rsidRPr="00AF6E3B">
        <w:rPr>
          <w:rFonts w:cstheme="minorHAnsi"/>
          <w:lang w:val="en-MY" w:eastAsia="en-AU"/>
        </w:rPr>
        <w:t>clients preferred not to access services from large national NGOs</w:t>
      </w:r>
      <w:r w:rsidR="00003AC2">
        <w:rPr>
          <w:rFonts w:cstheme="minorHAnsi"/>
          <w:lang w:val="en-MY" w:eastAsia="en-AU"/>
        </w:rPr>
        <w:t xml:space="preserve">, </w:t>
      </w:r>
      <w:r w:rsidRPr="00AF6E3B">
        <w:rPr>
          <w:rFonts w:cstheme="minorHAnsi"/>
          <w:lang w:val="en-MY" w:eastAsia="en-AU"/>
        </w:rPr>
        <w:t xml:space="preserve">on the assumption these </w:t>
      </w:r>
      <w:r>
        <w:rPr>
          <w:rFonts w:cstheme="minorHAnsi"/>
          <w:lang w:val="en-MY" w:eastAsia="en-AU"/>
        </w:rPr>
        <w:t xml:space="preserve">were </w:t>
      </w:r>
      <w:r w:rsidRPr="00AF6E3B">
        <w:rPr>
          <w:rFonts w:cstheme="minorHAnsi"/>
          <w:lang w:val="en-MY" w:eastAsia="en-AU"/>
        </w:rPr>
        <w:t>culturally unsafe</w:t>
      </w:r>
      <w:r>
        <w:rPr>
          <w:rFonts w:cstheme="minorHAnsi"/>
          <w:lang w:val="en-MY" w:eastAsia="en-AU"/>
        </w:rPr>
        <w:t>,</w:t>
      </w:r>
      <w:r w:rsidRPr="00AF6E3B">
        <w:rPr>
          <w:rFonts w:cstheme="minorHAnsi"/>
          <w:lang w:val="en-MY" w:eastAsia="en-AU"/>
        </w:rPr>
        <w:t xml:space="preserve"> while others felt this perception varied according to client preferences and local workforce composition. Although a general preference existed amongst those clients interviewed for Indigenous controlled and staffed services, in some </w:t>
      </w:r>
      <w:r>
        <w:rPr>
          <w:rFonts w:cstheme="minorHAnsi"/>
          <w:lang w:val="en-MY" w:eastAsia="en-AU"/>
        </w:rPr>
        <w:t xml:space="preserve">urban and regional </w:t>
      </w:r>
      <w:r w:rsidRPr="00AF6E3B">
        <w:rPr>
          <w:rFonts w:cstheme="minorHAnsi"/>
          <w:lang w:val="en-MY" w:eastAsia="en-AU"/>
        </w:rPr>
        <w:t xml:space="preserve">settings mainstream providers were preferred for reasons of personal privacy or concerns about local </w:t>
      </w:r>
      <w:r>
        <w:rPr>
          <w:rFonts w:cstheme="minorHAnsi"/>
          <w:lang w:val="en-MY" w:eastAsia="en-AU"/>
        </w:rPr>
        <w:t xml:space="preserve">personality or family-based </w:t>
      </w:r>
      <w:r w:rsidRPr="00AF6E3B">
        <w:rPr>
          <w:rFonts w:cstheme="minorHAnsi"/>
          <w:lang w:val="en-MY" w:eastAsia="en-AU"/>
        </w:rPr>
        <w:t>politics.</w:t>
      </w:r>
    </w:p>
    <w:p w14:paraId="72D481D5" w14:textId="77777777" w:rsidR="008A1B41" w:rsidRDefault="00DF5AED" w:rsidP="008A1B41">
      <w:pPr>
        <w:pStyle w:val="SUBHEAD2"/>
        <w:rPr>
          <w:rFonts w:asciiTheme="minorHAnsi" w:hAnsiTheme="minorHAnsi" w:cstheme="minorHAnsi"/>
          <w:lang w:val="en-MY" w:eastAsia="en-AU"/>
        </w:rPr>
      </w:pPr>
      <w:r w:rsidRPr="008A1B41">
        <w:rPr>
          <w:rFonts w:asciiTheme="minorHAnsi" w:hAnsiTheme="minorHAnsi" w:cstheme="minorHAnsi"/>
          <w:lang w:val="en-MY" w:eastAsia="en-AU"/>
        </w:rPr>
        <w:t xml:space="preserve">Whether Service Models </w:t>
      </w:r>
      <w:r w:rsidR="004E24E7" w:rsidRPr="008A1B41">
        <w:rPr>
          <w:rFonts w:asciiTheme="minorHAnsi" w:hAnsiTheme="minorHAnsi" w:cstheme="minorHAnsi"/>
          <w:lang w:val="en-MY" w:eastAsia="en-AU"/>
        </w:rPr>
        <w:t>are Strengths-based, Culturally Respectful and Collaborative</w:t>
      </w:r>
    </w:p>
    <w:p w14:paraId="3DDA77C7" w14:textId="77777777" w:rsidR="008A1B41" w:rsidRDefault="00812DDC" w:rsidP="00C241C1">
      <w:pPr>
        <w:spacing w:before="120" w:after="120"/>
        <w:jc w:val="both"/>
        <w:rPr>
          <w:b/>
          <w:smallCaps/>
          <w:lang w:val="en-MY" w:eastAsia="en-AU"/>
        </w:rPr>
      </w:pPr>
      <w:r w:rsidRPr="008A1B41">
        <w:rPr>
          <w:lang w:val="en-MY" w:eastAsia="en-AU"/>
        </w:rPr>
        <w:t xml:space="preserve">All service management, case workers and the majority of clients considered their service to be strengths-based and client-centred, culturally respectful and safe, and open to collaboration with </w:t>
      </w:r>
      <w:r w:rsidR="00001FAE" w:rsidRPr="008A1B41">
        <w:rPr>
          <w:lang w:val="en-MY" w:eastAsia="en-AU"/>
        </w:rPr>
        <w:t>external service providers.</w:t>
      </w:r>
    </w:p>
    <w:p w14:paraId="2DA6864E" w14:textId="26AC68C2" w:rsidR="00BA0705" w:rsidRPr="008A1B41" w:rsidRDefault="00C243F1" w:rsidP="00C241C1">
      <w:pPr>
        <w:spacing w:before="120" w:after="120"/>
        <w:jc w:val="both"/>
        <w:rPr>
          <w:b/>
          <w:smallCaps/>
          <w:lang w:val="en-MY" w:eastAsia="en-AU"/>
        </w:rPr>
      </w:pPr>
      <w:r w:rsidRPr="008A1B41">
        <w:rPr>
          <w:lang w:val="en-MY" w:eastAsia="en-AU"/>
        </w:rPr>
        <w:t>Both YTC and ATC clients consistently stated that their case</w:t>
      </w:r>
      <w:r w:rsidR="00694565">
        <w:rPr>
          <w:lang w:val="en-MY" w:eastAsia="en-AU"/>
        </w:rPr>
        <w:t xml:space="preserve"> </w:t>
      </w:r>
      <w:r w:rsidRPr="008A1B41">
        <w:rPr>
          <w:lang w:val="en-MY" w:eastAsia="en-AU"/>
        </w:rPr>
        <w:t>workers worked “alongside them” and their case</w:t>
      </w:r>
      <w:r w:rsidR="00694565">
        <w:rPr>
          <w:lang w:val="en-MY" w:eastAsia="en-AU"/>
        </w:rPr>
        <w:t xml:space="preserve"> </w:t>
      </w:r>
      <w:r w:rsidRPr="008A1B41">
        <w:rPr>
          <w:lang w:val="en-MY" w:eastAsia="en-AU"/>
        </w:rPr>
        <w:t>worker’s ability to “listen without judgement” was the foundation for a strengths-based approach</w:t>
      </w:r>
      <w:r w:rsidR="0063035B" w:rsidRPr="008A1B41">
        <w:rPr>
          <w:lang w:val="en-MY" w:eastAsia="en-AU"/>
        </w:rPr>
        <w:t xml:space="preserve">. Through this process it was felt that they could </w:t>
      </w:r>
      <w:r w:rsidR="008E4B53" w:rsidRPr="008A1B41">
        <w:rPr>
          <w:lang w:val="en-MY" w:eastAsia="en-AU"/>
        </w:rPr>
        <w:t xml:space="preserve">come to </w:t>
      </w:r>
      <w:r w:rsidR="0063035B" w:rsidRPr="008A1B41">
        <w:rPr>
          <w:lang w:val="en-MY" w:eastAsia="en-AU"/>
        </w:rPr>
        <w:t>understand the whole person</w:t>
      </w:r>
      <w:r w:rsidR="00003AC2" w:rsidRPr="008A1B41">
        <w:rPr>
          <w:lang w:val="en-MY" w:eastAsia="en-AU"/>
        </w:rPr>
        <w:t>,</w:t>
      </w:r>
      <w:r w:rsidR="0063035B" w:rsidRPr="008A1B41">
        <w:rPr>
          <w:lang w:val="en-MY" w:eastAsia="en-AU"/>
        </w:rPr>
        <w:t xml:space="preserve"> and over time identify a client’s support needs with them</w:t>
      </w:r>
      <w:r w:rsidR="008E4B53" w:rsidRPr="008A1B41">
        <w:rPr>
          <w:lang w:val="en-MY" w:eastAsia="en-AU"/>
        </w:rPr>
        <w:t xml:space="preserve">. This </w:t>
      </w:r>
      <w:r w:rsidR="00A737FA" w:rsidRPr="008A1B41">
        <w:rPr>
          <w:lang w:val="en-MY" w:eastAsia="en-AU"/>
        </w:rPr>
        <w:t xml:space="preserve">has </w:t>
      </w:r>
      <w:r w:rsidR="008E4B53" w:rsidRPr="008A1B41">
        <w:rPr>
          <w:lang w:val="en-MY" w:eastAsia="en-AU"/>
        </w:rPr>
        <w:t>require</w:t>
      </w:r>
      <w:r w:rsidR="00A737FA" w:rsidRPr="008A1B41">
        <w:rPr>
          <w:lang w:val="en-MY" w:eastAsia="en-AU"/>
        </w:rPr>
        <w:t>d</w:t>
      </w:r>
      <w:r w:rsidR="008E4B53" w:rsidRPr="008A1B41">
        <w:rPr>
          <w:lang w:val="en-MY" w:eastAsia="en-AU"/>
        </w:rPr>
        <w:t xml:space="preserve"> case management </w:t>
      </w:r>
      <w:r w:rsidR="00A737FA" w:rsidRPr="008A1B41">
        <w:rPr>
          <w:lang w:val="en-MY" w:eastAsia="en-AU"/>
        </w:rPr>
        <w:t xml:space="preserve">practices </w:t>
      </w:r>
      <w:r w:rsidR="008E4B53" w:rsidRPr="008A1B41">
        <w:rPr>
          <w:lang w:val="en-MY" w:eastAsia="en-AU"/>
        </w:rPr>
        <w:t>to be flexible, adapting to differ</w:t>
      </w:r>
      <w:r w:rsidR="00050B75" w:rsidRPr="008A1B41">
        <w:rPr>
          <w:lang w:val="en-MY" w:eastAsia="en-AU"/>
        </w:rPr>
        <w:t>ing</w:t>
      </w:r>
      <w:r w:rsidR="008E4B53" w:rsidRPr="008A1B41">
        <w:rPr>
          <w:lang w:val="en-MY" w:eastAsia="en-AU"/>
        </w:rPr>
        <w:t xml:space="preserve"> client needs according to individual circumstances and available human and social capital.</w:t>
      </w:r>
      <w:r w:rsidR="00BA0705" w:rsidRPr="008A1B41">
        <w:rPr>
          <w:lang w:val="en-MY" w:eastAsia="en-AU"/>
        </w:rPr>
        <w:t xml:space="preserve"> </w:t>
      </w:r>
    </w:p>
    <w:p w14:paraId="6D9888AB" w14:textId="06FD3C9C" w:rsidR="00FF4285" w:rsidRDefault="008E4B53" w:rsidP="00C241C1">
      <w:pPr>
        <w:spacing w:before="120" w:after="120"/>
        <w:jc w:val="both"/>
        <w:rPr>
          <w:lang w:val="en-MY" w:eastAsia="en-AU"/>
        </w:rPr>
      </w:pPr>
      <w:r w:rsidRPr="00D35B9B">
        <w:rPr>
          <w:lang w:val="en-MY" w:eastAsia="en-AU"/>
        </w:rPr>
        <w:t xml:space="preserve">All clients considered the services they had received to be strengths-based, being considerate of their personal characteristics and background, individual </w:t>
      </w:r>
      <w:r w:rsidR="00BA0705" w:rsidRPr="00D35B9B">
        <w:rPr>
          <w:lang w:val="en-MY" w:eastAsia="en-AU"/>
        </w:rPr>
        <w:t>aspirations,</w:t>
      </w:r>
      <w:r w:rsidRPr="00D35B9B">
        <w:rPr>
          <w:lang w:val="en-MY" w:eastAsia="en-AU"/>
        </w:rPr>
        <w:t xml:space="preserve"> and personal situation (be that issues with physical or mental health, homelessness or other issues impacting their capacity to fulfil personal goals).</w:t>
      </w:r>
      <w:r w:rsidR="00BA0705" w:rsidRPr="00D35B9B">
        <w:rPr>
          <w:lang w:val="en-MY" w:eastAsia="en-AU"/>
        </w:rPr>
        <w:t xml:space="preserve"> Keogh Bay heard numerous examples whereby a client would be taken-on by a service despite challenging individual circumstances, because they </w:t>
      </w:r>
      <w:r w:rsidR="007F660F" w:rsidRPr="00D35B9B">
        <w:rPr>
          <w:lang w:val="en-MY" w:eastAsia="en-AU"/>
        </w:rPr>
        <w:t xml:space="preserve">had </w:t>
      </w:r>
      <w:r w:rsidR="00BA0705" w:rsidRPr="00D35B9B">
        <w:rPr>
          <w:lang w:val="en-MY" w:eastAsia="en-AU"/>
        </w:rPr>
        <w:t>voluntar</w:t>
      </w:r>
      <w:r w:rsidR="007F660F" w:rsidRPr="00D35B9B">
        <w:rPr>
          <w:lang w:val="en-MY" w:eastAsia="en-AU"/>
        </w:rPr>
        <w:t xml:space="preserve">ily </w:t>
      </w:r>
      <w:r w:rsidR="00BA0705" w:rsidRPr="00D35B9B">
        <w:rPr>
          <w:lang w:val="en-MY" w:eastAsia="en-AU"/>
        </w:rPr>
        <w:t xml:space="preserve">engaged </w:t>
      </w:r>
      <w:r w:rsidR="00FF4285">
        <w:rPr>
          <w:lang w:val="en-MY" w:eastAsia="en-AU"/>
        </w:rPr>
        <w:t>and seemed motivated to participate</w:t>
      </w:r>
      <w:r w:rsidR="00BA0705" w:rsidRPr="00D35B9B">
        <w:rPr>
          <w:lang w:val="en-MY" w:eastAsia="en-AU"/>
        </w:rPr>
        <w:t xml:space="preserve">. </w:t>
      </w:r>
      <w:r w:rsidR="00FF4285">
        <w:rPr>
          <w:lang w:val="en-MY" w:eastAsia="en-AU"/>
        </w:rPr>
        <w:t>According to case workers, s</w:t>
      </w:r>
      <w:r w:rsidR="00BA0705" w:rsidRPr="00D35B9B">
        <w:rPr>
          <w:lang w:val="en-MY" w:eastAsia="en-AU"/>
        </w:rPr>
        <w:t>ervices w</w:t>
      </w:r>
      <w:r w:rsidR="00FF4285">
        <w:rPr>
          <w:lang w:val="en-MY" w:eastAsia="en-AU"/>
        </w:rPr>
        <w:t xml:space="preserve">ill </w:t>
      </w:r>
      <w:r w:rsidR="002C1390">
        <w:rPr>
          <w:lang w:val="en-MY" w:eastAsia="en-AU"/>
        </w:rPr>
        <w:t xml:space="preserve">not </w:t>
      </w:r>
      <w:r w:rsidR="00BA0705" w:rsidRPr="00D35B9B">
        <w:rPr>
          <w:lang w:val="en-MY" w:eastAsia="en-AU"/>
        </w:rPr>
        <w:t xml:space="preserve">reject a </w:t>
      </w:r>
      <w:r w:rsidR="00B8601D" w:rsidRPr="00D35B9B">
        <w:rPr>
          <w:lang w:val="en-MY" w:eastAsia="en-AU"/>
        </w:rPr>
        <w:t>consenting client</w:t>
      </w:r>
      <w:r w:rsidR="00BA0705" w:rsidRPr="00D35B9B">
        <w:rPr>
          <w:lang w:val="en-MY" w:eastAsia="en-AU"/>
        </w:rPr>
        <w:t>, irrespective of the nature of their offence, cognitive impairment</w:t>
      </w:r>
      <w:r w:rsidR="004A31BC" w:rsidRPr="00D35B9B">
        <w:rPr>
          <w:lang w:val="en-MY" w:eastAsia="en-AU"/>
        </w:rPr>
        <w:t xml:space="preserve">, </w:t>
      </w:r>
      <w:r w:rsidR="00BA0705" w:rsidRPr="00D35B9B">
        <w:rPr>
          <w:lang w:val="en-MY" w:eastAsia="en-AU"/>
        </w:rPr>
        <w:t>or other characteristic</w:t>
      </w:r>
      <w:r w:rsidR="00FF4285">
        <w:rPr>
          <w:lang w:val="en-MY" w:eastAsia="en-AU"/>
        </w:rPr>
        <w:t>s that may affect outcomes</w:t>
      </w:r>
      <w:r w:rsidR="00B8601D" w:rsidRPr="00D35B9B">
        <w:rPr>
          <w:lang w:val="en-MY" w:eastAsia="en-AU"/>
        </w:rPr>
        <w:t>.</w:t>
      </w:r>
    </w:p>
    <w:p w14:paraId="57143829" w14:textId="2B24E6F6" w:rsidR="00FE438E" w:rsidRPr="00D35B9B" w:rsidRDefault="00FF4285" w:rsidP="00FE438E">
      <w:pPr>
        <w:jc w:val="both"/>
        <w:rPr>
          <w:rFonts w:cstheme="minorHAnsi"/>
          <w:lang w:val="en-MY" w:eastAsia="en-AU"/>
        </w:rPr>
      </w:pPr>
      <w:r w:rsidRPr="00D35B9B">
        <w:rPr>
          <w:rFonts w:cstheme="minorHAnsi"/>
          <w:lang w:val="en-MY" w:eastAsia="en-AU"/>
        </w:rPr>
        <w:t>Service delivery by through care providers was considered by service partners responding to the online survey to be</w:t>
      </w:r>
      <w:r>
        <w:rPr>
          <w:rFonts w:cstheme="minorHAnsi"/>
          <w:lang w:val="en-MY" w:eastAsia="en-AU"/>
        </w:rPr>
        <w:t xml:space="preserve"> predominantly </w:t>
      </w:r>
      <w:r w:rsidRPr="00D35B9B">
        <w:rPr>
          <w:rFonts w:cstheme="minorHAnsi"/>
          <w:lang w:val="en-MY" w:eastAsia="en-AU"/>
        </w:rPr>
        <w:t>client-centred, with 74 percent of respondents identifying services as ‘always’ or ‘usually’ delivering individualised support with the person’s needs, strengths and risks at the centre, and just 8 percent identifying this attribute as ‘rarely’ or ‘never’ delivered.</w:t>
      </w:r>
      <w:r w:rsidR="00FE438E">
        <w:rPr>
          <w:rFonts w:cstheme="minorHAnsi"/>
          <w:lang w:val="en-MY" w:eastAsia="en-AU"/>
        </w:rPr>
        <w:t xml:space="preserve"> </w:t>
      </w:r>
      <w:r w:rsidR="002C1390">
        <w:rPr>
          <w:rFonts w:cstheme="minorHAnsi"/>
          <w:lang w:val="en-MY" w:eastAsia="en-AU"/>
        </w:rPr>
        <w:t xml:space="preserve">Through-care services were furthermore, regarded by survey respondents to be delivering services to clients that are adapted to the </w:t>
      </w:r>
      <w:r w:rsidR="00FE438E" w:rsidRPr="00D35B9B">
        <w:rPr>
          <w:rFonts w:cstheme="minorHAnsi"/>
          <w:lang w:val="en-MY" w:eastAsia="en-AU"/>
        </w:rPr>
        <w:t>gender</w:t>
      </w:r>
      <w:r w:rsidR="002C1390">
        <w:rPr>
          <w:rFonts w:cstheme="minorHAnsi"/>
          <w:lang w:val="en-MY" w:eastAsia="en-AU"/>
        </w:rPr>
        <w:t xml:space="preserve"> of their clients</w:t>
      </w:r>
      <w:r w:rsidR="00FE438E" w:rsidRPr="00D35B9B">
        <w:rPr>
          <w:rFonts w:cstheme="minorHAnsi"/>
          <w:lang w:val="en-MY" w:eastAsia="en-AU"/>
        </w:rPr>
        <w:t>, with 72 percent of respondents identifying services as ‘always’ or ‘usually’ providing a service whose practice acknowledges and is informed by factors relating to gender, and 13 percent identifying this attribute as ‘rarely’ or ‘never’ delivered.</w:t>
      </w:r>
      <w:r w:rsidR="002C1390">
        <w:rPr>
          <w:rFonts w:cstheme="minorHAnsi"/>
          <w:lang w:val="en-MY" w:eastAsia="en-AU"/>
        </w:rPr>
        <w:t xml:space="preserve"> These results support findings from interviews with clients, which found no evidence of client-centric principles being more or less applied to females than to males. </w:t>
      </w:r>
    </w:p>
    <w:p w14:paraId="13AFBC5E" w14:textId="77777777" w:rsidR="00FF4285" w:rsidRDefault="00FF4285" w:rsidP="00D35B9B">
      <w:pPr>
        <w:jc w:val="both"/>
        <w:rPr>
          <w:rFonts w:cstheme="minorHAnsi"/>
          <w:lang w:val="en-MY" w:eastAsia="en-AU"/>
        </w:rPr>
      </w:pPr>
    </w:p>
    <w:p w14:paraId="1F1CCB5A" w14:textId="6CD56363" w:rsidR="00FE438E" w:rsidRDefault="00D07D8C" w:rsidP="00D35B9B">
      <w:pPr>
        <w:jc w:val="both"/>
        <w:rPr>
          <w:rFonts w:cstheme="minorHAnsi"/>
          <w:lang w:val="en-MY" w:eastAsia="en-AU"/>
        </w:rPr>
      </w:pPr>
      <w:r>
        <w:rPr>
          <w:rFonts w:cstheme="minorHAnsi"/>
          <w:lang w:val="en-MY" w:eastAsia="en-AU"/>
        </w:rPr>
        <w:t>All</w:t>
      </w:r>
      <w:r w:rsidR="002C1390" w:rsidRPr="00D35B9B">
        <w:rPr>
          <w:rFonts w:cstheme="minorHAnsi"/>
          <w:lang w:val="en-MY" w:eastAsia="en-AU"/>
        </w:rPr>
        <w:t xml:space="preserve"> clients were </w:t>
      </w:r>
      <w:r w:rsidR="002C1390">
        <w:rPr>
          <w:rFonts w:cstheme="minorHAnsi"/>
          <w:lang w:val="en-MY" w:eastAsia="en-AU"/>
        </w:rPr>
        <w:t xml:space="preserve">also </w:t>
      </w:r>
      <w:r w:rsidR="002C1390" w:rsidRPr="00D35B9B">
        <w:rPr>
          <w:rFonts w:cstheme="minorHAnsi"/>
          <w:lang w:val="en-MY" w:eastAsia="en-AU"/>
        </w:rPr>
        <w:t>strongly of the view that their case workers were culturally respectful, and considered the role of culture in meeting their needs, even when the case worker did not identify as Indigenous.</w:t>
      </w:r>
      <w:r w:rsidR="002C1390">
        <w:rPr>
          <w:rFonts w:cstheme="minorHAnsi"/>
          <w:lang w:val="en-MY" w:eastAsia="en-AU"/>
        </w:rPr>
        <w:t xml:space="preserve"> </w:t>
      </w:r>
      <w:r w:rsidR="005D0756">
        <w:rPr>
          <w:rFonts w:cstheme="minorHAnsi"/>
          <w:lang w:val="en-MY" w:eastAsia="en-AU"/>
        </w:rPr>
        <w:t>It was stated by client’s that their Indigenous case</w:t>
      </w:r>
      <w:r w:rsidR="00694565">
        <w:rPr>
          <w:rFonts w:cstheme="minorHAnsi"/>
          <w:lang w:val="en-MY" w:eastAsia="en-AU"/>
        </w:rPr>
        <w:t xml:space="preserve"> </w:t>
      </w:r>
      <w:r w:rsidR="005D0756">
        <w:rPr>
          <w:rFonts w:cstheme="minorHAnsi"/>
          <w:lang w:val="en-MY" w:eastAsia="en-AU"/>
        </w:rPr>
        <w:t>worker, for example, understood “the proper way”</w:t>
      </w:r>
      <w:r w:rsidR="00136D0E">
        <w:rPr>
          <w:rFonts w:cstheme="minorHAnsi"/>
          <w:lang w:val="en-MY" w:eastAsia="en-AU"/>
        </w:rPr>
        <w:t xml:space="preserve">, </w:t>
      </w:r>
      <w:r w:rsidR="005D0756">
        <w:rPr>
          <w:rFonts w:cstheme="minorHAnsi"/>
          <w:lang w:val="en-MY" w:eastAsia="en-AU"/>
        </w:rPr>
        <w:t xml:space="preserve">or “knows to talk with all kinds of black fellas”, </w:t>
      </w:r>
      <w:r w:rsidR="00136D0E">
        <w:rPr>
          <w:rFonts w:cstheme="minorHAnsi"/>
          <w:lang w:val="en-MY" w:eastAsia="en-AU"/>
        </w:rPr>
        <w:t xml:space="preserve">while, </w:t>
      </w:r>
      <w:r w:rsidR="005D0756">
        <w:rPr>
          <w:rFonts w:cstheme="minorHAnsi"/>
          <w:lang w:val="en-MY" w:eastAsia="en-AU"/>
        </w:rPr>
        <w:t>a</w:t>
      </w:r>
      <w:r w:rsidR="009130E1">
        <w:rPr>
          <w:rFonts w:cstheme="minorHAnsi"/>
          <w:lang w:val="en-MY" w:eastAsia="en-AU"/>
        </w:rPr>
        <w:t>s one client put it when referring to their</w:t>
      </w:r>
      <w:r w:rsidR="005D0756">
        <w:rPr>
          <w:rFonts w:cstheme="minorHAnsi"/>
          <w:lang w:val="en-MY" w:eastAsia="en-AU"/>
        </w:rPr>
        <w:t xml:space="preserve"> non-Indigenous</w:t>
      </w:r>
      <w:r w:rsidR="009130E1">
        <w:rPr>
          <w:rFonts w:cstheme="minorHAnsi"/>
          <w:lang w:val="en-MY" w:eastAsia="en-AU"/>
        </w:rPr>
        <w:t xml:space="preserve"> case</w:t>
      </w:r>
      <w:r w:rsidR="00694565">
        <w:rPr>
          <w:rFonts w:cstheme="minorHAnsi"/>
          <w:lang w:val="en-MY" w:eastAsia="en-AU"/>
        </w:rPr>
        <w:t xml:space="preserve"> </w:t>
      </w:r>
      <w:r w:rsidR="009130E1">
        <w:rPr>
          <w:rFonts w:cstheme="minorHAnsi"/>
          <w:lang w:val="en-MY" w:eastAsia="en-AU"/>
        </w:rPr>
        <w:t>worker,</w:t>
      </w:r>
      <w:r w:rsidR="005D0756">
        <w:rPr>
          <w:rFonts w:cstheme="minorHAnsi"/>
          <w:lang w:val="en-MY" w:eastAsia="en-AU"/>
        </w:rPr>
        <w:t xml:space="preserve"> </w:t>
      </w:r>
      <w:r w:rsidR="009130E1">
        <w:rPr>
          <w:rFonts w:cstheme="minorHAnsi"/>
          <w:lang w:val="en-MY" w:eastAsia="en-AU"/>
        </w:rPr>
        <w:t>”</w:t>
      </w:r>
      <w:r w:rsidR="00136D0E">
        <w:rPr>
          <w:rFonts w:cstheme="minorHAnsi"/>
          <w:lang w:val="en-MY" w:eastAsia="en-AU"/>
        </w:rPr>
        <w:t>n</w:t>
      </w:r>
      <w:r w:rsidR="009130E1">
        <w:rPr>
          <w:rFonts w:cstheme="minorHAnsi"/>
          <w:lang w:val="en-MY" w:eastAsia="en-AU"/>
        </w:rPr>
        <w:t>o one else has done what he’s done, I talk with him like family now.”</w:t>
      </w:r>
      <w:r w:rsidR="005D0756">
        <w:rPr>
          <w:rFonts w:cstheme="minorHAnsi"/>
          <w:lang w:val="en-MY" w:eastAsia="en-AU"/>
        </w:rPr>
        <w:t xml:space="preserve"> </w:t>
      </w:r>
      <w:r w:rsidR="00001FAE" w:rsidRPr="00D35B9B">
        <w:rPr>
          <w:rFonts w:cstheme="minorHAnsi"/>
          <w:lang w:val="en-MY" w:eastAsia="en-AU"/>
        </w:rPr>
        <w:t>Cultural safety was thought to be achieved by services through a range of strategies including internal monitoring and review by a cultural advisor or c</w:t>
      </w:r>
      <w:r w:rsidR="00162C73" w:rsidRPr="00D35B9B">
        <w:rPr>
          <w:rFonts w:cstheme="minorHAnsi"/>
          <w:lang w:val="en-MY" w:eastAsia="en-AU"/>
        </w:rPr>
        <w:t>oordinator</w:t>
      </w:r>
      <w:r w:rsidR="00001FAE" w:rsidRPr="00D35B9B">
        <w:rPr>
          <w:rFonts w:cstheme="minorHAnsi"/>
          <w:lang w:val="en-MY" w:eastAsia="en-AU"/>
        </w:rPr>
        <w:t xml:space="preserve">, </w:t>
      </w:r>
      <w:r w:rsidR="00130EE6" w:rsidRPr="00D35B9B">
        <w:rPr>
          <w:rFonts w:cstheme="minorHAnsi"/>
          <w:lang w:val="en-MY" w:eastAsia="en-AU"/>
        </w:rPr>
        <w:t xml:space="preserve">employment of staff with lived experience </w:t>
      </w:r>
      <w:r w:rsidR="00B8601D" w:rsidRPr="00D35B9B">
        <w:rPr>
          <w:rFonts w:cstheme="minorHAnsi"/>
          <w:lang w:val="en-MY" w:eastAsia="en-AU"/>
        </w:rPr>
        <w:t xml:space="preserve">in Indigenous settings, </w:t>
      </w:r>
      <w:r w:rsidR="00001FAE" w:rsidRPr="00D35B9B">
        <w:rPr>
          <w:rFonts w:cstheme="minorHAnsi"/>
          <w:lang w:val="en-MY" w:eastAsia="en-AU"/>
        </w:rPr>
        <w:t>periodic use of client feedback surveys</w:t>
      </w:r>
      <w:r w:rsidR="00130EE6" w:rsidRPr="00D35B9B">
        <w:rPr>
          <w:rFonts w:cstheme="minorHAnsi"/>
          <w:lang w:val="en-MY" w:eastAsia="en-AU"/>
        </w:rPr>
        <w:t>, and through ongoing staff training and development. All services claimed to make explicit reference to cultural safety in practice frameworks, and to cultural competency training requirements in policies and procedures</w:t>
      </w:r>
      <w:r w:rsidR="00334B08" w:rsidRPr="00D35B9B">
        <w:rPr>
          <w:rFonts w:cstheme="minorHAnsi"/>
          <w:lang w:val="en-MY" w:eastAsia="en-AU"/>
        </w:rPr>
        <w:t xml:space="preserve">. </w:t>
      </w:r>
      <w:r w:rsidR="002C1390">
        <w:rPr>
          <w:rFonts w:cstheme="minorHAnsi"/>
          <w:lang w:val="en-MY" w:eastAsia="en-AU"/>
        </w:rPr>
        <w:t>The case study below provides evidence of the ways in which culture can be applied as part of a strengths-based approach to meaningful engagement with a client.</w:t>
      </w:r>
    </w:p>
    <w:p w14:paraId="0C4D7B5E" w14:textId="01118ECF" w:rsidR="00C55C6D" w:rsidRDefault="00C55C6D" w:rsidP="00D35B9B">
      <w:pPr>
        <w:jc w:val="both"/>
        <w:rPr>
          <w:rFonts w:cstheme="minorHAnsi"/>
          <w:lang w:val="en-MY" w:eastAsia="en-AU"/>
        </w:rPr>
      </w:pPr>
    </w:p>
    <w:p w14:paraId="7561575E" w14:textId="19A03906" w:rsidR="00E95F35" w:rsidRDefault="00C55C6D" w:rsidP="00D35B9B">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5" behindDoc="0" locked="0" layoutInCell="1" allowOverlap="1" wp14:anchorId="4FC38CBD" wp14:editId="046F8608">
                <wp:simplePos x="0" y="0"/>
                <wp:positionH relativeFrom="column">
                  <wp:posOffset>166</wp:posOffset>
                </wp:positionH>
                <wp:positionV relativeFrom="paragraph">
                  <wp:posOffset>9111</wp:posOffset>
                </wp:positionV>
                <wp:extent cx="5778500" cy="1477010"/>
                <wp:effectExtent l="12700" t="12700" r="12700" b="14605"/>
                <wp:wrapNone/>
                <wp:docPr id="1540653242" name="TextBox 5"/>
                <wp:cNvGraphicFramePr/>
                <a:graphic xmlns:a="http://schemas.openxmlformats.org/drawingml/2006/main">
                  <a:graphicData uri="http://schemas.microsoft.com/office/word/2010/wordprocessingShape">
                    <wps:wsp>
                      <wps:cNvSpPr txBox="1"/>
                      <wps:spPr>
                        <a:xfrm>
                          <a:off x="0" y="0"/>
                          <a:ext cx="577850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E72E65A" w14:textId="6B7F96E0" w:rsidR="009C42F3" w:rsidRPr="00817CAD" w:rsidRDefault="009C42F3" w:rsidP="00D842AD">
                            <w:pPr>
                              <w:rPr>
                                <w:rFonts w:hAnsi="Calibri" w:cs="Arial"/>
                                <w:color w:val="000000" w:themeColor="text1"/>
                                <w:kern w:val="24"/>
                                <w:sz w:val="20"/>
                                <w:szCs w:val="20"/>
                              </w:rPr>
                            </w:pPr>
                            <w:r>
                              <w:rPr>
                                <w:rFonts w:hAnsi="Calibri" w:cs="Arial"/>
                                <w:color w:val="000000" w:themeColor="text1"/>
                                <w:kern w:val="24"/>
                                <w:sz w:val="20"/>
                                <w:szCs w:val="20"/>
                              </w:rPr>
                              <w:t xml:space="preserve">Leon is aged between 10 and 14 years and has been working with a youth through-care case worker for approximately 8 months. Leon has </w:t>
                            </w:r>
                            <w:r w:rsidRPr="00D842AD">
                              <w:rPr>
                                <w:rFonts w:hAnsi="Calibri" w:cs="Arial"/>
                                <w:color w:val="000000" w:themeColor="text1"/>
                                <w:kern w:val="24"/>
                                <w:sz w:val="20"/>
                                <w:szCs w:val="20"/>
                              </w:rPr>
                              <w:t>complex</w:t>
                            </w:r>
                            <w:r>
                              <w:rPr>
                                <w:rFonts w:hAnsi="Calibri" w:cs="Arial"/>
                                <w:color w:val="000000" w:themeColor="text1"/>
                                <w:kern w:val="24"/>
                                <w:sz w:val="20"/>
                                <w:szCs w:val="20"/>
                              </w:rPr>
                              <w:t xml:space="preserve"> needs and is assessed as having </w:t>
                            </w:r>
                            <w:r w:rsidRPr="00D842AD">
                              <w:rPr>
                                <w:rFonts w:hAnsi="Calibri" w:cs="Arial"/>
                                <w:color w:val="000000" w:themeColor="text1"/>
                                <w:kern w:val="24"/>
                                <w:sz w:val="20"/>
                                <w:szCs w:val="20"/>
                              </w:rPr>
                              <w:t xml:space="preserve">significant trauma </w:t>
                            </w:r>
                            <w:r>
                              <w:rPr>
                                <w:rFonts w:hAnsi="Calibri" w:cs="Arial"/>
                                <w:color w:val="000000" w:themeColor="text1"/>
                                <w:kern w:val="24"/>
                                <w:sz w:val="20"/>
                                <w:szCs w:val="20"/>
                              </w:rPr>
                              <w:t>and high-risk behaviours including being both a victim and a perpetrator of violence. After the first three months of working with Leon his case worker spoke with him about the use of ‘</w:t>
                            </w:r>
                            <w:r w:rsidRPr="00D842AD">
                              <w:rPr>
                                <w:rFonts w:hAnsi="Calibri" w:cs="Arial"/>
                                <w:color w:val="000000" w:themeColor="text1"/>
                                <w:kern w:val="24"/>
                                <w:sz w:val="20"/>
                                <w:szCs w:val="20"/>
                              </w:rPr>
                              <w:t>cultur</w:t>
                            </w:r>
                            <w:r>
                              <w:rPr>
                                <w:rFonts w:hAnsi="Calibri" w:cs="Arial"/>
                                <w:color w:val="000000" w:themeColor="text1"/>
                                <w:kern w:val="24"/>
                                <w:sz w:val="20"/>
                                <w:szCs w:val="20"/>
                              </w:rPr>
                              <w:t>al</w:t>
                            </w:r>
                            <w:r w:rsidRPr="00D842AD">
                              <w:rPr>
                                <w:rFonts w:hAnsi="Calibri" w:cs="Arial"/>
                                <w:color w:val="000000" w:themeColor="text1"/>
                                <w:kern w:val="24"/>
                                <w:sz w:val="20"/>
                                <w:szCs w:val="20"/>
                              </w:rPr>
                              <w:t xml:space="preserve"> grounding tools</w:t>
                            </w:r>
                            <w:r>
                              <w:rPr>
                                <w:rFonts w:hAnsi="Calibri" w:cs="Arial"/>
                                <w:color w:val="000000" w:themeColor="text1"/>
                                <w:kern w:val="24"/>
                                <w:sz w:val="20"/>
                                <w:szCs w:val="20"/>
                              </w:rPr>
                              <w:t>’</w:t>
                            </w:r>
                            <w:r w:rsidRPr="00D842AD">
                              <w:rPr>
                                <w:rFonts w:hAnsi="Calibri" w:cs="Arial"/>
                                <w:color w:val="000000" w:themeColor="text1"/>
                                <w:kern w:val="24"/>
                                <w:sz w:val="20"/>
                                <w:szCs w:val="20"/>
                              </w:rPr>
                              <w:t xml:space="preserve"> to </w:t>
                            </w:r>
                            <w:r>
                              <w:rPr>
                                <w:rFonts w:hAnsi="Calibri" w:cs="Arial"/>
                                <w:color w:val="000000" w:themeColor="text1"/>
                                <w:kern w:val="24"/>
                                <w:sz w:val="20"/>
                                <w:szCs w:val="20"/>
                              </w:rPr>
                              <w:t xml:space="preserve">help him </w:t>
                            </w:r>
                            <w:r w:rsidRPr="00D842AD">
                              <w:rPr>
                                <w:rFonts w:hAnsi="Calibri" w:cs="Arial"/>
                                <w:color w:val="000000" w:themeColor="text1"/>
                                <w:kern w:val="24"/>
                                <w:sz w:val="20"/>
                                <w:szCs w:val="20"/>
                              </w:rPr>
                              <w:t>engage and build</w:t>
                            </w:r>
                            <w:r>
                              <w:rPr>
                                <w:rFonts w:hAnsi="Calibri" w:cs="Arial"/>
                                <w:color w:val="000000" w:themeColor="text1"/>
                                <w:kern w:val="24"/>
                                <w:sz w:val="20"/>
                                <w:szCs w:val="20"/>
                              </w:rPr>
                              <w:t>-up his identity. This included sessions with Elders, g</w:t>
                            </w:r>
                            <w:r w:rsidRPr="00D52228">
                              <w:rPr>
                                <w:rFonts w:hAnsi="Calibri" w:cs="Arial"/>
                                <w:color w:val="000000" w:themeColor="text1"/>
                                <w:kern w:val="24"/>
                                <w:sz w:val="20"/>
                                <w:szCs w:val="20"/>
                              </w:rPr>
                              <w:t>enealog</w:t>
                            </w:r>
                            <w:r>
                              <w:rPr>
                                <w:rFonts w:hAnsi="Calibri" w:cs="Arial"/>
                                <w:color w:val="000000" w:themeColor="text1"/>
                                <w:kern w:val="24"/>
                                <w:sz w:val="20"/>
                                <w:szCs w:val="20"/>
                              </w:rPr>
                              <w:t xml:space="preserve">ical inquiry, and listening to cultural stories from his places of country. Leon says these </w:t>
                            </w:r>
                            <w:r w:rsidRPr="00D842AD">
                              <w:rPr>
                                <w:rFonts w:hAnsi="Calibri" w:cs="Arial"/>
                                <w:color w:val="000000" w:themeColor="text1"/>
                                <w:kern w:val="24"/>
                                <w:sz w:val="20"/>
                                <w:szCs w:val="20"/>
                              </w:rPr>
                              <w:t xml:space="preserve">methods </w:t>
                            </w:r>
                            <w:r>
                              <w:rPr>
                                <w:rFonts w:hAnsi="Calibri" w:cs="Arial"/>
                                <w:color w:val="000000" w:themeColor="text1"/>
                                <w:kern w:val="24"/>
                                <w:sz w:val="20"/>
                                <w:szCs w:val="20"/>
                              </w:rPr>
                              <w:t xml:space="preserve">have helped him calm down and his case worker says they’ve seen a significant </w:t>
                            </w:r>
                            <w:r w:rsidRPr="00D842AD">
                              <w:rPr>
                                <w:rFonts w:hAnsi="Calibri" w:cs="Arial"/>
                                <w:color w:val="000000" w:themeColor="text1"/>
                                <w:kern w:val="24"/>
                                <w:sz w:val="20"/>
                                <w:szCs w:val="20"/>
                              </w:rPr>
                              <w:t>de</w:t>
                            </w:r>
                            <w:r>
                              <w:rPr>
                                <w:rFonts w:hAnsi="Calibri" w:cs="Arial"/>
                                <w:color w:val="000000" w:themeColor="text1"/>
                                <w:kern w:val="24"/>
                                <w:sz w:val="20"/>
                                <w:szCs w:val="20"/>
                              </w:rPr>
                              <w:t>-</w:t>
                            </w:r>
                            <w:r w:rsidRPr="00D842AD">
                              <w:rPr>
                                <w:rFonts w:hAnsi="Calibri" w:cs="Arial"/>
                                <w:color w:val="000000" w:themeColor="text1"/>
                                <w:kern w:val="24"/>
                                <w:sz w:val="20"/>
                                <w:szCs w:val="20"/>
                              </w:rPr>
                              <w:t>escalati</w:t>
                            </w:r>
                            <w:r>
                              <w:rPr>
                                <w:rFonts w:hAnsi="Calibri" w:cs="Arial"/>
                                <w:color w:val="000000" w:themeColor="text1"/>
                                <w:kern w:val="24"/>
                                <w:sz w:val="20"/>
                                <w:szCs w:val="20"/>
                              </w:rPr>
                              <w:t>on in</w:t>
                            </w:r>
                            <w:r w:rsidRPr="00D842AD">
                              <w:rPr>
                                <w:rFonts w:hAnsi="Calibri" w:cs="Arial"/>
                                <w:color w:val="000000" w:themeColor="text1"/>
                                <w:kern w:val="24"/>
                                <w:sz w:val="20"/>
                                <w:szCs w:val="20"/>
                              </w:rPr>
                              <w:t xml:space="preserve"> his </w:t>
                            </w:r>
                            <w:r>
                              <w:rPr>
                                <w:rFonts w:hAnsi="Calibri" w:cs="Arial"/>
                                <w:color w:val="000000" w:themeColor="text1"/>
                                <w:kern w:val="24"/>
                                <w:sz w:val="20"/>
                                <w:szCs w:val="20"/>
                              </w:rPr>
                              <w:t xml:space="preserve">anger. Leon feels </w:t>
                            </w:r>
                            <w:r w:rsidRPr="00D842AD">
                              <w:rPr>
                                <w:rFonts w:hAnsi="Calibri" w:cs="Arial"/>
                                <w:color w:val="000000" w:themeColor="text1"/>
                                <w:kern w:val="24"/>
                                <w:sz w:val="20"/>
                                <w:szCs w:val="20"/>
                              </w:rPr>
                              <w:t xml:space="preserve">a lot more grounded </w:t>
                            </w:r>
                            <w:r>
                              <w:rPr>
                                <w:rFonts w:hAnsi="Calibri" w:cs="Arial"/>
                                <w:color w:val="000000" w:themeColor="text1"/>
                                <w:kern w:val="24"/>
                                <w:sz w:val="20"/>
                                <w:szCs w:val="20"/>
                              </w:rPr>
                              <w:t xml:space="preserve">with a stronger sense of purpose and </w:t>
                            </w:r>
                            <w:r w:rsidRPr="00D842AD">
                              <w:rPr>
                                <w:rFonts w:hAnsi="Calibri" w:cs="Arial"/>
                                <w:color w:val="000000" w:themeColor="text1"/>
                                <w:kern w:val="24"/>
                                <w:sz w:val="20"/>
                                <w:szCs w:val="20"/>
                              </w:rPr>
                              <w:t>belonging</w:t>
                            </w:r>
                            <w:r>
                              <w:rPr>
                                <w:rFonts w:hAnsi="Calibri" w:cs="Arial"/>
                                <w:color w:val="000000" w:themeColor="text1"/>
                                <w:kern w:val="24"/>
                                <w:sz w:val="20"/>
                                <w:szCs w:val="20"/>
                              </w:rPr>
                              <w:t xml:space="preserve"> now that he’s more aware of who he is and where he’s from. </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4FC38CBD" id="_x0000_s1065" type="#_x0000_t202" style="position:absolute;left:0;text-align:left;margin-left:0;margin-top:.7pt;width:455pt;height:116.3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" fillcolor="white [3201]" strokecolor="#4bacc6 [3208]" strokeweight="2pt">
                <v:textbox style="mso-fit-shape-to-text:t">
                  <w:txbxContent>
                    <w:p w14:paraId="3E72E65A" w14:textId="6B7F96E0" w:rsidR="009C42F3" w:rsidRPr="00817CAD" w:rsidRDefault="009C42F3" w:rsidP="00D842AD">
                      <w:pPr>
                        <w:rPr>
                          <w:rFonts w:hAnsi="Calibri" w:cs="Arial"/>
                          <w:color w:val="000000" w:themeColor="text1"/>
                          <w:kern w:val="24"/>
                          <w:sz w:val="20"/>
                          <w:szCs w:val="20"/>
                        </w:rPr>
                      </w:pPr>
                      <w:r>
                        <w:rPr>
                          <w:rFonts w:hAnsi="Calibri" w:cs="Arial"/>
                          <w:color w:val="000000" w:themeColor="text1"/>
                          <w:kern w:val="24"/>
                          <w:sz w:val="20"/>
                          <w:szCs w:val="20"/>
                        </w:rPr>
                        <w:t xml:space="preserve">Leon is aged between 10 and 14 years and has been working with a youth through-care case worker for approximately 8 months. Leon has </w:t>
                      </w:r>
                      <w:r w:rsidRPr="00D842AD">
                        <w:rPr>
                          <w:rFonts w:hAnsi="Calibri" w:cs="Arial"/>
                          <w:color w:val="000000" w:themeColor="text1"/>
                          <w:kern w:val="24"/>
                          <w:sz w:val="20"/>
                          <w:szCs w:val="20"/>
                        </w:rPr>
                        <w:t>complex</w:t>
                      </w:r>
                      <w:r>
                        <w:rPr>
                          <w:rFonts w:hAnsi="Calibri" w:cs="Arial"/>
                          <w:color w:val="000000" w:themeColor="text1"/>
                          <w:kern w:val="24"/>
                          <w:sz w:val="20"/>
                          <w:szCs w:val="20"/>
                        </w:rPr>
                        <w:t xml:space="preserve"> needs and is assessed as having </w:t>
                      </w:r>
                      <w:r w:rsidRPr="00D842AD">
                        <w:rPr>
                          <w:rFonts w:hAnsi="Calibri" w:cs="Arial"/>
                          <w:color w:val="000000" w:themeColor="text1"/>
                          <w:kern w:val="24"/>
                          <w:sz w:val="20"/>
                          <w:szCs w:val="20"/>
                        </w:rPr>
                        <w:t xml:space="preserve">significant trauma </w:t>
                      </w:r>
                      <w:r>
                        <w:rPr>
                          <w:rFonts w:hAnsi="Calibri" w:cs="Arial"/>
                          <w:color w:val="000000" w:themeColor="text1"/>
                          <w:kern w:val="24"/>
                          <w:sz w:val="20"/>
                          <w:szCs w:val="20"/>
                        </w:rPr>
                        <w:t>and high-risk behaviours including being both a victim and a perpetrator of violence. After the first three months of working with Leon his case worker spoke with him about the use of ‘</w:t>
                      </w:r>
                      <w:r w:rsidRPr="00D842AD">
                        <w:rPr>
                          <w:rFonts w:hAnsi="Calibri" w:cs="Arial"/>
                          <w:color w:val="000000" w:themeColor="text1"/>
                          <w:kern w:val="24"/>
                          <w:sz w:val="20"/>
                          <w:szCs w:val="20"/>
                        </w:rPr>
                        <w:t>cultur</w:t>
                      </w:r>
                      <w:r>
                        <w:rPr>
                          <w:rFonts w:hAnsi="Calibri" w:cs="Arial"/>
                          <w:color w:val="000000" w:themeColor="text1"/>
                          <w:kern w:val="24"/>
                          <w:sz w:val="20"/>
                          <w:szCs w:val="20"/>
                        </w:rPr>
                        <w:t>al</w:t>
                      </w:r>
                      <w:r w:rsidRPr="00D842AD">
                        <w:rPr>
                          <w:rFonts w:hAnsi="Calibri" w:cs="Arial"/>
                          <w:color w:val="000000" w:themeColor="text1"/>
                          <w:kern w:val="24"/>
                          <w:sz w:val="20"/>
                          <w:szCs w:val="20"/>
                        </w:rPr>
                        <w:t xml:space="preserve"> grounding tools</w:t>
                      </w:r>
                      <w:r>
                        <w:rPr>
                          <w:rFonts w:hAnsi="Calibri" w:cs="Arial"/>
                          <w:color w:val="000000" w:themeColor="text1"/>
                          <w:kern w:val="24"/>
                          <w:sz w:val="20"/>
                          <w:szCs w:val="20"/>
                        </w:rPr>
                        <w:t>’</w:t>
                      </w:r>
                      <w:r w:rsidRPr="00D842AD">
                        <w:rPr>
                          <w:rFonts w:hAnsi="Calibri" w:cs="Arial"/>
                          <w:color w:val="000000" w:themeColor="text1"/>
                          <w:kern w:val="24"/>
                          <w:sz w:val="20"/>
                          <w:szCs w:val="20"/>
                        </w:rPr>
                        <w:t xml:space="preserve"> to </w:t>
                      </w:r>
                      <w:r>
                        <w:rPr>
                          <w:rFonts w:hAnsi="Calibri" w:cs="Arial"/>
                          <w:color w:val="000000" w:themeColor="text1"/>
                          <w:kern w:val="24"/>
                          <w:sz w:val="20"/>
                          <w:szCs w:val="20"/>
                        </w:rPr>
                        <w:t xml:space="preserve">help him </w:t>
                      </w:r>
                      <w:r w:rsidRPr="00D842AD">
                        <w:rPr>
                          <w:rFonts w:hAnsi="Calibri" w:cs="Arial"/>
                          <w:color w:val="000000" w:themeColor="text1"/>
                          <w:kern w:val="24"/>
                          <w:sz w:val="20"/>
                          <w:szCs w:val="20"/>
                        </w:rPr>
                        <w:t>engage and build</w:t>
                      </w:r>
                      <w:r>
                        <w:rPr>
                          <w:rFonts w:hAnsi="Calibri" w:cs="Arial"/>
                          <w:color w:val="000000" w:themeColor="text1"/>
                          <w:kern w:val="24"/>
                          <w:sz w:val="20"/>
                          <w:szCs w:val="20"/>
                        </w:rPr>
                        <w:t>-up his identity. This included sessions with Elders, g</w:t>
                      </w:r>
                      <w:r w:rsidRPr="00D52228">
                        <w:rPr>
                          <w:rFonts w:hAnsi="Calibri" w:cs="Arial"/>
                          <w:color w:val="000000" w:themeColor="text1"/>
                          <w:kern w:val="24"/>
                          <w:sz w:val="20"/>
                          <w:szCs w:val="20"/>
                        </w:rPr>
                        <w:t>enealog</w:t>
                      </w:r>
                      <w:r>
                        <w:rPr>
                          <w:rFonts w:hAnsi="Calibri" w:cs="Arial"/>
                          <w:color w:val="000000" w:themeColor="text1"/>
                          <w:kern w:val="24"/>
                          <w:sz w:val="20"/>
                          <w:szCs w:val="20"/>
                        </w:rPr>
                        <w:t xml:space="preserve">ical inquiry, and listening to cultural stories from his places of country. Leon says these </w:t>
                      </w:r>
                      <w:r w:rsidRPr="00D842AD">
                        <w:rPr>
                          <w:rFonts w:hAnsi="Calibri" w:cs="Arial"/>
                          <w:color w:val="000000" w:themeColor="text1"/>
                          <w:kern w:val="24"/>
                          <w:sz w:val="20"/>
                          <w:szCs w:val="20"/>
                        </w:rPr>
                        <w:t xml:space="preserve">methods </w:t>
                      </w:r>
                      <w:r>
                        <w:rPr>
                          <w:rFonts w:hAnsi="Calibri" w:cs="Arial"/>
                          <w:color w:val="000000" w:themeColor="text1"/>
                          <w:kern w:val="24"/>
                          <w:sz w:val="20"/>
                          <w:szCs w:val="20"/>
                        </w:rPr>
                        <w:t xml:space="preserve">have helped him calm down and his case worker says they’ve seen a significant </w:t>
                      </w:r>
                      <w:r w:rsidRPr="00D842AD">
                        <w:rPr>
                          <w:rFonts w:hAnsi="Calibri" w:cs="Arial"/>
                          <w:color w:val="000000" w:themeColor="text1"/>
                          <w:kern w:val="24"/>
                          <w:sz w:val="20"/>
                          <w:szCs w:val="20"/>
                        </w:rPr>
                        <w:t>de</w:t>
                      </w:r>
                      <w:r>
                        <w:rPr>
                          <w:rFonts w:hAnsi="Calibri" w:cs="Arial"/>
                          <w:color w:val="000000" w:themeColor="text1"/>
                          <w:kern w:val="24"/>
                          <w:sz w:val="20"/>
                          <w:szCs w:val="20"/>
                        </w:rPr>
                        <w:t>-</w:t>
                      </w:r>
                      <w:r w:rsidRPr="00D842AD">
                        <w:rPr>
                          <w:rFonts w:hAnsi="Calibri" w:cs="Arial"/>
                          <w:color w:val="000000" w:themeColor="text1"/>
                          <w:kern w:val="24"/>
                          <w:sz w:val="20"/>
                          <w:szCs w:val="20"/>
                        </w:rPr>
                        <w:t>escalati</w:t>
                      </w:r>
                      <w:r>
                        <w:rPr>
                          <w:rFonts w:hAnsi="Calibri" w:cs="Arial"/>
                          <w:color w:val="000000" w:themeColor="text1"/>
                          <w:kern w:val="24"/>
                          <w:sz w:val="20"/>
                          <w:szCs w:val="20"/>
                        </w:rPr>
                        <w:t>on in</w:t>
                      </w:r>
                      <w:r w:rsidRPr="00D842AD">
                        <w:rPr>
                          <w:rFonts w:hAnsi="Calibri" w:cs="Arial"/>
                          <w:color w:val="000000" w:themeColor="text1"/>
                          <w:kern w:val="24"/>
                          <w:sz w:val="20"/>
                          <w:szCs w:val="20"/>
                        </w:rPr>
                        <w:t xml:space="preserve"> his </w:t>
                      </w:r>
                      <w:r>
                        <w:rPr>
                          <w:rFonts w:hAnsi="Calibri" w:cs="Arial"/>
                          <w:color w:val="000000" w:themeColor="text1"/>
                          <w:kern w:val="24"/>
                          <w:sz w:val="20"/>
                          <w:szCs w:val="20"/>
                        </w:rPr>
                        <w:t xml:space="preserve">anger. Leon feels </w:t>
                      </w:r>
                      <w:r w:rsidRPr="00D842AD">
                        <w:rPr>
                          <w:rFonts w:hAnsi="Calibri" w:cs="Arial"/>
                          <w:color w:val="000000" w:themeColor="text1"/>
                          <w:kern w:val="24"/>
                          <w:sz w:val="20"/>
                          <w:szCs w:val="20"/>
                        </w:rPr>
                        <w:t xml:space="preserve">a lot more grounded </w:t>
                      </w:r>
                      <w:r>
                        <w:rPr>
                          <w:rFonts w:hAnsi="Calibri" w:cs="Arial"/>
                          <w:color w:val="000000" w:themeColor="text1"/>
                          <w:kern w:val="24"/>
                          <w:sz w:val="20"/>
                          <w:szCs w:val="20"/>
                        </w:rPr>
                        <w:t xml:space="preserve">with a stronger sense of purpose and </w:t>
                      </w:r>
                      <w:r w:rsidRPr="00D842AD">
                        <w:rPr>
                          <w:rFonts w:hAnsi="Calibri" w:cs="Arial"/>
                          <w:color w:val="000000" w:themeColor="text1"/>
                          <w:kern w:val="24"/>
                          <w:sz w:val="20"/>
                          <w:szCs w:val="20"/>
                        </w:rPr>
                        <w:t>belonging</w:t>
                      </w:r>
                      <w:r>
                        <w:rPr>
                          <w:rFonts w:hAnsi="Calibri" w:cs="Arial"/>
                          <w:color w:val="000000" w:themeColor="text1"/>
                          <w:kern w:val="24"/>
                          <w:sz w:val="20"/>
                          <w:szCs w:val="20"/>
                        </w:rPr>
                        <w:t xml:space="preserve"> now that he’s more aware of who he is and where he’s from. </w:t>
                      </w:r>
                    </w:p>
                  </w:txbxContent>
                </v:textbox>
              </v:shape>
            </w:pict>
          </mc:Fallback>
        </mc:AlternateContent>
      </w:r>
    </w:p>
    <w:p w14:paraId="367FD11F" w14:textId="6594014C" w:rsidR="00E95F35" w:rsidRDefault="00E95F35" w:rsidP="00D35B9B">
      <w:pPr>
        <w:jc w:val="both"/>
        <w:rPr>
          <w:rFonts w:cstheme="minorHAnsi"/>
          <w:lang w:val="en-MY" w:eastAsia="en-AU"/>
        </w:rPr>
      </w:pPr>
    </w:p>
    <w:p w14:paraId="1E2AA76C" w14:textId="0C54368A" w:rsidR="00E95F35" w:rsidRDefault="00E95F35" w:rsidP="00D35B9B">
      <w:pPr>
        <w:jc w:val="both"/>
        <w:rPr>
          <w:rFonts w:cstheme="minorHAnsi"/>
          <w:lang w:val="en-MY" w:eastAsia="en-AU"/>
        </w:rPr>
      </w:pPr>
    </w:p>
    <w:p w14:paraId="08E27847" w14:textId="0B881510" w:rsidR="00E95F35" w:rsidRDefault="00E95F35" w:rsidP="00D35B9B">
      <w:pPr>
        <w:jc w:val="both"/>
        <w:rPr>
          <w:rFonts w:cstheme="minorHAnsi"/>
          <w:lang w:val="en-MY" w:eastAsia="en-AU"/>
        </w:rPr>
      </w:pPr>
    </w:p>
    <w:p w14:paraId="3EFF7955" w14:textId="7EADA143" w:rsidR="007A2AE1" w:rsidRDefault="007A2AE1" w:rsidP="00D35B9B">
      <w:pPr>
        <w:jc w:val="both"/>
        <w:rPr>
          <w:rFonts w:cstheme="minorHAnsi"/>
          <w:lang w:val="en-MY" w:eastAsia="en-AU"/>
        </w:rPr>
      </w:pPr>
    </w:p>
    <w:p w14:paraId="57AE4EFD" w14:textId="77777777" w:rsidR="007A2AE1" w:rsidRDefault="007A2AE1" w:rsidP="00D35B9B">
      <w:pPr>
        <w:jc w:val="both"/>
        <w:rPr>
          <w:rFonts w:cstheme="minorHAnsi"/>
          <w:lang w:val="en-MY" w:eastAsia="en-AU"/>
        </w:rPr>
      </w:pPr>
    </w:p>
    <w:p w14:paraId="14ACC6B2" w14:textId="1CAC729D" w:rsidR="00FF4285" w:rsidRDefault="00FF4285" w:rsidP="00D35B9B">
      <w:pPr>
        <w:jc w:val="both"/>
        <w:rPr>
          <w:rFonts w:cstheme="minorHAnsi"/>
          <w:lang w:val="en-MY" w:eastAsia="en-AU"/>
        </w:rPr>
      </w:pPr>
    </w:p>
    <w:p w14:paraId="65770A6E" w14:textId="112E3A26" w:rsidR="00FF4285" w:rsidRDefault="00FF4285" w:rsidP="00D35B9B">
      <w:pPr>
        <w:jc w:val="both"/>
        <w:rPr>
          <w:rFonts w:cstheme="minorHAnsi"/>
          <w:lang w:val="en-MY" w:eastAsia="en-AU"/>
        </w:rPr>
      </w:pPr>
    </w:p>
    <w:p w14:paraId="547ACBED" w14:textId="47E58C9D" w:rsidR="00FF4285" w:rsidRDefault="00FF4285" w:rsidP="00D35B9B">
      <w:pPr>
        <w:jc w:val="both"/>
        <w:rPr>
          <w:rFonts w:cstheme="minorHAnsi"/>
          <w:lang w:val="en-MY" w:eastAsia="en-AU"/>
        </w:rPr>
      </w:pPr>
    </w:p>
    <w:p w14:paraId="1DAC9C9C" w14:textId="18CC022B" w:rsidR="00FE438E" w:rsidRPr="00D35B9B" w:rsidRDefault="002C1390" w:rsidP="00FE438E">
      <w:pPr>
        <w:jc w:val="both"/>
        <w:rPr>
          <w:rFonts w:cstheme="minorHAnsi"/>
          <w:lang w:val="en-MY" w:eastAsia="en-AU"/>
        </w:rPr>
      </w:pPr>
      <w:r w:rsidRPr="00D35B9B">
        <w:rPr>
          <w:rFonts w:cstheme="minorHAnsi"/>
          <w:lang w:val="en-MY" w:eastAsia="en-AU"/>
        </w:rPr>
        <w:t>The extent to which services embedded client cultural safety as a priority was frequently demonstrated by the way in which case workers might advocate for their clients in interactions with other services, if they felt a client’s cultural needs were not being met</w:t>
      </w:r>
      <w:r w:rsidR="00136D0E">
        <w:rPr>
          <w:rFonts w:cstheme="minorHAnsi"/>
          <w:lang w:val="en-MY" w:eastAsia="en-AU"/>
        </w:rPr>
        <w:t xml:space="preserve">. In one case, for example, a client who </w:t>
      </w:r>
      <w:r w:rsidR="00431546">
        <w:rPr>
          <w:rFonts w:cstheme="minorHAnsi"/>
          <w:lang w:val="en-MY" w:eastAsia="en-AU"/>
        </w:rPr>
        <w:t>re</w:t>
      </w:r>
      <w:r w:rsidR="00136D0E">
        <w:rPr>
          <w:rFonts w:cstheme="minorHAnsi"/>
          <w:lang w:val="en-MY" w:eastAsia="en-AU"/>
        </w:rPr>
        <w:t>fused to attend a mainstream AoD program because he did not feel culturally safe, was able to work with their case</w:t>
      </w:r>
      <w:r w:rsidR="00694565">
        <w:rPr>
          <w:rFonts w:cstheme="minorHAnsi"/>
          <w:lang w:val="en-MY" w:eastAsia="en-AU"/>
        </w:rPr>
        <w:t xml:space="preserve"> </w:t>
      </w:r>
      <w:r w:rsidR="00136D0E">
        <w:rPr>
          <w:rFonts w:cstheme="minorHAnsi"/>
          <w:lang w:val="en-MY" w:eastAsia="en-AU"/>
        </w:rPr>
        <w:t xml:space="preserve">worker on negotiating </w:t>
      </w:r>
      <w:r w:rsidR="00431546">
        <w:rPr>
          <w:rFonts w:cstheme="minorHAnsi"/>
          <w:lang w:val="en-MY" w:eastAsia="en-AU"/>
        </w:rPr>
        <w:t xml:space="preserve">attendance at an </w:t>
      </w:r>
      <w:r w:rsidR="00136D0E">
        <w:rPr>
          <w:rFonts w:cstheme="minorHAnsi"/>
          <w:lang w:val="en-MY" w:eastAsia="en-AU"/>
        </w:rPr>
        <w:t xml:space="preserve">alternative </w:t>
      </w:r>
      <w:r w:rsidR="00431546">
        <w:rPr>
          <w:rFonts w:cstheme="minorHAnsi"/>
          <w:lang w:val="en-MY" w:eastAsia="en-AU"/>
        </w:rPr>
        <w:t>and more suitable program, despite this requiring negotiation and approval by parole services and other logistical arrangements to be put in place</w:t>
      </w:r>
      <w:r w:rsidRPr="00D35B9B">
        <w:rPr>
          <w:rFonts w:cstheme="minorHAnsi"/>
          <w:lang w:val="en-MY" w:eastAsia="en-AU"/>
        </w:rPr>
        <w:t>.</w:t>
      </w:r>
      <w:r>
        <w:rPr>
          <w:rFonts w:cstheme="minorHAnsi"/>
          <w:lang w:val="en-MY" w:eastAsia="en-AU"/>
        </w:rPr>
        <w:t xml:space="preserve"> </w:t>
      </w:r>
      <w:r w:rsidR="00FE438E" w:rsidRPr="00D35B9B">
        <w:rPr>
          <w:rFonts w:cstheme="minorHAnsi"/>
          <w:lang w:val="en-MY" w:eastAsia="en-AU"/>
        </w:rPr>
        <w:t>Service delivery by through</w:t>
      </w:r>
      <w:r w:rsidR="00A34234">
        <w:rPr>
          <w:rFonts w:cstheme="minorHAnsi"/>
          <w:lang w:val="en-MY" w:eastAsia="en-AU"/>
        </w:rPr>
        <w:t>-</w:t>
      </w:r>
      <w:r w:rsidR="00FE438E" w:rsidRPr="00D35B9B">
        <w:rPr>
          <w:rFonts w:cstheme="minorHAnsi"/>
          <w:lang w:val="en-MY" w:eastAsia="en-AU"/>
        </w:rPr>
        <w:t xml:space="preserve">care providers was </w:t>
      </w:r>
      <w:r w:rsidR="00431546">
        <w:rPr>
          <w:rFonts w:cstheme="minorHAnsi"/>
          <w:lang w:val="en-MY" w:eastAsia="en-AU"/>
        </w:rPr>
        <w:t xml:space="preserve">similarly </w:t>
      </w:r>
      <w:r w:rsidR="00FE438E" w:rsidRPr="00D35B9B">
        <w:rPr>
          <w:rFonts w:cstheme="minorHAnsi"/>
          <w:lang w:val="en-MY" w:eastAsia="en-AU"/>
        </w:rPr>
        <w:t>considered by service partners responding to the online survey to be largely culturally safe, with 76 percent of respondents identifying services as ‘always’ or ‘usually’ providing a service environment that supports a safe and positive experience in relation to the client’s Aboriginal and Torres Strait Islander culture, and just 9 percent identifying this attribute as ‘rarely’ or ‘never’ delivered.</w:t>
      </w:r>
      <w:r w:rsidR="00FE438E">
        <w:rPr>
          <w:rFonts w:cstheme="minorHAnsi"/>
          <w:lang w:val="en-MY" w:eastAsia="en-AU"/>
        </w:rPr>
        <w:t xml:space="preserve"> Survey results with regards to the extent to which services are</w:t>
      </w:r>
      <w:r w:rsidR="00FE438E" w:rsidRPr="00D35B9B">
        <w:rPr>
          <w:rFonts w:cstheme="minorHAnsi"/>
          <w:lang w:val="en-MY" w:eastAsia="en-AU"/>
        </w:rPr>
        <w:t xml:space="preserve"> trauma-informed</w:t>
      </w:r>
      <w:r w:rsidR="00FE438E">
        <w:rPr>
          <w:rFonts w:cstheme="minorHAnsi"/>
          <w:lang w:val="en-MY" w:eastAsia="en-AU"/>
        </w:rPr>
        <w:t xml:space="preserve"> were similar,</w:t>
      </w:r>
      <w:r w:rsidR="00FE438E" w:rsidRPr="00D35B9B">
        <w:rPr>
          <w:rFonts w:cstheme="minorHAnsi"/>
          <w:lang w:val="en-MY" w:eastAsia="en-AU"/>
        </w:rPr>
        <w:t xml:space="preserve"> </w:t>
      </w:r>
      <w:r w:rsidR="007E4DBB">
        <w:rPr>
          <w:rFonts w:cstheme="minorHAnsi"/>
          <w:lang w:val="en-MY" w:eastAsia="en-AU"/>
        </w:rPr>
        <w:t xml:space="preserve">but somewhat less positive, </w:t>
      </w:r>
      <w:r w:rsidR="00FE438E" w:rsidRPr="00D35B9B">
        <w:rPr>
          <w:rFonts w:cstheme="minorHAnsi"/>
          <w:lang w:val="en-MY" w:eastAsia="en-AU"/>
        </w:rPr>
        <w:t>with 67 percent of respondents identifying services as ‘always’ or ‘usually’ providing a service whose practice acknowledges and is informed by experiences of trauma</w:t>
      </w:r>
      <w:r w:rsidR="00E95F35">
        <w:rPr>
          <w:rFonts w:cstheme="minorHAnsi"/>
          <w:lang w:val="en-MY" w:eastAsia="en-AU"/>
        </w:rPr>
        <w:t xml:space="preserve">, </w:t>
      </w:r>
      <w:r w:rsidR="007E4DBB">
        <w:rPr>
          <w:rFonts w:cstheme="minorHAnsi"/>
          <w:lang w:val="en-MY" w:eastAsia="en-AU"/>
        </w:rPr>
        <w:t xml:space="preserve">22 percent describing this a ‘somewhat’, </w:t>
      </w:r>
      <w:r w:rsidR="00FE438E" w:rsidRPr="00D35B9B">
        <w:rPr>
          <w:rFonts w:cstheme="minorHAnsi"/>
          <w:lang w:val="en-MY" w:eastAsia="en-AU"/>
        </w:rPr>
        <w:t>and 11 percent identifying this attribute as ‘rarely’ or ‘never’ delivered.</w:t>
      </w:r>
    </w:p>
    <w:p w14:paraId="1B155225" w14:textId="6AC2BE0E" w:rsidR="00FF4285" w:rsidRDefault="00FF4285" w:rsidP="00D35B9B">
      <w:pPr>
        <w:jc w:val="both"/>
        <w:rPr>
          <w:rFonts w:cstheme="minorHAnsi"/>
          <w:lang w:val="en-MY" w:eastAsia="en-AU"/>
        </w:rPr>
      </w:pPr>
    </w:p>
    <w:p w14:paraId="7F51AF80" w14:textId="6BB35D70" w:rsidR="007324C6" w:rsidRPr="00B21295" w:rsidRDefault="00CF04D7" w:rsidP="00D35B9B">
      <w:pPr>
        <w:jc w:val="both"/>
        <w:rPr>
          <w:rFonts w:cstheme="minorHAnsi"/>
          <w:lang w:val="en-MY" w:eastAsia="en-AU"/>
        </w:rPr>
      </w:pPr>
      <w:r w:rsidRPr="00D35B9B">
        <w:rPr>
          <w:rFonts w:cstheme="minorHAnsi"/>
          <w:lang w:val="en-MY" w:eastAsia="en-AU"/>
        </w:rPr>
        <w:t>In addition, where available, many services will seek to make referrals to cultural strengthening programs, on the grounds that c</w:t>
      </w:r>
      <w:r w:rsidR="00B8601D" w:rsidRPr="00D35B9B">
        <w:rPr>
          <w:rFonts w:cstheme="minorHAnsi"/>
          <w:lang w:val="en-MY" w:eastAsia="en-AU"/>
        </w:rPr>
        <w:t xml:space="preserve">onnection to culture </w:t>
      </w:r>
      <w:r w:rsidRPr="00D35B9B">
        <w:rPr>
          <w:rFonts w:cstheme="minorHAnsi"/>
          <w:lang w:val="en-MY" w:eastAsia="en-AU"/>
        </w:rPr>
        <w:t>is</w:t>
      </w:r>
      <w:r w:rsidR="00B8601D" w:rsidRPr="00D35B9B">
        <w:rPr>
          <w:rFonts w:cstheme="minorHAnsi"/>
          <w:lang w:val="en-MY" w:eastAsia="en-AU"/>
        </w:rPr>
        <w:t xml:space="preserve"> extremely important to </w:t>
      </w:r>
      <w:r w:rsidRPr="00D35B9B">
        <w:rPr>
          <w:rFonts w:cstheme="minorHAnsi"/>
          <w:lang w:val="en-MY" w:eastAsia="en-AU"/>
        </w:rPr>
        <w:t xml:space="preserve">their clients. For </w:t>
      </w:r>
      <w:r w:rsidR="001F273B" w:rsidRPr="00D35B9B">
        <w:rPr>
          <w:rFonts w:cstheme="minorHAnsi"/>
          <w:lang w:val="en-MY" w:eastAsia="en-AU"/>
        </w:rPr>
        <w:t>some services</w:t>
      </w:r>
      <w:r w:rsidR="00215926">
        <w:rPr>
          <w:rFonts w:cstheme="minorHAnsi"/>
          <w:lang w:val="en-MY" w:eastAsia="en-AU"/>
        </w:rPr>
        <w:t xml:space="preserve">, </w:t>
      </w:r>
      <w:r w:rsidRPr="00D35B9B">
        <w:rPr>
          <w:rFonts w:cstheme="minorHAnsi"/>
          <w:lang w:val="en-MY" w:eastAsia="en-AU"/>
        </w:rPr>
        <w:t>access to y</w:t>
      </w:r>
      <w:r w:rsidR="00B8601D" w:rsidRPr="00D35B9B">
        <w:rPr>
          <w:rFonts w:cstheme="minorHAnsi"/>
          <w:lang w:val="en-MY" w:eastAsia="en-AU"/>
        </w:rPr>
        <w:t xml:space="preserve">arning circles and community justice groups </w:t>
      </w:r>
      <w:r w:rsidRPr="00D35B9B">
        <w:rPr>
          <w:rFonts w:cstheme="minorHAnsi"/>
          <w:lang w:val="en-MY" w:eastAsia="en-AU"/>
        </w:rPr>
        <w:t>led by elders are a crucial component of the service model</w:t>
      </w:r>
      <w:r w:rsidR="007324C6" w:rsidRPr="00D35B9B">
        <w:rPr>
          <w:rFonts w:cstheme="minorHAnsi"/>
          <w:lang w:val="en-MY" w:eastAsia="en-AU"/>
        </w:rPr>
        <w:t xml:space="preserve">, while for </w:t>
      </w:r>
      <w:r w:rsidR="001F273B" w:rsidRPr="00D35B9B">
        <w:rPr>
          <w:rFonts w:cstheme="minorHAnsi"/>
          <w:lang w:val="en-MY" w:eastAsia="en-AU"/>
        </w:rPr>
        <w:t>other</w:t>
      </w:r>
      <w:r w:rsidR="00F4651A">
        <w:rPr>
          <w:rFonts w:cstheme="minorHAnsi"/>
          <w:lang w:val="en-MY" w:eastAsia="en-AU"/>
        </w:rPr>
        <w:t xml:space="preserve"> services</w:t>
      </w:r>
      <w:r w:rsidR="007324C6" w:rsidRPr="00B21295">
        <w:rPr>
          <w:rFonts w:cstheme="minorHAnsi"/>
          <w:lang w:val="en-MY" w:eastAsia="en-AU"/>
        </w:rPr>
        <w:t xml:space="preserve">, the identification of cultural strengthening programs within their local service systems is </w:t>
      </w:r>
      <w:r w:rsidR="00E95F35" w:rsidRPr="00B21295">
        <w:rPr>
          <w:rFonts w:cstheme="minorHAnsi"/>
          <w:lang w:val="en-MY" w:eastAsia="en-AU"/>
        </w:rPr>
        <w:t xml:space="preserve">also </w:t>
      </w:r>
      <w:r w:rsidR="007324C6" w:rsidRPr="00B21295">
        <w:rPr>
          <w:rFonts w:cstheme="minorHAnsi"/>
          <w:lang w:val="en-MY" w:eastAsia="en-AU"/>
        </w:rPr>
        <w:t>regarded as a priority.</w:t>
      </w:r>
      <w:r w:rsidR="00FF4285" w:rsidRPr="00B21295">
        <w:rPr>
          <w:rFonts w:cstheme="minorHAnsi"/>
          <w:lang w:val="en-MY" w:eastAsia="en-AU"/>
        </w:rPr>
        <w:t xml:space="preserve"> Barriers to accessing these services do, however, exist and are discussed elsewhere in this report. </w:t>
      </w:r>
    </w:p>
    <w:p w14:paraId="7BC6C2AC" w14:textId="77777777" w:rsidR="007324C6" w:rsidRPr="00B21295" w:rsidRDefault="007324C6" w:rsidP="00D35B9B">
      <w:pPr>
        <w:jc w:val="both"/>
        <w:rPr>
          <w:rFonts w:cstheme="minorHAnsi"/>
          <w:lang w:val="en-MY" w:eastAsia="en-AU"/>
        </w:rPr>
      </w:pPr>
    </w:p>
    <w:p w14:paraId="17295C0A" w14:textId="297B84BE" w:rsidR="00E21F73" w:rsidRPr="00B21295" w:rsidRDefault="00FE438E" w:rsidP="00D35B9B">
      <w:pPr>
        <w:jc w:val="both"/>
        <w:rPr>
          <w:rFonts w:cstheme="minorHAnsi"/>
          <w:lang w:val="en-MY" w:eastAsia="en-AU"/>
        </w:rPr>
      </w:pPr>
      <w:r w:rsidRPr="00B21295">
        <w:rPr>
          <w:rFonts w:cstheme="minorHAnsi"/>
          <w:lang w:val="en-MY" w:eastAsia="en-AU"/>
        </w:rPr>
        <w:t xml:space="preserve">Notwithstanding the importance of cultural strengthening as an engagement and therapeutic strategy, </w:t>
      </w:r>
      <w:r w:rsidR="007324C6" w:rsidRPr="00B21295">
        <w:rPr>
          <w:rFonts w:cstheme="minorHAnsi"/>
          <w:lang w:val="en-MY" w:eastAsia="en-AU"/>
        </w:rPr>
        <w:t xml:space="preserve">several case workers </w:t>
      </w:r>
      <w:r w:rsidR="00E21F73" w:rsidRPr="00B21295">
        <w:rPr>
          <w:rFonts w:cstheme="minorHAnsi"/>
          <w:lang w:val="en-MY" w:eastAsia="en-AU"/>
        </w:rPr>
        <w:t xml:space="preserve">- </w:t>
      </w:r>
      <w:r w:rsidR="00B5492D" w:rsidRPr="00B21295">
        <w:rPr>
          <w:rFonts w:cstheme="minorHAnsi"/>
          <w:lang w:val="en-MY" w:eastAsia="en-AU"/>
        </w:rPr>
        <w:t xml:space="preserve">notably </w:t>
      </w:r>
      <w:r w:rsidR="007324C6" w:rsidRPr="00B21295">
        <w:rPr>
          <w:rFonts w:cstheme="minorHAnsi"/>
          <w:lang w:val="en-MY" w:eastAsia="en-AU"/>
        </w:rPr>
        <w:t>with Indigenous background</w:t>
      </w:r>
      <w:r w:rsidR="00B5492D" w:rsidRPr="00B21295">
        <w:rPr>
          <w:rFonts w:cstheme="minorHAnsi"/>
          <w:lang w:val="en-MY" w:eastAsia="en-AU"/>
        </w:rPr>
        <w:t>s</w:t>
      </w:r>
      <w:r w:rsidR="00E21F73" w:rsidRPr="00B21295">
        <w:rPr>
          <w:rFonts w:cstheme="minorHAnsi"/>
          <w:lang w:val="en-MY" w:eastAsia="en-AU"/>
        </w:rPr>
        <w:t xml:space="preserve"> -</w:t>
      </w:r>
      <w:r w:rsidR="007324C6" w:rsidRPr="00B21295">
        <w:rPr>
          <w:rFonts w:cstheme="minorHAnsi"/>
          <w:lang w:val="en-MY" w:eastAsia="en-AU"/>
        </w:rPr>
        <w:t xml:space="preserve"> cautioned that connection to culture and access to cultural strengthening programs was not necessarily beneficial to all clients just because they are Indigenous. </w:t>
      </w:r>
      <w:r w:rsidR="00E21F73" w:rsidRPr="00B21295">
        <w:rPr>
          <w:rFonts w:cstheme="minorHAnsi"/>
          <w:lang w:val="en-MY" w:eastAsia="en-AU"/>
        </w:rPr>
        <w:t>The comment was made that f</w:t>
      </w:r>
      <w:r w:rsidR="007324C6" w:rsidRPr="00B21295">
        <w:rPr>
          <w:rFonts w:cstheme="minorHAnsi"/>
          <w:lang w:val="en-MY" w:eastAsia="en-AU"/>
        </w:rPr>
        <w:t>or clients returning to remote settings who have traditional c</w:t>
      </w:r>
      <w:r w:rsidR="00B8601D" w:rsidRPr="00B21295">
        <w:rPr>
          <w:rFonts w:cstheme="minorHAnsi"/>
          <w:lang w:val="en-MY" w:eastAsia="en-AU"/>
        </w:rPr>
        <w:t xml:space="preserve">ultural </w:t>
      </w:r>
      <w:r w:rsidR="007324C6" w:rsidRPr="00B21295">
        <w:rPr>
          <w:rFonts w:cstheme="minorHAnsi"/>
          <w:lang w:val="en-MY" w:eastAsia="en-AU"/>
        </w:rPr>
        <w:t>obligations, ‘</w:t>
      </w:r>
      <w:r w:rsidR="00B8601D" w:rsidRPr="00B21295">
        <w:rPr>
          <w:rFonts w:cstheme="minorHAnsi"/>
          <w:lang w:val="en-MY" w:eastAsia="en-AU"/>
        </w:rPr>
        <w:t xml:space="preserve">connection </w:t>
      </w:r>
      <w:r w:rsidR="007324C6" w:rsidRPr="00B21295">
        <w:rPr>
          <w:rFonts w:cstheme="minorHAnsi"/>
          <w:lang w:val="en-MY" w:eastAsia="en-AU"/>
        </w:rPr>
        <w:t>to culture’ is ontologically fundamental</w:t>
      </w:r>
      <w:r w:rsidR="00B5492D" w:rsidRPr="00B21295">
        <w:rPr>
          <w:rFonts w:cstheme="minorHAnsi"/>
          <w:lang w:val="en-MY" w:eastAsia="en-AU"/>
        </w:rPr>
        <w:t xml:space="preserve"> and so not something that an individual might be referred to as a service. Moreover, as observed by </w:t>
      </w:r>
      <w:r w:rsidR="001F273B" w:rsidRPr="00B21295">
        <w:rPr>
          <w:rFonts w:cstheme="minorHAnsi"/>
          <w:lang w:val="en-MY" w:eastAsia="en-AU"/>
        </w:rPr>
        <w:t>other</w:t>
      </w:r>
      <w:r w:rsidR="00B5492D" w:rsidRPr="00B21295">
        <w:rPr>
          <w:rFonts w:cstheme="minorHAnsi"/>
          <w:lang w:val="en-MY" w:eastAsia="en-AU"/>
        </w:rPr>
        <w:t xml:space="preserve"> case workers with regards to </w:t>
      </w:r>
      <w:r w:rsidR="00E21F73" w:rsidRPr="00B21295">
        <w:rPr>
          <w:rFonts w:cstheme="minorHAnsi"/>
          <w:lang w:val="en-MY" w:eastAsia="en-AU"/>
        </w:rPr>
        <w:t xml:space="preserve">Indigenous </w:t>
      </w:r>
      <w:r w:rsidR="00B5492D" w:rsidRPr="00B21295">
        <w:rPr>
          <w:rFonts w:cstheme="minorHAnsi"/>
          <w:lang w:val="en-MY" w:eastAsia="en-AU"/>
        </w:rPr>
        <w:t>youth, while connecting to culture may be strongly therapeutic in some cases, a standardised approach must not be taken (and requires extensive listening and preparation to understand what might work</w:t>
      </w:r>
      <w:r w:rsidR="00E21F73" w:rsidRPr="00B21295">
        <w:rPr>
          <w:rFonts w:cstheme="minorHAnsi"/>
          <w:lang w:val="en-MY" w:eastAsia="en-AU"/>
        </w:rPr>
        <w:t xml:space="preserve"> - which country, when and with who? – given </w:t>
      </w:r>
      <w:r w:rsidR="00B5492D" w:rsidRPr="00B21295">
        <w:rPr>
          <w:rFonts w:cstheme="minorHAnsi"/>
          <w:lang w:val="en-MY" w:eastAsia="en-AU"/>
        </w:rPr>
        <w:t>the individual may be estranged from</w:t>
      </w:r>
      <w:r w:rsidR="00E21F73" w:rsidRPr="00B21295">
        <w:rPr>
          <w:rFonts w:cstheme="minorHAnsi"/>
          <w:lang w:val="en-MY" w:eastAsia="en-AU"/>
        </w:rPr>
        <w:t xml:space="preserve"> kin and</w:t>
      </w:r>
      <w:r w:rsidR="00B5492D" w:rsidRPr="00B21295">
        <w:rPr>
          <w:rFonts w:cstheme="minorHAnsi"/>
          <w:lang w:val="en-MY" w:eastAsia="en-AU"/>
        </w:rPr>
        <w:t xml:space="preserve"> family</w:t>
      </w:r>
      <w:r w:rsidR="00955ED2" w:rsidRPr="00B21295">
        <w:rPr>
          <w:rFonts w:cstheme="minorHAnsi"/>
          <w:lang w:val="en-MY" w:eastAsia="en-AU"/>
        </w:rPr>
        <w:t>)</w:t>
      </w:r>
      <w:r w:rsidR="00B5492D" w:rsidRPr="00B21295">
        <w:rPr>
          <w:rFonts w:cstheme="minorHAnsi"/>
          <w:lang w:val="en-MY" w:eastAsia="en-AU"/>
        </w:rPr>
        <w:t>.</w:t>
      </w:r>
    </w:p>
    <w:p w14:paraId="28BCA4E1" w14:textId="77777777" w:rsidR="00E21F73" w:rsidRPr="00B21295" w:rsidRDefault="00E21F73" w:rsidP="00D35B9B">
      <w:pPr>
        <w:jc w:val="both"/>
        <w:rPr>
          <w:rFonts w:cstheme="minorHAnsi"/>
          <w:lang w:val="en-MY" w:eastAsia="en-AU"/>
        </w:rPr>
      </w:pPr>
    </w:p>
    <w:p w14:paraId="2D748156" w14:textId="18F9549E" w:rsidR="0048690E" w:rsidRPr="00D35B9B" w:rsidRDefault="00CF04D7" w:rsidP="00D35B9B">
      <w:pPr>
        <w:jc w:val="both"/>
        <w:rPr>
          <w:rFonts w:cstheme="minorHAnsi"/>
          <w:lang w:val="en-MY" w:eastAsia="en-AU"/>
        </w:rPr>
      </w:pPr>
      <w:r w:rsidRPr="00B21295">
        <w:rPr>
          <w:rFonts w:cstheme="minorHAnsi"/>
          <w:lang w:val="en-MY" w:eastAsia="en-AU"/>
        </w:rPr>
        <w:t>Furthermore</w:t>
      </w:r>
      <w:r w:rsidR="00001FAE" w:rsidRPr="00B21295">
        <w:rPr>
          <w:rFonts w:cstheme="minorHAnsi"/>
          <w:lang w:val="en-MY" w:eastAsia="en-AU"/>
        </w:rPr>
        <w:t>, with regards to cultural safety, several services</w:t>
      </w:r>
      <w:r w:rsidR="00001FAE" w:rsidRPr="00D35B9B">
        <w:rPr>
          <w:rFonts w:cstheme="minorHAnsi"/>
          <w:lang w:val="en-MY" w:eastAsia="en-AU"/>
        </w:rPr>
        <w:t xml:space="preserve"> acknowledged sub-optimal arrangements for meeting clients at the service’s premises, where meeting rooms were felt to be overly corporate and unwelcoming, particularly for youth and clients with children. </w:t>
      </w:r>
      <w:r w:rsidR="00130EE6" w:rsidRPr="00D35B9B">
        <w:rPr>
          <w:rFonts w:cstheme="minorHAnsi"/>
          <w:lang w:val="en-MY" w:eastAsia="en-AU"/>
        </w:rPr>
        <w:t>The lack of suitable meeting rooms was believed to limit opportunities for clients to visit the service, including opportunities for peer networking in a safe and welcoming space</w:t>
      </w:r>
      <w:r w:rsidR="00EC553D" w:rsidRPr="00D35B9B">
        <w:rPr>
          <w:rFonts w:cstheme="minorHAnsi"/>
          <w:lang w:val="en-MY" w:eastAsia="en-AU"/>
        </w:rPr>
        <w:t>.</w:t>
      </w:r>
    </w:p>
    <w:p w14:paraId="7739D39B" w14:textId="77777777" w:rsidR="008A1B41" w:rsidRPr="008A1B41" w:rsidRDefault="008C7E73" w:rsidP="008A1B41">
      <w:pPr>
        <w:pStyle w:val="SUBHEAD2"/>
        <w:rPr>
          <w:rFonts w:asciiTheme="minorHAnsi" w:hAnsiTheme="minorHAnsi" w:cstheme="minorHAnsi"/>
          <w:lang w:val="en-MY" w:eastAsia="en-AU"/>
        </w:rPr>
      </w:pPr>
      <w:r w:rsidRPr="008A1B41">
        <w:rPr>
          <w:rFonts w:asciiTheme="minorHAnsi" w:hAnsiTheme="minorHAnsi" w:cstheme="minorHAnsi"/>
          <w:lang w:val="en-MY" w:eastAsia="en-AU"/>
        </w:rPr>
        <w:t>Whether Service Models Represent an Indigenous Approach</w:t>
      </w:r>
    </w:p>
    <w:p w14:paraId="124CADC1" w14:textId="77777777" w:rsidR="008A1B41" w:rsidRDefault="008A1B41" w:rsidP="00EC273E">
      <w:pPr>
        <w:rPr>
          <w:lang w:val="en-MY" w:eastAsia="en-AU"/>
        </w:rPr>
      </w:pPr>
    </w:p>
    <w:p w14:paraId="186AFC9E" w14:textId="0077E304" w:rsidR="008F3431" w:rsidRPr="008A1B41" w:rsidRDefault="00417278" w:rsidP="008A1B41">
      <w:pPr>
        <w:jc w:val="both"/>
        <w:rPr>
          <w:rFonts w:cstheme="minorHAnsi"/>
          <w:b/>
          <w:color w:val="17375D"/>
          <w:spacing w:val="10"/>
          <w:lang w:val="en-MY" w:eastAsia="en-AU"/>
        </w:rPr>
      </w:pPr>
      <w:r w:rsidRPr="002C317F">
        <w:rPr>
          <w:rFonts w:cstheme="minorHAnsi"/>
          <w:lang w:val="en-MY" w:eastAsia="en-AU"/>
        </w:rPr>
        <w:t xml:space="preserve">In establishing whether </w:t>
      </w:r>
      <w:r w:rsidR="00AC33AE">
        <w:rPr>
          <w:rFonts w:cstheme="minorHAnsi"/>
          <w:lang w:val="en-MY" w:eastAsia="en-AU"/>
        </w:rPr>
        <w:t xml:space="preserve">IAS </w:t>
      </w:r>
      <w:r w:rsidRPr="002C317F">
        <w:rPr>
          <w:rFonts w:cstheme="minorHAnsi"/>
          <w:lang w:val="en-MY" w:eastAsia="en-AU"/>
        </w:rPr>
        <w:t>funded through-care models represent an Indigenous approach, the researchers have assessed factors including organisational and program governance, workforce</w:t>
      </w:r>
      <w:r w:rsidR="00E95F35">
        <w:rPr>
          <w:rFonts w:cstheme="minorHAnsi"/>
          <w:lang w:val="en-MY" w:eastAsia="en-AU"/>
        </w:rPr>
        <w:t xml:space="preserve">, </w:t>
      </w:r>
      <w:r w:rsidRPr="002C317F">
        <w:rPr>
          <w:rFonts w:cstheme="minorHAnsi"/>
          <w:lang w:val="en-MY" w:eastAsia="en-AU"/>
        </w:rPr>
        <w:t xml:space="preserve">and evidence of an emphasis on culture in programming </w:t>
      </w:r>
      <w:r w:rsidR="000A2FB1" w:rsidRPr="002C317F">
        <w:rPr>
          <w:rFonts w:cstheme="minorHAnsi"/>
          <w:lang w:val="en-MY" w:eastAsia="en-AU"/>
        </w:rPr>
        <w:t xml:space="preserve">through internal and </w:t>
      </w:r>
      <w:r w:rsidRPr="002C317F">
        <w:rPr>
          <w:rFonts w:cstheme="minorHAnsi"/>
          <w:lang w:val="en-MY" w:eastAsia="en-AU"/>
        </w:rPr>
        <w:t>third-party referrals</w:t>
      </w:r>
      <w:r w:rsidR="00C301B0" w:rsidRPr="002C317F">
        <w:rPr>
          <w:rFonts w:cstheme="minorHAnsi"/>
          <w:lang w:val="en-MY" w:eastAsia="en-AU"/>
        </w:rPr>
        <w:t xml:space="preserve"> (see previous section)</w:t>
      </w:r>
      <w:r w:rsidRPr="002C317F">
        <w:rPr>
          <w:rFonts w:cstheme="minorHAnsi"/>
          <w:lang w:val="en-MY" w:eastAsia="en-AU"/>
        </w:rPr>
        <w:t>. Keogh Bay has found that for the most part, models do represent an Indigenous approach to service delivery and where practical, seek to meet the cultural needs of clients.</w:t>
      </w:r>
      <w:r w:rsidR="008F3431">
        <w:rPr>
          <w:rFonts w:cstheme="minorHAnsi"/>
          <w:lang w:val="en-MY" w:eastAsia="en-AU"/>
        </w:rPr>
        <w:t xml:space="preserve"> </w:t>
      </w:r>
    </w:p>
    <w:p w14:paraId="0AED50D3" w14:textId="77777777" w:rsidR="008F3431" w:rsidRDefault="008F3431" w:rsidP="002C317F">
      <w:pPr>
        <w:jc w:val="both"/>
        <w:rPr>
          <w:rFonts w:cstheme="minorHAnsi"/>
          <w:lang w:val="en-MY" w:eastAsia="en-AU"/>
        </w:rPr>
      </w:pPr>
    </w:p>
    <w:p w14:paraId="5AE9FB0C" w14:textId="06254298" w:rsidR="00FE4E19" w:rsidRPr="002C317F" w:rsidRDefault="00C301B0" w:rsidP="002C317F">
      <w:pPr>
        <w:jc w:val="both"/>
        <w:rPr>
          <w:rFonts w:cstheme="minorHAnsi"/>
          <w:lang w:val="en-MY" w:eastAsia="en-AU"/>
        </w:rPr>
      </w:pPr>
      <w:r w:rsidRPr="002C317F">
        <w:rPr>
          <w:rFonts w:cstheme="minorHAnsi"/>
          <w:lang w:val="en-MY" w:eastAsia="en-AU"/>
        </w:rPr>
        <w:t xml:space="preserve">In terms of leadership and decision-making, with the exception of </w:t>
      </w:r>
      <w:r w:rsidR="001F273B" w:rsidRPr="002C317F">
        <w:rPr>
          <w:rFonts w:cstheme="minorHAnsi"/>
          <w:lang w:val="en-MY" w:eastAsia="en-AU"/>
        </w:rPr>
        <w:t>a few</w:t>
      </w:r>
      <w:r w:rsidRPr="002C317F">
        <w:rPr>
          <w:rFonts w:cstheme="minorHAnsi"/>
          <w:lang w:val="en-MY" w:eastAsia="en-AU"/>
        </w:rPr>
        <w:t>, through-care service providers are led by majority Indigenous boards and by management teams who are led by Indigenous people. ATSILS, CHAC, Five Bridges, NAAJA, VACCA and ALRM are themselves ACCOs</w:t>
      </w:r>
      <w:r w:rsidR="00E95F35">
        <w:rPr>
          <w:rFonts w:cstheme="minorHAnsi"/>
          <w:lang w:val="en-MY" w:eastAsia="en-AU"/>
        </w:rPr>
        <w:t>,</w:t>
      </w:r>
      <w:r w:rsidRPr="002C317F">
        <w:rPr>
          <w:rFonts w:cstheme="minorHAnsi"/>
          <w:lang w:val="en-MY" w:eastAsia="en-AU"/>
        </w:rPr>
        <w:t xml:space="preserve"> with demonstrated experience </w:t>
      </w:r>
      <w:r w:rsidR="00FE4E19" w:rsidRPr="002C317F">
        <w:rPr>
          <w:rFonts w:cstheme="minorHAnsi"/>
          <w:lang w:val="en-MY" w:eastAsia="en-AU"/>
        </w:rPr>
        <w:t>as leading advocates for Indigenous justice and development in their communities.</w:t>
      </w:r>
    </w:p>
    <w:p w14:paraId="0A8B9C41" w14:textId="77777777" w:rsidR="00FE4E19" w:rsidRPr="002C317F" w:rsidRDefault="00FE4E19" w:rsidP="002C317F">
      <w:pPr>
        <w:jc w:val="both"/>
        <w:rPr>
          <w:rFonts w:cstheme="minorHAnsi"/>
          <w:lang w:val="en-MY" w:eastAsia="en-AU"/>
        </w:rPr>
      </w:pPr>
    </w:p>
    <w:p w14:paraId="4868C297" w14:textId="37F0E9F8" w:rsidR="00FE4E19" w:rsidRPr="002C317F" w:rsidRDefault="00FE4E19" w:rsidP="002C317F">
      <w:pPr>
        <w:jc w:val="both"/>
        <w:rPr>
          <w:rFonts w:cstheme="minorHAnsi"/>
          <w:lang w:val="en-MY" w:eastAsia="en-AU"/>
        </w:rPr>
      </w:pPr>
      <w:r w:rsidRPr="002C317F">
        <w:rPr>
          <w:rFonts w:cstheme="minorHAnsi"/>
          <w:lang w:val="en-MY" w:eastAsia="en-AU"/>
        </w:rPr>
        <w:t>Although not Indigenous controlled, there is also evidence to suggest that the programs</w:t>
      </w:r>
      <w:r w:rsidR="00A57D44" w:rsidRPr="002C317F">
        <w:rPr>
          <w:rFonts w:cstheme="minorHAnsi"/>
          <w:lang w:val="en-MY" w:eastAsia="en-AU"/>
        </w:rPr>
        <w:t>’</w:t>
      </w:r>
      <w:r w:rsidRPr="002C317F">
        <w:rPr>
          <w:rFonts w:cstheme="minorHAnsi"/>
          <w:lang w:val="en-MY" w:eastAsia="en-AU"/>
        </w:rPr>
        <w:t xml:space="preserve"> non-Indigenous organisations have strategies in place to ensure Indigenous perspectives within their organisations are heard, including Indigenous representation on boards and management groups. CRC</w:t>
      </w:r>
      <w:r w:rsidR="00A57D44" w:rsidRPr="002C317F">
        <w:rPr>
          <w:rFonts w:cstheme="minorHAnsi"/>
          <w:lang w:val="en-MY" w:eastAsia="en-AU"/>
        </w:rPr>
        <w:t xml:space="preserve">, RYSS and Nulsen have each developed a </w:t>
      </w:r>
      <w:r w:rsidRPr="002C317F">
        <w:rPr>
          <w:rFonts w:cstheme="minorHAnsi"/>
          <w:lang w:val="en-MY" w:eastAsia="en-AU"/>
        </w:rPr>
        <w:t>R</w:t>
      </w:r>
      <w:r w:rsidR="00A57D44" w:rsidRPr="002C317F">
        <w:rPr>
          <w:rFonts w:cstheme="minorHAnsi"/>
          <w:lang w:val="en-MY" w:eastAsia="en-AU"/>
        </w:rPr>
        <w:t>econciliation Action Plan (RAP) which detail</w:t>
      </w:r>
      <w:r w:rsidR="00A51D32" w:rsidRPr="002C317F">
        <w:rPr>
          <w:rFonts w:cstheme="minorHAnsi"/>
          <w:lang w:val="en-MY" w:eastAsia="en-AU"/>
        </w:rPr>
        <w:t>s</w:t>
      </w:r>
      <w:r w:rsidR="00E90DD4" w:rsidRPr="002C317F">
        <w:rPr>
          <w:rFonts w:cstheme="minorHAnsi"/>
          <w:lang w:val="en-MY" w:eastAsia="en-AU"/>
        </w:rPr>
        <w:t xml:space="preserve"> </w:t>
      </w:r>
      <w:r w:rsidR="00A57D44" w:rsidRPr="002C317F">
        <w:rPr>
          <w:rFonts w:cstheme="minorHAnsi"/>
          <w:lang w:val="en-MY" w:eastAsia="en-AU"/>
        </w:rPr>
        <w:t xml:space="preserve">a range of initiatives to improve </w:t>
      </w:r>
      <w:r w:rsidRPr="002C317F">
        <w:rPr>
          <w:rFonts w:cstheme="minorHAnsi"/>
          <w:lang w:val="en-MY" w:eastAsia="en-AU"/>
        </w:rPr>
        <w:t xml:space="preserve">Indigenous </w:t>
      </w:r>
      <w:r w:rsidR="00A57D44" w:rsidRPr="002C317F">
        <w:rPr>
          <w:rFonts w:cstheme="minorHAnsi"/>
          <w:lang w:val="en-MY" w:eastAsia="en-AU"/>
        </w:rPr>
        <w:t>representation,</w:t>
      </w:r>
      <w:r w:rsidR="00B20563" w:rsidRPr="002C317F">
        <w:rPr>
          <w:rFonts w:cstheme="minorHAnsi"/>
          <w:lang w:val="en-MY" w:eastAsia="en-AU"/>
        </w:rPr>
        <w:t xml:space="preserve"> mandate cultural competency training</w:t>
      </w:r>
      <w:r w:rsidR="00A57D44" w:rsidRPr="002C317F">
        <w:rPr>
          <w:rFonts w:cstheme="minorHAnsi"/>
          <w:lang w:val="en-MY" w:eastAsia="en-AU"/>
        </w:rPr>
        <w:t xml:space="preserve"> </w:t>
      </w:r>
      <w:r w:rsidR="00E90DD4" w:rsidRPr="002C317F">
        <w:rPr>
          <w:rFonts w:cstheme="minorHAnsi"/>
          <w:lang w:val="en-MY" w:eastAsia="en-AU"/>
        </w:rPr>
        <w:t>amongst staff</w:t>
      </w:r>
      <w:r w:rsidR="00E95F35">
        <w:rPr>
          <w:rFonts w:cstheme="minorHAnsi"/>
          <w:lang w:val="en-MY" w:eastAsia="en-AU"/>
        </w:rPr>
        <w:t xml:space="preserve">, </w:t>
      </w:r>
      <w:r w:rsidR="00A57D44" w:rsidRPr="002C317F">
        <w:rPr>
          <w:rFonts w:cstheme="minorHAnsi"/>
          <w:lang w:val="en-MY" w:eastAsia="en-AU"/>
        </w:rPr>
        <w:t>and consider the appropriateness of programming</w:t>
      </w:r>
      <w:r w:rsidR="00B20563" w:rsidRPr="002C317F">
        <w:rPr>
          <w:rFonts w:cstheme="minorHAnsi"/>
          <w:lang w:val="en-MY" w:eastAsia="en-AU"/>
        </w:rPr>
        <w:t xml:space="preserve"> with reference to Indigenous cultural advisors</w:t>
      </w:r>
      <w:r w:rsidR="00A57D44" w:rsidRPr="002C317F">
        <w:rPr>
          <w:rFonts w:cstheme="minorHAnsi"/>
          <w:lang w:val="en-MY" w:eastAsia="en-AU"/>
        </w:rPr>
        <w:t xml:space="preserve">. </w:t>
      </w:r>
      <w:r w:rsidR="00A06E96" w:rsidRPr="002C317F">
        <w:rPr>
          <w:rFonts w:cstheme="minorHAnsi"/>
          <w:lang w:val="en-MY" w:eastAsia="en-AU"/>
        </w:rPr>
        <w:t xml:space="preserve">It is not known if an Indigenous organisation providing the same service would be preferred by clients and the community, </w:t>
      </w:r>
      <w:r w:rsidR="00A51D32" w:rsidRPr="002C317F">
        <w:rPr>
          <w:rFonts w:cstheme="minorHAnsi"/>
          <w:lang w:val="en-MY" w:eastAsia="en-AU"/>
        </w:rPr>
        <w:t>however</w:t>
      </w:r>
      <w:r w:rsidR="00E95F35">
        <w:rPr>
          <w:rFonts w:cstheme="minorHAnsi"/>
          <w:lang w:val="en-MY" w:eastAsia="en-AU"/>
        </w:rPr>
        <w:t xml:space="preserve">, </w:t>
      </w:r>
      <w:r w:rsidR="000A2FB1" w:rsidRPr="002C317F">
        <w:rPr>
          <w:rFonts w:cstheme="minorHAnsi"/>
          <w:lang w:val="en-MY" w:eastAsia="en-AU"/>
        </w:rPr>
        <w:t xml:space="preserve">policy </w:t>
      </w:r>
      <w:r w:rsidR="00A06E96" w:rsidRPr="002C317F">
        <w:rPr>
          <w:rFonts w:cstheme="minorHAnsi"/>
          <w:lang w:val="en-MY" w:eastAsia="en-AU"/>
        </w:rPr>
        <w:t xml:space="preserve">settings in most States and Territories </w:t>
      </w:r>
      <w:r w:rsidR="00AC33AE">
        <w:rPr>
          <w:rFonts w:cstheme="minorHAnsi"/>
          <w:lang w:val="en-MY" w:eastAsia="en-AU"/>
        </w:rPr>
        <w:t xml:space="preserve">do </w:t>
      </w:r>
      <w:r w:rsidR="00A06E96" w:rsidRPr="002C317F">
        <w:rPr>
          <w:rFonts w:cstheme="minorHAnsi"/>
          <w:lang w:val="en-MY" w:eastAsia="en-AU"/>
        </w:rPr>
        <w:t xml:space="preserve">increasingly favour ACCO service delivery </w:t>
      </w:r>
      <w:r w:rsidR="00AC33AE">
        <w:rPr>
          <w:rFonts w:cstheme="minorHAnsi"/>
          <w:lang w:val="en-MY" w:eastAsia="en-AU"/>
        </w:rPr>
        <w:t xml:space="preserve">for Indigenous clients </w:t>
      </w:r>
      <w:r w:rsidR="00A06E96" w:rsidRPr="002C317F">
        <w:rPr>
          <w:rFonts w:cstheme="minorHAnsi"/>
          <w:lang w:val="en-MY" w:eastAsia="en-AU"/>
        </w:rPr>
        <w:t>across the human services sector.</w:t>
      </w:r>
      <w:r w:rsidR="00A06E96" w:rsidRPr="004B7A4D">
        <w:rPr>
          <w:rFonts w:cstheme="minorHAnsi"/>
          <w:vertAlign w:val="superscript"/>
          <w:lang w:eastAsia="en-AU"/>
        </w:rPr>
        <w:footnoteReference w:id="81"/>
      </w:r>
      <w:r w:rsidR="00A06E96" w:rsidRPr="004B7A4D">
        <w:rPr>
          <w:rFonts w:cstheme="minorHAnsi"/>
          <w:vertAlign w:val="superscript"/>
          <w:lang w:val="en-MY" w:eastAsia="en-AU"/>
        </w:rPr>
        <w:t xml:space="preserve"> </w:t>
      </w:r>
    </w:p>
    <w:p w14:paraId="7FDB4DD5" w14:textId="77777777" w:rsidR="008571A5" w:rsidRPr="002C317F" w:rsidRDefault="008571A5" w:rsidP="002C317F">
      <w:pPr>
        <w:jc w:val="both"/>
        <w:rPr>
          <w:rFonts w:cstheme="minorHAnsi"/>
          <w:lang w:val="en-MY" w:eastAsia="en-AU"/>
        </w:rPr>
      </w:pPr>
    </w:p>
    <w:p w14:paraId="2938B5C0" w14:textId="39FD4263" w:rsidR="008F3431" w:rsidRDefault="008A5EE9" w:rsidP="002C317F">
      <w:pPr>
        <w:jc w:val="both"/>
        <w:rPr>
          <w:rFonts w:cstheme="minorHAnsi"/>
          <w:lang w:val="en-MY" w:eastAsia="en-AU"/>
        </w:rPr>
      </w:pPr>
      <w:r>
        <w:rPr>
          <w:rFonts w:cstheme="minorHAnsi"/>
          <w:lang w:val="en-MY" w:eastAsia="en-AU"/>
        </w:rPr>
        <w:t>W</w:t>
      </w:r>
      <w:r w:rsidRPr="002C317F">
        <w:rPr>
          <w:rFonts w:cstheme="minorHAnsi"/>
          <w:lang w:val="en-MY" w:eastAsia="en-AU"/>
        </w:rPr>
        <w:t xml:space="preserve">orkforce data </w:t>
      </w:r>
      <w:r>
        <w:rPr>
          <w:rFonts w:cstheme="minorHAnsi"/>
          <w:lang w:val="en-MY" w:eastAsia="en-AU"/>
        </w:rPr>
        <w:t xml:space="preserve">relating to the Indigenous status of staff </w:t>
      </w:r>
      <w:r w:rsidRPr="002C317F">
        <w:rPr>
          <w:rFonts w:cstheme="minorHAnsi"/>
          <w:lang w:val="en-MY" w:eastAsia="en-AU"/>
        </w:rPr>
        <w:t xml:space="preserve">is provided </w:t>
      </w:r>
      <w:r>
        <w:rPr>
          <w:rFonts w:cstheme="minorHAnsi"/>
          <w:lang w:val="en-MY" w:eastAsia="en-AU"/>
        </w:rPr>
        <w:t xml:space="preserve">in the table </w:t>
      </w:r>
      <w:r w:rsidRPr="002C317F">
        <w:rPr>
          <w:rFonts w:cstheme="minorHAnsi"/>
          <w:lang w:val="en-MY" w:eastAsia="en-AU"/>
        </w:rPr>
        <w:t>below</w:t>
      </w:r>
      <w:r>
        <w:rPr>
          <w:rFonts w:cstheme="minorHAnsi"/>
          <w:lang w:val="en-MY" w:eastAsia="en-AU"/>
        </w:rPr>
        <w:t xml:space="preserve">, it shows that across the ATC program, the average proportion of Indigenous staff is 65 percent and 46 percent for the YTC program. As shown, with the exception of Nulsen the proportion of Indigenous staff is not necessarily less for a non-Indigenous controlled organisation than one which is Indigenous controlled (noting CRC and RYSS each have a greater proportion of Indigenous staff than either ATSILS or NAAJA). </w:t>
      </w:r>
    </w:p>
    <w:p w14:paraId="69E4367A" w14:textId="77777777" w:rsidR="008F3431" w:rsidRDefault="008F3431" w:rsidP="002C317F">
      <w:pPr>
        <w:jc w:val="both"/>
        <w:rPr>
          <w:rFonts w:cstheme="minorHAnsi"/>
          <w:lang w:val="en-MY" w:eastAsia="en-AU"/>
        </w:rPr>
      </w:pPr>
    </w:p>
    <w:p w14:paraId="28EE4734" w14:textId="1FDD9DBC" w:rsidR="0017070D" w:rsidRDefault="00C046AC" w:rsidP="008F3431">
      <w:pPr>
        <w:jc w:val="both"/>
        <w:rPr>
          <w:rFonts w:cstheme="minorHAnsi"/>
          <w:lang w:val="en-MY" w:eastAsia="en-AU"/>
        </w:rPr>
      </w:pPr>
      <w:r w:rsidRPr="002C317F">
        <w:rPr>
          <w:rFonts w:cstheme="minorHAnsi"/>
          <w:lang w:val="en-MY" w:eastAsia="en-AU"/>
        </w:rPr>
        <w:t xml:space="preserve">With the exception of the smaller ACCO services, for whom </w:t>
      </w:r>
      <w:r w:rsidR="008A5EE9">
        <w:rPr>
          <w:rFonts w:cstheme="minorHAnsi"/>
          <w:lang w:val="en-MY" w:eastAsia="en-AU"/>
        </w:rPr>
        <w:t xml:space="preserve">most </w:t>
      </w:r>
      <w:r w:rsidRPr="002C317F">
        <w:rPr>
          <w:rFonts w:cstheme="minorHAnsi"/>
          <w:lang w:val="en-MY" w:eastAsia="en-AU"/>
        </w:rPr>
        <w:t xml:space="preserve">case workers and other program staff identify as Indigenous, there is little correlation between the Indigenous status of team members and </w:t>
      </w:r>
      <w:r w:rsidR="00A51D32" w:rsidRPr="002C317F">
        <w:rPr>
          <w:rFonts w:cstheme="minorHAnsi"/>
          <w:lang w:val="en-MY" w:eastAsia="en-AU"/>
        </w:rPr>
        <w:t xml:space="preserve">the </w:t>
      </w:r>
      <w:r w:rsidR="00F778BD" w:rsidRPr="002C317F">
        <w:rPr>
          <w:rFonts w:cstheme="minorHAnsi"/>
          <w:lang w:val="en-MY" w:eastAsia="en-AU"/>
        </w:rPr>
        <w:t xml:space="preserve">fact of </w:t>
      </w:r>
      <w:r w:rsidRPr="002C317F">
        <w:rPr>
          <w:rFonts w:cstheme="minorHAnsi"/>
          <w:lang w:val="en-MY" w:eastAsia="en-AU"/>
        </w:rPr>
        <w:t>Indigenous control. The Indigeneity of ATSIL</w:t>
      </w:r>
      <w:r w:rsidR="002F4DA2" w:rsidRPr="002C317F">
        <w:rPr>
          <w:rFonts w:cstheme="minorHAnsi"/>
          <w:lang w:val="en-MY" w:eastAsia="en-AU"/>
        </w:rPr>
        <w:t>S</w:t>
      </w:r>
      <w:r w:rsidRPr="002C317F">
        <w:rPr>
          <w:rFonts w:cstheme="minorHAnsi"/>
          <w:lang w:val="en-MY" w:eastAsia="en-AU"/>
        </w:rPr>
        <w:t xml:space="preserve">’ </w:t>
      </w:r>
      <w:r w:rsidR="008A5EE9">
        <w:rPr>
          <w:rFonts w:cstheme="minorHAnsi"/>
          <w:lang w:val="en-MY" w:eastAsia="en-AU"/>
        </w:rPr>
        <w:t>case</w:t>
      </w:r>
      <w:r w:rsidRPr="002C317F">
        <w:rPr>
          <w:rFonts w:cstheme="minorHAnsi"/>
          <w:lang w:val="en-MY" w:eastAsia="en-AU"/>
        </w:rPr>
        <w:t xml:space="preserve"> workers, for example, is mixed and there are few Indigenous case workers at NAAJA</w:t>
      </w:r>
      <w:r w:rsidR="00E90DD4" w:rsidRPr="002C317F">
        <w:rPr>
          <w:rFonts w:cstheme="minorHAnsi"/>
          <w:lang w:val="en-MY" w:eastAsia="en-AU"/>
        </w:rPr>
        <w:t xml:space="preserve"> (non</w:t>
      </w:r>
      <w:r w:rsidR="00A06E96" w:rsidRPr="002C317F">
        <w:rPr>
          <w:rFonts w:cstheme="minorHAnsi"/>
          <w:lang w:val="en-MY" w:eastAsia="en-AU"/>
        </w:rPr>
        <w:t>e</w:t>
      </w:r>
      <w:r w:rsidR="00E90DD4" w:rsidRPr="002C317F">
        <w:rPr>
          <w:rFonts w:cstheme="minorHAnsi"/>
          <w:lang w:val="en-MY" w:eastAsia="en-AU"/>
        </w:rPr>
        <w:t xml:space="preserve"> in the YTC team</w:t>
      </w:r>
      <w:r w:rsidR="00A23C75">
        <w:rPr>
          <w:rFonts w:cstheme="minorHAnsi"/>
          <w:lang w:val="en-MY" w:eastAsia="en-AU"/>
        </w:rPr>
        <w:t xml:space="preserve"> when fieldwork was undertaken</w:t>
      </w:r>
      <w:r w:rsidR="00E90DD4" w:rsidRPr="002C317F">
        <w:rPr>
          <w:rFonts w:cstheme="minorHAnsi"/>
          <w:lang w:val="en-MY" w:eastAsia="en-AU"/>
        </w:rPr>
        <w:t xml:space="preserve">) </w:t>
      </w:r>
      <w:r w:rsidRPr="002C317F">
        <w:rPr>
          <w:rFonts w:cstheme="minorHAnsi"/>
          <w:lang w:val="en-MY" w:eastAsia="en-AU"/>
        </w:rPr>
        <w:t xml:space="preserve">notwithstanding the composition of its </w:t>
      </w:r>
      <w:r w:rsidR="00C51292" w:rsidRPr="002C317F">
        <w:rPr>
          <w:rFonts w:cstheme="minorHAnsi"/>
          <w:lang w:val="en-MY" w:eastAsia="en-AU"/>
        </w:rPr>
        <w:t xml:space="preserve">executive team and </w:t>
      </w:r>
      <w:r w:rsidRPr="002C317F">
        <w:rPr>
          <w:rFonts w:cstheme="minorHAnsi"/>
          <w:lang w:val="en-MY" w:eastAsia="en-AU"/>
        </w:rPr>
        <w:t>board</w:t>
      </w:r>
      <w:r w:rsidR="00A06E96" w:rsidRPr="002C317F">
        <w:rPr>
          <w:rFonts w:cstheme="minorHAnsi"/>
          <w:lang w:val="en-MY" w:eastAsia="en-AU"/>
        </w:rPr>
        <w:t xml:space="preserve">. Based on interviews with clients this has not impacted the perception of </w:t>
      </w:r>
      <w:r w:rsidR="00F778BD" w:rsidRPr="002C317F">
        <w:rPr>
          <w:rFonts w:cstheme="minorHAnsi"/>
          <w:lang w:val="en-MY" w:eastAsia="en-AU"/>
        </w:rPr>
        <w:t>either service</w:t>
      </w:r>
      <w:r w:rsidR="00A06E96" w:rsidRPr="002C317F">
        <w:rPr>
          <w:rFonts w:cstheme="minorHAnsi"/>
          <w:lang w:val="en-MY" w:eastAsia="en-AU"/>
        </w:rPr>
        <w:t xml:space="preserve"> as being </w:t>
      </w:r>
      <w:r w:rsidR="00F778BD" w:rsidRPr="002C317F">
        <w:rPr>
          <w:rFonts w:cstheme="minorHAnsi"/>
          <w:lang w:val="en-MY" w:eastAsia="en-AU"/>
        </w:rPr>
        <w:t>inherently I</w:t>
      </w:r>
      <w:r w:rsidR="00A06E96" w:rsidRPr="002C317F">
        <w:rPr>
          <w:rFonts w:cstheme="minorHAnsi"/>
          <w:lang w:val="en-MY" w:eastAsia="en-AU"/>
        </w:rPr>
        <w:t>ndigenous</w:t>
      </w:r>
      <w:r w:rsidR="00C51292" w:rsidRPr="002C317F">
        <w:rPr>
          <w:rFonts w:cstheme="minorHAnsi"/>
          <w:lang w:val="en-MY" w:eastAsia="en-AU"/>
        </w:rPr>
        <w:t xml:space="preserve"> or providing an Indigenous service</w:t>
      </w:r>
      <w:r w:rsidRPr="002C317F">
        <w:rPr>
          <w:rFonts w:cstheme="minorHAnsi"/>
          <w:lang w:val="en-MY" w:eastAsia="en-AU"/>
        </w:rPr>
        <w:t>.</w:t>
      </w:r>
      <w:r w:rsidR="00E90DD4" w:rsidRPr="002C317F">
        <w:rPr>
          <w:rFonts w:cstheme="minorHAnsi"/>
          <w:lang w:val="en-MY" w:eastAsia="en-AU"/>
        </w:rPr>
        <w:t xml:space="preserve"> </w:t>
      </w:r>
      <w:r w:rsidR="00AC33AE" w:rsidRPr="002C317F">
        <w:rPr>
          <w:rFonts w:cstheme="minorHAnsi"/>
          <w:lang w:val="en-MY" w:eastAsia="en-AU"/>
        </w:rPr>
        <w:t xml:space="preserve">Factors affecting the capacity of through-care services to recruit and retain an Indigenous workforce are discussed in proceeding sections of this report. </w:t>
      </w:r>
    </w:p>
    <w:p w14:paraId="6FCEFD54" w14:textId="77777777" w:rsidR="008F3431" w:rsidRPr="002C317F" w:rsidRDefault="008F3431" w:rsidP="008F3431">
      <w:pPr>
        <w:jc w:val="both"/>
        <w:rPr>
          <w:rFonts w:cstheme="minorHAnsi"/>
          <w:lang w:val="en-MY" w:eastAsia="en-AU"/>
        </w:rPr>
      </w:pPr>
    </w:p>
    <w:p w14:paraId="582E6BD5" w14:textId="7DFF0632" w:rsidR="0017070D" w:rsidRPr="0058159B" w:rsidRDefault="00B079BD" w:rsidP="00B079BD">
      <w:pPr>
        <w:rPr>
          <w:rFonts w:cstheme="minorHAnsi"/>
          <w:i/>
          <w:iCs/>
          <w:color w:val="1F497D" w:themeColor="text2"/>
          <w:sz w:val="20"/>
          <w:szCs w:val="20"/>
        </w:rPr>
      </w:pPr>
      <w:r w:rsidRPr="0058159B">
        <w:rPr>
          <w:rFonts w:cstheme="minorHAnsi"/>
          <w:i/>
          <w:iCs/>
          <w:color w:val="1F497D" w:themeColor="text2"/>
          <w:sz w:val="20"/>
          <w:szCs w:val="20"/>
        </w:rPr>
        <w:t>Table 4</w:t>
      </w:r>
      <w:r w:rsidR="0058159B" w:rsidRPr="0058159B">
        <w:rPr>
          <w:rFonts w:cstheme="minorHAnsi"/>
          <w:i/>
          <w:iCs/>
          <w:color w:val="1F497D" w:themeColor="text2"/>
          <w:sz w:val="20"/>
          <w:szCs w:val="20"/>
        </w:rPr>
        <w:t xml:space="preserve"> - </w:t>
      </w:r>
      <w:r w:rsidR="001841FA" w:rsidRPr="0058159B">
        <w:rPr>
          <w:rFonts w:cstheme="minorHAnsi"/>
          <w:i/>
          <w:iCs/>
          <w:color w:val="1F497D" w:themeColor="text2"/>
          <w:sz w:val="20"/>
          <w:szCs w:val="20"/>
        </w:rPr>
        <w:t xml:space="preserve">ATC and YTC Program </w:t>
      </w:r>
      <w:r w:rsidR="0017070D" w:rsidRPr="0058159B">
        <w:rPr>
          <w:rFonts w:cstheme="minorHAnsi"/>
          <w:i/>
          <w:iCs/>
          <w:color w:val="1F497D" w:themeColor="text2"/>
          <w:sz w:val="20"/>
          <w:szCs w:val="20"/>
        </w:rPr>
        <w:t xml:space="preserve">Workforce </w:t>
      </w:r>
      <w:r w:rsidR="001841FA" w:rsidRPr="0058159B">
        <w:rPr>
          <w:rFonts w:cstheme="minorHAnsi"/>
          <w:i/>
          <w:iCs/>
          <w:color w:val="1F497D" w:themeColor="text2"/>
          <w:sz w:val="20"/>
          <w:szCs w:val="20"/>
        </w:rPr>
        <w:t>D</w:t>
      </w:r>
      <w:r w:rsidR="0017070D" w:rsidRPr="0058159B">
        <w:rPr>
          <w:rFonts w:cstheme="minorHAnsi"/>
          <w:i/>
          <w:iCs/>
          <w:color w:val="1F497D" w:themeColor="text2"/>
          <w:sz w:val="20"/>
          <w:szCs w:val="20"/>
        </w:rPr>
        <w:t>ata</w:t>
      </w:r>
      <w:r w:rsidRPr="0058159B">
        <w:rPr>
          <w:rFonts w:cstheme="minorHAnsi"/>
          <w:i/>
          <w:iCs/>
          <w:color w:val="1F497D" w:themeColor="text2"/>
          <w:sz w:val="20"/>
          <w:szCs w:val="20"/>
        </w:rPr>
        <w:t xml:space="preserve"> (Indigeneity of Staff) </w:t>
      </w:r>
      <w:r w:rsidR="0017070D" w:rsidRPr="0058159B">
        <w:rPr>
          <w:rFonts w:cstheme="minorHAnsi"/>
          <w:i/>
          <w:iCs/>
          <w:color w:val="1F497D" w:themeColor="text2"/>
          <w:sz w:val="20"/>
          <w:szCs w:val="20"/>
        </w:rPr>
        <w:t xml:space="preserve">by </w:t>
      </w:r>
      <w:r w:rsidRPr="0058159B">
        <w:rPr>
          <w:rFonts w:cstheme="minorHAnsi"/>
          <w:i/>
          <w:iCs/>
          <w:color w:val="1F497D" w:themeColor="text2"/>
          <w:sz w:val="20"/>
          <w:szCs w:val="20"/>
        </w:rPr>
        <w:t>Service P</w:t>
      </w:r>
      <w:r w:rsidR="0017070D" w:rsidRPr="0058159B">
        <w:rPr>
          <w:rFonts w:cstheme="minorHAnsi"/>
          <w:i/>
          <w:iCs/>
          <w:color w:val="1F497D" w:themeColor="text2"/>
          <w:sz w:val="20"/>
          <w:szCs w:val="20"/>
        </w:rPr>
        <w:t>rovider</w:t>
      </w:r>
      <w:r w:rsidRPr="0058159B">
        <w:rPr>
          <w:rFonts w:cstheme="minorHAnsi"/>
          <w:i/>
          <w:iCs/>
          <w:color w:val="1F497D" w:themeColor="text2"/>
          <w:sz w:val="20"/>
          <w:szCs w:val="20"/>
        </w:rPr>
        <w:t xml:space="preserve"> (</w:t>
      </w:r>
      <w:r w:rsidR="0017070D" w:rsidRPr="0058159B">
        <w:rPr>
          <w:rFonts w:cstheme="minorHAnsi"/>
          <w:i/>
          <w:iCs/>
          <w:color w:val="1F497D" w:themeColor="text2"/>
          <w:sz w:val="20"/>
          <w:szCs w:val="20"/>
        </w:rPr>
        <w:t>1 July 2019 to 31 December 2022</w:t>
      </w:r>
      <w:r w:rsidRPr="0058159B">
        <w:rPr>
          <w:rFonts w:cstheme="minorHAnsi"/>
          <w:i/>
          <w:iCs/>
          <w:color w:val="1F497D" w:themeColor="text2"/>
          <w:sz w:val="20"/>
          <w:szCs w:val="20"/>
        </w:rPr>
        <w:t>)</w:t>
      </w:r>
      <w:r w:rsidR="0017070D" w:rsidRPr="0058159B">
        <w:rPr>
          <w:rFonts w:cstheme="minorHAnsi"/>
          <w:i/>
          <w:iCs/>
          <w:color w:val="1F497D" w:themeColor="text2"/>
          <w:sz w:val="20"/>
          <w:szCs w:val="20"/>
        </w:rPr>
        <w:t> </w:t>
      </w:r>
    </w:p>
    <w:p w14:paraId="5EDC5546" w14:textId="77777777" w:rsidR="00B079BD" w:rsidRPr="00B079BD" w:rsidRDefault="00B079BD" w:rsidP="00B079BD">
      <w:pPr>
        <w:rPr>
          <w:rFonts w:cstheme="minorHAnsi"/>
          <w:i/>
          <w:iCs/>
          <w:color w:val="1F497D" w:themeColor="text2"/>
          <w:sz w:val="20"/>
          <w:szCs w:val="20"/>
        </w:rPr>
      </w:pPr>
    </w:p>
    <w:tbl>
      <w:tblPr>
        <w:tblStyle w:val="GridTable1Light-Accent1"/>
        <w:tblW w:w="9776" w:type="dxa"/>
        <w:tblLayout w:type="fixed"/>
        <w:tblLook w:val="04A0" w:firstRow="1" w:lastRow="0" w:firstColumn="1" w:lastColumn="0" w:noHBand="0" w:noVBand="1"/>
        <w:tblCaption w:val="Table 4 - ATC and YTC Program workforce data (Indigeneity of staff) by service provider"/>
        <w:tblDescription w:val="The table has 3 rows and 10 columns in total  providng percentages on average proportion of Indigenous staff for both adult through care and youth through care providers. The percentages (proportion of staff) are listed by provider."/>
      </w:tblPr>
      <w:tblGrid>
        <w:gridCol w:w="1271"/>
        <w:gridCol w:w="809"/>
        <w:gridCol w:w="867"/>
        <w:gridCol w:w="804"/>
        <w:gridCol w:w="661"/>
        <w:gridCol w:w="1352"/>
        <w:gridCol w:w="850"/>
        <w:gridCol w:w="1319"/>
        <w:gridCol w:w="850"/>
        <w:gridCol w:w="993"/>
      </w:tblGrid>
      <w:tr w:rsidR="004772A2" w:rsidRPr="004772A2" w14:paraId="295A6B17" w14:textId="77E80A3D" w:rsidTr="004772A2">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07EBB156" w14:textId="72555330" w:rsidR="0015453E" w:rsidRPr="004772A2" w:rsidRDefault="0015453E" w:rsidP="004772A2">
            <w:pPr>
              <w:pStyle w:val="Heading7"/>
              <w:rPr>
                <w:color w:val="auto"/>
              </w:rPr>
            </w:pPr>
            <w:r w:rsidRPr="004772A2">
              <w:rPr>
                <w:rStyle w:val="normaltextrun"/>
                <w:color w:val="auto"/>
              </w:rPr>
              <w:t>Data Item</w:t>
            </w:r>
            <w:r w:rsidRPr="004772A2">
              <w:rPr>
                <w:rStyle w:val="eop"/>
                <w:color w:val="auto"/>
              </w:rPr>
              <w:t> </w:t>
            </w:r>
          </w:p>
        </w:tc>
        <w:tc>
          <w:tcPr>
            <w:tcW w:w="809" w:type="dxa"/>
            <w:hideMark/>
          </w:tcPr>
          <w:p w14:paraId="77FED361"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ALRM </w:t>
            </w:r>
          </w:p>
        </w:tc>
        <w:tc>
          <w:tcPr>
            <w:tcW w:w="867" w:type="dxa"/>
            <w:hideMark/>
          </w:tcPr>
          <w:p w14:paraId="060037B6"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ATSILS </w:t>
            </w:r>
          </w:p>
        </w:tc>
        <w:tc>
          <w:tcPr>
            <w:tcW w:w="804" w:type="dxa"/>
            <w:hideMark/>
          </w:tcPr>
          <w:p w14:paraId="5166042D"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CHAC </w:t>
            </w:r>
          </w:p>
        </w:tc>
        <w:tc>
          <w:tcPr>
            <w:tcW w:w="661" w:type="dxa"/>
            <w:hideMark/>
          </w:tcPr>
          <w:p w14:paraId="51BB21FD"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CRC </w:t>
            </w:r>
          </w:p>
        </w:tc>
        <w:tc>
          <w:tcPr>
            <w:tcW w:w="1352" w:type="dxa"/>
            <w:hideMark/>
          </w:tcPr>
          <w:p w14:paraId="1313D97B"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Five Bridges </w:t>
            </w:r>
          </w:p>
        </w:tc>
        <w:tc>
          <w:tcPr>
            <w:tcW w:w="850" w:type="dxa"/>
            <w:hideMark/>
          </w:tcPr>
          <w:p w14:paraId="7B8AECBE"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NAAJA </w:t>
            </w:r>
          </w:p>
        </w:tc>
        <w:tc>
          <w:tcPr>
            <w:tcW w:w="1319" w:type="dxa"/>
            <w:hideMark/>
          </w:tcPr>
          <w:p w14:paraId="4B8B2D06" w14:textId="7777777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Nulsen </w:t>
            </w:r>
          </w:p>
          <w:p w14:paraId="1BA9238C" w14:textId="4F261CC0" w:rsidR="00AC33AE" w:rsidRPr="004772A2" w:rsidRDefault="00A23C75"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w:t>
            </w:r>
            <w:r w:rsidR="00AC33AE" w:rsidRPr="004772A2">
              <w:rPr>
                <w:rStyle w:val="normaltextrun"/>
                <w:color w:val="auto"/>
              </w:rPr>
              <w:t>Outcare</w:t>
            </w:r>
            <w:r w:rsidRPr="004772A2">
              <w:rPr>
                <w:rStyle w:val="normaltextrun"/>
                <w:color w:val="auto"/>
              </w:rPr>
              <w:t>)</w:t>
            </w:r>
          </w:p>
        </w:tc>
        <w:tc>
          <w:tcPr>
            <w:tcW w:w="850" w:type="dxa"/>
            <w:hideMark/>
          </w:tcPr>
          <w:p w14:paraId="42C56257" w14:textId="4EDBC7AC"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RYSS </w:t>
            </w:r>
          </w:p>
        </w:tc>
        <w:tc>
          <w:tcPr>
            <w:tcW w:w="993" w:type="dxa"/>
          </w:tcPr>
          <w:p w14:paraId="1BDDB1C2" w14:textId="24884627" w:rsidR="0015453E" w:rsidRPr="004772A2" w:rsidRDefault="0015453E"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VACCA</w:t>
            </w:r>
          </w:p>
        </w:tc>
      </w:tr>
      <w:tr w:rsidR="00BA6871" w:rsidRPr="00C543CA" w14:paraId="6939CA8A" w14:textId="22F93306" w:rsidTr="001422C6">
        <w:trPr>
          <w:trHeight w:val="979"/>
        </w:trPr>
        <w:tc>
          <w:tcPr>
            <w:cnfStyle w:val="001000000000" w:firstRow="0" w:lastRow="0" w:firstColumn="1" w:lastColumn="0" w:oddVBand="0" w:evenVBand="0" w:oddHBand="0" w:evenHBand="0" w:firstRowFirstColumn="0" w:firstRowLastColumn="0" w:lastRowFirstColumn="0" w:lastRowLastColumn="0"/>
            <w:tcW w:w="1271" w:type="dxa"/>
            <w:hideMark/>
          </w:tcPr>
          <w:p w14:paraId="518B884C" w14:textId="1EC4BDCD" w:rsidR="0015453E" w:rsidRPr="00C543CA" w:rsidRDefault="0015453E" w:rsidP="0017070D">
            <w:pPr>
              <w:pStyle w:val="paragraph"/>
              <w:spacing w:before="0" w:beforeAutospacing="0" w:after="0" w:afterAutospacing="0"/>
              <w:textAlignment w:val="baseline"/>
              <w:rPr>
                <w:color w:val="000000" w:themeColor="text1"/>
              </w:rPr>
            </w:pPr>
            <w:r w:rsidRPr="00C543CA">
              <w:rPr>
                <w:rStyle w:val="normaltextrun"/>
                <w:rFonts w:ascii="Calibri" w:hAnsi="Calibri" w:cs="Calibri"/>
                <w:color w:val="000000" w:themeColor="text1"/>
                <w:sz w:val="20"/>
                <w:szCs w:val="20"/>
              </w:rPr>
              <w:t xml:space="preserve">Average </w:t>
            </w:r>
            <w:r>
              <w:rPr>
                <w:rStyle w:val="normaltextrun"/>
                <w:rFonts w:ascii="Calibri" w:hAnsi="Calibri" w:cs="Calibri"/>
                <w:color w:val="000000" w:themeColor="text1"/>
                <w:sz w:val="20"/>
                <w:szCs w:val="20"/>
              </w:rPr>
              <w:t>P</w:t>
            </w:r>
            <w:r w:rsidRPr="00C543CA">
              <w:rPr>
                <w:rStyle w:val="normaltextrun"/>
                <w:rFonts w:ascii="Calibri" w:hAnsi="Calibri" w:cs="Calibri"/>
                <w:color w:val="000000" w:themeColor="text1"/>
                <w:sz w:val="20"/>
                <w:szCs w:val="20"/>
              </w:rPr>
              <w:t xml:space="preserve">roportion of Indigenous </w:t>
            </w:r>
            <w:r>
              <w:rPr>
                <w:rStyle w:val="normaltextrun"/>
                <w:rFonts w:ascii="Calibri" w:hAnsi="Calibri" w:cs="Calibri"/>
                <w:color w:val="000000" w:themeColor="text1"/>
                <w:sz w:val="20"/>
                <w:szCs w:val="20"/>
              </w:rPr>
              <w:t>S</w:t>
            </w:r>
            <w:r w:rsidRPr="00C543CA">
              <w:rPr>
                <w:rStyle w:val="normaltextrun"/>
                <w:rFonts w:ascii="Calibri" w:hAnsi="Calibri" w:cs="Calibri"/>
                <w:color w:val="000000" w:themeColor="text1"/>
                <w:sz w:val="20"/>
                <w:szCs w:val="20"/>
              </w:rPr>
              <w:t>taff</w:t>
            </w:r>
            <w:r w:rsidRPr="0015453E">
              <w:rPr>
                <w:rStyle w:val="normaltextrun"/>
              </w:rPr>
              <w:t> (</w:t>
            </w:r>
            <w:r w:rsidRPr="0015453E">
              <w:rPr>
                <w:rStyle w:val="normaltextrun"/>
                <w:rFonts w:ascii="Calibri" w:hAnsi="Calibri" w:cs="Calibri"/>
                <w:color w:val="000000" w:themeColor="text1"/>
                <w:sz w:val="20"/>
                <w:szCs w:val="20"/>
              </w:rPr>
              <w:t>ATC)</w:t>
            </w:r>
          </w:p>
        </w:tc>
        <w:tc>
          <w:tcPr>
            <w:tcW w:w="809" w:type="dxa"/>
            <w:vAlign w:val="center"/>
            <w:hideMark/>
          </w:tcPr>
          <w:p w14:paraId="70F8BCD3" w14:textId="58BF3D7D"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89%</w:t>
            </w:r>
          </w:p>
        </w:tc>
        <w:tc>
          <w:tcPr>
            <w:tcW w:w="867" w:type="dxa"/>
            <w:vAlign w:val="center"/>
            <w:hideMark/>
          </w:tcPr>
          <w:p w14:paraId="1170D61A" w14:textId="3BA6C2A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49%</w:t>
            </w:r>
          </w:p>
        </w:tc>
        <w:tc>
          <w:tcPr>
            <w:tcW w:w="804" w:type="dxa"/>
            <w:vAlign w:val="center"/>
            <w:hideMark/>
          </w:tcPr>
          <w:p w14:paraId="30D2690E" w14:textId="0787074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95%</w:t>
            </w:r>
          </w:p>
        </w:tc>
        <w:tc>
          <w:tcPr>
            <w:tcW w:w="661" w:type="dxa"/>
            <w:vAlign w:val="center"/>
            <w:hideMark/>
          </w:tcPr>
          <w:p w14:paraId="13150E1D" w14:textId="622F94A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61%</w:t>
            </w:r>
          </w:p>
        </w:tc>
        <w:tc>
          <w:tcPr>
            <w:tcW w:w="1352" w:type="dxa"/>
            <w:vAlign w:val="center"/>
            <w:hideMark/>
          </w:tcPr>
          <w:p w14:paraId="29CB21B6" w14:textId="56676ED0"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89%</w:t>
            </w:r>
          </w:p>
        </w:tc>
        <w:tc>
          <w:tcPr>
            <w:tcW w:w="850" w:type="dxa"/>
            <w:vAlign w:val="center"/>
            <w:hideMark/>
          </w:tcPr>
          <w:p w14:paraId="70D91F47" w14:textId="591303B8"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40%</w:t>
            </w:r>
          </w:p>
        </w:tc>
        <w:tc>
          <w:tcPr>
            <w:tcW w:w="1319" w:type="dxa"/>
            <w:vAlign w:val="center"/>
            <w:hideMark/>
          </w:tcPr>
          <w:p w14:paraId="5491D0AA" w14:textId="498281B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26%</w:t>
            </w:r>
          </w:p>
        </w:tc>
        <w:tc>
          <w:tcPr>
            <w:tcW w:w="850" w:type="dxa"/>
            <w:vAlign w:val="center"/>
            <w:hideMark/>
          </w:tcPr>
          <w:p w14:paraId="78FEFCEB" w14:textId="2EB7E59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15453E">
              <w:rPr>
                <w:rStyle w:val="normaltextrun"/>
                <w:rFonts w:ascii="Calibri" w:hAnsi="Calibri" w:cs="Calibri"/>
                <w:color w:val="000000" w:themeColor="text1"/>
                <w:sz w:val="20"/>
                <w:szCs w:val="20"/>
              </w:rPr>
              <w:t>70%</w:t>
            </w:r>
          </w:p>
        </w:tc>
        <w:tc>
          <w:tcPr>
            <w:tcW w:w="993" w:type="dxa"/>
            <w:vAlign w:val="center"/>
          </w:tcPr>
          <w:p w14:paraId="4D2734F6" w14:textId="23EA6AF3"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r>
      <w:tr w:rsidR="00BA6871" w:rsidRPr="00C543CA" w14:paraId="46A1C3C3" w14:textId="74279BA7" w:rsidTr="001422C6">
        <w:trPr>
          <w:trHeight w:val="979"/>
        </w:trPr>
        <w:tc>
          <w:tcPr>
            <w:cnfStyle w:val="001000000000" w:firstRow="0" w:lastRow="0" w:firstColumn="1" w:lastColumn="0" w:oddVBand="0" w:evenVBand="0" w:oddHBand="0" w:evenHBand="0" w:firstRowFirstColumn="0" w:firstRowLastColumn="0" w:lastRowFirstColumn="0" w:lastRowLastColumn="0"/>
            <w:tcW w:w="1271" w:type="dxa"/>
          </w:tcPr>
          <w:p w14:paraId="7F2C648D" w14:textId="2008281D" w:rsidR="0015453E" w:rsidRPr="0015453E" w:rsidRDefault="0015453E" w:rsidP="0017070D">
            <w:pPr>
              <w:pStyle w:val="paragraph"/>
              <w:spacing w:before="0" w:beforeAutospacing="0" w:after="0" w:afterAutospacing="0"/>
              <w:textAlignment w:val="baseline"/>
              <w:rPr>
                <w:rStyle w:val="normaltextrun"/>
                <w:rFonts w:cstheme="minorHAnsi"/>
                <w:b w:val="0"/>
                <w:bCs w:val="0"/>
                <w:color w:val="000000" w:themeColor="text1"/>
                <w:sz w:val="20"/>
                <w:szCs w:val="20"/>
              </w:rPr>
            </w:pPr>
            <w:r w:rsidRPr="0015453E">
              <w:rPr>
                <w:rStyle w:val="normaltextrun"/>
                <w:rFonts w:cstheme="minorHAnsi"/>
                <w:color w:val="000000" w:themeColor="text1"/>
                <w:sz w:val="20"/>
                <w:szCs w:val="20"/>
              </w:rPr>
              <w:t>Average Proportion of Indigenous Staff</w:t>
            </w:r>
            <w:r w:rsidRPr="0015453E">
              <w:rPr>
                <w:rStyle w:val="normaltextrun"/>
                <w:rFonts w:cstheme="minorHAnsi"/>
                <w:sz w:val="20"/>
                <w:szCs w:val="20"/>
              </w:rPr>
              <w:t> (Y</w:t>
            </w:r>
            <w:r w:rsidRPr="0015453E">
              <w:rPr>
                <w:rStyle w:val="normaltextrun"/>
                <w:rFonts w:cstheme="minorHAnsi"/>
                <w:color w:val="000000" w:themeColor="text1"/>
                <w:sz w:val="20"/>
                <w:szCs w:val="20"/>
              </w:rPr>
              <w:t>TC)</w:t>
            </w:r>
          </w:p>
        </w:tc>
        <w:tc>
          <w:tcPr>
            <w:tcW w:w="809" w:type="dxa"/>
            <w:vAlign w:val="center"/>
          </w:tcPr>
          <w:p w14:paraId="651A6DDB" w14:textId="65BD89EC"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867" w:type="dxa"/>
            <w:vAlign w:val="center"/>
          </w:tcPr>
          <w:p w14:paraId="41F55555" w14:textId="686A12F1"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50%</w:t>
            </w:r>
          </w:p>
        </w:tc>
        <w:tc>
          <w:tcPr>
            <w:tcW w:w="804" w:type="dxa"/>
            <w:vAlign w:val="center"/>
          </w:tcPr>
          <w:p w14:paraId="7BD7717F" w14:textId="796C67A2"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661" w:type="dxa"/>
            <w:vAlign w:val="center"/>
          </w:tcPr>
          <w:p w14:paraId="132A0A41" w14:textId="386B07E7"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1352" w:type="dxa"/>
            <w:vAlign w:val="center"/>
          </w:tcPr>
          <w:p w14:paraId="4ED80F7E" w14:textId="0CFB640B"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850" w:type="dxa"/>
            <w:vAlign w:val="center"/>
          </w:tcPr>
          <w:p w14:paraId="51D7313C" w14:textId="62ED87DB"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34%</w:t>
            </w:r>
          </w:p>
        </w:tc>
        <w:tc>
          <w:tcPr>
            <w:tcW w:w="1319" w:type="dxa"/>
            <w:vAlign w:val="center"/>
          </w:tcPr>
          <w:p w14:paraId="4788AA2E" w14:textId="0461B72E"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850" w:type="dxa"/>
            <w:vAlign w:val="center"/>
          </w:tcPr>
          <w:p w14:paraId="60F58951" w14:textId="75DB3E06"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NA</w:t>
            </w:r>
          </w:p>
        </w:tc>
        <w:tc>
          <w:tcPr>
            <w:tcW w:w="993" w:type="dxa"/>
            <w:vAlign w:val="center"/>
          </w:tcPr>
          <w:p w14:paraId="2E8B5127" w14:textId="35EF8092" w:rsidR="0015453E" w:rsidRPr="0015453E" w:rsidRDefault="0015453E" w:rsidP="0015453E">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sidRPr="0015453E">
              <w:rPr>
                <w:rStyle w:val="normaltextrun"/>
                <w:rFonts w:ascii="Calibri" w:hAnsi="Calibri" w:cs="Calibri"/>
                <w:color w:val="000000" w:themeColor="text1"/>
                <w:sz w:val="20"/>
                <w:szCs w:val="20"/>
              </w:rPr>
              <w:t>53%</w:t>
            </w:r>
          </w:p>
        </w:tc>
      </w:tr>
    </w:tbl>
    <w:p w14:paraId="3340511C" w14:textId="31D1DAC8" w:rsidR="00D35B9B" w:rsidRPr="00D35B9B" w:rsidRDefault="0017070D" w:rsidP="00D35B9B">
      <w:pPr>
        <w:pStyle w:val="paragraph"/>
        <w:spacing w:before="0" w:beforeAutospacing="0" w:after="0" w:afterAutospacing="0"/>
        <w:textAlignment w:val="baseline"/>
        <w:rPr>
          <w:rFonts w:ascii="Calibri" w:hAnsi="Calibri" w:cs="Calibri"/>
        </w:rPr>
      </w:pPr>
      <w:r w:rsidRPr="00B079BD">
        <w:rPr>
          <w:rStyle w:val="eop"/>
          <w:rFonts w:ascii="Calibri" w:hAnsi="Calibri" w:cs="Calibri"/>
        </w:rPr>
        <w:t> </w:t>
      </w:r>
    </w:p>
    <w:p w14:paraId="457476D7" w14:textId="70785B69" w:rsidR="00D35B9B" w:rsidRPr="00B21295" w:rsidRDefault="00D35B9B" w:rsidP="00D35B9B">
      <w:pPr>
        <w:jc w:val="both"/>
        <w:rPr>
          <w:rFonts w:cstheme="minorHAnsi"/>
          <w:lang w:val="en-MY" w:eastAsia="en-AU"/>
        </w:rPr>
      </w:pPr>
      <w:r w:rsidRPr="002C317F">
        <w:rPr>
          <w:rFonts w:cstheme="minorHAnsi"/>
          <w:lang w:val="en-MY" w:eastAsia="en-AU"/>
        </w:rPr>
        <w:t xml:space="preserve">Service delivery by through care providers was considered by service partners responding to the </w:t>
      </w:r>
      <w:r w:rsidRPr="00B21295">
        <w:rPr>
          <w:rFonts w:cstheme="minorHAnsi"/>
          <w:lang w:val="en-MY" w:eastAsia="en-AU"/>
        </w:rPr>
        <w:t>online survey to be largely led by motivated staff, irrespective of their Indigenous status, with 73 percent of respondents identifying services as ‘always’ or ‘usually’ providing a service delivered by motivated staff, and just 8 percent identifying this attribute as ‘rarely’ or ‘never’ delivered.</w:t>
      </w:r>
    </w:p>
    <w:p w14:paraId="35E1C867" w14:textId="77777777" w:rsidR="00D35B9B" w:rsidRPr="00B21295" w:rsidRDefault="00D35B9B" w:rsidP="002C317F">
      <w:pPr>
        <w:jc w:val="both"/>
        <w:rPr>
          <w:rFonts w:cstheme="minorHAnsi"/>
          <w:lang w:val="en-MY" w:eastAsia="en-AU"/>
        </w:rPr>
      </w:pPr>
    </w:p>
    <w:p w14:paraId="198E8E2B" w14:textId="2719D6F7" w:rsidR="002B7068" w:rsidRPr="00B21295" w:rsidRDefault="00DE1B8B" w:rsidP="002C317F">
      <w:pPr>
        <w:jc w:val="both"/>
        <w:rPr>
          <w:rFonts w:cstheme="minorHAnsi"/>
          <w:lang w:val="en-MY" w:eastAsia="en-AU"/>
        </w:rPr>
      </w:pPr>
      <w:r w:rsidRPr="00B21295">
        <w:rPr>
          <w:rFonts w:cstheme="minorHAnsi"/>
          <w:lang w:val="en-MY" w:eastAsia="en-AU"/>
        </w:rPr>
        <w:t>T</w:t>
      </w:r>
      <w:r w:rsidR="00B35E35" w:rsidRPr="00B21295">
        <w:rPr>
          <w:rFonts w:cstheme="minorHAnsi"/>
          <w:lang w:val="en-MY" w:eastAsia="en-AU"/>
        </w:rPr>
        <w:t xml:space="preserve">he potential of programs and services which strengthen cultural identity and which </w:t>
      </w:r>
      <w:r w:rsidR="00F4306B" w:rsidRPr="00B21295">
        <w:rPr>
          <w:rFonts w:cstheme="minorHAnsi"/>
          <w:lang w:val="en-MY" w:eastAsia="en-AU"/>
        </w:rPr>
        <w:t>connect</w:t>
      </w:r>
      <w:r w:rsidR="00B35E35" w:rsidRPr="00B21295">
        <w:rPr>
          <w:rFonts w:cstheme="minorHAnsi"/>
          <w:lang w:val="en-MY" w:eastAsia="en-AU"/>
        </w:rPr>
        <w:t xml:space="preserve"> clients with country and kin was consistently acknowledged by management, case workers and clients as a driver of success, particularly for adults and especially </w:t>
      </w:r>
      <w:r w:rsidR="00F778BD" w:rsidRPr="00B21295">
        <w:rPr>
          <w:rFonts w:cstheme="minorHAnsi"/>
          <w:lang w:val="en-MY" w:eastAsia="en-AU"/>
        </w:rPr>
        <w:t xml:space="preserve">adult </w:t>
      </w:r>
      <w:r w:rsidR="00B35E35" w:rsidRPr="00B21295">
        <w:rPr>
          <w:rFonts w:cstheme="minorHAnsi"/>
          <w:lang w:val="en-MY" w:eastAsia="en-AU"/>
        </w:rPr>
        <w:t xml:space="preserve">males. </w:t>
      </w:r>
      <w:r w:rsidR="000A2FB1" w:rsidRPr="00B21295">
        <w:rPr>
          <w:rFonts w:cstheme="minorHAnsi"/>
          <w:lang w:val="en-MY" w:eastAsia="en-AU"/>
        </w:rPr>
        <w:t xml:space="preserve">The extent to which </w:t>
      </w:r>
      <w:r w:rsidR="00856C7E" w:rsidRPr="00B21295">
        <w:rPr>
          <w:rFonts w:cstheme="minorHAnsi"/>
          <w:lang w:val="en-MY" w:eastAsia="en-AU"/>
        </w:rPr>
        <w:t xml:space="preserve">cultural strengthening programs </w:t>
      </w:r>
      <w:r w:rsidRPr="00B21295">
        <w:rPr>
          <w:rFonts w:cstheme="minorHAnsi"/>
          <w:lang w:val="en-MY" w:eastAsia="en-AU"/>
        </w:rPr>
        <w:t xml:space="preserve">as a key element of an Indigenous approach </w:t>
      </w:r>
      <w:r w:rsidR="000A2FB1" w:rsidRPr="00B21295">
        <w:rPr>
          <w:rFonts w:cstheme="minorHAnsi"/>
          <w:lang w:val="en-MY" w:eastAsia="en-AU"/>
        </w:rPr>
        <w:t xml:space="preserve">ought to be </w:t>
      </w:r>
      <w:r w:rsidR="00D35B9B" w:rsidRPr="00B21295">
        <w:rPr>
          <w:rFonts w:cstheme="minorHAnsi"/>
          <w:lang w:val="en-MY" w:eastAsia="en-AU"/>
        </w:rPr>
        <w:t>applied</w:t>
      </w:r>
      <w:r w:rsidR="00300096" w:rsidRPr="00B21295">
        <w:rPr>
          <w:rFonts w:cstheme="minorHAnsi"/>
          <w:lang w:val="en-MY" w:eastAsia="en-AU"/>
        </w:rPr>
        <w:t>, however, was subject to debate amongst Indigenous case workers</w:t>
      </w:r>
      <w:r w:rsidR="00D35B9B" w:rsidRPr="00B21295">
        <w:rPr>
          <w:rFonts w:cstheme="minorHAnsi"/>
          <w:lang w:val="en-MY" w:eastAsia="en-AU"/>
        </w:rPr>
        <w:t>,</w:t>
      </w:r>
      <w:r w:rsidR="00300096" w:rsidRPr="00B21295">
        <w:rPr>
          <w:rFonts w:cstheme="minorHAnsi"/>
          <w:lang w:val="en-MY" w:eastAsia="en-AU"/>
        </w:rPr>
        <w:t xml:space="preserve"> more than one of whom qualified that </w:t>
      </w:r>
      <w:r w:rsidR="00C51292" w:rsidRPr="00B21295">
        <w:rPr>
          <w:rFonts w:cstheme="minorHAnsi"/>
          <w:lang w:val="en-MY" w:eastAsia="en-AU"/>
        </w:rPr>
        <w:t xml:space="preserve">for them </w:t>
      </w:r>
      <w:r w:rsidR="00300096" w:rsidRPr="00B21295">
        <w:rPr>
          <w:rFonts w:cstheme="minorHAnsi"/>
          <w:lang w:val="en-MY" w:eastAsia="en-AU"/>
        </w:rPr>
        <w:t xml:space="preserve">the essence of an Indigenous approach </w:t>
      </w:r>
      <w:r w:rsidR="0078674D" w:rsidRPr="00B21295">
        <w:rPr>
          <w:rFonts w:cstheme="minorHAnsi"/>
          <w:lang w:val="en-MY" w:eastAsia="en-AU"/>
        </w:rPr>
        <w:t>is in</w:t>
      </w:r>
      <w:r w:rsidR="00C51292" w:rsidRPr="00B21295">
        <w:rPr>
          <w:rFonts w:cstheme="minorHAnsi"/>
          <w:lang w:val="en-MY" w:eastAsia="en-AU"/>
        </w:rPr>
        <w:t xml:space="preserve"> </w:t>
      </w:r>
      <w:r w:rsidR="00300096" w:rsidRPr="00B21295">
        <w:rPr>
          <w:rFonts w:cstheme="minorHAnsi"/>
          <w:lang w:val="en-MY" w:eastAsia="en-AU"/>
        </w:rPr>
        <w:t xml:space="preserve">the spirit of the relationships established than in </w:t>
      </w:r>
      <w:r w:rsidR="00D35B9B" w:rsidRPr="00B21295">
        <w:rPr>
          <w:rFonts w:cstheme="minorHAnsi"/>
          <w:lang w:val="en-MY" w:eastAsia="en-AU"/>
        </w:rPr>
        <w:t>“having to tick the culture box</w:t>
      </w:r>
      <w:r w:rsidR="00300096" w:rsidRPr="00B21295">
        <w:rPr>
          <w:rFonts w:cstheme="minorHAnsi"/>
          <w:lang w:val="en-MY" w:eastAsia="en-AU"/>
        </w:rPr>
        <w:t>.</w:t>
      </w:r>
      <w:r w:rsidR="00D35B9B" w:rsidRPr="00B21295">
        <w:rPr>
          <w:rFonts w:cstheme="minorHAnsi"/>
          <w:lang w:val="en-MY" w:eastAsia="en-AU"/>
        </w:rPr>
        <w:t>”</w:t>
      </w:r>
    </w:p>
    <w:p w14:paraId="0CF0CAD6" w14:textId="77777777" w:rsidR="002B7068" w:rsidRPr="00B21295" w:rsidRDefault="002B7068" w:rsidP="002C317F">
      <w:pPr>
        <w:jc w:val="both"/>
        <w:rPr>
          <w:rFonts w:cstheme="minorHAnsi"/>
          <w:lang w:val="en-MY" w:eastAsia="en-AU"/>
        </w:rPr>
      </w:pPr>
    </w:p>
    <w:p w14:paraId="7B864CF4" w14:textId="600A2464" w:rsidR="0048690E" w:rsidRPr="002C317F" w:rsidRDefault="00856C7E" w:rsidP="002C317F">
      <w:pPr>
        <w:jc w:val="both"/>
        <w:rPr>
          <w:rFonts w:cstheme="minorHAnsi"/>
          <w:lang w:val="en-MY" w:eastAsia="en-AU"/>
        </w:rPr>
      </w:pPr>
      <w:r w:rsidRPr="00B21295">
        <w:rPr>
          <w:rFonts w:cstheme="minorHAnsi"/>
          <w:lang w:val="en-MY" w:eastAsia="en-AU"/>
        </w:rPr>
        <w:t>To this extent</w:t>
      </w:r>
      <w:r w:rsidR="002F4DA2" w:rsidRPr="00B21295">
        <w:rPr>
          <w:rFonts w:cstheme="minorHAnsi"/>
          <w:lang w:val="en-MY" w:eastAsia="en-AU"/>
        </w:rPr>
        <w:t>,</w:t>
      </w:r>
      <w:r w:rsidRPr="00B21295">
        <w:rPr>
          <w:rFonts w:cstheme="minorHAnsi"/>
          <w:lang w:val="en-MY" w:eastAsia="en-AU"/>
        </w:rPr>
        <w:t xml:space="preserve"> aspects of the models implemented were seen </w:t>
      </w:r>
      <w:r w:rsidR="00556573" w:rsidRPr="00B21295">
        <w:rPr>
          <w:rFonts w:cstheme="minorHAnsi"/>
          <w:lang w:val="en-MY" w:eastAsia="en-AU"/>
        </w:rPr>
        <w:t xml:space="preserve">by clients and case workers </w:t>
      </w:r>
      <w:r w:rsidRPr="00B21295">
        <w:rPr>
          <w:rFonts w:cstheme="minorHAnsi"/>
          <w:lang w:val="en-MY" w:eastAsia="en-AU"/>
        </w:rPr>
        <w:t xml:space="preserve">to be somewhat lacking as an Indigenous approach, since activities to promote social interaction amongst peers are often limited and face various operational challenges (discussed elsewhere in this report). </w:t>
      </w:r>
      <w:r w:rsidR="00DE1B8B" w:rsidRPr="00B21295">
        <w:rPr>
          <w:rFonts w:cstheme="minorHAnsi"/>
          <w:lang w:val="en-MY" w:eastAsia="en-AU"/>
        </w:rPr>
        <w:t>The suggestion being made here - and in various ways by providers irrespective of the Indigenous status of staff - is that implementation of a truly Indigenous approach</w:t>
      </w:r>
      <w:r w:rsidR="00DE1B8B" w:rsidRPr="002C317F">
        <w:rPr>
          <w:rFonts w:cstheme="minorHAnsi"/>
          <w:lang w:val="en-MY" w:eastAsia="en-AU"/>
        </w:rPr>
        <w:t xml:space="preserve"> would better support collective </w:t>
      </w:r>
      <w:r w:rsidR="0078674D" w:rsidRPr="002C317F">
        <w:rPr>
          <w:rFonts w:cstheme="minorHAnsi"/>
          <w:lang w:val="en-MY" w:eastAsia="en-AU"/>
        </w:rPr>
        <w:t>s</w:t>
      </w:r>
      <w:r w:rsidR="00DE1B8B" w:rsidRPr="002C317F">
        <w:rPr>
          <w:rFonts w:cstheme="minorHAnsi"/>
          <w:lang w:val="en-MY" w:eastAsia="en-AU"/>
        </w:rPr>
        <w:t>ocial activity</w:t>
      </w:r>
      <w:r w:rsidR="00E95F35">
        <w:rPr>
          <w:rFonts w:cstheme="minorHAnsi"/>
          <w:lang w:val="en-MY" w:eastAsia="en-AU"/>
        </w:rPr>
        <w:t xml:space="preserve">, </w:t>
      </w:r>
      <w:r w:rsidR="00556573" w:rsidRPr="002C317F">
        <w:rPr>
          <w:rFonts w:cstheme="minorHAnsi"/>
          <w:lang w:val="en-MY" w:eastAsia="en-AU"/>
        </w:rPr>
        <w:t xml:space="preserve">which brings client-peers together, </w:t>
      </w:r>
      <w:r w:rsidR="00DE1B8B" w:rsidRPr="002C317F">
        <w:rPr>
          <w:rFonts w:cstheme="minorHAnsi"/>
          <w:lang w:val="en-MY" w:eastAsia="en-AU"/>
        </w:rPr>
        <w:t xml:space="preserve">over </w:t>
      </w:r>
      <w:r w:rsidR="00E95F35">
        <w:rPr>
          <w:rFonts w:cstheme="minorHAnsi"/>
          <w:lang w:val="en-MY" w:eastAsia="en-AU"/>
        </w:rPr>
        <w:t>an individualised approach that simply refers an individual to a third-party</w:t>
      </w:r>
      <w:r w:rsidR="00556573" w:rsidRPr="002C317F">
        <w:rPr>
          <w:rFonts w:cstheme="minorHAnsi"/>
          <w:lang w:val="en-MY" w:eastAsia="en-AU"/>
        </w:rPr>
        <w:t xml:space="preserve"> service</w:t>
      </w:r>
      <w:r w:rsidR="00E95F35">
        <w:rPr>
          <w:rFonts w:cstheme="minorHAnsi"/>
          <w:lang w:val="en-MY" w:eastAsia="en-AU"/>
        </w:rPr>
        <w:t xml:space="preserve"> to claim cultural strengthening has been provided</w:t>
      </w:r>
      <w:r w:rsidR="00DE1B8B" w:rsidRPr="002C317F">
        <w:rPr>
          <w:rFonts w:cstheme="minorHAnsi"/>
          <w:lang w:val="en-MY" w:eastAsia="en-AU"/>
        </w:rPr>
        <w:t>.</w:t>
      </w:r>
      <w:r w:rsidR="00556573" w:rsidRPr="002C317F">
        <w:rPr>
          <w:rFonts w:cstheme="minorHAnsi"/>
          <w:lang w:val="en-MY" w:eastAsia="en-AU"/>
        </w:rPr>
        <w:t xml:space="preserve"> </w:t>
      </w:r>
    </w:p>
    <w:p w14:paraId="0F7016E3" w14:textId="426AEF40" w:rsidR="00123BF2" w:rsidRPr="00124E6C" w:rsidRDefault="00421CD3" w:rsidP="00B77817">
      <w:pPr>
        <w:pStyle w:val="Heading2"/>
        <w:numPr>
          <w:ilvl w:val="0"/>
          <w:numId w:val="33"/>
        </w:numPr>
        <w:rPr>
          <w:rFonts w:cstheme="minorHAnsi"/>
          <w:lang w:val="en-MY" w:eastAsia="en-AU"/>
        </w:rPr>
      </w:pPr>
      <w:bookmarkStart w:id="28" w:name="_Toc150784202"/>
      <w:r w:rsidRPr="00124E6C">
        <w:rPr>
          <w:rFonts w:cstheme="minorHAnsi"/>
          <w:lang w:val="en-MY" w:eastAsia="en-AU"/>
        </w:rPr>
        <w:t xml:space="preserve">Service </w:t>
      </w:r>
      <w:r w:rsidR="003C383A" w:rsidRPr="00124E6C">
        <w:rPr>
          <w:rFonts w:cstheme="minorHAnsi"/>
          <w:lang w:val="en-MY" w:eastAsia="en-AU"/>
        </w:rPr>
        <w:t>Collaboration</w:t>
      </w:r>
      <w:bookmarkEnd w:id="28"/>
    </w:p>
    <w:p w14:paraId="014B1774" w14:textId="77079D72" w:rsidR="00FA4CBF" w:rsidRPr="008A1B41" w:rsidRDefault="00421CD3" w:rsidP="008A1B41">
      <w:pPr>
        <w:rPr>
          <w:rFonts w:cstheme="minorHAnsi"/>
          <w:i/>
          <w:iCs/>
          <w:color w:val="4F81BD" w:themeColor="accent1"/>
          <w:lang w:val="en-MY" w:eastAsia="en-AU"/>
        </w:rPr>
      </w:pPr>
      <w:r w:rsidRPr="00124E6C">
        <w:rPr>
          <w:rFonts w:cstheme="minorHAnsi"/>
          <w:i/>
          <w:iCs/>
          <w:color w:val="4F81BD" w:themeColor="accent1"/>
          <w:lang w:val="en-MY" w:eastAsia="en-AU"/>
        </w:rPr>
        <w:t xml:space="preserve">How well do the ATC and YTC Models work alongside other government and non-government service provision and are there areas of duplication? </w:t>
      </w:r>
    </w:p>
    <w:p w14:paraId="0F0F30F8" w14:textId="77777777" w:rsidR="008A1B41" w:rsidRDefault="0063192E" w:rsidP="008A1B41">
      <w:pPr>
        <w:pStyle w:val="SUBHEAD2"/>
        <w:rPr>
          <w:rFonts w:asciiTheme="minorHAnsi" w:hAnsiTheme="minorHAnsi" w:cstheme="minorHAnsi"/>
          <w:lang w:val="en-MY" w:eastAsia="en-AU"/>
        </w:rPr>
      </w:pPr>
      <w:r w:rsidRPr="008A1B41">
        <w:rPr>
          <w:rFonts w:asciiTheme="minorHAnsi" w:hAnsiTheme="minorHAnsi" w:cstheme="minorHAnsi"/>
          <w:lang w:val="en-MY" w:eastAsia="en-AU"/>
        </w:rPr>
        <w:t xml:space="preserve">Extent of </w:t>
      </w:r>
      <w:r w:rsidR="004E24E7" w:rsidRPr="008A1B41">
        <w:rPr>
          <w:rFonts w:asciiTheme="minorHAnsi" w:hAnsiTheme="minorHAnsi" w:cstheme="minorHAnsi"/>
          <w:lang w:val="en-MY" w:eastAsia="en-AU"/>
        </w:rPr>
        <w:t xml:space="preserve">Collaboration </w:t>
      </w:r>
      <w:r w:rsidRPr="008A1B41">
        <w:rPr>
          <w:rFonts w:asciiTheme="minorHAnsi" w:hAnsiTheme="minorHAnsi" w:cstheme="minorHAnsi"/>
          <w:lang w:val="en-MY" w:eastAsia="en-AU"/>
        </w:rPr>
        <w:t>with External Services</w:t>
      </w:r>
    </w:p>
    <w:p w14:paraId="66EF5818" w14:textId="5741B6D0" w:rsidR="00AB41BF" w:rsidRPr="008A1B41" w:rsidRDefault="00F72521" w:rsidP="00C241C1">
      <w:pPr>
        <w:spacing w:before="120" w:after="120"/>
        <w:jc w:val="both"/>
        <w:rPr>
          <w:b/>
          <w:smallCaps/>
          <w:lang w:val="en-MY" w:eastAsia="en-AU"/>
        </w:rPr>
      </w:pPr>
      <w:r w:rsidRPr="008A1B41">
        <w:rPr>
          <w:lang w:val="en-MY" w:eastAsia="en-AU"/>
        </w:rPr>
        <w:t xml:space="preserve">Collaboration and the coordination of supported referrals is a core practice element of both ATC and YTC models. </w:t>
      </w:r>
      <w:r w:rsidR="00D341F7" w:rsidRPr="008A1B41">
        <w:rPr>
          <w:lang w:val="en-MY" w:eastAsia="en-AU"/>
        </w:rPr>
        <w:t xml:space="preserve">All service providers felt that overall their clients benefited from the strength of the services’ relationship with </w:t>
      </w:r>
      <w:r w:rsidR="00562E36" w:rsidRPr="008A1B41">
        <w:rPr>
          <w:lang w:val="en-MY" w:eastAsia="en-AU"/>
        </w:rPr>
        <w:t>external</w:t>
      </w:r>
      <w:r w:rsidR="00D341F7" w:rsidRPr="008A1B41">
        <w:rPr>
          <w:lang w:val="en-MY" w:eastAsia="en-AU"/>
        </w:rPr>
        <w:t xml:space="preserve"> service providers, and that these relationships were important for case workers to effectively coordinate through-care services holistically.</w:t>
      </w:r>
      <w:r w:rsidR="00562E36" w:rsidRPr="008A1B41">
        <w:rPr>
          <w:lang w:val="en-MY" w:eastAsia="en-AU"/>
        </w:rPr>
        <w:t xml:space="preserve"> </w:t>
      </w:r>
      <w:r w:rsidR="00BB2B52" w:rsidRPr="008A1B41">
        <w:rPr>
          <w:lang w:val="en-MY" w:eastAsia="en-AU"/>
        </w:rPr>
        <w:t xml:space="preserve">Linkages to justice, corrections and primary health services were found to be common to all through-care services, with linkages to secondary services such as housing, alcohol and other drugs, or employment and training, </w:t>
      </w:r>
      <w:r w:rsidR="00054453" w:rsidRPr="008A1B41">
        <w:rPr>
          <w:lang w:val="en-MY" w:eastAsia="en-AU"/>
        </w:rPr>
        <w:t>see</w:t>
      </w:r>
      <w:r w:rsidR="00E95F35" w:rsidRPr="008A1B41">
        <w:rPr>
          <w:lang w:val="en-MY" w:eastAsia="en-AU"/>
        </w:rPr>
        <w:t>n</w:t>
      </w:r>
      <w:r w:rsidR="00054453" w:rsidRPr="008A1B41">
        <w:rPr>
          <w:lang w:val="en-MY" w:eastAsia="en-AU"/>
        </w:rPr>
        <w:t xml:space="preserve"> </w:t>
      </w:r>
      <w:r w:rsidR="00562E36" w:rsidRPr="008A1B41">
        <w:rPr>
          <w:lang w:val="en-MY" w:eastAsia="en-AU"/>
        </w:rPr>
        <w:t xml:space="preserve">to be </w:t>
      </w:r>
      <w:r w:rsidR="00BB2B52" w:rsidRPr="008A1B41">
        <w:rPr>
          <w:lang w:val="en-MY" w:eastAsia="en-AU"/>
        </w:rPr>
        <w:t xml:space="preserve">more ad hoc and case specific. </w:t>
      </w:r>
      <w:r w:rsidR="00FA1581" w:rsidRPr="008A1B41">
        <w:rPr>
          <w:lang w:val="en-MY" w:eastAsia="en-AU"/>
        </w:rPr>
        <w:t>A</w:t>
      </w:r>
      <w:r w:rsidR="00AB41BF" w:rsidRPr="008A1B41">
        <w:rPr>
          <w:lang w:val="en-MY" w:eastAsia="en-AU"/>
        </w:rPr>
        <w:t>ll service</w:t>
      </w:r>
      <w:r w:rsidR="00AF6E3B" w:rsidRPr="008A1B41">
        <w:rPr>
          <w:lang w:val="en-MY" w:eastAsia="en-AU"/>
        </w:rPr>
        <w:t xml:space="preserve"> providers</w:t>
      </w:r>
      <w:r w:rsidR="00AB41BF" w:rsidRPr="008A1B41">
        <w:rPr>
          <w:lang w:val="en-MY" w:eastAsia="en-AU"/>
        </w:rPr>
        <w:t xml:space="preserve"> self-report</w:t>
      </w:r>
      <w:r w:rsidR="00C42781" w:rsidRPr="008A1B41">
        <w:rPr>
          <w:lang w:val="en-MY" w:eastAsia="en-AU"/>
        </w:rPr>
        <w:t>ed</w:t>
      </w:r>
      <w:r w:rsidR="00AB41BF" w:rsidRPr="008A1B41">
        <w:rPr>
          <w:lang w:val="en-MY" w:eastAsia="en-AU"/>
        </w:rPr>
        <w:t xml:space="preserve"> as </w:t>
      </w:r>
      <w:r w:rsidR="00AF6E3B" w:rsidRPr="008A1B41">
        <w:rPr>
          <w:lang w:val="en-MY" w:eastAsia="en-AU"/>
        </w:rPr>
        <w:t xml:space="preserve">being </w:t>
      </w:r>
      <w:r w:rsidR="00AB41BF" w:rsidRPr="008A1B41">
        <w:rPr>
          <w:lang w:val="en-MY" w:eastAsia="en-AU"/>
        </w:rPr>
        <w:t xml:space="preserve">open to collaboration with third-party services, </w:t>
      </w:r>
      <w:r w:rsidR="00054453" w:rsidRPr="008A1B41">
        <w:rPr>
          <w:lang w:val="en-MY" w:eastAsia="en-AU"/>
        </w:rPr>
        <w:t xml:space="preserve">but </w:t>
      </w:r>
      <w:r w:rsidR="00FA1581" w:rsidRPr="008A1B41">
        <w:rPr>
          <w:lang w:val="en-MY" w:eastAsia="en-AU"/>
        </w:rPr>
        <w:t>stat</w:t>
      </w:r>
      <w:r w:rsidR="00054453" w:rsidRPr="008A1B41">
        <w:rPr>
          <w:lang w:val="en-MY" w:eastAsia="en-AU"/>
        </w:rPr>
        <w:t>ed</w:t>
      </w:r>
      <w:r w:rsidR="00FA1581" w:rsidRPr="008A1B41">
        <w:rPr>
          <w:lang w:val="en-MY" w:eastAsia="en-AU"/>
        </w:rPr>
        <w:t xml:space="preserve"> that </w:t>
      </w:r>
      <w:r w:rsidR="00AB41BF" w:rsidRPr="008A1B41">
        <w:rPr>
          <w:lang w:val="en-MY" w:eastAsia="en-AU"/>
        </w:rPr>
        <w:t xml:space="preserve">the extent to which </w:t>
      </w:r>
      <w:r w:rsidR="00054453" w:rsidRPr="008A1B41">
        <w:rPr>
          <w:lang w:val="en-MY" w:eastAsia="en-AU"/>
        </w:rPr>
        <w:t xml:space="preserve">this </w:t>
      </w:r>
      <w:r w:rsidR="00AB41BF" w:rsidRPr="008A1B41">
        <w:rPr>
          <w:lang w:val="en-MY" w:eastAsia="en-AU"/>
        </w:rPr>
        <w:t xml:space="preserve">occurs </w:t>
      </w:r>
      <w:r w:rsidR="00FA1581" w:rsidRPr="008A1B41">
        <w:rPr>
          <w:lang w:val="en-MY" w:eastAsia="en-AU"/>
        </w:rPr>
        <w:t xml:space="preserve">is </w:t>
      </w:r>
      <w:r w:rsidR="00AB41BF" w:rsidRPr="008A1B41">
        <w:rPr>
          <w:lang w:val="en-MY" w:eastAsia="en-AU"/>
        </w:rPr>
        <w:t>depend</w:t>
      </w:r>
      <w:r w:rsidR="00AF6E3B" w:rsidRPr="008A1B41">
        <w:rPr>
          <w:lang w:val="en-MY" w:eastAsia="en-AU"/>
        </w:rPr>
        <w:t>ent</w:t>
      </w:r>
      <w:r w:rsidR="00AB41BF" w:rsidRPr="008A1B41">
        <w:rPr>
          <w:lang w:val="en-MY" w:eastAsia="en-AU"/>
        </w:rPr>
        <w:t xml:space="preserve"> on the knowledge</w:t>
      </w:r>
      <w:r w:rsidR="00FA1581" w:rsidRPr="008A1B41">
        <w:rPr>
          <w:lang w:val="en-MY" w:eastAsia="en-AU"/>
        </w:rPr>
        <w:t xml:space="preserve">, experience </w:t>
      </w:r>
      <w:r w:rsidR="00AB41BF" w:rsidRPr="008A1B41">
        <w:rPr>
          <w:lang w:val="en-MY" w:eastAsia="en-AU"/>
        </w:rPr>
        <w:t>and networks of individual case workers</w:t>
      </w:r>
      <w:r w:rsidR="00FA1581" w:rsidRPr="008A1B41">
        <w:rPr>
          <w:lang w:val="en-MY" w:eastAsia="en-AU"/>
        </w:rPr>
        <w:t>,</w:t>
      </w:r>
      <w:r w:rsidR="00AF6E3B" w:rsidRPr="008A1B41">
        <w:rPr>
          <w:lang w:val="en-MY" w:eastAsia="en-AU"/>
        </w:rPr>
        <w:t xml:space="preserve"> and </w:t>
      </w:r>
      <w:r w:rsidR="00AB41BF" w:rsidRPr="008A1B41">
        <w:rPr>
          <w:lang w:val="en-MY" w:eastAsia="en-AU"/>
        </w:rPr>
        <w:t xml:space="preserve">the quality and availability of </w:t>
      </w:r>
      <w:r w:rsidR="00AF6E3B" w:rsidRPr="008A1B41">
        <w:rPr>
          <w:lang w:val="en-MY" w:eastAsia="en-AU"/>
        </w:rPr>
        <w:t xml:space="preserve">external </w:t>
      </w:r>
      <w:r w:rsidR="00AB41BF" w:rsidRPr="008A1B41">
        <w:rPr>
          <w:lang w:val="en-MY" w:eastAsia="en-AU"/>
        </w:rPr>
        <w:t xml:space="preserve">services </w:t>
      </w:r>
      <w:r w:rsidR="00643DED" w:rsidRPr="008A1B41">
        <w:rPr>
          <w:lang w:val="en-MY" w:eastAsia="en-AU"/>
        </w:rPr>
        <w:t xml:space="preserve">in </w:t>
      </w:r>
      <w:r w:rsidR="00AB41BF" w:rsidRPr="008A1B41">
        <w:rPr>
          <w:lang w:val="en-MY" w:eastAsia="en-AU"/>
        </w:rPr>
        <w:t>a location</w:t>
      </w:r>
      <w:r w:rsidR="00AF6E3B" w:rsidRPr="008A1B41">
        <w:rPr>
          <w:lang w:val="en-MY" w:eastAsia="en-AU"/>
        </w:rPr>
        <w:t xml:space="preserve"> (including the openness of external services to working with through-care clients based on their </w:t>
      </w:r>
      <w:r w:rsidR="00FA1581" w:rsidRPr="008A1B41">
        <w:rPr>
          <w:lang w:val="en-MY" w:eastAsia="en-AU"/>
        </w:rPr>
        <w:t xml:space="preserve">individual </w:t>
      </w:r>
      <w:r w:rsidR="00AF6E3B" w:rsidRPr="008A1B41">
        <w:rPr>
          <w:lang w:val="en-MY" w:eastAsia="en-AU"/>
        </w:rPr>
        <w:t>case history)</w:t>
      </w:r>
      <w:r w:rsidR="00AB41BF" w:rsidRPr="008A1B41">
        <w:rPr>
          <w:lang w:val="en-MY" w:eastAsia="en-AU"/>
        </w:rPr>
        <w:t xml:space="preserve">. </w:t>
      </w:r>
    </w:p>
    <w:p w14:paraId="5C1E93CC" w14:textId="00098711" w:rsidR="00EA551F" w:rsidRDefault="00BB2B52" w:rsidP="00C241C1">
      <w:pPr>
        <w:spacing w:before="120" w:after="120"/>
        <w:jc w:val="both"/>
        <w:rPr>
          <w:lang w:val="en-MY" w:eastAsia="en-AU"/>
        </w:rPr>
      </w:pPr>
      <w:r>
        <w:rPr>
          <w:lang w:val="en-MY" w:eastAsia="en-AU"/>
        </w:rPr>
        <w:t>While</w:t>
      </w:r>
      <w:r w:rsidR="00FA1581">
        <w:rPr>
          <w:lang w:val="en-MY" w:eastAsia="en-AU"/>
        </w:rPr>
        <w:t xml:space="preserve"> referrals to </w:t>
      </w:r>
      <w:r w:rsidR="00E95F35">
        <w:rPr>
          <w:lang w:val="en-MY" w:eastAsia="en-AU"/>
        </w:rPr>
        <w:t xml:space="preserve">a </w:t>
      </w:r>
      <w:r w:rsidR="00FA1581">
        <w:rPr>
          <w:lang w:val="en-MY" w:eastAsia="en-AU"/>
        </w:rPr>
        <w:t xml:space="preserve">wide range of third-party supports </w:t>
      </w:r>
      <w:r>
        <w:rPr>
          <w:lang w:val="en-MY" w:eastAsia="en-AU"/>
        </w:rPr>
        <w:t xml:space="preserve">is a core component of the through-care model, the extent to which these linkages can be considered ‘collaborative’ (in the sense of being established partnerships across complimentary services) or ‘integrated’ (in the sense of seamlessly meeting the holistic needs of clients) is </w:t>
      </w:r>
      <w:r w:rsidR="00B22E5C">
        <w:rPr>
          <w:lang w:val="en-MY" w:eastAsia="en-AU"/>
        </w:rPr>
        <w:t>mixed</w:t>
      </w:r>
      <w:r>
        <w:rPr>
          <w:lang w:val="en-MY" w:eastAsia="en-AU"/>
        </w:rPr>
        <w:t xml:space="preserve">. Based on responses to the survey of third-party services, </w:t>
      </w:r>
      <w:r w:rsidR="00B22E5C">
        <w:rPr>
          <w:lang w:val="en-MY" w:eastAsia="en-AU"/>
        </w:rPr>
        <w:t>46</w:t>
      </w:r>
      <w:r w:rsidR="00EA551F">
        <w:rPr>
          <w:lang w:val="en-MY" w:eastAsia="en-AU"/>
        </w:rPr>
        <w:t xml:space="preserve"> </w:t>
      </w:r>
      <w:r w:rsidR="00EA551F" w:rsidRPr="00AF6E3B">
        <w:rPr>
          <w:lang w:val="en-MY" w:eastAsia="en-AU"/>
        </w:rPr>
        <w:t xml:space="preserve">percent </w:t>
      </w:r>
      <w:r w:rsidR="00EA551F">
        <w:rPr>
          <w:lang w:val="en-MY" w:eastAsia="en-AU"/>
        </w:rPr>
        <w:t>of respondents to the survey</w:t>
      </w:r>
      <w:r w:rsidR="00B22E5C">
        <w:rPr>
          <w:lang w:val="en-MY" w:eastAsia="en-AU"/>
        </w:rPr>
        <w:t xml:space="preserve"> </w:t>
      </w:r>
      <w:r w:rsidR="00EA551F">
        <w:rPr>
          <w:lang w:val="en-MY" w:eastAsia="en-AU"/>
        </w:rPr>
        <w:t xml:space="preserve">were unaware of any meetings or fora established by a service provider to facilitate inter-agency collaboration, </w:t>
      </w:r>
      <w:r w:rsidR="00B22E5C">
        <w:rPr>
          <w:lang w:val="en-MY" w:eastAsia="en-AU"/>
        </w:rPr>
        <w:t xml:space="preserve">and </w:t>
      </w:r>
      <w:r w:rsidR="00EA551F">
        <w:rPr>
          <w:lang w:val="en-MY" w:eastAsia="en-AU"/>
        </w:rPr>
        <w:t xml:space="preserve">of the 54 percent of respondents who were aware, all responses related to just two services. </w:t>
      </w:r>
    </w:p>
    <w:p w14:paraId="4B815F33" w14:textId="13B13247" w:rsidR="00795CAA" w:rsidRPr="00B21295" w:rsidRDefault="005E393F" w:rsidP="00B22E5C">
      <w:pPr>
        <w:jc w:val="both"/>
        <w:rPr>
          <w:rFonts w:cstheme="minorHAnsi"/>
          <w:lang w:val="en-MY" w:eastAsia="en-AU"/>
        </w:rPr>
      </w:pPr>
      <w:r>
        <w:rPr>
          <w:rFonts w:cstheme="minorHAnsi"/>
          <w:lang w:val="en-MY" w:eastAsia="en-AU"/>
        </w:rPr>
        <w:t xml:space="preserve">Furthermore, while </w:t>
      </w:r>
      <w:r w:rsidR="00B22E5C">
        <w:rPr>
          <w:rFonts w:cstheme="minorHAnsi"/>
          <w:lang w:val="en-MY" w:eastAsia="en-AU"/>
        </w:rPr>
        <w:t>s</w:t>
      </w:r>
      <w:r w:rsidR="00B22E5C" w:rsidRPr="00B22E5C">
        <w:rPr>
          <w:rFonts w:cstheme="minorHAnsi"/>
          <w:lang w:val="en-MY" w:eastAsia="en-AU"/>
        </w:rPr>
        <w:t>ervice delivery by through</w:t>
      </w:r>
      <w:r w:rsidR="00D03BF0">
        <w:rPr>
          <w:rFonts w:cstheme="minorHAnsi"/>
          <w:lang w:val="en-MY" w:eastAsia="en-AU"/>
        </w:rPr>
        <w:t>-</w:t>
      </w:r>
      <w:r w:rsidR="00B22E5C" w:rsidRPr="00B22E5C">
        <w:rPr>
          <w:rFonts w:cstheme="minorHAnsi"/>
          <w:lang w:val="en-MY" w:eastAsia="en-AU"/>
        </w:rPr>
        <w:t xml:space="preserve">care providers was considered by </w:t>
      </w:r>
      <w:r w:rsidR="00B22E5C">
        <w:rPr>
          <w:rFonts w:cstheme="minorHAnsi"/>
          <w:lang w:val="en-MY" w:eastAsia="en-AU"/>
        </w:rPr>
        <w:t xml:space="preserve">those </w:t>
      </w:r>
      <w:r w:rsidR="00B22E5C" w:rsidRPr="00B22E5C">
        <w:rPr>
          <w:rFonts w:cstheme="minorHAnsi"/>
          <w:lang w:val="en-MY" w:eastAsia="en-AU"/>
        </w:rPr>
        <w:t>responding to the</w:t>
      </w:r>
      <w:r w:rsidR="00B22E5C">
        <w:rPr>
          <w:rFonts w:cstheme="minorHAnsi"/>
          <w:lang w:val="en-MY" w:eastAsia="en-AU"/>
        </w:rPr>
        <w:t xml:space="preserve"> </w:t>
      </w:r>
      <w:r w:rsidR="00B22E5C" w:rsidRPr="00B22E5C">
        <w:rPr>
          <w:rFonts w:cstheme="minorHAnsi"/>
          <w:lang w:val="en-MY" w:eastAsia="en-AU"/>
        </w:rPr>
        <w:t>survey to be</w:t>
      </w:r>
      <w:r w:rsidR="00B22E5C">
        <w:rPr>
          <w:rFonts w:cstheme="minorHAnsi"/>
          <w:lang w:val="en-MY" w:eastAsia="en-AU"/>
        </w:rPr>
        <w:t xml:space="preserve"> largely </w:t>
      </w:r>
      <w:r w:rsidR="00B22E5C" w:rsidRPr="00B22E5C">
        <w:rPr>
          <w:rFonts w:cstheme="minorHAnsi"/>
          <w:lang w:val="en-MY" w:eastAsia="en-AU"/>
        </w:rPr>
        <w:t>well-coordinated</w:t>
      </w:r>
      <w:r w:rsidR="00B22E5C">
        <w:rPr>
          <w:rFonts w:cstheme="minorHAnsi"/>
          <w:lang w:val="en-MY" w:eastAsia="en-AU"/>
        </w:rPr>
        <w:t xml:space="preserve"> (</w:t>
      </w:r>
      <w:r w:rsidR="00B22E5C" w:rsidRPr="00B22E5C">
        <w:rPr>
          <w:rFonts w:cstheme="minorHAnsi"/>
          <w:lang w:val="en-MY" w:eastAsia="en-AU"/>
        </w:rPr>
        <w:t>with 61 percent of respondents identifying referral processes as ‘always’ or ‘usually’ adequately coordinated by case workers</w:t>
      </w:r>
      <w:r w:rsidR="00B124F7">
        <w:rPr>
          <w:rFonts w:cstheme="minorHAnsi"/>
          <w:lang w:val="en-MY" w:eastAsia="en-AU"/>
        </w:rPr>
        <w:t xml:space="preserve">), </w:t>
      </w:r>
      <w:r w:rsidR="00B124F7" w:rsidRPr="00B21295">
        <w:rPr>
          <w:rFonts w:cstheme="minorHAnsi"/>
          <w:lang w:val="en-MY" w:eastAsia="en-AU"/>
        </w:rPr>
        <w:t>r</w:t>
      </w:r>
      <w:r w:rsidR="00B22E5C" w:rsidRPr="00B21295">
        <w:rPr>
          <w:rFonts w:cstheme="minorHAnsi"/>
          <w:lang w:val="en-MY" w:eastAsia="en-AU"/>
        </w:rPr>
        <w:t xml:space="preserve">espondents were somewhat less able to identify through-care services as being collaborative </w:t>
      </w:r>
      <w:r w:rsidR="00B124F7" w:rsidRPr="00B21295">
        <w:rPr>
          <w:rFonts w:cstheme="minorHAnsi"/>
          <w:lang w:val="en-MY" w:eastAsia="en-AU"/>
        </w:rPr>
        <w:t xml:space="preserve">in their </w:t>
      </w:r>
      <w:r w:rsidR="00B22E5C" w:rsidRPr="00B21295">
        <w:rPr>
          <w:rFonts w:cstheme="minorHAnsi"/>
          <w:lang w:val="en-MY" w:eastAsia="en-AU"/>
        </w:rPr>
        <w:t xml:space="preserve">follow </w:t>
      </w:r>
      <w:r w:rsidR="00B124F7" w:rsidRPr="00B21295">
        <w:rPr>
          <w:rFonts w:cstheme="minorHAnsi"/>
          <w:lang w:val="en-MY" w:eastAsia="en-AU"/>
        </w:rPr>
        <w:t>up</w:t>
      </w:r>
      <w:r w:rsidR="00B22E5C" w:rsidRPr="00B21295">
        <w:rPr>
          <w:rFonts w:cstheme="minorHAnsi"/>
          <w:lang w:val="en-MY" w:eastAsia="en-AU"/>
        </w:rPr>
        <w:t xml:space="preserve">, with 52 percent of respondents identifying referral processes as ‘always’ or ‘usually’ involving feedback and review, and </w:t>
      </w:r>
      <w:r w:rsidR="00B124F7" w:rsidRPr="00B21295">
        <w:rPr>
          <w:rFonts w:cstheme="minorHAnsi"/>
          <w:lang w:val="en-MY" w:eastAsia="en-AU"/>
        </w:rPr>
        <w:t xml:space="preserve">48 percent </w:t>
      </w:r>
      <w:r w:rsidR="00B22E5C" w:rsidRPr="00B21295">
        <w:rPr>
          <w:rFonts w:cstheme="minorHAnsi"/>
          <w:lang w:val="en-MY" w:eastAsia="en-AU"/>
        </w:rPr>
        <w:t xml:space="preserve">identifying this attribute as </w:t>
      </w:r>
      <w:r w:rsidR="00B124F7" w:rsidRPr="00B21295">
        <w:rPr>
          <w:rFonts w:cstheme="minorHAnsi"/>
          <w:lang w:val="en-MY" w:eastAsia="en-AU"/>
        </w:rPr>
        <w:t xml:space="preserve">only ‘sometimes’ </w:t>
      </w:r>
      <w:r w:rsidR="00B22E5C" w:rsidRPr="00B21295">
        <w:rPr>
          <w:rFonts w:cstheme="minorHAnsi"/>
          <w:lang w:val="en-MY" w:eastAsia="en-AU"/>
        </w:rPr>
        <w:t>‘rarely’ or ‘never’ delivered.</w:t>
      </w:r>
    </w:p>
    <w:p w14:paraId="5F5EBE2C" w14:textId="77777777" w:rsidR="00EA551F" w:rsidRPr="00B21295" w:rsidRDefault="00EA551F" w:rsidP="00EA551F">
      <w:pPr>
        <w:jc w:val="both"/>
        <w:rPr>
          <w:rFonts w:cstheme="minorHAnsi"/>
          <w:lang w:val="en-MY" w:eastAsia="en-AU"/>
        </w:rPr>
      </w:pPr>
    </w:p>
    <w:p w14:paraId="3DB23083" w14:textId="22840426" w:rsidR="00D30706" w:rsidRPr="00B21295" w:rsidRDefault="00054453" w:rsidP="00E4380D">
      <w:pPr>
        <w:jc w:val="both"/>
        <w:rPr>
          <w:rFonts w:cstheme="minorHAnsi"/>
          <w:lang w:val="en-MY" w:eastAsia="en-AU"/>
        </w:rPr>
      </w:pPr>
      <w:r w:rsidRPr="00B21295">
        <w:rPr>
          <w:rFonts w:cstheme="minorHAnsi"/>
          <w:lang w:val="en-MY" w:eastAsia="en-AU"/>
        </w:rPr>
        <w:t>From interviews</w:t>
      </w:r>
      <w:r w:rsidR="00EA551F" w:rsidRPr="00B21295">
        <w:rPr>
          <w:rFonts w:cstheme="minorHAnsi"/>
          <w:lang w:val="en-MY" w:eastAsia="en-AU"/>
        </w:rPr>
        <w:t xml:space="preserve"> with service providers, it is apparent that in </w:t>
      </w:r>
      <w:r w:rsidR="00562E36" w:rsidRPr="00B21295">
        <w:rPr>
          <w:rFonts w:cstheme="minorHAnsi"/>
          <w:lang w:val="en-MY" w:eastAsia="en-AU"/>
        </w:rPr>
        <w:t>many</w:t>
      </w:r>
      <w:r w:rsidR="00EA551F" w:rsidRPr="00B21295">
        <w:rPr>
          <w:rFonts w:cstheme="minorHAnsi"/>
          <w:lang w:val="en-MY" w:eastAsia="en-AU"/>
        </w:rPr>
        <w:t xml:space="preserve"> </w:t>
      </w:r>
      <w:r w:rsidR="00BD281F" w:rsidRPr="00B21295">
        <w:rPr>
          <w:rFonts w:cstheme="minorHAnsi"/>
          <w:lang w:val="en-MY" w:eastAsia="en-AU"/>
        </w:rPr>
        <w:t>instances</w:t>
      </w:r>
      <w:r w:rsidR="00EA551F" w:rsidRPr="00B21295">
        <w:rPr>
          <w:rFonts w:cstheme="minorHAnsi"/>
          <w:lang w:val="en-MY" w:eastAsia="en-AU"/>
        </w:rPr>
        <w:t>,</w:t>
      </w:r>
      <w:r w:rsidR="00BD281F" w:rsidRPr="00B21295">
        <w:rPr>
          <w:rFonts w:cstheme="minorHAnsi"/>
          <w:lang w:val="en-MY" w:eastAsia="en-AU"/>
        </w:rPr>
        <w:t xml:space="preserve"> </w:t>
      </w:r>
      <w:r w:rsidR="00562E36" w:rsidRPr="00B21295">
        <w:rPr>
          <w:rFonts w:cstheme="minorHAnsi"/>
          <w:lang w:val="en-MY" w:eastAsia="en-AU"/>
        </w:rPr>
        <w:t xml:space="preserve">despite the importance of third-party services for meeting client needs, </w:t>
      </w:r>
      <w:r w:rsidR="00EA551F" w:rsidRPr="00B21295">
        <w:rPr>
          <w:rFonts w:cstheme="minorHAnsi"/>
          <w:lang w:val="en-MY" w:eastAsia="en-AU"/>
        </w:rPr>
        <w:t>case workers and managers are</w:t>
      </w:r>
      <w:r w:rsidR="00BD281F" w:rsidRPr="00B21295">
        <w:rPr>
          <w:rFonts w:cstheme="minorHAnsi"/>
          <w:lang w:val="en-MY" w:eastAsia="en-AU"/>
        </w:rPr>
        <w:t xml:space="preserve"> not actively </w:t>
      </w:r>
      <w:r w:rsidR="00B124F7" w:rsidRPr="00B21295">
        <w:rPr>
          <w:rFonts w:cstheme="minorHAnsi"/>
          <w:lang w:val="en-MY" w:eastAsia="en-AU"/>
        </w:rPr>
        <w:t xml:space="preserve">or strategically </w:t>
      </w:r>
      <w:r w:rsidR="00BD281F" w:rsidRPr="00B21295">
        <w:rPr>
          <w:rFonts w:cstheme="minorHAnsi"/>
          <w:lang w:val="en-MY" w:eastAsia="en-AU"/>
        </w:rPr>
        <w:t>developing service partnerships in their regions</w:t>
      </w:r>
      <w:r w:rsidR="00096E3D" w:rsidRPr="00B21295">
        <w:rPr>
          <w:rFonts w:cstheme="minorHAnsi"/>
          <w:lang w:val="en-MY" w:eastAsia="en-AU"/>
        </w:rPr>
        <w:t xml:space="preserve">, and </w:t>
      </w:r>
      <w:r w:rsidR="00BD281F" w:rsidRPr="00B21295">
        <w:rPr>
          <w:rFonts w:cstheme="minorHAnsi"/>
          <w:lang w:val="en-MY" w:eastAsia="en-AU"/>
        </w:rPr>
        <w:t>beyond the occasion of a referral</w:t>
      </w:r>
      <w:r w:rsidR="00096E3D" w:rsidRPr="00B21295">
        <w:rPr>
          <w:rFonts w:cstheme="minorHAnsi"/>
          <w:lang w:val="en-MY" w:eastAsia="en-AU"/>
        </w:rPr>
        <w:t xml:space="preserve">, </w:t>
      </w:r>
      <w:r w:rsidR="00BD281F" w:rsidRPr="00B21295">
        <w:rPr>
          <w:rFonts w:cstheme="minorHAnsi"/>
          <w:lang w:val="en-MY" w:eastAsia="en-AU"/>
        </w:rPr>
        <w:t xml:space="preserve">have a limited capacity to do </w:t>
      </w:r>
      <w:r w:rsidR="00B22E5C" w:rsidRPr="00B21295">
        <w:rPr>
          <w:rFonts w:cstheme="minorHAnsi"/>
          <w:lang w:val="en-MY" w:eastAsia="en-AU"/>
        </w:rPr>
        <w:t>so</w:t>
      </w:r>
      <w:r w:rsidR="00BD281F" w:rsidRPr="00B21295">
        <w:rPr>
          <w:rFonts w:cstheme="minorHAnsi"/>
          <w:lang w:val="en-MY" w:eastAsia="en-AU"/>
        </w:rPr>
        <w:t xml:space="preserve"> given resource constraints and the responsive, crisis-driven, way in which service</w:t>
      </w:r>
      <w:r w:rsidR="00B22E5C" w:rsidRPr="00B21295">
        <w:rPr>
          <w:rFonts w:cstheme="minorHAnsi"/>
          <w:lang w:val="en-MY" w:eastAsia="en-AU"/>
        </w:rPr>
        <w:t>s</w:t>
      </w:r>
      <w:r w:rsidR="00BD281F" w:rsidRPr="00B21295">
        <w:rPr>
          <w:rFonts w:cstheme="minorHAnsi"/>
          <w:lang w:val="en-MY" w:eastAsia="en-AU"/>
        </w:rPr>
        <w:t xml:space="preserve"> are typically delivered. This finding is backed by </w:t>
      </w:r>
      <w:r w:rsidR="00B124F7" w:rsidRPr="00B21295">
        <w:rPr>
          <w:rFonts w:cstheme="minorHAnsi"/>
          <w:lang w:val="en-MY" w:eastAsia="en-AU"/>
        </w:rPr>
        <w:t xml:space="preserve">statements </w:t>
      </w:r>
      <w:r w:rsidR="00BD281F" w:rsidRPr="00B21295">
        <w:rPr>
          <w:rFonts w:cstheme="minorHAnsi"/>
          <w:lang w:val="en-MY" w:eastAsia="en-AU"/>
        </w:rPr>
        <w:t xml:space="preserve">from interviews with correctional services staff and from (open text) survey responses, where reference is made to </w:t>
      </w:r>
      <w:r w:rsidR="00B124F7" w:rsidRPr="00B21295">
        <w:rPr>
          <w:rFonts w:cstheme="minorHAnsi"/>
          <w:lang w:val="en-MY" w:eastAsia="en-AU"/>
        </w:rPr>
        <w:t>“</w:t>
      </w:r>
      <w:r w:rsidR="00BD281F" w:rsidRPr="00B21295">
        <w:rPr>
          <w:rFonts w:cstheme="minorHAnsi"/>
          <w:lang w:val="en-MY" w:eastAsia="en-AU"/>
        </w:rPr>
        <w:t xml:space="preserve">gaps in </w:t>
      </w:r>
      <w:r w:rsidR="00B124F7" w:rsidRPr="00B21295">
        <w:rPr>
          <w:rFonts w:cstheme="minorHAnsi"/>
          <w:lang w:val="en-MY" w:eastAsia="en-AU"/>
        </w:rPr>
        <w:t>services coming together”</w:t>
      </w:r>
      <w:r w:rsidR="00BD281F" w:rsidRPr="00B21295">
        <w:rPr>
          <w:rFonts w:cstheme="minorHAnsi"/>
          <w:lang w:val="en-MY" w:eastAsia="en-AU"/>
        </w:rPr>
        <w:t xml:space="preserve"> </w:t>
      </w:r>
      <w:r w:rsidR="00B22E5C" w:rsidRPr="00B21295">
        <w:rPr>
          <w:rFonts w:cstheme="minorHAnsi"/>
          <w:lang w:val="en-MY" w:eastAsia="en-AU"/>
        </w:rPr>
        <w:t xml:space="preserve">and to examples where despite commitments to act as the </w:t>
      </w:r>
      <w:r w:rsidR="00B124F7" w:rsidRPr="00B21295">
        <w:rPr>
          <w:rFonts w:cstheme="minorHAnsi"/>
          <w:lang w:val="en-MY" w:eastAsia="en-AU"/>
        </w:rPr>
        <w:t>lead service for clients with complex needs</w:t>
      </w:r>
      <w:r w:rsidR="00562E36" w:rsidRPr="00B21295">
        <w:rPr>
          <w:rFonts w:cstheme="minorHAnsi"/>
          <w:lang w:val="en-MY" w:eastAsia="en-AU"/>
        </w:rPr>
        <w:t>,</w:t>
      </w:r>
      <w:r w:rsidR="00B22E5C" w:rsidRPr="00B21295">
        <w:rPr>
          <w:rFonts w:cstheme="minorHAnsi"/>
          <w:lang w:val="en-MY" w:eastAsia="en-AU"/>
        </w:rPr>
        <w:t xml:space="preserve"> this has faltered and lost momentum</w:t>
      </w:r>
      <w:r w:rsidR="00B124F7" w:rsidRPr="00B21295">
        <w:rPr>
          <w:rFonts w:cstheme="minorHAnsi"/>
          <w:lang w:val="en-MY" w:eastAsia="en-AU"/>
        </w:rPr>
        <w:t xml:space="preserve">, based on what the respondent </w:t>
      </w:r>
      <w:r w:rsidR="00562E36" w:rsidRPr="00B21295">
        <w:rPr>
          <w:rFonts w:cstheme="minorHAnsi"/>
          <w:lang w:val="en-MY" w:eastAsia="en-AU"/>
        </w:rPr>
        <w:t xml:space="preserve">believes </w:t>
      </w:r>
      <w:r w:rsidR="00B124F7" w:rsidRPr="00B21295">
        <w:rPr>
          <w:rFonts w:cstheme="minorHAnsi"/>
          <w:lang w:val="en-MY" w:eastAsia="en-AU"/>
        </w:rPr>
        <w:t>to be the limited capacity of the through-care service to manage the process.</w:t>
      </w:r>
      <w:r w:rsidR="00E4380D" w:rsidRPr="00B21295">
        <w:rPr>
          <w:rFonts w:cstheme="minorHAnsi"/>
          <w:lang w:val="en-MY" w:eastAsia="en-AU"/>
        </w:rPr>
        <w:t xml:space="preserve"> </w:t>
      </w:r>
    </w:p>
    <w:p w14:paraId="142AE7AA" w14:textId="77777777" w:rsidR="00D30706" w:rsidRPr="00B21295" w:rsidRDefault="00D30706" w:rsidP="00E4380D">
      <w:pPr>
        <w:jc w:val="both"/>
        <w:rPr>
          <w:rFonts w:cstheme="minorHAnsi"/>
          <w:lang w:val="en-MY" w:eastAsia="en-AU"/>
        </w:rPr>
      </w:pPr>
    </w:p>
    <w:p w14:paraId="51EE96A1" w14:textId="1271F992" w:rsidR="00E4380D" w:rsidRPr="00B21295" w:rsidRDefault="00E4380D" w:rsidP="00E4380D">
      <w:pPr>
        <w:jc w:val="both"/>
        <w:rPr>
          <w:rFonts w:cstheme="minorHAnsi"/>
          <w:lang w:val="en-MY" w:eastAsia="en-AU"/>
        </w:rPr>
      </w:pPr>
      <w:r w:rsidRPr="00B21295">
        <w:rPr>
          <w:rFonts w:cstheme="minorHAnsi"/>
          <w:lang w:val="en-MY" w:eastAsia="en-AU"/>
        </w:rPr>
        <w:t xml:space="preserve">Interagency meetings were found to be effective at an individual case planning level in only limited </w:t>
      </w:r>
      <w:r w:rsidR="00562E36" w:rsidRPr="00B21295">
        <w:rPr>
          <w:rFonts w:cstheme="minorHAnsi"/>
          <w:lang w:val="en-MY" w:eastAsia="en-AU"/>
        </w:rPr>
        <w:t xml:space="preserve">cases, </w:t>
      </w:r>
      <w:r w:rsidRPr="00B21295">
        <w:rPr>
          <w:rFonts w:cstheme="minorHAnsi"/>
          <w:lang w:val="en-MY" w:eastAsia="en-AU"/>
        </w:rPr>
        <w:t xml:space="preserve">and more usually effective at the larger youth-focused services where a more established pattern of case management </w:t>
      </w:r>
      <w:r w:rsidR="00562E36" w:rsidRPr="00B21295">
        <w:rPr>
          <w:rFonts w:cstheme="minorHAnsi"/>
          <w:lang w:val="en-MY" w:eastAsia="en-AU"/>
        </w:rPr>
        <w:t xml:space="preserve">practices exists with statutory </w:t>
      </w:r>
      <w:r w:rsidRPr="00B21295">
        <w:rPr>
          <w:rFonts w:cstheme="minorHAnsi"/>
          <w:lang w:val="en-MY" w:eastAsia="en-AU"/>
        </w:rPr>
        <w:t xml:space="preserve">youth justice and child protection </w:t>
      </w:r>
      <w:r w:rsidR="00562E36" w:rsidRPr="00B21295">
        <w:rPr>
          <w:rFonts w:cstheme="minorHAnsi"/>
          <w:lang w:val="en-MY" w:eastAsia="en-AU"/>
        </w:rPr>
        <w:t>s</w:t>
      </w:r>
      <w:r w:rsidRPr="00B21295">
        <w:rPr>
          <w:rFonts w:cstheme="minorHAnsi"/>
          <w:lang w:val="en-MY" w:eastAsia="en-AU"/>
        </w:rPr>
        <w:t>ervices.</w:t>
      </w:r>
      <w:r w:rsidR="00183B0D" w:rsidRPr="00B21295">
        <w:rPr>
          <w:rFonts w:cstheme="minorHAnsi"/>
          <w:lang w:val="en-MY" w:eastAsia="en-AU"/>
        </w:rPr>
        <w:t xml:space="preserve"> </w:t>
      </w:r>
      <w:r w:rsidR="00096E3D" w:rsidRPr="00B21295">
        <w:rPr>
          <w:rFonts w:cstheme="minorHAnsi"/>
          <w:lang w:val="en-MY" w:eastAsia="en-AU"/>
        </w:rPr>
        <w:t xml:space="preserve">Case workers at </w:t>
      </w:r>
      <w:r w:rsidR="00183B0D" w:rsidRPr="00B21295">
        <w:rPr>
          <w:rFonts w:cstheme="minorHAnsi"/>
          <w:lang w:val="en-MY" w:eastAsia="en-AU"/>
        </w:rPr>
        <w:t>YTC service</w:t>
      </w:r>
      <w:r w:rsidR="00096E3D" w:rsidRPr="00B21295">
        <w:rPr>
          <w:rFonts w:cstheme="minorHAnsi"/>
          <w:lang w:val="en-MY" w:eastAsia="en-AU"/>
        </w:rPr>
        <w:t xml:space="preserve">s did, however, </w:t>
      </w:r>
      <w:r w:rsidR="00183B0D" w:rsidRPr="00B21295">
        <w:rPr>
          <w:rFonts w:cstheme="minorHAnsi"/>
          <w:lang w:val="en-MY" w:eastAsia="en-AU"/>
        </w:rPr>
        <w:t xml:space="preserve">also comment on </w:t>
      </w:r>
      <w:r w:rsidR="00096E3D" w:rsidRPr="00B21295">
        <w:rPr>
          <w:rFonts w:cstheme="minorHAnsi"/>
          <w:lang w:val="en-MY" w:eastAsia="en-AU"/>
        </w:rPr>
        <w:t xml:space="preserve">occasional </w:t>
      </w:r>
      <w:r w:rsidR="00183B0D" w:rsidRPr="00B21295">
        <w:rPr>
          <w:rFonts w:cstheme="minorHAnsi"/>
          <w:lang w:val="en-MY" w:eastAsia="en-AU"/>
        </w:rPr>
        <w:t>challenges working with statutory child protection services (in contrast to youth justice services) which were commonly regarded as o</w:t>
      </w:r>
      <w:r w:rsidR="00096E3D" w:rsidRPr="00B21295">
        <w:rPr>
          <w:rFonts w:cstheme="minorHAnsi"/>
          <w:lang w:val="en-MY" w:eastAsia="en-AU"/>
        </w:rPr>
        <w:t xml:space="preserve">verly </w:t>
      </w:r>
      <w:r w:rsidR="00183B0D" w:rsidRPr="00B21295">
        <w:rPr>
          <w:rFonts w:cstheme="minorHAnsi"/>
          <w:lang w:val="en-MY" w:eastAsia="en-AU"/>
        </w:rPr>
        <w:t>bureaucratic and on occasions thought to preference bureaucratic expediency over the priorities of young people.</w:t>
      </w:r>
      <w:r w:rsidR="00096E3D" w:rsidRPr="00B21295">
        <w:rPr>
          <w:rFonts w:cstheme="minorHAnsi"/>
          <w:lang w:val="en-MY" w:eastAsia="en-AU"/>
        </w:rPr>
        <w:t xml:space="preserve"> </w:t>
      </w:r>
    </w:p>
    <w:p w14:paraId="21D324A8" w14:textId="77777777" w:rsidR="00B22E5C" w:rsidRPr="00B21295" w:rsidRDefault="00B22E5C" w:rsidP="00EA551F">
      <w:pPr>
        <w:jc w:val="both"/>
        <w:rPr>
          <w:rFonts w:cstheme="minorHAnsi"/>
          <w:lang w:val="en-MY" w:eastAsia="en-AU"/>
        </w:rPr>
      </w:pPr>
    </w:p>
    <w:p w14:paraId="3A84F277" w14:textId="56027B34" w:rsidR="00B124F7" w:rsidRPr="00B21295" w:rsidRDefault="00B124F7" w:rsidP="00B124F7">
      <w:pPr>
        <w:jc w:val="both"/>
        <w:rPr>
          <w:rFonts w:cstheme="minorHAnsi"/>
          <w:lang w:val="en-MY" w:eastAsia="en-AU"/>
        </w:rPr>
      </w:pPr>
      <w:r w:rsidRPr="00B21295">
        <w:rPr>
          <w:rFonts w:cstheme="minorHAnsi"/>
          <w:lang w:val="en-MY" w:eastAsia="en-AU"/>
        </w:rPr>
        <w:t>In the absence of well-resourced and planned approach</w:t>
      </w:r>
      <w:r w:rsidR="00824A78">
        <w:rPr>
          <w:rFonts w:cstheme="minorHAnsi"/>
          <w:lang w:val="en-MY" w:eastAsia="en-AU"/>
        </w:rPr>
        <w:t>es</w:t>
      </w:r>
      <w:r w:rsidRPr="00B21295">
        <w:rPr>
          <w:rFonts w:cstheme="minorHAnsi"/>
          <w:lang w:val="en-MY" w:eastAsia="en-AU"/>
        </w:rPr>
        <w:t xml:space="preserve"> to collaboration, </w:t>
      </w:r>
      <w:r w:rsidR="00B32E9C">
        <w:rPr>
          <w:rFonts w:cstheme="minorHAnsi"/>
          <w:lang w:val="en-MY" w:eastAsia="en-AU"/>
        </w:rPr>
        <w:t xml:space="preserve">based on interviews with correctional services, as well as with service providers, </w:t>
      </w:r>
      <w:r w:rsidRPr="00B21295">
        <w:rPr>
          <w:rFonts w:cstheme="minorHAnsi"/>
          <w:lang w:val="en-MY" w:eastAsia="en-AU"/>
        </w:rPr>
        <w:t xml:space="preserve">the extent to which through-care services </w:t>
      </w:r>
      <w:r w:rsidR="00E4380D" w:rsidRPr="00B21295">
        <w:rPr>
          <w:rFonts w:cstheme="minorHAnsi"/>
          <w:lang w:val="en-MY" w:eastAsia="en-AU"/>
        </w:rPr>
        <w:t xml:space="preserve">lead in </w:t>
      </w:r>
      <w:r w:rsidRPr="00B21295">
        <w:rPr>
          <w:rFonts w:cstheme="minorHAnsi"/>
          <w:lang w:val="en-MY" w:eastAsia="en-AU"/>
        </w:rPr>
        <w:t>collaborati</w:t>
      </w:r>
      <w:r w:rsidR="00E4380D" w:rsidRPr="00B21295">
        <w:rPr>
          <w:rFonts w:cstheme="minorHAnsi"/>
          <w:lang w:val="en-MY" w:eastAsia="en-AU"/>
        </w:rPr>
        <w:t xml:space="preserve">on with service partners was found to </w:t>
      </w:r>
      <w:r w:rsidRPr="00B21295">
        <w:rPr>
          <w:rFonts w:cstheme="minorHAnsi"/>
          <w:lang w:val="en-MY" w:eastAsia="en-AU"/>
        </w:rPr>
        <w:t xml:space="preserve">depend on the quality of individual relationships and networks, with a notable lack of corporate knowledge management to systematise the approach or sustain relationships should a case worker be absent or leave. Other than with justice and corrections, few MoUs with external services exist, and nor did the researchers find evidence of regular structured engagement in local service provider forums or networks. Although the COVID-19 pandemic was often cited as the reason for this, where interagency working groups did exist, these were generally </w:t>
      </w:r>
      <w:r w:rsidR="00E4380D" w:rsidRPr="00B21295">
        <w:rPr>
          <w:rFonts w:cstheme="minorHAnsi"/>
          <w:lang w:val="en-MY" w:eastAsia="en-AU"/>
        </w:rPr>
        <w:t>acknowledged by service managers to be</w:t>
      </w:r>
      <w:r w:rsidRPr="00B21295">
        <w:rPr>
          <w:rFonts w:cstheme="minorHAnsi"/>
          <w:lang w:val="en-MY" w:eastAsia="en-AU"/>
        </w:rPr>
        <w:t xml:space="preserve"> “hit and miss” and lacking strategic purpose. </w:t>
      </w:r>
    </w:p>
    <w:p w14:paraId="108ADE75" w14:textId="77777777" w:rsidR="00B124F7" w:rsidRPr="00B21295" w:rsidRDefault="00B124F7" w:rsidP="00EA551F">
      <w:pPr>
        <w:jc w:val="both"/>
        <w:rPr>
          <w:rFonts w:cstheme="minorHAnsi"/>
          <w:lang w:val="en-MY" w:eastAsia="en-AU"/>
        </w:rPr>
      </w:pPr>
    </w:p>
    <w:p w14:paraId="4063F15A" w14:textId="2E9CD53E" w:rsidR="00E4380D" w:rsidRDefault="00E4380D" w:rsidP="00AF6E3B">
      <w:pPr>
        <w:jc w:val="both"/>
        <w:rPr>
          <w:rFonts w:cstheme="minorHAnsi"/>
          <w:lang w:val="en-MY" w:eastAsia="en-AU"/>
        </w:rPr>
      </w:pPr>
      <w:r w:rsidRPr="00B21295">
        <w:rPr>
          <w:rFonts w:cstheme="minorHAnsi"/>
          <w:lang w:val="en-MY" w:eastAsia="en-AU"/>
        </w:rPr>
        <w:t xml:space="preserve">In terms of the </w:t>
      </w:r>
      <w:r w:rsidR="00562E36" w:rsidRPr="00B21295">
        <w:rPr>
          <w:rFonts w:cstheme="minorHAnsi"/>
          <w:lang w:val="en-MY" w:eastAsia="en-AU"/>
        </w:rPr>
        <w:t xml:space="preserve">availability and </w:t>
      </w:r>
      <w:r w:rsidRPr="00B21295">
        <w:rPr>
          <w:rFonts w:cstheme="minorHAnsi"/>
          <w:lang w:val="en-MY" w:eastAsia="en-AU"/>
        </w:rPr>
        <w:t>quality of third-party services,</w:t>
      </w:r>
      <w:r w:rsidRPr="00AF6E3B">
        <w:rPr>
          <w:rFonts w:cstheme="minorHAnsi"/>
          <w:lang w:val="en-MY" w:eastAsia="en-AU"/>
        </w:rPr>
        <w:t xml:space="preserve"> this was reported by service management and case workers to vary</w:t>
      </w:r>
      <w:r w:rsidR="00562E36">
        <w:rPr>
          <w:rFonts w:cstheme="minorHAnsi"/>
          <w:lang w:val="en-MY" w:eastAsia="en-AU"/>
        </w:rPr>
        <w:t xml:space="preserve"> by location</w:t>
      </w:r>
      <w:r w:rsidRPr="00AF6E3B">
        <w:rPr>
          <w:rFonts w:cstheme="minorHAnsi"/>
          <w:lang w:val="en-MY" w:eastAsia="en-AU"/>
        </w:rPr>
        <w:t xml:space="preserve">, depending on the </w:t>
      </w:r>
      <w:r w:rsidR="00054453">
        <w:rPr>
          <w:rFonts w:cstheme="minorHAnsi"/>
          <w:lang w:val="en-MY" w:eastAsia="en-AU"/>
        </w:rPr>
        <w:t xml:space="preserve">characteristics of the </w:t>
      </w:r>
      <w:r w:rsidRPr="00AF6E3B">
        <w:rPr>
          <w:rFonts w:cstheme="minorHAnsi"/>
          <w:lang w:val="en-MY" w:eastAsia="en-AU"/>
        </w:rPr>
        <w:t xml:space="preserve">local service system. In regional and remote settings where locally delivered services may be lacking, there was reported to be an obvious service gap, which according to case managers is filled only partially by visiting or outreach services for whom continuity with clients is difficult. Moreover, in urban contexts where the service environment may be more congested yet fragmented, case workers reported spending a disproportionate amount of time identifying and ‘vetting’ services to ensure their availability when needed. While the service environment in some larger remote community settings was regarded as somewhat more stable, gaps in services caused by seasonality or instability in local governance were </w:t>
      </w:r>
      <w:r w:rsidR="00562E36">
        <w:rPr>
          <w:rFonts w:cstheme="minorHAnsi"/>
          <w:lang w:val="en-MY" w:eastAsia="en-AU"/>
        </w:rPr>
        <w:t xml:space="preserve">also </w:t>
      </w:r>
      <w:r w:rsidRPr="00AF6E3B">
        <w:rPr>
          <w:rFonts w:cstheme="minorHAnsi"/>
          <w:lang w:val="en-MY" w:eastAsia="en-AU"/>
        </w:rPr>
        <w:t>noted.</w:t>
      </w:r>
      <w:r w:rsidR="00096E3D">
        <w:rPr>
          <w:rFonts w:cstheme="minorHAnsi"/>
          <w:lang w:val="en-MY" w:eastAsia="en-AU"/>
        </w:rPr>
        <w:t xml:space="preserve"> </w:t>
      </w:r>
      <w:r w:rsidR="00096E3D" w:rsidRPr="00AF6E3B">
        <w:rPr>
          <w:rFonts w:cstheme="minorHAnsi"/>
          <w:lang w:val="en-MY" w:eastAsia="en-AU"/>
        </w:rPr>
        <w:t>Specifically in relation to youth, service providers commented on the recent high demand for youth services and the existence of long wait-lists for high quality youth diversion, flexible education and counselling services.</w:t>
      </w:r>
    </w:p>
    <w:p w14:paraId="03E4448C" w14:textId="77777777" w:rsidR="00E4380D" w:rsidRDefault="00E4380D" w:rsidP="00AF6E3B">
      <w:pPr>
        <w:jc w:val="both"/>
        <w:rPr>
          <w:rFonts w:cstheme="minorHAnsi"/>
          <w:lang w:val="en-MY" w:eastAsia="en-AU"/>
        </w:rPr>
      </w:pPr>
    </w:p>
    <w:p w14:paraId="38651206" w14:textId="29789365" w:rsidR="006821ED" w:rsidRDefault="00A260B4" w:rsidP="00AF6E3B">
      <w:pPr>
        <w:jc w:val="both"/>
        <w:rPr>
          <w:rFonts w:cstheme="minorHAnsi"/>
          <w:lang w:val="en-MY" w:eastAsia="en-AU"/>
        </w:rPr>
      </w:pPr>
      <w:r w:rsidRPr="00AF6E3B">
        <w:rPr>
          <w:rFonts w:cstheme="minorHAnsi"/>
          <w:lang w:val="en-MY" w:eastAsia="en-AU"/>
        </w:rPr>
        <w:t xml:space="preserve">For those services consistently working with sentenced clients prior to their release, an effective working relationship with </w:t>
      </w:r>
      <w:r w:rsidR="005944D9" w:rsidRPr="00AF6E3B">
        <w:rPr>
          <w:rFonts w:cstheme="minorHAnsi"/>
          <w:lang w:val="en-MY" w:eastAsia="en-AU"/>
        </w:rPr>
        <w:t>c</w:t>
      </w:r>
      <w:r w:rsidRPr="00AF6E3B">
        <w:rPr>
          <w:rFonts w:cstheme="minorHAnsi"/>
          <w:lang w:val="en-MY" w:eastAsia="en-AU"/>
        </w:rPr>
        <w:t xml:space="preserve">orrectional </w:t>
      </w:r>
      <w:r w:rsidR="005944D9" w:rsidRPr="00AF6E3B">
        <w:rPr>
          <w:rFonts w:cstheme="minorHAnsi"/>
          <w:lang w:val="en-MY" w:eastAsia="en-AU"/>
        </w:rPr>
        <w:t>s</w:t>
      </w:r>
      <w:r w:rsidRPr="00AF6E3B">
        <w:rPr>
          <w:rFonts w:cstheme="minorHAnsi"/>
          <w:lang w:val="en-MY" w:eastAsia="en-AU"/>
        </w:rPr>
        <w:t>ervices</w:t>
      </w:r>
      <w:r w:rsidR="00B32E9C">
        <w:rPr>
          <w:rFonts w:cstheme="minorHAnsi"/>
          <w:lang w:val="en-MY" w:eastAsia="en-AU"/>
        </w:rPr>
        <w:t xml:space="preserve"> was </w:t>
      </w:r>
      <w:r w:rsidRPr="00AF6E3B">
        <w:rPr>
          <w:rFonts w:cstheme="minorHAnsi"/>
          <w:lang w:val="en-MY" w:eastAsia="en-AU"/>
        </w:rPr>
        <w:t>regarded as essential</w:t>
      </w:r>
      <w:r w:rsidR="00B32E9C">
        <w:rPr>
          <w:rFonts w:cstheme="minorHAnsi"/>
          <w:lang w:val="en-MY" w:eastAsia="en-AU"/>
        </w:rPr>
        <w:t xml:space="preserve">, although not necessarily always achieved given high rates of staff turnover and the alternative demands </w:t>
      </w:r>
      <w:r w:rsidR="00990205">
        <w:rPr>
          <w:rFonts w:cstheme="minorHAnsi"/>
          <w:lang w:val="en-MY" w:eastAsia="en-AU"/>
        </w:rPr>
        <w:t>placed on</w:t>
      </w:r>
      <w:r w:rsidR="00B32E9C">
        <w:rPr>
          <w:rFonts w:cstheme="minorHAnsi"/>
          <w:lang w:val="en-MY" w:eastAsia="en-AU"/>
        </w:rPr>
        <w:t xml:space="preserve"> staff </w:t>
      </w:r>
      <w:r w:rsidR="00990205">
        <w:rPr>
          <w:rFonts w:cstheme="minorHAnsi"/>
          <w:lang w:val="en-MY" w:eastAsia="en-AU"/>
        </w:rPr>
        <w:t>in both through-care and correctional settings</w:t>
      </w:r>
      <w:r w:rsidRPr="00AF6E3B">
        <w:rPr>
          <w:rFonts w:cstheme="minorHAnsi"/>
          <w:lang w:val="en-MY" w:eastAsia="en-AU"/>
        </w:rPr>
        <w:t xml:space="preserve">. Indigenous liaison officers within prisons </w:t>
      </w:r>
      <w:r w:rsidR="00643DED" w:rsidRPr="00AF6E3B">
        <w:rPr>
          <w:rFonts w:cstheme="minorHAnsi"/>
          <w:lang w:val="en-MY" w:eastAsia="en-AU"/>
        </w:rPr>
        <w:t xml:space="preserve">were reported </w:t>
      </w:r>
      <w:r w:rsidRPr="00AF6E3B">
        <w:rPr>
          <w:rFonts w:cstheme="minorHAnsi"/>
          <w:lang w:val="en-MY" w:eastAsia="en-AU"/>
        </w:rPr>
        <w:t>to be a primary point of referral</w:t>
      </w:r>
      <w:r w:rsidR="00562E36">
        <w:rPr>
          <w:rFonts w:cstheme="minorHAnsi"/>
          <w:lang w:val="en-MY" w:eastAsia="en-AU"/>
        </w:rPr>
        <w:t xml:space="preserve"> for many providers</w:t>
      </w:r>
      <w:r w:rsidRPr="00AF6E3B">
        <w:rPr>
          <w:rFonts w:cstheme="minorHAnsi"/>
          <w:lang w:val="en-MY" w:eastAsia="en-AU"/>
        </w:rPr>
        <w:t xml:space="preserve">, </w:t>
      </w:r>
      <w:r w:rsidR="005944D9" w:rsidRPr="00AF6E3B">
        <w:rPr>
          <w:rFonts w:cstheme="minorHAnsi"/>
          <w:lang w:val="en-MY" w:eastAsia="en-AU"/>
        </w:rPr>
        <w:t xml:space="preserve">with </w:t>
      </w:r>
      <w:r w:rsidRPr="00AF6E3B">
        <w:rPr>
          <w:rFonts w:cstheme="minorHAnsi"/>
          <w:lang w:val="en-MY" w:eastAsia="en-AU"/>
        </w:rPr>
        <w:t xml:space="preserve">close working relationships </w:t>
      </w:r>
      <w:r w:rsidR="005944D9" w:rsidRPr="00AF6E3B">
        <w:rPr>
          <w:rFonts w:cstheme="minorHAnsi"/>
          <w:lang w:val="en-MY" w:eastAsia="en-AU"/>
        </w:rPr>
        <w:t xml:space="preserve">seen as </w:t>
      </w:r>
      <w:r w:rsidRPr="00AF6E3B">
        <w:rPr>
          <w:rFonts w:cstheme="minorHAnsi"/>
          <w:lang w:val="en-MY" w:eastAsia="en-AU"/>
        </w:rPr>
        <w:t>cr</w:t>
      </w:r>
      <w:r w:rsidR="00AE65E5" w:rsidRPr="00AF6E3B">
        <w:rPr>
          <w:rFonts w:cstheme="minorHAnsi"/>
          <w:lang w:val="en-MY" w:eastAsia="en-AU"/>
        </w:rPr>
        <w:t xml:space="preserve">itical </w:t>
      </w:r>
      <w:r w:rsidRPr="00AF6E3B">
        <w:rPr>
          <w:rFonts w:cstheme="minorHAnsi"/>
          <w:lang w:val="en-MY" w:eastAsia="en-AU"/>
        </w:rPr>
        <w:t xml:space="preserve">for staff to </w:t>
      </w:r>
      <w:r w:rsidR="005944D9" w:rsidRPr="00AF6E3B">
        <w:rPr>
          <w:rFonts w:cstheme="minorHAnsi"/>
          <w:lang w:val="en-MY" w:eastAsia="en-AU"/>
        </w:rPr>
        <w:t xml:space="preserve">effectively </w:t>
      </w:r>
      <w:r w:rsidRPr="00AF6E3B">
        <w:rPr>
          <w:rFonts w:cstheme="minorHAnsi"/>
          <w:lang w:val="en-MY" w:eastAsia="en-AU"/>
        </w:rPr>
        <w:t>identify prospective clients</w:t>
      </w:r>
      <w:r w:rsidR="00AE65E5" w:rsidRPr="00AF6E3B">
        <w:rPr>
          <w:rFonts w:cstheme="minorHAnsi"/>
          <w:lang w:val="en-MY" w:eastAsia="en-AU"/>
        </w:rPr>
        <w:t xml:space="preserve"> pre-release</w:t>
      </w:r>
      <w:r w:rsidRPr="00AF6E3B">
        <w:rPr>
          <w:rFonts w:cstheme="minorHAnsi"/>
          <w:lang w:val="en-MY" w:eastAsia="en-AU"/>
        </w:rPr>
        <w:t>.</w:t>
      </w:r>
      <w:r w:rsidR="00AE65E5" w:rsidRPr="00AF6E3B">
        <w:rPr>
          <w:rFonts w:cstheme="minorHAnsi"/>
          <w:lang w:val="en-MY" w:eastAsia="en-AU"/>
        </w:rPr>
        <w:t xml:space="preserve"> With </w:t>
      </w:r>
      <w:r w:rsidR="00562E36">
        <w:rPr>
          <w:rFonts w:cstheme="minorHAnsi"/>
          <w:lang w:val="en-MY" w:eastAsia="en-AU"/>
        </w:rPr>
        <w:t xml:space="preserve">isolated </w:t>
      </w:r>
      <w:r w:rsidR="00AE65E5" w:rsidRPr="00AF6E3B">
        <w:rPr>
          <w:rFonts w:cstheme="minorHAnsi"/>
          <w:lang w:val="en-MY" w:eastAsia="en-AU"/>
        </w:rPr>
        <w:t xml:space="preserve">exceptions, all ATC services reported working collaboratively with </w:t>
      </w:r>
      <w:r w:rsidR="00B0650C" w:rsidRPr="00AF6E3B">
        <w:rPr>
          <w:rFonts w:cstheme="minorHAnsi"/>
          <w:lang w:val="en-MY" w:eastAsia="en-AU"/>
        </w:rPr>
        <w:t>sentence management and therapeutic</w:t>
      </w:r>
      <w:r w:rsidR="00643DED" w:rsidRPr="00AF6E3B">
        <w:rPr>
          <w:rFonts w:cstheme="minorHAnsi"/>
          <w:lang w:val="en-MY" w:eastAsia="en-AU"/>
        </w:rPr>
        <w:t>/program</w:t>
      </w:r>
      <w:r w:rsidR="00AE65E5" w:rsidRPr="00AF6E3B">
        <w:rPr>
          <w:rFonts w:cstheme="minorHAnsi"/>
          <w:lang w:val="en-MY" w:eastAsia="en-AU"/>
        </w:rPr>
        <w:t xml:space="preserve"> </w:t>
      </w:r>
      <w:r w:rsidR="00B0650C" w:rsidRPr="00AF6E3B">
        <w:rPr>
          <w:rFonts w:cstheme="minorHAnsi"/>
          <w:lang w:val="en-MY" w:eastAsia="en-AU"/>
        </w:rPr>
        <w:t xml:space="preserve">teams </w:t>
      </w:r>
      <w:r w:rsidR="00562E36">
        <w:rPr>
          <w:rFonts w:cstheme="minorHAnsi"/>
          <w:lang w:val="en-MY" w:eastAsia="en-AU"/>
        </w:rPr>
        <w:t xml:space="preserve">within corrections </w:t>
      </w:r>
      <w:r w:rsidR="00AE65E5" w:rsidRPr="00AF6E3B">
        <w:rPr>
          <w:rFonts w:cstheme="minorHAnsi"/>
          <w:lang w:val="en-MY" w:eastAsia="en-AU"/>
        </w:rPr>
        <w:t xml:space="preserve">to </w:t>
      </w:r>
      <w:r w:rsidR="00B0650C" w:rsidRPr="00AF6E3B">
        <w:rPr>
          <w:rFonts w:cstheme="minorHAnsi"/>
          <w:lang w:val="en-MY" w:eastAsia="en-AU"/>
        </w:rPr>
        <w:t xml:space="preserve">target referrals </w:t>
      </w:r>
      <w:r w:rsidR="00AE65E5" w:rsidRPr="00AF6E3B">
        <w:rPr>
          <w:rFonts w:cstheme="minorHAnsi"/>
          <w:lang w:val="en-MY" w:eastAsia="en-AU"/>
        </w:rPr>
        <w:t xml:space="preserve">and obtain the support of </w:t>
      </w:r>
      <w:r w:rsidR="00643DED" w:rsidRPr="00AF6E3B">
        <w:rPr>
          <w:rFonts w:cstheme="minorHAnsi"/>
          <w:lang w:val="en-MY" w:eastAsia="en-AU"/>
        </w:rPr>
        <w:t xml:space="preserve">prison </w:t>
      </w:r>
      <w:r w:rsidR="00AE65E5" w:rsidRPr="00AF6E3B">
        <w:rPr>
          <w:rFonts w:cstheme="minorHAnsi"/>
          <w:lang w:val="en-MY" w:eastAsia="en-AU"/>
        </w:rPr>
        <w:t xml:space="preserve">administration to initiate pre-release meetings and assessments. </w:t>
      </w:r>
      <w:r w:rsidR="005944D9" w:rsidRPr="00AF6E3B">
        <w:rPr>
          <w:rFonts w:cstheme="minorHAnsi"/>
          <w:lang w:val="en-MY" w:eastAsia="en-AU"/>
        </w:rPr>
        <w:t xml:space="preserve">Case workers at most services </w:t>
      </w:r>
      <w:r w:rsidR="00562E36">
        <w:rPr>
          <w:rFonts w:cstheme="minorHAnsi"/>
          <w:lang w:val="en-MY" w:eastAsia="en-AU"/>
        </w:rPr>
        <w:t xml:space="preserve">(again with isolated exceptions) </w:t>
      </w:r>
      <w:r w:rsidR="005944D9" w:rsidRPr="00AF6E3B">
        <w:rPr>
          <w:rFonts w:cstheme="minorHAnsi"/>
          <w:lang w:val="en-MY" w:eastAsia="en-AU"/>
        </w:rPr>
        <w:t xml:space="preserve">will regularly visit prisons as part of a </w:t>
      </w:r>
      <w:r w:rsidR="004A31BC" w:rsidRPr="00AF6E3B">
        <w:rPr>
          <w:rFonts w:cstheme="minorHAnsi"/>
          <w:lang w:val="en-MY" w:eastAsia="en-AU"/>
        </w:rPr>
        <w:t>fortnightly</w:t>
      </w:r>
      <w:r w:rsidR="005944D9" w:rsidRPr="00AF6E3B">
        <w:rPr>
          <w:rFonts w:cstheme="minorHAnsi"/>
          <w:lang w:val="en-MY" w:eastAsia="en-AU"/>
        </w:rPr>
        <w:t xml:space="preserve"> or monthly routine</w:t>
      </w:r>
      <w:r w:rsidR="00562E36">
        <w:rPr>
          <w:rFonts w:cstheme="minorHAnsi"/>
          <w:lang w:val="en-MY" w:eastAsia="en-AU"/>
        </w:rPr>
        <w:t xml:space="preserve">, and in the case </w:t>
      </w:r>
      <w:r w:rsidR="00AE65E5" w:rsidRPr="00AF6E3B">
        <w:rPr>
          <w:rFonts w:cstheme="minorHAnsi"/>
          <w:lang w:val="en-MY" w:eastAsia="en-AU"/>
        </w:rPr>
        <w:t xml:space="preserve">of larger services, </w:t>
      </w:r>
      <w:r w:rsidR="00643DED" w:rsidRPr="00AF6E3B">
        <w:rPr>
          <w:rFonts w:cstheme="minorHAnsi"/>
          <w:lang w:val="en-MY" w:eastAsia="en-AU"/>
        </w:rPr>
        <w:t xml:space="preserve">such </w:t>
      </w:r>
      <w:r w:rsidR="00AE65E5" w:rsidRPr="00AF6E3B">
        <w:rPr>
          <w:rFonts w:cstheme="minorHAnsi"/>
          <w:lang w:val="en-MY" w:eastAsia="en-AU"/>
        </w:rPr>
        <w:t>relationship</w:t>
      </w:r>
      <w:r w:rsidR="00DA1516" w:rsidRPr="00AF6E3B">
        <w:rPr>
          <w:rFonts w:cstheme="minorHAnsi"/>
          <w:lang w:val="en-MY" w:eastAsia="en-AU"/>
        </w:rPr>
        <w:t>s</w:t>
      </w:r>
      <w:r w:rsidR="00AE65E5" w:rsidRPr="00AF6E3B">
        <w:rPr>
          <w:rFonts w:cstheme="minorHAnsi"/>
          <w:lang w:val="en-MY" w:eastAsia="en-AU"/>
        </w:rPr>
        <w:t xml:space="preserve"> are underpinned by </w:t>
      </w:r>
      <w:r w:rsidR="005944D9" w:rsidRPr="00AF6E3B">
        <w:rPr>
          <w:rFonts w:cstheme="minorHAnsi"/>
          <w:lang w:val="en-MY" w:eastAsia="en-AU"/>
        </w:rPr>
        <w:t>MoUs</w:t>
      </w:r>
      <w:r w:rsidR="00F72521">
        <w:rPr>
          <w:rFonts w:cstheme="minorHAnsi"/>
          <w:lang w:val="en-MY" w:eastAsia="en-AU"/>
        </w:rPr>
        <w:t xml:space="preserve"> and time investments in relationship development by coordinators and management</w:t>
      </w:r>
      <w:r w:rsidR="00B0650C" w:rsidRPr="00AF6E3B">
        <w:rPr>
          <w:rFonts w:cstheme="minorHAnsi"/>
          <w:lang w:val="en-MY" w:eastAsia="en-AU"/>
        </w:rPr>
        <w:t>.</w:t>
      </w:r>
    </w:p>
    <w:p w14:paraId="6623140F" w14:textId="11BB4197" w:rsidR="00C55C6D" w:rsidRDefault="00024565" w:rsidP="00AF6E3B">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88" behindDoc="0" locked="0" layoutInCell="1" allowOverlap="1" wp14:anchorId="697EB06C" wp14:editId="1DCC09DA">
                <wp:simplePos x="0" y="0"/>
                <wp:positionH relativeFrom="column">
                  <wp:posOffset>0</wp:posOffset>
                </wp:positionH>
                <wp:positionV relativeFrom="paragraph">
                  <wp:posOffset>71316</wp:posOffset>
                </wp:positionV>
                <wp:extent cx="5709920" cy="1477010"/>
                <wp:effectExtent l="12700" t="12700" r="17780" b="16510"/>
                <wp:wrapNone/>
                <wp:docPr id="1971120973" name="TextBox 5"/>
                <wp:cNvGraphicFramePr/>
                <a:graphic xmlns:a="http://schemas.openxmlformats.org/drawingml/2006/main">
                  <a:graphicData uri="http://schemas.microsoft.com/office/word/2010/wordprocessingShape">
                    <wps:wsp>
                      <wps:cNvSpPr txBox="1"/>
                      <wps:spPr>
                        <a:xfrm>
                          <a:off x="0" y="0"/>
                          <a:ext cx="570992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BCA79CD" w14:textId="199A9B62" w:rsidR="009C42F3" w:rsidRPr="00817CAD" w:rsidRDefault="009C42F3" w:rsidP="00974E18">
                            <w:pPr>
                              <w:rPr>
                                <w:rFonts w:hAnsi="Calibri" w:cs="Arial"/>
                                <w:color w:val="000000" w:themeColor="text1"/>
                                <w:kern w:val="24"/>
                                <w:sz w:val="20"/>
                                <w:szCs w:val="20"/>
                              </w:rPr>
                            </w:pPr>
                            <w:r w:rsidRPr="006821ED">
                              <w:rPr>
                                <w:rFonts w:hAnsi="Calibri" w:cs="Arial"/>
                                <w:color w:val="000000" w:themeColor="text1"/>
                                <w:kern w:val="24"/>
                                <w:sz w:val="20"/>
                                <w:szCs w:val="20"/>
                              </w:rPr>
                              <w:t>M</w:t>
                            </w:r>
                            <w:r>
                              <w:rPr>
                                <w:rFonts w:hAnsi="Calibri" w:cs="Arial"/>
                                <w:color w:val="000000" w:themeColor="text1"/>
                                <w:kern w:val="24"/>
                                <w:sz w:val="20"/>
                                <w:szCs w:val="20"/>
                              </w:rPr>
                              <w:t xml:space="preserve">arvin was recommended the through-care program from a mate in prison who knew about his need for accommodation. Marvin has been staying at the shared house provided by the service for a couple of months now and has been getting to know the case workers who run the house. They spend a lot of time together, with plenty of opportunity to talk about the future. Since becoming more settled, Marvin has taken up the case workers’ suggestion to go along to a men’s group organised by one of her friends (also a case worker), where Marvin can meet up with other men his age, who have also been in prison. Marvin has been to these meetings three times now, and last week met with an uncle from the community who’d come to talk to the group about his own experience with drugs and alcohol. Marvin listened and talked to the uncle and has been invited to visit at his house. One of the case workers has offered to take him. </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697EB06C" id="_x0000_s1066" type="#_x0000_t202" style="position:absolute;left:0;text-align:left;margin-left:0;margin-top:5.6pt;width:449.6pt;height:116.3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" fillcolor="white [3201]" strokecolor="#4bacc6 [3208]" strokeweight="2pt">
                <v:textbox style="mso-fit-shape-to-text:t">
                  <w:txbxContent>
                    <w:p w14:paraId="7BCA79CD" w14:textId="199A9B62" w:rsidR="009C42F3" w:rsidRPr="00817CAD" w:rsidRDefault="009C42F3" w:rsidP="00974E18">
                      <w:pPr>
                        <w:rPr>
                          <w:rFonts w:hAnsi="Calibri" w:cs="Arial"/>
                          <w:color w:val="000000" w:themeColor="text1"/>
                          <w:kern w:val="24"/>
                          <w:sz w:val="20"/>
                          <w:szCs w:val="20"/>
                        </w:rPr>
                      </w:pPr>
                      <w:r w:rsidRPr="006821ED">
                        <w:rPr>
                          <w:rFonts w:hAnsi="Calibri" w:cs="Arial"/>
                          <w:color w:val="000000" w:themeColor="text1"/>
                          <w:kern w:val="24"/>
                          <w:sz w:val="20"/>
                          <w:szCs w:val="20"/>
                        </w:rPr>
                        <w:t>M</w:t>
                      </w:r>
                      <w:r>
                        <w:rPr>
                          <w:rFonts w:hAnsi="Calibri" w:cs="Arial"/>
                          <w:color w:val="000000" w:themeColor="text1"/>
                          <w:kern w:val="24"/>
                          <w:sz w:val="20"/>
                          <w:szCs w:val="20"/>
                        </w:rPr>
                        <w:t xml:space="preserve">arvin was recommended the through-care program from a mate in prison who knew about his need for accommodation. Marvin has been staying at the shared house provided by the service for a couple of months now and has been getting to know the case workers who run the house. They spend a lot of time together, with plenty of opportunity to talk about the future. Since becoming more settled, Marvin has taken up the case workers’ suggestion to go along to a men’s group organised by one of her friends (also a case worker), where Marvin can meet up with other men his age, who have also been in prison. Marvin has been to these meetings three times now, and last week met with an uncle from the community who’d come to talk to the group about his own experience with drugs and alcohol. Marvin listened and talked to the uncle and has been invited to visit at his house. One of the case workers has offered to take him. </w:t>
                      </w:r>
                    </w:p>
                  </w:txbxContent>
                </v:textbox>
              </v:shape>
            </w:pict>
          </mc:Fallback>
        </mc:AlternateContent>
      </w:r>
    </w:p>
    <w:p w14:paraId="79EF80AA" w14:textId="4807AFF1" w:rsidR="00990205" w:rsidRDefault="00990205" w:rsidP="00AF6E3B">
      <w:pPr>
        <w:jc w:val="both"/>
        <w:rPr>
          <w:rFonts w:cstheme="minorHAnsi"/>
          <w:lang w:val="en-MY" w:eastAsia="en-AU"/>
        </w:rPr>
      </w:pPr>
    </w:p>
    <w:p w14:paraId="376E6E56" w14:textId="4D93062E" w:rsidR="00990205" w:rsidRDefault="00990205" w:rsidP="00AF6E3B">
      <w:pPr>
        <w:jc w:val="both"/>
        <w:rPr>
          <w:rFonts w:cstheme="minorHAnsi"/>
          <w:lang w:val="en-MY" w:eastAsia="en-AU"/>
        </w:rPr>
      </w:pPr>
    </w:p>
    <w:p w14:paraId="105F444D" w14:textId="2B223894" w:rsidR="00F02B35" w:rsidRDefault="00F02B35" w:rsidP="00AF6E3B">
      <w:pPr>
        <w:jc w:val="both"/>
        <w:rPr>
          <w:rFonts w:cstheme="minorHAnsi"/>
          <w:lang w:val="en-MY" w:eastAsia="en-AU"/>
        </w:rPr>
      </w:pPr>
    </w:p>
    <w:p w14:paraId="7FEA284C" w14:textId="658A7A6D" w:rsidR="006821ED" w:rsidRDefault="006821ED" w:rsidP="00AF6E3B">
      <w:pPr>
        <w:jc w:val="both"/>
        <w:rPr>
          <w:rFonts w:cstheme="minorHAnsi"/>
          <w:lang w:val="en-MY" w:eastAsia="en-AU"/>
        </w:rPr>
      </w:pPr>
    </w:p>
    <w:p w14:paraId="2CBD4920" w14:textId="06780263" w:rsidR="006821ED" w:rsidRDefault="006821ED" w:rsidP="00AF6E3B">
      <w:pPr>
        <w:jc w:val="both"/>
        <w:rPr>
          <w:rFonts w:cstheme="minorHAnsi"/>
          <w:lang w:val="en-MY" w:eastAsia="en-AU"/>
        </w:rPr>
      </w:pPr>
    </w:p>
    <w:p w14:paraId="6A924FE0" w14:textId="0FF93831" w:rsidR="006821ED" w:rsidRDefault="006821ED" w:rsidP="00AF6E3B">
      <w:pPr>
        <w:jc w:val="both"/>
        <w:rPr>
          <w:rFonts w:cstheme="minorHAnsi"/>
          <w:lang w:val="en-MY" w:eastAsia="en-AU"/>
        </w:rPr>
      </w:pPr>
    </w:p>
    <w:p w14:paraId="1CEBBB1D" w14:textId="0EC20E75" w:rsidR="008F3431" w:rsidRPr="008A1B41" w:rsidRDefault="008F3431" w:rsidP="008A1B41">
      <w:pPr>
        <w:jc w:val="both"/>
        <w:rPr>
          <w:rFonts w:cstheme="minorHAnsi"/>
          <w:lang w:val="en-MY" w:eastAsia="en-AU"/>
        </w:rPr>
      </w:pPr>
      <w:r w:rsidRPr="00B21295">
        <w:rPr>
          <w:rFonts w:cstheme="minorHAnsi"/>
          <w:lang w:val="en-MY" w:eastAsia="en-AU"/>
        </w:rPr>
        <w:t>As the case study above shows, coll</w:t>
      </w:r>
      <w:r w:rsidR="00852282">
        <w:rPr>
          <w:rFonts w:cstheme="minorHAnsi"/>
          <w:lang w:val="en-MY" w:eastAsia="en-AU"/>
        </w:rPr>
        <w:t>a</w:t>
      </w:r>
      <w:r w:rsidRPr="00B21295">
        <w:rPr>
          <w:rFonts w:cstheme="minorHAnsi"/>
          <w:lang w:val="en-MY" w:eastAsia="en-AU"/>
        </w:rPr>
        <w:t>boration between services works best when the opportunities for integration with external services are perceived by the client to be seamless, when the linkages are based on long-term relationships, and when the lead through-care service is able to provide a consistent foundation of support.</w:t>
      </w:r>
      <w:r>
        <w:rPr>
          <w:rFonts w:cstheme="minorHAnsi"/>
          <w:lang w:val="en-MY" w:eastAsia="en-AU"/>
        </w:rPr>
        <w:t xml:space="preserve"> </w:t>
      </w:r>
      <w:r w:rsidR="00963171">
        <w:rPr>
          <w:rFonts w:cstheme="minorHAnsi"/>
          <w:lang w:val="en-MY" w:eastAsia="en-AU"/>
        </w:rPr>
        <w:t xml:space="preserve">In this example, what is perceived as seamless and organic from the perspective of the client </w:t>
      </w:r>
      <w:r w:rsidR="00BE56EE">
        <w:rPr>
          <w:rFonts w:cstheme="minorHAnsi"/>
          <w:lang w:val="en-MY" w:eastAsia="en-AU"/>
        </w:rPr>
        <w:t>is</w:t>
      </w:r>
      <w:r w:rsidR="00963171">
        <w:rPr>
          <w:rFonts w:cstheme="minorHAnsi"/>
          <w:lang w:val="en-MY" w:eastAsia="en-AU"/>
        </w:rPr>
        <w:t xml:space="preserve"> in fact </w:t>
      </w:r>
      <w:r w:rsidR="00BE56EE">
        <w:rPr>
          <w:rFonts w:cstheme="minorHAnsi"/>
          <w:lang w:val="en-MY" w:eastAsia="en-AU"/>
        </w:rPr>
        <w:t xml:space="preserve">a consequence of structured and </w:t>
      </w:r>
      <w:r w:rsidR="00963171">
        <w:rPr>
          <w:rFonts w:cstheme="minorHAnsi"/>
          <w:lang w:val="en-MY" w:eastAsia="en-AU"/>
        </w:rPr>
        <w:t xml:space="preserve">intentional </w:t>
      </w:r>
      <w:r w:rsidR="00BE56EE">
        <w:rPr>
          <w:rFonts w:cstheme="minorHAnsi"/>
          <w:lang w:val="en-MY" w:eastAsia="en-AU"/>
        </w:rPr>
        <w:t xml:space="preserve">work by the service provider, to identify appropriate support needs, </w:t>
      </w:r>
      <w:r w:rsidR="00963171">
        <w:rPr>
          <w:rFonts w:cstheme="minorHAnsi"/>
          <w:lang w:val="en-MY" w:eastAsia="en-AU"/>
        </w:rPr>
        <w:t xml:space="preserve">and </w:t>
      </w:r>
      <w:r w:rsidR="00BE56EE">
        <w:rPr>
          <w:rFonts w:cstheme="minorHAnsi"/>
          <w:lang w:val="en-MY" w:eastAsia="en-AU"/>
        </w:rPr>
        <w:t xml:space="preserve">leverage established and long-term relationships with proven and culturally safe third-party services (in this case the Aboriginal men’s group and an Aboriginal drug and alcohol counsellor, integrated around a cultural healing approach). </w:t>
      </w:r>
    </w:p>
    <w:p w14:paraId="2A0ABD56" w14:textId="77777777" w:rsidR="008A1B41" w:rsidRDefault="0063192E" w:rsidP="008A1B41">
      <w:pPr>
        <w:pStyle w:val="SUBHEAD2"/>
        <w:rPr>
          <w:rFonts w:asciiTheme="minorHAnsi" w:hAnsiTheme="minorHAnsi" w:cstheme="minorHAnsi"/>
          <w:lang w:val="en-MY" w:eastAsia="en-AU"/>
        </w:rPr>
      </w:pPr>
      <w:r w:rsidRPr="008A1B41">
        <w:rPr>
          <w:rFonts w:asciiTheme="minorHAnsi" w:hAnsiTheme="minorHAnsi" w:cstheme="minorHAnsi"/>
          <w:lang w:val="en-MY" w:eastAsia="en-AU"/>
        </w:rPr>
        <w:t>Extent of Duplication with External Services</w:t>
      </w:r>
    </w:p>
    <w:p w14:paraId="0A0065ED" w14:textId="02D46A9D" w:rsidR="000976FE" w:rsidRPr="008A1B41" w:rsidRDefault="000512BF" w:rsidP="00C241C1">
      <w:pPr>
        <w:spacing w:before="120" w:after="120"/>
        <w:jc w:val="both"/>
        <w:rPr>
          <w:b/>
          <w:smallCaps/>
          <w:lang w:val="en-MY" w:eastAsia="en-AU"/>
        </w:rPr>
      </w:pPr>
      <w:r w:rsidRPr="008A1B41">
        <w:rPr>
          <w:lang w:val="en-MY" w:eastAsia="en-AU"/>
        </w:rPr>
        <w:t>Based on interviews with service providers, the extent to which through-care services are duplicat</w:t>
      </w:r>
      <w:r w:rsidR="000976FE" w:rsidRPr="008A1B41">
        <w:rPr>
          <w:lang w:val="en-MY" w:eastAsia="en-AU"/>
        </w:rPr>
        <w:t xml:space="preserve">ive of </w:t>
      </w:r>
      <w:r w:rsidRPr="008A1B41">
        <w:rPr>
          <w:lang w:val="en-MY" w:eastAsia="en-AU"/>
        </w:rPr>
        <w:t>similar services is limited across all providers and locations</w:t>
      </w:r>
      <w:r w:rsidR="00ED7503" w:rsidRPr="008A1B41">
        <w:rPr>
          <w:lang w:val="en-MY" w:eastAsia="en-AU"/>
        </w:rPr>
        <w:t xml:space="preserve">, </w:t>
      </w:r>
      <w:r w:rsidR="00BE1F48" w:rsidRPr="008A1B41">
        <w:rPr>
          <w:lang w:val="en-MY" w:eastAsia="en-AU"/>
        </w:rPr>
        <w:t xml:space="preserve">on the basis that </w:t>
      </w:r>
      <w:r w:rsidR="00ED7503" w:rsidRPr="008A1B41">
        <w:rPr>
          <w:lang w:val="en-MY" w:eastAsia="en-AU"/>
        </w:rPr>
        <w:t xml:space="preserve">through-care services are unique </w:t>
      </w:r>
      <w:r w:rsidR="00BE1F48" w:rsidRPr="008A1B41">
        <w:rPr>
          <w:lang w:val="en-MY" w:eastAsia="en-AU"/>
        </w:rPr>
        <w:t>with respect to t</w:t>
      </w:r>
      <w:r w:rsidR="00ED7503" w:rsidRPr="008A1B41">
        <w:rPr>
          <w:lang w:val="en-MY" w:eastAsia="en-AU"/>
        </w:rPr>
        <w:t>he intensity of personal support they are able to provide</w:t>
      </w:r>
      <w:r w:rsidRPr="008A1B41">
        <w:rPr>
          <w:lang w:val="en-MY" w:eastAsia="en-AU"/>
        </w:rPr>
        <w:t xml:space="preserve">. </w:t>
      </w:r>
      <w:r w:rsidR="000976FE" w:rsidRPr="008A1B41">
        <w:rPr>
          <w:lang w:val="en-MY" w:eastAsia="en-AU"/>
        </w:rPr>
        <w:t>Service delivery was considered by external services responding to the online survey, however, to be to somewhat duplicative. Although 40 percent of respondents identified this as ‘rarely’ or ‘never’ the case, 42 percent identified duplication with their own services as ‘sometimes’ occurring and a further 17 percent as ‘always’ or ‘usually’.</w:t>
      </w:r>
    </w:p>
    <w:p w14:paraId="01D5135B" w14:textId="195F0D06" w:rsidR="000512BF" w:rsidRPr="00A77F60" w:rsidRDefault="000512BF" w:rsidP="00C241C1">
      <w:pPr>
        <w:spacing w:before="120" w:after="120"/>
        <w:jc w:val="both"/>
        <w:rPr>
          <w:lang w:val="en-MY" w:eastAsia="en-AU"/>
        </w:rPr>
      </w:pPr>
      <w:r w:rsidRPr="00A77F60">
        <w:rPr>
          <w:lang w:val="en-MY" w:eastAsia="en-AU"/>
        </w:rPr>
        <w:t>To the extent that duplication occurs,</w:t>
      </w:r>
      <w:r w:rsidR="00C013CD" w:rsidRPr="00A77F60">
        <w:rPr>
          <w:lang w:val="en-MY" w:eastAsia="en-AU"/>
        </w:rPr>
        <w:t xml:space="preserve"> </w:t>
      </w:r>
      <w:r w:rsidR="000976FE">
        <w:rPr>
          <w:lang w:val="en-MY" w:eastAsia="en-AU"/>
        </w:rPr>
        <w:t xml:space="preserve">based </w:t>
      </w:r>
      <w:r w:rsidR="00FE41B4">
        <w:rPr>
          <w:lang w:val="en-MY" w:eastAsia="en-AU"/>
        </w:rPr>
        <w:t xml:space="preserve">on </w:t>
      </w:r>
      <w:r w:rsidR="000976FE">
        <w:rPr>
          <w:lang w:val="en-MY" w:eastAsia="en-AU"/>
        </w:rPr>
        <w:t>service provider interviews</w:t>
      </w:r>
      <w:r w:rsidR="00BE1F48">
        <w:rPr>
          <w:lang w:val="en-MY" w:eastAsia="en-AU"/>
        </w:rPr>
        <w:t>,</w:t>
      </w:r>
      <w:r w:rsidR="000976FE">
        <w:rPr>
          <w:lang w:val="en-MY" w:eastAsia="en-AU"/>
        </w:rPr>
        <w:t xml:space="preserve"> </w:t>
      </w:r>
      <w:r w:rsidRPr="00A77F60">
        <w:rPr>
          <w:lang w:val="en-MY" w:eastAsia="en-AU"/>
        </w:rPr>
        <w:t>there are distinct differences between pre-release and post-release phases</w:t>
      </w:r>
      <w:r w:rsidR="00C013CD" w:rsidRPr="00A77F60">
        <w:rPr>
          <w:lang w:val="en-MY" w:eastAsia="en-AU"/>
        </w:rPr>
        <w:t xml:space="preserve"> of </w:t>
      </w:r>
      <w:r w:rsidR="00ED7503">
        <w:rPr>
          <w:lang w:val="en-MY" w:eastAsia="en-AU"/>
        </w:rPr>
        <w:t>activity</w:t>
      </w:r>
      <w:r w:rsidRPr="00A77F60">
        <w:rPr>
          <w:lang w:val="en-MY" w:eastAsia="en-AU"/>
        </w:rPr>
        <w:t>.</w:t>
      </w:r>
      <w:r w:rsidR="000976FE">
        <w:rPr>
          <w:lang w:val="en-MY" w:eastAsia="en-AU"/>
        </w:rPr>
        <w:t xml:space="preserve"> </w:t>
      </w:r>
      <w:r w:rsidRPr="00A77F60">
        <w:rPr>
          <w:lang w:val="en-MY" w:eastAsia="en-AU"/>
        </w:rPr>
        <w:t xml:space="preserve">All service providers delivering pre-release services </w:t>
      </w:r>
      <w:r w:rsidR="000976FE">
        <w:rPr>
          <w:lang w:val="en-MY" w:eastAsia="en-AU"/>
        </w:rPr>
        <w:t xml:space="preserve">under the ATC program </w:t>
      </w:r>
      <w:r w:rsidR="00F93C73" w:rsidRPr="00A77F60">
        <w:rPr>
          <w:lang w:val="en-MY" w:eastAsia="en-AU"/>
        </w:rPr>
        <w:t>identified the existence of pre-release and reintegration</w:t>
      </w:r>
      <w:r w:rsidR="001F5709" w:rsidRPr="00A77F60">
        <w:rPr>
          <w:lang w:val="en-MY" w:eastAsia="en-AU"/>
        </w:rPr>
        <w:t xml:space="preserve">/transition </w:t>
      </w:r>
      <w:r w:rsidR="00F93C73" w:rsidRPr="00A77F60">
        <w:rPr>
          <w:lang w:val="en-MY" w:eastAsia="en-AU"/>
        </w:rPr>
        <w:t>support services operated by the relevant correctional services agency</w:t>
      </w:r>
      <w:r w:rsidR="00C013CD" w:rsidRPr="00A77F60">
        <w:rPr>
          <w:lang w:val="en-MY" w:eastAsia="en-AU"/>
        </w:rPr>
        <w:t xml:space="preserve"> in their jurisdiction</w:t>
      </w:r>
      <w:r w:rsidR="00F93C73" w:rsidRPr="00A77F60">
        <w:rPr>
          <w:lang w:val="en-MY" w:eastAsia="en-AU"/>
        </w:rPr>
        <w:t xml:space="preserve">. In all such cases, however, the highly limited capacity of these services to meet growing demand in prisons was noted, </w:t>
      </w:r>
      <w:r w:rsidR="00BE1F48">
        <w:rPr>
          <w:lang w:val="en-MY" w:eastAsia="en-AU"/>
        </w:rPr>
        <w:t xml:space="preserve">notwithstanding </w:t>
      </w:r>
      <w:r w:rsidR="00F93C73" w:rsidRPr="00A77F60">
        <w:rPr>
          <w:lang w:val="en-MY" w:eastAsia="en-AU"/>
        </w:rPr>
        <w:t xml:space="preserve">the commonly held view that much of the work undertaken to support clients obtain various </w:t>
      </w:r>
      <w:r w:rsidR="008C7C9D" w:rsidRPr="00A77F60">
        <w:rPr>
          <w:lang w:val="en-MY" w:eastAsia="en-AU"/>
        </w:rPr>
        <w:t xml:space="preserve">forms of </w:t>
      </w:r>
      <w:r w:rsidR="00F93C73" w:rsidRPr="00A77F60">
        <w:rPr>
          <w:lang w:val="en-MY" w:eastAsia="en-AU"/>
        </w:rPr>
        <w:t>social identification in the early stages of release</w:t>
      </w:r>
      <w:r w:rsidR="008C7C9D" w:rsidRPr="00A77F60">
        <w:rPr>
          <w:lang w:val="en-MY" w:eastAsia="en-AU"/>
        </w:rPr>
        <w:t xml:space="preserve">, </w:t>
      </w:r>
      <w:r w:rsidR="001F5709" w:rsidRPr="00A77F60">
        <w:rPr>
          <w:lang w:val="en-MY" w:eastAsia="en-AU"/>
        </w:rPr>
        <w:t xml:space="preserve">ought to have been </w:t>
      </w:r>
      <w:r w:rsidR="000976FE">
        <w:rPr>
          <w:lang w:val="en-MY" w:eastAsia="en-AU"/>
        </w:rPr>
        <w:t xml:space="preserve">completed </w:t>
      </w:r>
      <w:r w:rsidR="001F5709" w:rsidRPr="00A77F60">
        <w:rPr>
          <w:lang w:val="en-MY" w:eastAsia="en-AU"/>
        </w:rPr>
        <w:t>from prison</w:t>
      </w:r>
      <w:r w:rsidR="000976FE">
        <w:rPr>
          <w:lang w:val="en-MY" w:eastAsia="en-AU"/>
        </w:rPr>
        <w:t>.</w:t>
      </w:r>
      <w:r w:rsidR="001F5709" w:rsidRPr="000976FE">
        <w:rPr>
          <w:vertAlign w:val="superscript"/>
          <w:lang w:eastAsia="en-AU"/>
        </w:rPr>
        <w:footnoteReference w:id="82"/>
      </w:r>
      <w:r w:rsidR="001F5709" w:rsidRPr="00A77F60">
        <w:rPr>
          <w:lang w:val="en-MY" w:eastAsia="en-AU"/>
        </w:rPr>
        <w:t xml:space="preserve"> </w:t>
      </w:r>
      <w:r w:rsidR="000976FE">
        <w:rPr>
          <w:lang w:val="en-MY" w:eastAsia="en-AU"/>
        </w:rPr>
        <w:t>This perspective was shared by those correctional services staff interviewed, who acknowledged the r</w:t>
      </w:r>
      <w:r w:rsidR="000976FE" w:rsidRPr="00A77F60">
        <w:rPr>
          <w:lang w:val="en-MY" w:eastAsia="en-AU"/>
        </w:rPr>
        <w:t xml:space="preserve">elationship </w:t>
      </w:r>
      <w:r w:rsidR="00065D61">
        <w:rPr>
          <w:lang w:val="en-MY" w:eastAsia="en-AU"/>
        </w:rPr>
        <w:t xml:space="preserve">between </w:t>
      </w:r>
      <w:r w:rsidR="000976FE">
        <w:rPr>
          <w:lang w:val="en-MY" w:eastAsia="en-AU"/>
        </w:rPr>
        <w:t>their agency</w:t>
      </w:r>
      <w:r w:rsidR="006844A8">
        <w:rPr>
          <w:lang w:val="en-MY" w:eastAsia="en-AU"/>
        </w:rPr>
        <w:t xml:space="preserve"> and through-care teams</w:t>
      </w:r>
      <w:r w:rsidR="000976FE">
        <w:rPr>
          <w:lang w:val="en-MY" w:eastAsia="en-AU"/>
        </w:rPr>
        <w:t xml:space="preserve"> </w:t>
      </w:r>
      <w:r w:rsidR="000976FE" w:rsidRPr="00A77F60">
        <w:rPr>
          <w:lang w:val="en-MY" w:eastAsia="en-AU"/>
        </w:rPr>
        <w:t xml:space="preserve">can be frustrated by lack of </w:t>
      </w:r>
      <w:r w:rsidR="000976FE">
        <w:rPr>
          <w:lang w:val="en-MY" w:eastAsia="en-AU"/>
        </w:rPr>
        <w:t xml:space="preserve">a </w:t>
      </w:r>
      <w:r w:rsidR="000976FE" w:rsidRPr="00A77F60">
        <w:rPr>
          <w:lang w:val="en-MY" w:eastAsia="en-AU"/>
        </w:rPr>
        <w:t xml:space="preserve">communication from </w:t>
      </w:r>
      <w:r w:rsidR="006844A8">
        <w:rPr>
          <w:lang w:val="en-MY" w:eastAsia="en-AU"/>
        </w:rPr>
        <w:t xml:space="preserve">“stretched and extremely busy </w:t>
      </w:r>
      <w:r w:rsidR="000976FE" w:rsidRPr="00A77F60">
        <w:rPr>
          <w:lang w:val="en-MY" w:eastAsia="en-AU"/>
        </w:rPr>
        <w:t xml:space="preserve">staff </w:t>
      </w:r>
      <w:r w:rsidR="006844A8">
        <w:rPr>
          <w:lang w:val="en-MY" w:eastAsia="en-AU"/>
        </w:rPr>
        <w:t>working in overcrowding prisons”</w:t>
      </w:r>
      <w:r w:rsidR="000976FE" w:rsidRPr="00A77F60">
        <w:rPr>
          <w:lang w:val="en-MY" w:eastAsia="en-AU"/>
        </w:rPr>
        <w:t>.</w:t>
      </w:r>
      <w:r w:rsidR="006844A8">
        <w:rPr>
          <w:lang w:val="en-MY" w:eastAsia="en-AU"/>
        </w:rPr>
        <w:t xml:space="preserve"> </w:t>
      </w:r>
    </w:p>
    <w:p w14:paraId="3BCBA810" w14:textId="66BA35F8" w:rsidR="00997540" w:rsidRDefault="001F5709" w:rsidP="006844A8">
      <w:pPr>
        <w:jc w:val="both"/>
        <w:rPr>
          <w:rFonts w:cstheme="minorHAnsi"/>
          <w:lang w:val="en-MY" w:eastAsia="en-AU"/>
        </w:rPr>
      </w:pPr>
      <w:r w:rsidRPr="00A77F60">
        <w:rPr>
          <w:rFonts w:cstheme="minorHAnsi"/>
          <w:lang w:val="en-MY" w:eastAsia="en-AU"/>
        </w:rPr>
        <w:t>Post-release, the supply of potentially duplicative services increases</w:t>
      </w:r>
      <w:r w:rsidR="00973B96" w:rsidRPr="00A77F60">
        <w:rPr>
          <w:rFonts w:cstheme="minorHAnsi"/>
          <w:lang w:val="en-MY" w:eastAsia="en-AU"/>
        </w:rPr>
        <w:t xml:space="preserve">, with some providers in urban locations, reporting the existence of similar intensive case management and support services </w:t>
      </w:r>
      <w:r w:rsidR="00FB0B10" w:rsidRPr="00A77F60">
        <w:rPr>
          <w:rFonts w:cstheme="minorHAnsi"/>
          <w:lang w:val="en-MY" w:eastAsia="en-AU"/>
        </w:rPr>
        <w:t>provided by non-government organisations</w:t>
      </w:r>
      <w:r w:rsidR="00C013CD" w:rsidRPr="00A77F60">
        <w:rPr>
          <w:rFonts w:cstheme="minorHAnsi"/>
          <w:lang w:val="en-MY" w:eastAsia="en-AU"/>
        </w:rPr>
        <w:t xml:space="preserve"> (in addition to </w:t>
      </w:r>
      <w:r w:rsidR="00FB0B10" w:rsidRPr="00A77F60">
        <w:rPr>
          <w:rFonts w:cstheme="minorHAnsi"/>
          <w:lang w:val="en-MY" w:eastAsia="en-AU"/>
        </w:rPr>
        <w:t>the limited case management provided by community corrections and parole)</w:t>
      </w:r>
      <w:r w:rsidR="00973B96" w:rsidRPr="00A77F60">
        <w:rPr>
          <w:rFonts w:cstheme="minorHAnsi"/>
          <w:lang w:val="en-MY" w:eastAsia="en-AU"/>
        </w:rPr>
        <w:t>.</w:t>
      </w:r>
      <w:r w:rsidR="00FB0B10" w:rsidRPr="00A77F60">
        <w:rPr>
          <w:rFonts w:cstheme="minorHAnsi"/>
          <w:lang w:val="en-MY" w:eastAsia="en-AU"/>
        </w:rPr>
        <w:t xml:space="preserve"> </w:t>
      </w:r>
      <w:r w:rsidR="00973B96" w:rsidRPr="00A77F60">
        <w:rPr>
          <w:rFonts w:cstheme="minorHAnsi"/>
          <w:lang w:val="en-MY" w:eastAsia="en-AU"/>
        </w:rPr>
        <w:t xml:space="preserve">These services are not, however, regarded </w:t>
      </w:r>
      <w:r w:rsidR="00407E7F" w:rsidRPr="00A77F60">
        <w:rPr>
          <w:rFonts w:cstheme="minorHAnsi"/>
          <w:lang w:val="en-MY" w:eastAsia="en-AU"/>
        </w:rPr>
        <w:t xml:space="preserve">by managers of Indigenous controlled through-care services </w:t>
      </w:r>
      <w:r w:rsidR="00973B96" w:rsidRPr="00A77F60">
        <w:rPr>
          <w:rFonts w:cstheme="minorHAnsi"/>
          <w:lang w:val="en-MY" w:eastAsia="en-AU"/>
        </w:rPr>
        <w:t xml:space="preserve">to be specialist and culturally safe for Indigenous clients, and </w:t>
      </w:r>
      <w:r w:rsidR="006844A8">
        <w:rPr>
          <w:rFonts w:cstheme="minorHAnsi"/>
          <w:lang w:val="en-MY" w:eastAsia="en-AU"/>
        </w:rPr>
        <w:t xml:space="preserve">in addition to community corrections, </w:t>
      </w:r>
      <w:r w:rsidR="00973B96" w:rsidRPr="00A77F60">
        <w:rPr>
          <w:rFonts w:cstheme="minorHAnsi"/>
          <w:lang w:val="en-MY" w:eastAsia="en-AU"/>
        </w:rPr>
        <w:t xml:space="preserve">are typically delivered by large diversified </w:t>
      </w:r>
      <w:r w:rsidR="00FB0B10" w:rsidRPr="00A77F60">
        <w:rPr>
          <w:rFonts w:cstheme="minorHAnsi"/>
          <w:lang w:val="en-MY" w:eastAsia="en-AU"/>
        </w:rPr>
        <w:t xml:space="preserve">NGOs with a </w:t>
      </w:r>
      <w:r w:rsidR="00065D61">
        <w:rPr>
          <w:rFonts w:cstheme="minorHAnsi"/>
          <w:lang w:val="en-MY" w:eastAsia="en-AU"/>
        </w:rPr>
        <w:t xml:space="preserve">potentially </w:t>
      </w:r>
      <w:r w:rsidR="00FB0B10" w:rsidRPr="00A77F60">
        <w:rPr>
          <w:rFonts w:cstheme="minorHAnsi"/>
          <w:lang w:val="en-MY" w:eastAsia="en-AU"/>
        </w:rPr>
        <w:t>more limited connection to community and culture</w:t>
      </w:r>
      <w:r w:rsidR="00973B96" w:rsidRPr="00A77F60">
        <w:rPr>
          <w:rFonts w:cstheme="minorHAnsi"/>
          <w:lang w:val="en-MY" w:eastAsia="en-AU"/>
        </w:rPr>
        <w:t>.</w:t>
      </w:r>
      <w:r w:rsidR="00973B96" w:rsidRPr="006844A8">
        <w:rPr>
          <w:rFonts w:cstheme="minorHAnsi"/>
          <w:vertAlign w:val="superscript"/>
          <w:lang w:eastAsia="en-AU"/>
        </w:rPr>
        <w:footnoteReference w:id="83"/>
      </w:r>
      <w:r w:rsidR="00973B96" w:rsidRPr="00A77F60">
        <w:rPr>
          <w:rFonts w:cstheme="minorHAnsi"/>
          <w:lang w:val="en-MY" w:eastAsia="en-AU"/>
        </w:rPr>
        <w:t xml:space="preserve"> </w:t>
      </w:r>
    </w:p>
    <w:p w14:paraId="582F6C64" w14:textId="77777777" w:rsidR="00997540" w:rsidRDefault="00997540" w:rsidP="006844A8">
      <w:pPr>
        <w:jc w:val="both"/>
        <w:rPr>
          <w:rFonts w:cstheme="minorHAnsi"/>
          <w:lang w:val="en-MY" w:eastAsia="en-AU"/>
        </w:rPr>
      </w:pPr>
    </w:p>
    <w:p w14:paraId="1B08E080" w14:textId="2BA8672A" w:rsidR="00B84989" w:rsidRDefault="00BE1F48" w:rsidP="006844A8">
      <w:pPr>
        <w:jc w:val="both"/>
        <w:rPr>
          <w:rFonts w:cstheme="minorHAnsi"/>
          <w:lang w:val="en-MY" w:eastAsia="en-AU"/>
        </w:rPr>
      </w:pPr>
      <w:r>
        <w:rPr>
          <w:rFonts w:cstheme="minorHAnsi"/>
          <w:lang w:val="en-MY" w:eastAsia="en-AU"/>
        </w:rPr>
        <w:t xml:space="preserve">As well as </w:t>
      </w:r>
      <w:r w:rsidR="00F95F26" w:rsidRPr="00A77F60">
        <w:rPr>
          <w:rFonts w:cstheme="minorHAnsi"/>
          <w:lang w:val="en-MY" w:eastAsia="en-AU"/>
        </w:rPr>
        <w:t xml:space="preserve">concerns regarding cultural safety, these services were also regarded by case workers to be less flexible in their approach and operating </w:t>
      </w:r>
      <w:r w:rsidR="00EF4F3E" w:rsidRPr="00A77F60">
        <w:rPr>
          <w:rFonts w:cstheme="minorHAnsi"/>
          <w:lang w:val="en-MY" w:eastAsia="en-AU"/>
        </w:rPr>
        <w:t xml:space="preserve">services </w:t>
      </w:r>
      <w:r w:rsidR="00F95F26" w:rsidRPr="00A77F60">
        <w:rPr>
          <w:rFonts w:cstheme="minorHAnsi"/>
          <w:lang w:val="en-MY" w:eastAsia="en-AU"/>
        </w:rPr>
        <w:t>for shorter time periods</w:t>
      </w:r>
      <w:r w:rsidR="006844A8">
        <w:rPr>
          <w:rFonts w:cstheme="minorHAnsi"/>
          <w:lang w:val="en-MY" w:eastAsia="en-AU"/>
        </w:rPr>
        <w:t xml:space="preserve">. Coordination and referrals undertaken by community corrections were </w:t>
      </w:r>
      <w:r w:rsidR="00ED7503">
        <w:rPr>
          <w:rFonts w:cstheme="minorHAnsi"/>
          <w:lang w:val="en-MY" w:eastAsia="en-AU"/>
        </w:rPr>
        <w:t xml:space="preserve">considered by case workers </w:t>
      </w:r>
      <w:r w:rsidR="006844A8">
        <w:rPr>
          <w:rFonts w:cstheme="minorHAnsi"/>
          <w:lang w:val="en-MY" w:eastAsia="en-AU"/>
        </w:rPr>
        <w:t>t</w:t>
      </w:r>
      <w:r w:rsidR="00ED7503">
        <w:rPr>
          <w:rFonts w:cstheme="minorHAnsi"/>
          <w:lang w:val="en-MY" w:eastAsia="en-AU"/>
        </w:rPr>
        <w:t xml:space="preserve">o be something that ought ideally to be </w:t>
      </w:r>
      <w:r w:rsidR="006844A8">
        <w:rPr>
          <w:rFonts w:cstheme="minorHAnsi"/>
          <w:lang w:val="en-MY" w:eastAsia="en-AU"/>
        </w:rPr>
        <w:t>resourced by a local th</w:t>
      </w:r>
      <w:r w:rsidR="00FE41B4">
        <w:rPr>
          <w:rFonts w:cstheme="minorHAnsi"/>
          <w:lang w:val="en-MY" w:eastAsia="en-AU"/>
        </w:rPr>
        <w:t>r</w:t>
      </w:r>
      <w:r w:rsidR="006844A8">
        <w:rPr>
          <w:rFonts w:cstheme="minorHAnsi"/>
          <w:lang w:val="en-MY" w:eastAsia="en-AU"/>
        </w:rPr>
        <w:t xml:space="preserve">ough-care service provider, but rather than being dismissed as </w:t>
      </w:r>
      <w:r w:rsidR="006844A8" w:rsidRPr="00A77F60">
        <w:rPr>
          <w:rFonts w:cstheme="minorHAnsi"/>
          <w:lang w:val="en-MY" w:eastAsia="en-AU"/>
        </w:rPr>
        <w:t>an area of duplication</w:t>
      </w:r>
      <w:r w:rsidR="006844A8">
        <w:rPr>
          <w:rFonts w:cstheme="minorHAnsi"/>
          <w:lang w:val="en-MY" w:eastAsia="en-AU"/>
        </w:rPr>
        <w:t xml:space="preserve">, </w:t>
      </w:r>
      <w:r w:rsidR="006844A8" w:rsidRPr="00A77F60">
        <w:rPr>
          <w:rFonts w:cstheme="minorHAnsi"/>
          <w:lang w:val="en-MY" w:eastAsia="en-AU"/>
        </w:rPr>
        <w:t xml:space="preserve">were viewed as an additional resource </w:t>
      </w:r>
      <w:r w:rsidR="00ED7503">
        <w:rPr>
          <w:rFonts w:cstheme="minorHAnsi"/>
          <w:lang w:val="en-MY" w:eastAsia="en-AU"/>
        </w:rPr>
        <w:t xml:space="preserve">given </w:t>
      </w:r>
      <w:r>
        <w:rPr>
          <w:rFonts w:cstheme="minorHAnsi"/>
          <w:lang w:val="en-MY" w:eastAsia="en-AU"/>
        </w:rPr>
        <w:t xml:space="preserve">such </w:t>
      </w:r>
      <w:r w:rsidR="00ED7503">
        <w:rPr>
          <w:rFonts w:cstheme="minorHAnsi"/>
          <w:lang w:val="en-MY" w:eastAsia="en-AU"/>
        </w:rPr>
        <w:t>high levels of demand</w:t>
      </w:r>
      <w:r w:rsidR="006844A8" w:rsidRPr="00A77F60">
        <w:rPr>
          <w:rFonts w:cstheme="minorHAnsi"/>
          <w:lang w:val="en-MY" w:eastAsia="en-AU"/>
        </w:rPr>
        <w:t xml:space="preserve">. </w:t>
      </w:r>
      <w:r w:rsidR="00997540">
        <w:rPr>
          <w:rFonts w:cstheme="minorHAnsi"/>
          <w:lang w:val="en-MY" w:eastAsia="en-AU"/>
        </w:rPr>
        <w:t xml:space="preserve">The case study below evidences the preference of some clients for a specialist through-care service.   </w:t>
      </w:r>
    </w:p>
    <w:p w14:paraId="62D9EB8A" w14:textId="6CE4F4E9" w:rsidR="00C55C6D" w:rsidRDefault="007E19B5" w:rsidP="006844A8">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6" behindDoc="0" locked="0" layoutInCell="1" allowOverlap="1" wp14:anchorId="4006A345" wp14:editId="2A072C97">
                <wp:simplePos x="0" y="0"/>
                <wp:positionH relativeFrom="column">
                  <wp:posOffset>13418</wp:posOffset>
                </wp:positionH>
                <wp:positionV relativeFrom="paragraph">
                  <wp:posOffset>136718</wp:posOffset>
                </wp:positionV>
                <wp:extent cx="5791752" cy="1477010"/>
                <wp:effectExtent l="12700" t="12700" r="12700" b="19050"/>
                <wp:wrapNone/>
                <wp:docPr id="560220078" name="TextBox 5"/>
                <wp:cNvGraphicFramePr/>
                <a:graphic xmlns:a="http://schemas.openxmlformats.org/drawingml/2006/main">
                  <a:graphicData uri="http://schemas.microsoft.com/office/word/2010/wordprocessingShape">
                    <wps:wsp>
                      <wps:cNvSpPr txBox="1"/>
                      <wps:spPr>
                        <a:xfrm>
                          <a:off x="0" y="0"/>
                          <a:ext cx="5791752"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22FF04A" w14:textId="29FBC16B" w:rsidR="009C42F3" w:rsidRDefault="009C42F3" w:rsidP="00852AC9">
                            <w:pPr>
                              <w:rPr>
                                <w:rFonts w:hAnsi="Calibri" w:cs="Arial"/>
                                <w:color w:val="000000" w:themeColor="text1"/>
                                <w:kern w:val="24"/>
                                <w:sz w:val="20"/>
                                <w:szCs w:val="20"/>
                              </w:rPr>
                            </w:pPr>
                            <w:r>
                              <w:rPr>
                                <w:rFonts w:hAnsi="Calibri" w:cs="Arial"/>
                                <w:color w:val="000000" w:themeColor="text1"/>
                                <w:kern w:val="24"/>
                                <w:sz w:val="20"/>
                                <w:szCs w:val="20"/>
                              </w:rPr>
                              <w:t xml:space="preserve">Tracy is an adult female living in a large regional town. She has a history of drug and alcohol misuse and has been a victim of domestic violence. Tracy was released from prison over six months ago and despite lots of sadness and anger, is confident she’ll never go back. Tracy had no contact with a through-care service in prison but had heard about the program from a talk someone had given. On first leaving prison Tracy soon felt she had no-where to go and became desperate for support to find a place to stay and clean up. Tracy was told by friends that she could get help from a ‘crisis support service’ provided by one of the big ‘care’ NGOs. She made contact calling a number and someone was able to quickly help find her a room at a hostel, give her new clothes, and take her to the clinic for a check-up. </w:t>
                            </w:r>
                          </w:p>
                          <w:p w14:paraId="44222B10" w14:textId="77777777" w:rsidR="009C42F3" w:rsidRDefault="009C42F3" w:rsidP="00852AC9">
                            <w:pPr>
                              <w:rPr>
                                <w:rFonts w:hAnsi="Calibri" w:cs="Arial"/>
                                <w:color w:val="000000" w:themeColor="text1"/>
                                <w:kern w:val="24"/>
                                <w:sz w:val="20"/>
                                <w:szCs w:val="20"/>
                              </w:rPr>
                            </w:pPr>
                          </w:p>
                          <w:p w14:paraId="6DDAD908" w14:textId="77777777" w:rsidR="009C42F3" w:rsidRPr="00817CAD" w:rsidRDefault="009C42F3" w:rsidP="00852AC9">
                            <w:pPr>
                              <w:rPr>
                                <w:rFonts w:hAnsi="Calibri" w:cs="Arial"/>
                                <w:color w:val="000000" w:themeColor="text1"/>
                                <w:kern w:val="24"/>
                                <w:sz w:val="20"/>
                                <w:szCs w:val="20"/>
                              </w:rPr>
                            </w:pPr>
                            <w:r>
                              <w:rPr>
                                <w:rFonts w:hAnsi="Calibri" w:cs="Arial"/>
                                <w:color w:val="000000" w:themeColor="text1"/>
                                <w:kern w:val="24"/>
                                <w:sz w:val="20"/>
                                <w:szCs w:val="20"/>
                              </w:rPr>
                              <w:t xml:space="preserve">Tracy was grateful for the help they gave her, but after a few weeks became anxious she’d not heard from them and worried that too many people came and went from the hostel. Thankfully, Tracy remembered about the other through-care service she was told about in prison. She called the phone number given to her by the big NGO and they were able to put her in touch. She was seen by a case worker from the service within days and is working with them to find more permanent housing. They have bought her a microwave oven and are talking to her about some drug and alcohol counselling that might be a step to talking to someone about a job. </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4006A345" id="_x0000_s1067" type="#_x0000_t202" style="position:absolute;left:0;text-align:left;margin-left:1.05pt;margin-top:10.75pt;width:456.05pt;height:116.3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" fillcolor="white [3201]" strokecolor="#4bacc6 [3208]" strokeweight="2pt">
                <v:textbox style="mso-fit-shape-to-text:t">
                  <w:txbxContent>
                    <w:p w14:paraId="422FF04A" w14:textId="29FBC16B" w:rsidR="009C42F3" w:rsidRDefault="009C42F3" w:rsidP="00852AC9">
                      <w:pPr>
                        <w:rPr>
                          <w:rFonts w:hAnsi="Calibri" w:cs="Arial"/>
                          <w:color w:val="000000" w:themeColor="text1"/>
                          <w:kern w:val="24"/>
                          <w:sz w:val="20"/>
                          <w:szCs w:val="20"/>
                        </w:rPr>
                      </w:pPr>
                      <w:r>
                        <w:rPr>
                          <w:rFonts w:hAnsi="Calibri" w:cs="Arial"/>
                          <w:color w:val="000000" w:themeColor="text1"/>
                          <w:kern w:val="24"/>
                          <w:sz w:val="20"/>
                          <w:szCs w:val="20"/>
                        </w:rPr>
                        <w:t xml:space="preserve">Tracy is an adult female living in a large regional town. She has a history of drug and alcohol misuse and has been a victim of domestic violence. Tracy was released from prison over six months ago and despite lots of sadness and anger, is confident she’ll never go back. Tracy had no contact with a through-care service in prison but had heard about the program from a talk someone had given. On first leaving prison Tracy soon felt she had no-where to go and became desperate for support to find a place to stay and clean up. Tracy was told by friends that she could get help from a ‘crisis support service’ provided by one of the big ‘care’ NGOs. She made contact calling a number and someone was able to quickly help find her a room at a hostel, give her new clothes, and take her to the clinic for a check-up. </w:t>
                      </w:r>
                    </w:p>
                    <w:p w14:paraId="44222B10" w14:textId="77777777" w:rsidR="009C42F3" w:rsidRDefault="009C42F3" w:rsidP="00852AC9">
                      <w:pPr>
                        <w:rPr>
                          <w:rFonts w:hAnsi="Calibri" w:cs="Arial"/>
                          <w:color w:val="000000" w:themeColor="text1"/>
                          <w:kern w:val="24"/>
                          <w:sz w:val="20"/>
                          <w:szCs w:val="20"/>
                        </w:rPr>
                      </w:pPr>
                    </w:p>
                    <w:p w14:paraId="6DDAD908" w14:textId="77777777" w:rsidR="009C42F3" w:rsidRPr="00817CAD" w:rsidRDefault="009C42F3" w:rsidP="00852AC9">
                      <w:pPr>
                        <w:rPr>
                          <w:rFonts w:hAnsi="Calibri" w:cs="Arial"/>
                          <w:color w:val="000000" w:themeColor="text1"/>
                          <w:kern w:val="24"/>
                          <w:sz w:val="20"/>
                          <w:szCs w:val="20"/>
                        </w:rPr>
                      </w:pPr>
                      <w:r>
                        <w:rPr>
                          <w:rFonts w:hAnsi="Calibri" w:cs="Arial"/>
                          <w:color w:val="000000" w:themeColor="text1"/>
                          <w:kern w:val="24"/>
                          <w:sz w:val="20"/>
                          <w:szCs w:val="20"/>
                        </w:rPr>
                        <w:t xml:space="preserve">Tracy was grateful for the help they gave her, but after a few weeks became anxious she’d not heard from them and worried that too many people came and went from the hostel. Thankfully, Tracy remembered about the other through-care service she was told about in prison. She called the phone number given to her by the big NGO and they were able to put her in touch. She was seen by a case worker from the service within days and is working with them to find more permanent housing. They have bought her a microwave oven and are talking to her about some drug and alcohol counselling that might be a step to talking to someone about a job. </w:t>
                      </w:r>
                    </w:p>
                  </w:txbxContent>
                </v:textbox>
              </v:shape>
            </w:pict>
          </mc:Fallback>
        </mc:AlternateContent>
      </w:r>
    </w:p>
    <w:p w14:paraId="64C2FF97" w14:textId="107B7FDD" w:rsidR="00B84989" w:rsidRDefault="00B84989" w:rsidP="006844A8">
      <w:pPr>
        <w:jc w:val="both"/>
        <w:rPr>
          <w:rFonts w:cstheme="minorHAnsi"/>
          <w:lang w:val="en-MY" w:eastAsia="en-AU"/>
        </w:rPr>
      </w:pPr>
    </w:p>
    <w:p w14:paraId="0FE5C2F1" w14:textId="1B4A44BB" w:rsidR="00B84989" w:rsidRDefault="00B84989" w:rsidP="006844A8">
      <w:pPr>
        <w:jc w:val="both"/>
        <w:rPr>
          <w:rFonts w:cstheme="minorHAnsi"/>
          <w:lang w:val="en-MY" w:eastAsia="en-AU"/>
        </w:rPr>
      </w:pPr>
    </w:p>
    <w:p w14:paraId="165D86F9" w14:textId="49A77426" w:rsidR="00B84989" w:rsidRDefault="00B84989" w:rsidP="006844A8">
      <w:pPr>
        <w:jc w:val="both"/>
        <w:rPr>
          <w:rFonts w:cstheme="minorHAnsi"/>
          <w:lang w:val="en-MY" w:eastAsia="en-AU"/>
        </w:rPr>
      </w:pPr>
    </w:p>
    <w:p w14:paraId="011B0D9E" w14:textId="43F1E0DC" w:rsidR="00B84989" w:rsidRDefault="00B84989" w:rsidP="006844A8">
      <w:pPr>
        <w:jc w:val="both"/>
        <w:rPr>
          <w:rFonts w:cstheme="minorHAnsi"/>
          <w:lang w:val="en-MY" w:eastAsia="en-AU"/>
        </w:rPr>
      </w:pPr>
    </w:p>
    <w:p w14:paraId="23DB2F4C" w14:textId="70F92510" w:rsidR="00727EB5" w:rsidRDefault="00727EB5" w:rsidP="006844A8">
      <w:pPr>
        <w:jc w:val="both"/>
        <w:rPr>
          <w:rFonts w:cstheme="minorHAnsi"/>
          <w:lang w:val="en-MY" w:eastAsia="en-AU"/>
        </w:rPr>
      </w:pPr>
    </w:p>
    <w:p w14:paraId="1477AC74" w14:textId="307EDB5A" w:rsidR="00727EB5" w:rsidRPr="00A77F60" w:rsidRDefault="00727EB5" w:rsidP="006844A8">
      <w:pPr>
        <w:jc w:val="both"/>
        <w:rPr>
          <w:rFonts w:cstheme="minorHAnsi"/>
          <w:lang w:val="en-MY" w:eastAsia="en-AU"/>
        </w:rPr>
      </w:pPr>
    </w:p>
    <w:p w14:paraId="720688FE" w14:textId="0A0091C3" w:rsidR="00A22FE9" w:rsidRPr="00A77F60" w:rsidRDefault="00A22FE9" w:rsidP="00A77F60">
      <w:pPr>
        <w:jc w:val="both"/>
        <w:rPr>
          <w:rFonts w:cstheme="minorHAnsi"/>
          <w:lang w:val="en-MY" w:eastAsia="en-AU"/>
        </w:rPr>
      </w:pPr>
    </w:p>
    <w:p w14:paraId="7E64AD4F" w14:textId="0ADA8B0E" w:rsidR="005F4EBD" w:rsidRDefault="005F4EBD" w:rsidP="00A77F60">
      <w:pPr>
        <w:jc w:val="both"/>
        <w:rPr>
          <w:rFonts w:cstheme="minorHAnsi"/>
          <w:lang w:val="en-MY" w:eastAsia="en-AU"/>
        </w:rPr>
      </w:pPr>
    </w:p>
    <w:p w14:paraId="4373C87B" w14:textId="502C7A6B" w:rsidR="005F4EBD" w:rsidRDefault="005F4EBD" w:rsidP="00A77F60">
      <w:pPr>
        <w:jc w:val="both"/>
        <w:rPr>
          <w:rFonts w:cstheme="minorHAnsi"/>
          <w:lang w:val="en-MY" w:eastAsia="en-AU"/>
        </w:rPr>
      </w:pPr>
    </w:p>
    <w:p w14:paraId="456A3792" w14:textId="2922875C" w:rsidR="005F4EBD" w:rsidRDefault="005F4EBD" w:rsidP="00A77F60">
      <w:pPr>
        <w:jc w:val="both"/>
        <w:rPr>
          <w:rFonts w:cstheme="minorHAnsi"/>
          <w:lang w:val="en-MY" w:eastAsia="en-AU"/>
        </w:rPr>
      </w:pPr>
    </w:p>
    <w:p w14:paraId="48D40428" w14:textId="77777777" w:rsidR="00C55C6D" w:rsidRDefault="00C55C6D" w:rsidP="00A77F60">
      <w:pPr>
        <w:jc w:val="both"/>
        <w:rPr>
          <w:rFonts w:cstheme="minorHAnsi"/>
          <w:lang w:val="en-MY" w:eastAsia="en-AU"/>
        </w:rPr>
      </w:pPr>
    </w:p>
    <w:p w14:paraId="711ACB67" w14:textId="77777777" w:rsidR="00C55C6D" w:rsidRDefault="00C55C6D" w:rsidP="00A77F60">
      <w:pPr>
        <w:jc w:val="both"/>
        <w:rPr>
          <w:rFonts w:cstheme="minorHAnsi"/>
          <w:lang w:val="en-MY" w:eastAsia="en-AU"/>
        </w:rPr>
      </w:pPr>
    </w:p>
    <w:p w14:paraId="14D52E7B" w14:textId="554F170B" w:rsidR="005F4EBD" w:rsidRDefault="005F4EBD" w:rsidP="00A77F60">
      <w:pPr>
        <w:jc w:val="both"/>
        <w:rPr>
          <w:rFonts w:cstheme="minorHAnsi"/>
          <w:lang w:val="en-MY" w:eastAsia="en-AU"/>
        </w:rPr>
      </w:pPr>
    </w:p>
    <w:p w14:paraId="23893CCB" w14:textId="271E5044" w:rsidR="005F4EBD" w:rsidRDefault="005F4EBD" w:rsidP="00A77F60">
      <w:pPr>
        <w:jc w:val="both"/>
        <w:rPr>
          <w:rFonts w:cstheme="minorHAnsi"/>
          <w:lang w:val="en-MY" w:eastAsia="en-AU"/>
        </w:rPr>
      </w:pPr>
    </w:p>
    <w:p w14:paraId="61060618" w14:textId="4EEC212A" w:rsidR="005F4EBD" w:rsidRDefault="005F4EBD" w:rsidP="00A77F60">
      <w:pPr>
        <w:jc w:val="both"/>
        <w:rPr>
          <w:rFonts w:cstheme="minorHAnsi"/>
          <w:lang w:val="en-MY" w:eastAsia="en-AU"/>
        </w:rPr>
      </w:pPr>
    </w:p>
    <w:p w14:paraId="32E8AE67" w14:textId="77777777" w:rsidR="00852AC9" w:rsidRDefault="00852AC9" w:rsidP="00A77F60">
      <w:pPr>
        <w:jc w:val="both"/>
        <w:rPr>
          <w:rFonts w:cstheme="minorHAnsi"/>
          <w:lang w:val="en-MY" w:eastAsia="en-AU"/>
        </w:rPr>
      </w:pPr>
    </w:p>
    <w:p w14:paraId="0AF1071B" w14:textId="04E1C296" w:rsidR="005F4EBD" w:rsidRDefault="00F95F26" w:rsidP="00A77F60">
      <w:pPr>
        <w:jc w:val="both"/>
        <w:rPr>
          <w:rFonts w:cstheme="minorHAnsi"/>
          <w:lang w:val="en-MY" w:eastAsia="en-AU"/>
        </w:rPr>
      </w:pPr>
      <w:r w:rsidRPr="00A77F60">
        <w:rPr>
          <w:rFonts w:cstheme="minorHAnsi"/>
          <w:lang w:val="en-MY" w:eastAsia="en-AU"/>
        </w:rPr>
        <w:t xml:space="preserve">Some limited duplication was also noted for </w:t>
      </w:r>
      <w:r w:rsidR="0035342A" w:rsidRPr="00A77F60">
        <w:rPr>
          <w:rFonts w:cstheme="minorHAnsi"/>
          <w:lang w:val="en-MY" w:eastAsia="en-AU"/>
        </w:rPr>
        <w:t>y</w:t>
      </w:r>
      <w:r w:rsidRPr="00A77F60">
        <w:rPr>
          <w:rFonts w:cstheme="minorHAnsi"/>
          <w:lang w:val="en-MY" w:eastAsia="en-AU"/>
        </w:rPr>
        <w:t>outh, where the existence of numerous localised youth connection services</w:t>
      </w:r>
      <w:r w:rsidR="006F4489" w:rsidRPr="00A77F60">
        <w:rPr>
          <w:rFonts w:cstheme="minorHAnsi"/>
          <w:lang w:val="en-MY" w:eastAsia="en-AU"/>
        </w:rPr>
        <w:t xml:space="preserve">, also </w:t>
      </w:r>
      <w:r w:rsidRPr="00A77F60">
        <w:rPr>
          <w:rFonts w:cstheme="minorHAnsi"/>
          <w:lang w:val="en-MY" w:eastAsia="en-AU"/>
        </w:rPr>
        <w:t>providing youth case management services was noted</w:t>
      </w:r>
      <w:r w:rsidR="00065D61">
        <w:rPr>
          <w:rFonts w:cstheme="minorHAnsi"/>
          <w:lang w:val="en-MY" w:eastAsia="en-AU"/>
        </w:rPr>
        <w:t xml:space="preserve">. This was </w:t>
      </w:r>
      <w:r w:rsidRPr="00A77F60">
        <w:rPr>
          <w:rFonts w:cstheme="minorHAnsi"/>
          <w:lang w:val="en-MY" w:eastAsia="en-AU"/>
        </w:rPr>
        <w:t xml:space="preserve">in addition to case management services provided to </w:t>
      </w:r>
      <w:r w:rsidR="00FB0B10" w:rsidRPr="00A77F60">
        <w:rPr>
          <w:rFonts w:cstheme="minorHAnsi"/>
          <w:lang w:val="en-MY" w:eastAsia="en-AU"/>
        </w:rPr>
        <w:t>youth in statutory care who have entered the youth justice system</w:t>
      </w:r>
      <w:r w:rsidRPr="00A77F60">
        <w:rPr>
          <w:rFonts w:cstheme="minorHAnsi"/>
          <w:lang w:val="en-MY" w:eastAsia="en-AU"/>
        </w:rPr>
        <w:t>.</w:t>
      </w:r>
      <w:r w:rsidRPr="006844A8">
        <w:rPr>
          <w:rFonts w:cstheme="minorHAnsi"/>
          <w:vertAlign w:val="superscript"/>
          <w:lang w:eastAsia="en-AU"/>
        </w:rPr>
        <w:footnoteReference w:id="84"/>
      </w:r>
      <w:r w:rsidRPr="00A77F60">
        <w:rPr>
          <w:rFonts w:cstheme="minorHAnsi"/>
          <w:lang w:val="en-MY" w:eastAsia="en-AU"/>
        </w:rPr>
        <w:t xml:space="preserve"> As with the adult program, </w:t>
      </w:r>
      <w:r w:rsidR="00FB0B10" w:rsidRPr="00A77F60">
        <w:rPr>
          <w:rFonts w:cstheme="minorHAnsi"/>
          <w:lang w:val="en-MY" w:eastAsia="en-AU"/>
        </w:rPr>
        <w:t xml:space="preserve">however, </w:t>
      </w:r>
      <w:r w:rsidRPr="00A77F60">
        <w:rPr>
          <w:rFonts w:cstheme="minorHAnsi"/>
          <w:lang w:val="en-MY" w:eastAsia="en-AU"/>
        </w:rPr>
        <w:t xml:space="preserve">none of the </w:t>
      </w:r>
      <w:r w:rsidR="0035342A" w:rsidRPr="00A77F60">
        <w:rPr>
          <w:rFonts w:cstheme="minorHAnsi"/>
          <w:lang w:val="en-MY" w:eastAsia="en-AU"/>
        </w:rPr>
        <w:t>YTC</w:t>
      </w:r>
      <w:r w:rsidRPr="00A77F60">
        <w:rPr>
          <w:rFonts w:cstheme="minorHAnsi"/>
          <w:lang w:val="en-MY" w:eastAsia="en-AU"/>
        </w:rPr>
        <w:t xml:space="preserve"> providers believed there was any truly comparable service operating in their geographic area</w:t>
      </w:r>
      <w:r w:rsidR="005F4EBD">
        <w:rPr>
          <w:rFonts w:cstheme="minorHAnsi"/>
          <w:lang w:val="en-MY" w:eastAsia="en-AU"/>
        </w:rPr>
        <w:t>.</w:t>
      </w:r>
    </w:p>
    <w:p w14:paraId="13E2672C" w14:textId="1887A750" w:rsidR="00123BF2" w:rsidRPr="00124E6C" w:rsidRDefault="00421CD3" w:rsidP="00B77817">
      <w:pPr>
        <w:pStyle w:val="Heading2"/>
        <w:numPr>
          <w:ilvl w:val="0"/>
          <w:numId w:val="33"/>
        </w:numPr>
        <w:rPr>
          <w:rFonts w:cstheme="minorHAnsi"/>
          <w:lang w:val="en-MY" w:eastAsia="en-AU"/>
        </w:rPr>
      </w:pPr>
      <w:bookmarkStart w:id="29" w:name="_Toc150784203"/>
      <w:r w:rsidRPr="00124E6C">
        <w:rPr>
          <w:rFonts w:cstheme="minorHAnsi"/>
          <w:lang w:val="en-MY" w:eastAsia="en-AU"/>
        </w:rPr>
        <w:t>Quality of Delivery</w:t>
      </w:r>
      <w:bookmarkEnd w:id="29"/>
      <w:r w:rsidR="00CA09EB" w:rsidRPr="00124E6C">
        <w:rPr>
          <w:rFonts w:cstheme="minorHAnsi"/>
          <w:lang w:val="en-MY" w:eastAsia="en-AU"/>
        </w:rPr>
        <w:t xml:space="preserve"> </w:t>
      </w:r>
    </w:p>
    <w:p w14:paraId="1FB29881" w14:textId="02F595E5" w:rsidR="00A63DBC" w:rsidRPr="005842C9" w:rsidRDefault="00421CD3" w:rsidP="005842C9">
      <w:pPr>
        <w:rPr>
          <w:rFonts w:cstheme="minorHAnsi"/>
          <w:i/>
          <w:iCs/>
          <w:color w:val="4F81BD" w:themeColor="accent1"/>
          <w:lang w:val="en-MY" w:eastAsia="en-AU"/>
        </w:rPr>
      </w:pPr>
      <w:r w:rsidRPr="00124E6C">
        <w:rPr>
          <w:rFonts w:cstheme="minorHAnsi"/>
          <w:i/>
          <w:iCs/>
          <w:color w:val="4F81BD" w:themeColor="accent1"/>
          <w:lang w:val="en-MY" w:eastAsia="en-AU"/>
        </w:rPr>
        <w:t xml:space="preserve">How well are the ATC and YTC models being delivered? What is working well/less well for service providers/sites and why? What are the enablers/barriers to the effective delivery of the ATC and YTC models? What gaps or opportunities could be addressed to improve service delivery and achieve program outcomes? </w:t>
      </w:r>
    </w:p>
    <w:p w14:paraId="0420FC48" w14:textId="77777777" w:rsidR="005842C9" w:rsidRDefault="00DB7526" w:rsidP="005842C9">
      <w:pPr>
        <w:pStyle w:val="SUBHEAD2"/>
        <w:rPr>
          <w:rFonts w:asciiTheme="minorHAnsi" w:hAnsiTheme="minorHAnsi" w:cstheme="minorHAnsi"/>
          <w:lang w:val="en-MY" w:eastAsia="en-AU"/>
        </w:rPr>
      </w:pPr>
      <w:r w:rsidRPr="005842C9">
        <w:rPr>
          <w:rFonts w:asciiTheme="minorHAnsi" w:hAnsiTheme="minorHAnsi" w:cstheme="minorHAnsi"/>
          <w:lang w:val="en-MY" w:eastAsia="en-AU"/>
        </w:rPr>
        <w:t xml:space="preserve">Whether Core Service Model </w:t>
      </w:r>
      <w:r w:rsidR="00C203F1" w:rsidRPr="005842C9">
        <w:rPr>
          <w:rFonts w:asciiTheme="minorHAnsi" w:hAnsiTheme="minorHAnsi" w:cstheme="minorHAnsi"/>
          <w:lang w:val="en-MY" w:eastAsia="en-AU"/>
        </w:rPr>
        <w:t>Elements</w:t>
      </w:r>
      <w:r w:rsidR="00CD7E78" w:rsidRPr="005842C9">
        <w:rPr>
          <w:rFonts w:asciiTheme="minorHAnsi" w:hAnsiTheme="minorHAnsi" w:cstheme="minorHAnsi"/>
          <w:lang w:val="en-MY" w:eastAsia="en-AU"/>
        </w:rPr>
        <w:t xml:space="preserve"> </w:t>
      </w:r>
      <w:r w:rsidRPr="005842C9">
        <w:rPr>
          <w:rFonts w:asciiTheme="minorHAnsi" w:hAnsiTheme="minorHAnsi" w:cstheme="minorHAnsi"/>
          <w:lang w:val="en-MY" w:eastAsia="en-AU"/>
        </w:rPr>
        <w:t>are Effectively Delivered</w:t>
      </w:r>
    </w:p>
    <w:p w14:paraId="7853084A" w14:textId="522F857D" w:rsidR="00A45117" w:rsidRPr="005842C9" w:rsidDel="00A45117" w:rsidRDefault="00A45117" w:rsidP="00C241C1">
      <w:pPr>
        <w:spacing w:before="120" w:after="120"/>
        <w:jc w:val="both"/>
        <w:rPr>
          <w:lang w:val="en-MY" w:eastAsia="en-AU"/>
        </w:rPr>
      </w:pPr>
      <w:r w:rsidRPr="005842C9">
        <w:rPr>
          <w:lang w:val="en-MY" w:eastAsia="en-AU"/>
        </w:rPr>
        <w:t xml:space="preserve">In accordance with best-practice frameworks identified in the literature, the core elements of through-care service delivery are identified to be intensive case management and client support, working with family and kin, and collaboration with secondary services. </w:t>
      </w:r>
      <w:r w:rsidR="00944BA0" w:rsidRPr="005842C9">
        <w:rPr>
          <w:lang w:val="en-MY" w:eastAsia="en-AU"/>
        </w:rPr>
        <w:t>According to</w:t>
      </w:r>
      <w:r w:rsidR="00EE1003" w:rsidRPr="005842C9">
        <w:rPr>
          <w:lang w:val="en-MY" w:eastAsia="en-AU"/>
        </w:rPr>
        <w:t xml:space="preserve"> </w:t>
      </w:r>
      <w:r w:rsidR="009B60A6" w:rsidRPr="005842C9">
        <w:rPr>
          <w:lang w:val="en-MY" w:eastAsia="en-AU"/>
        </w:rPr>
        <w:t xml:space="preserve">service providers </w:t>
      </w:r>
      <w:r w:rsidR="00944BA0" w:rsidRPr="005842C9">
        <w:rPr>
          <w:lang w:val="en-MY" w:eastAsia="en-AU"/>
        </w:rPr>
        <w:t xml:space="preserve">and </w:t>
      </w:r>
      <w:r w:rsidR="009B60A6" w:rsidRPr="005842C9">
        <w:rPr>
          <w:lang w:val="en-MY" w:eastAsia="en-AU"/>
        </w:rPr>
        <w:t>external agencies,</w:t>
      </w:r>
      <w:r w:rsidR="00545EB3" w:rsidRPr="005842C9">
        <w:rPr>
          <w:lang w:val="en-MY" w:eastAsia="en-AU"/>
        </w:rPr>
        <w:t xml:space="preserve"> although </w:t>
      </w:r>
      <w:r w:rsidR="00944BA0" w:rsidRPr="005842C9">
        <w:rPr>
          <w:lang w:val="en-MY" w:eastAsia="en-AU"/>
        </w:rPr>
        <w:t xml:space="preserve">service providers are </w:t>
      </w:r>
      <w:r w:rsidR="00545EB3" w:rsidRPr="005842C9">
        <w:rPr>
          <w:lang w:val="en-MY" w:eastAsia="en-AU"/>
        </w:rPr>
        <w:t>not delivering the ABT model</w:t>
      </w:r>
      <w:r w:rsidRPr="005842C9">
        <w:rPr>
          <w:lang w:val="en-MY" w:eastAsia="en-AU"/>
        </w:rPr>
        <w:t xml:space="preserve"> explicitly</w:t>
      </w:r>
      <w:r w:rsidR="00545EB3" w:rsidRPr="005842C9">
        <w:rPr>
          <w:lang w:val="en-MY" w:eastAsia="en-AU"/>
        </w:rPr>
        <w:t xml:space="preserve">, they are, overall, </w:t>
      </w:r>
      <w:r w:rsidR="00944BA0" w:rsidRPr="005842C9">
        <w:rPr>
          <w:lang w:val="en-MY" w:eastAsia="en-AU"/>
        </w:rPr>
        <w:t xml:space="preserve">delivering </w:t>
      </w:r>
      <w:r w:rsidR="00545EB3" w:rsidRPr="005842C9">
        <w:rPr>
          <w:lang w:val="en-MY" w:eastAsia="en-AU"/>
        </w:rPr>
        <w:t xml:space="preserve">similar components to its </w:t>
      </w:r>
      <w:r w:rsidR="00186D73" w:rsidRPr="005842C9">
        <w:rPr>
          <w:lang w:val="en-MY" w:eastAsia="en-AU"/>
        </w:rPr>
        <w:t>core model elements</w:t>
      </w:r>
      <w:r w:rsidR="00545EB3" w:rsidRPr="005842C9">
        <w:rPr>
          <w:lang w:val="en-MY" w:eastAsia="en-AU"/>
        </w:rPr>
        <w:t>, but in various ways according to unique local circumstances. While aspects of this localised delivery are found to be effective,</w:t>
      </w:r>
      <w:r w:rsidRPr="005842C9">
        <w:rPr>
          <w:lang w:val="en-MY" w:eastAsia="en-AU"/>
        </w:rPr>
        <w:t xml:space="preserve"> </w:t>
      </w:r>
      <w:r w:rsidR="00545EB3" w:rsidRPr="005842C9">
        <w:rPr>
          <w:lang w:val="en-MY" w:eastAsia="en-AU"/>
        </w:rPr>
        <w:t xml:space="preserve">service providers nevertheless </w:t>
      </w:r>
      <w:r w:rsidR="009B60A6" w:rsidRPr="005842C9">
        <w:rPr>
          <w:lang w:val="en-MY" w:eastAsia="en-AU"/>
        </w:rPr>
        <w:t xml:space="preserve">continue to experience a range of environmental, organisational and operational challenges that </w:t>
      </w:r>
      <w:r w:rsidR="009D583B" w:rsidRPr="005842C9">
        <w:rPr>
          <w:lang w:val="en-MY" w:eastAsia="en-AU"/>
        </w:rPr>
        <w:t xml:space="preserve">hinder </w:t>
      </w:r>
      <w:r w:rsidR="00545EB3" w:rsidRPr="005842C9">
        <w:rPr>
          <w:lang w:val="en-MY" w:eastAsia="en-AU"/>
        </w:rPr>
        <w:t xml:space="preserve">further </w:t>
      </w:r>
      <w:r w:rsidR="009B60A6" w:rsidRPr="005842C9">
        <w:rPr>
          <w:lang w:val="en-MY" w:eastAsia="en-AU"/>
        </w:rPr>
        <w:t xml:space="preserve">improvement. </w:t>
      </w:r>
      <w:r w:rsidR="009D583B" w:rsidRPr="005842C9">
        <w:rPr>
          <w:lang w:val="en-MY" w:eastAsia="en-AU"/>
        </w:rPr>
        <w:t>Based on evidence</w:t>
      </w:r>
      <w:r w:rsidRPr="005842C9">
        <w:rPr>
          <w:lang w:val="en-MY" w:eastAsia="en-AU"/>
        </w:rPr>
        <w:t xml:space="preserve"> from stakeholder interviews, survey results and desk-top analysis</w:t>
      </w:r>
      <w:r w:rsidR="009D583B" w:rsidRPr="005842C9">
        <w:rPr>
          <w:lang w:val="en-MY" w:eastAsia="en-AU"/>
        </w:rPr>
        <w:t>, the delivery of through-care services is found to be inconsistent, with l</w:t>
      </w:r>
      <w:r w:rsidR="009B60A6" w:rsidRPr="005842C9">
        <w:rPr>
          <w:lang w:val="en-MY" w:eastAsia="en-AU"/>
        </w:rPr>
        <w:t xml:space="preserve">arge </w:t>
      </w:r>
      <w:r w:rsidR="00944BA0" w:rsidRPr="005842C9">
        <w:rPr>
          <w:lang w:val="en-MY" w:eastAsia="en-AU"/>
        </w:rPr>
        <w:t>variance</w:t>
      </w:r>
      <w:r w:rsidR="009B60A6" w:rsidRPr="005842C9">
        <w:rPr>
          <w:lang w:val="en-MY" w:eastAsia="en-AU"/>
        </w:rPr>
        <w:t>s</w:t>
      </w:r>
      <w:r w:rsidR="00944BA0" w:rsidRPr="005842C9">
        <w:rPr>
          <w:lang w:val="en-MY" w:eastAsia="en-AU"/>
        </w:rPr>
        <w:t xml:space="preserve"> </w:t>
      </w:r>
      <w:r w:rsidR="009B60A6" w:rsidRPr="005842C9">
        <w:rPr>
          <w:lang w:val="en-MY" w:eastAsia="en-AU"/>
        </w:rPr>
        <w:t>in the quality of service delivery reported within and between services</w:t>
      </w:r>
      <w:r w:rsidR="00944BA0" w:rsidRPr="005842C9">
        <w:rPr>
          <w:lang w:val="en-MY" w:eastAsia="en-AU"/>
        </w:rPr>
        <w:t>.</w:t>
      </w:r>
      <w:r w:rsidR="006E16F1">
        <w:rPr>
          <w:lang w:val="en-MY" w:eastAsia="en-AU"/>
        </w:rPr>
        <w:t xml:space="preserve"> </w:t>
      </w:r>
    </w:p>
    <w:p w14:paraId="4CAA196E" w14:textId="56E93BDB" w:rsidR="006E16F1" w:rsidRDefault="00CE1684" w:rsidP="00F72521">
      <w:pPr>
        <w:jc w:val="both"/>
        <w:rPr>
          <w:rFonts w:cstheme="minorHAnsi"/>
          <w:lang w:val="en-MY" w:eastAsia="en-AU"/>
        </w:rPr>
      </w:pPr>
      <w:r>
        <w:rPr>
          <w:rFonts w:cstheme="minorHAnsi"/>
          <w:lang w:val="en-MY" w:eastAsia="en-AU"/>
        </w:rPr>
        <w:t>Since issues around collaboration and the coordination of client support are discussed elsewhere in this chapter, this section will focus on the core model elements of intensive case management and working with family.</w:t>
      </w:r>
    </w:p>
    <w:p w14:paraId="3AF0149B" w14:textId="77777777" w:rsidR="006E16F1" w:rsidRDefault="006E16F1" w:rsidP="00F72521">
      <w:pPr>
        <w:jc w:val="both"/>
        <w:rPr>
          <w:rFonts w:cstheme="minorHAnsi"/>
          <w:lang w:val="en-MY" w:eastAsia="en-AU"/>
        </w:rPr>
      </w:pPr>
    </w:p>
    <w:p w14:paraId="6230F48F" w14:textId="03EE2896" w:rsidR="00B0392C" w:rsidRPr="005842C9" w:rsidRDefault="00B0392C" w:rsidP="00C55C6D">
      <w:pPr>
        <w:pStyle w:val="Caption"/>
        <w:rPr>
          <w:color w:val="4F81BD" w:themeColor="accent1"/>
          <w:sz w:val="22"/>
          <w:szCs w:val="22"/>
          <w:lang w:val="en-MY" w:eastAsia="en-AU"/>
        </w:rPr>
      </w:pPr>
      <w:r w:rsidRPr="005842C9">
        <w:rPr>
          <w:color w:val="4F81BD" w:themeColor="accent1"/>
          <w:sz w:val="22"/>
          <w:szCs w:val="22"/>
          <w:lang w:val="en-MY" w:eastAsia="en-AU"/>
        </w:rPr>
        <w:t>Intensive Case Management and Client Support</w:t>
      </w:r>
    </w:p>
    <w:p w14:paraId="3E81A4C1" w14:textId="5DBD01A6" w:rsidR="00C55C6D" w:rsidRDefault="006E16F1" w:rsidP="00A45117">
      <w:pPr>
        <w:jc w:val="both"/>
        <w:rPr>
          <w:rFonts w:cstheme="minorHAnsi"/>
          <w:lang w:val="en-MY" w:eastAsia="en-AU"/>
        </w:rPr>
      </w:pPr>
      <w:r>
        <w:rPr>
          <w:rFonts w:cstheme="minorHAnsi"/>
          <w:lang w:val="en-MY" w:eastAsia="en-AU"/>
        </w:rPr>
        <w:t>With respect to case management and client support, c</w:t>
      </w:r>
      <w:r w:rsidR="00F72521" w:rsidRPr="00A63DBC">
        <w:rPr>
          <w:rFonts w:cstheme="minorHAnsi"/>
          <w:lang w:val="en-MY" w:eastAsia="en-AU"/>
        </w:rPr>
        <w:t>lients provided numerous examples of when they felt their case worker had gone “above and beyond” to assist them</w:t>
      </w:r>
      <w:r w:rsidR="0023605D">
        <w:rPr>
          <w:rFonts w:cstheme="minorHAnsi"/>
          <w:lang w:val="en-MY" w:eastAsia="en-AU"/>
        </w:rPr>
        <w:t>, for example</w:t>
      </w:r>
      <w:r w:rsidR="00103165">
        <w:rPr>
          <w:rFonts w:cstheme="minorHAnsi"/>
          <w:lang w:val="en-MY" w:eastAsia="en-AU"/>
        </w:rPr>
        <w:t>,</w:t>
      </w:r>
      <w:r w:rsidR="0023605D">
        <w:rPr>
          <w:rFonts w:cstheme="minorHAnsi"/>
          <w:lang w:val="en-MY" w:eastAsia="en-AU"/>
        </w:rPr>
        <w:t xml:space="preserve"> by helping them through </w:t>
      </w:r>
      <w:r w:rsidR="00103165">
        <w:rPr>
          <w:rFonts w:cstheme="minorHAnsi"/>
          <w:lang w:val="en-MY" w:eastAsia="en-AU"/>
        </w:rPr>
        <w:t xml:space="preserve">a </w:t>
      </w:r>
      <w:r w:rsidR="007F4BB8">
        <w:rPr>
          <w:rFonts w:cstheme="minorHAnsi"/>
          <w:lang w:val="en-MY" w:eastAsia="en-AU"/>
        </w:rPr>
        <w:t xml:space="preserve">personal </w:t>
      </w:r>
      <w:r w:rsidR="0023605D">
        <w:rPr>
          <w:rFonts w:cstheme="minorHAnsi"/>
          <w:lang w:val="en-MY" w:eastAsia="en-AU"/>
        </w:rPr>
        <w:t>crisis</w:t>
      </w:r>
      <w:r w:rsidR="00103165">
        <w:rPr>
          <w:rFonts w:cstheme="minorHAnsi"/>
          <w:lang w:val="en-MY" w:eastAsia="en-AU"/>
        </w:rPr>
        <w:t xml:space="preserve">, or by ensuring their immediate needs </w:t>
      </w:r>
      <w:r w:rsidR="007F4BB8">
        <w:rPr>
          <w:rFonts w:cstheme="minorHAnsi"/>
          <w:lang w:val="en-MY" w:eastAsia="en-AU"/>
        </w:rPr>
        <w:t xml:space="preserve">for </w:t>
      </w:r>
      <w:r w:rsidR="00103165">
        <w:rPr>
          <w:rFonts w:cstheme="minorHAnsi"/>
          <w:lang w:val="en-MY" w:eastAsia="en-AU"/>
        </w:rPr>
        <w:t>clothing</w:t>
      </w:r>
      <w:r w:rsidR="007F4BB8">
        <w:rPr>
          <w:rFonts w:cstheme="minorHAnsi"/>
          <w:lang w:val="en-MY" w:eastAsia="en-AU"/>
        </w:rPr>
        <w:t xml:space="preserve"> </w:t>
      </w:r>
      <w:r w:rsidR="00103165">
        <w:rPr>
          <w:rFonts w:cstheme="minorHAnsi"/>
          <w:lang w:val="en-MY" w:eastAsia="en-AU"/>
        </w:rPr>
        <w:t>or accommodation</w:t>
      </w:r>
      <w:r w:rsidR="007F4BB8">
        <w:rPr>
          <w:rFonts w:cstheme="minorHAnsi"/>
          <w:lang w:val="en-MY" w:eastAsia="en-AU"/>
        </w:rPr>
        <w:t xml:space="preserve"> </w:t>
      </w:r>
      <w:r w:rsidR="00103165">
        <w:rPr>
          <w:rFonts w:cstheme="minorHAnsi"/>
          <w:lang w:val="en-MY" w:eastAsia="en-AU"/>
        </w:rPr>
        <w:t>were being met</w:t>
      </w:r>
      <w:r>
        <w:rPr>
          <w:rFonts w:cstheme="minorHAnsi"/>
          <w:lang w:val="en-MY" w:eastAsia="en-AU"/>
        </w:rPr>
        <w:t xml:space="preserve">. </w:t>
      </w:r>
      <w:r w:rsidR="00103165">
        <w:rPr>
          <w:rFonts w:cstheme="minorHAnsi"/>
          <w:lang w:val="en-MY" w:eastAsia="en-AU"/>
        </w:rPr>
        <w:t>This was often reported to in</w:t>
      </w:r>
      <w:r w:rsidR="007F4BB8">
        <w:rPr>
          <w:rFonts w:cstheme="minorHAnsi"/>
          <w:lang w:val="en-MY" w:eastAsia="en-AU"/>
        </w:rPr>
        <w:t xml:space="preserve">volve </w:t>
      </w:r>
      <w:r w:rsidR="00103165">
        <w:rPr>
          <w:rFonts w:cstheme="minorHAnsi"/>
          <w:lang w:val="en-MY" w:eastAsia="en-AU"/>
        </w:rPr>
        <w:t>case</w:t>
      </w:r>
      <w:r w:rsidR="00694565">
        <w:rPr>
          <w:rFonts w:cstheme="minorHAnsi"/>
          <w:lang w:val="en-MY" w:eastAsia="en-AU"/>
        </w:rPr>
        <w:t xml:space="preserve"> </w:t>
      </w:r>
      <w:r w:rsidR="00103165">
        <w:rPr>
          <w:rFonts w:cstheme="minorHAnsi"/>
          <w:lang w:val="en-MY" w:eastAsia="en-AU"/>
        </w:rPr>
        <w:t>workers meeting or transporting clients after normal business hours, or using their own money (not brokerage) to buy a client and their dependents food. A story was also reported by</w:t>
      </w:r>
      <w:r w:rsidR="007F4BB8">
        <w:rPr>
          <w:rFonts w:cstheme="minorHAnsi"/>
          <w:lang w:val="en-MY" w:eastAsia="en-AU"/>
        </w:rPr>
        <w:t xml:space="preserve"> a </w:t>
      </w:r>
      <w:r w:rsidR="00103165">
        <w:rPr>
          <w:rFonts w:cstheme="minorHAnsi"/>
          <w:lang w:val="en-MY" w:eastAsia="en-AU"/>
        </w:rPr>
        <w:t>client</w:t>
      </w:r>
      <w:r w:rsidR="007F4BB8">
        <w:rPr>
          <w:rFonts w:cstheme="minorHAnsi"/>
          <w:lang w:val="en-MY" w:eastAsia="en-AU"/>
        </w:rPr>
        <w:t xml:space="preserve"> </w:t>
      </w:r>
      <w:r w:rsidR="00103165">
        <w:rPr>
          <w:rFonts w:cstheme="minorHAnsi"/>
          <w:lang w:val="en-MY" w:eastAsia="en-AU"/>
        </w:rPr>
        <w:t>whereby</w:t>
      </w:r>
      <w:r w:rsidR="007F4BB8">
        <w:rPr>
          <w:rFonts w:cstheme="minorHAnsi"/>
          <w:lang w:val="en-MY" w:eastAsia="en-AU"/>
        </w:rPr>
        <w:t>,</w:t>
      </w:r>
      <w:r w:rsidR="00103165">
        <w:rPr>
          <w:rFonts w:cstheme="minorHAnsi"/>
          <w:lang w:val="en-MY" w:eastAsia="en-AU"/>
        </w:rPr>
        <w:t xml:space="preserve"> </w:t>
      </w:r>
      <w:r w:rsidR="007F4BB8">
        <w:rPr>
          <w:rFonts w:cstheme="minorHAnsi"/>
          <w:lang w:val="en-MY" w:eastAsia="en-AU"/>
        </w:rPr>
        <w:t xml:space="preserve">at a time </w:t>
      </w:r>
      <w:r w:rsidR="00103165">
        <w:rPr>
          <w:rFonts w:cstheme="minorHAnsi"/>
          <w:lang w:val="en-MY" w:eastAsia="en-AU"/>
        </w:rPr>
        <w:t xml:space="preserve">they had been </w:t>
      </w:r>
      <w:r w:rsidR="007F4BB8">
        <w:rPr>
          <w:rFonts w:cstheme="minorHAnsi"/>
          <w:lang w:val="en-MY" w:eastAsia="en-AU"/>
        </w:rPr>
        <w:t>prone to drug and alcohol relapse and felt vulnerable to suicidal thoughts, they would regularly call their case</w:t>
      </w:r>
      <w:r w:rsidR="00694565">
        <w:rPr>
          <w:rFonts w:cstheme="minorHAnsi"/>
          <w:lang w:val="en-MY" w:eastAsia="en-AU"/>
        </w:rPr>
        <w:t xml:space="preserve"> </w:t>
      </w:r>
      <w:r w:rsidR="007F4BB8">
        <w:rPr>
          <w:rFonts w:cstheme="minorHAnsi"/>
          <w:lang w:val="en-MY" w:eastAsia="en-AU"/>
        </w:rPr>
        <w:t xml:space="preserve">worker for emotional support, in preference to calling their counsellor, who they felt was less approachable and otherwise required an appointment. </w:t>
      </w:r>
    </w:p>
    <w:p w14:paraId="4F381CD1" w14:textId="77777777" w:rsidR="00C55C6D" w:rsidRDefault="00C55C6D" w:rsidP="00A45117">
      <w:pPr>
        <w:jc w:val="both"/>
        <w:rPr>
          <w:rFonts w:cstheme="minorHAnsi"/>
          <w:lang w:val="en-MY" w:eastAsia="en-AU"/>
        </w:rPr>
      </w:pPr>
    </w:p>
    <w:p w14:paraId="0834185E" w14:textId="0E9A443A" w:rsidR="00A45117" w:rsidRDefault="006E16F1" w:rsidP="00A45117">
      <w:pPr>
        <w:jc w:val="both"/>
        <w:rPr>
          <w:rFonts w:cstheme="minorHAnsi"/>
          <w:lang w:val="en-MY" w:eastAsia="en-AU"/>
        </w:rPr>
      </w:pPr>
      <w:r>
        <w:rPr>
          <w:rFonts w:cstheme="minorHAnsi"/>
          <w:lang w:val="en-MY" w:eastAsia="en-AU"/>
        </w:rPr>
        <w:t>C</w:t>
      </w:r>
      <w:r w:rsidR="00F72521" w:rsidRPr="00A63DBC">
        <w:rPr>
          <w:rFonts w:cstheme="minorHAnsi"/>
          <w:lang w:val="en-MY" w:eastAsia="en-AU"/>
        </w:rPr>
        <w:t xml:space="preserve">ase workers said that they frequently provided a level of support that, although crucial for the client, was acknowledged </w:t>
      </w:r>
      <w:r w:rsidR="000A2048">
        <w:rPr>
          <w:rFonts w:cstheme="minorHAnsi"/>
          <w:lang w:val="en-MY" w:eastAsia="en-AU"/>
        </w:rPr>
        <w:t xml:space="preserve">as </w:t>
      </w:r>
      <w:r w:rsidR="00F72521" w:rsidRPr="00A63DBC">
        <w:rPr>
          <w:rFonts w:cstheme="minorHAnsi"/>
          <w:lang w:val="en-MY" w:eastAsia="en-AU"/>
        </w:rPr>
        <w:t>not necessarily within the scope of the program</w:t>
      </w:r>
      <w:r>
        <w:rPr>
          <w:rFonts w:cstheme="minorHAnsi"/>
          <w:lang w:val="en-MY" w:eastAsia="en-AU"/>
        </w:rPr>
        <w:t>, or something that</w:t>
      </w:r>
      <w:r w:rsidR="000A2048">
        <w:rPr>
          <w:rFonts w:cstheme="minorHAnsi"/>
          <w:lang w:val="en-MY" w:eastAsia="en-AU"/>
        </w:rPr>
        <w:t xml:space="preserve"> can</w:t>
      </w:r>
      <w:r>
        <w:rPr>
          <w:rFonts w:cstheme="minorHAnsi"/>
          <w:lang w:val="en-MY" w:eastAsia="en-AU"/>
        </w:rPr>
        <w:t xml:space="preserve"> </w:t>
      </w:r>
      <w:r w:rsidR="000A2048">
        <w:rPr>
          <w:rFonts w:cstheme="minorHAnsi"/>
          <w:lang w:val="en-MY" w:eastAsia="en-AU"/>
        </w:rPr>
        <w:t xml:space="preserve">be </w:t>
      </w:r>
      <w:r>
        <w:rPr>
          <w:rFonts w:cstheme="minorHAnsi"/>
          <w:lang w:val="en-MY" w:eastAsia="en-AU"/>
        </w:rPr>
        <w:t>readily measured</w:t>
      </w:r>
      <w:r w:rsidR="007F4BB8">
        <w:rPr>
          <w:rFonts w:cstheme="minorHAnsi"/>
          <w:lang w:val="en-MY" w:eastAsia="en-AU"/>
        </w:rPr>
        <w:t xml:space="preserve"> in reporting systems</w:t>
      </w:r>
      <w:r w:rsidR="00F72521" w:rsidRPr="00A63DBC">
        <w:rPr>
          <w:rFonts w:cstheme="minorHAnsi"/>
          <w:lang w:val="en-MY" w:eastAsia="en-AU"/>
        </w:rPr>
        <w:t>. Numerous examples were provided, from travelling large distances for a client to visit with their elderly mother, to getting a hair-cut and new clothes for a job, or to taking calls from an anxious parent late at night after curfew. Given the need for flexibility and the emphasis most case workers place on responding to a client’s perceived needs, only in some cases was the normal or prescribed pattern of support identified.</w:t>
      </w:r>
      <w:r w:rsidR="00A45117">
        <w:rPr>
          <w:rFonts w:cstheme="minorHAnsi"/>
          <w:lang w:val="en-MY" w:eastAsia="en-AU"/>
        </w:rPr>
        <w:t xml:space="preserve"> </w:t>
      </w:r>
      <w:r w:rsidR="00A45117" w:rsidRPr="004650AE">
        <w:rPr>
          <w:rFonts w:cstheme="minorHAnsi"/>
          <w:lang w:val="en-MY" w:eastAsia="en-AU"/>
        </w:rPr>
        <w:t>Although limited to 29 responses, service partners responding to the online survey considered through</w:t>
      </w:r>
      <w:r w:rsidR="00A45117">
        <w:rPr>
          <w:rFonts w:cstheme="minorHAnsi"/>
          <w:lang w:val="en-MY" w:eastAsia="en-AU"/>
        </w:rPr>
        <w:t>-</w:t>
      </w:r>
      <w:r w:rsidR="00A45117" w:rsidRPr="004650AE">
        <w:rPr>
          <w:rFonts w:cstheme="minorHAnsi"/>
          <w:lang w:val="en-MY" w:eastAsia="en-AU"/>
        </w:rPr>
        <w:t xml:space="preserve">care services to be largely effective, with 79 percent of respondents identifying services as ‘always’ or ‘usually’ supporting clients to achieve their case plan goals, and </w:t>
      </w:r>
      <w:r w:rsidR="00A45117">
        <w:rPr>
          <w:rFonts w:cstheme="minorHAnsi"/>
          <w:lang w:val="en-MY" w:eastAsia="en-AU"/>
        </w:rPr>
        <w:t>only 3</w:t>
      </w:r>
      <w:r w:rsidR="00A45117" w:rsidRPr="004650AE">
        <w:rPr>
          <w:rFonts w:cstheme="minorHAnsi"/>
          <w:lang w:val="en-MY" w:eastAsia="en-AU"/>
        </w:rPr>
        <w:t xml:space="preserve"> percent identifying this attribute as ‘rarely’ or ‘never’ achieved.</w:t>
      </w:r>
    </w:p>
    <w:p w14:paraId="0FFB807A" w14:textId="77777777" w:rsidR="00A45117" w:rsidRDefault="00A45117" w:rsidP="00F72521">
      <w:pPr>
        <w:jc w:val="both"/>
        <w:rPr>
          <w:rFonts w:cstheme="minorHAnsi"/>
          <w:lang w:val="en-MY" w:eastAsia="en-AU"/>
        </w:rPr>
      </w:pPr>
    </w:p>
    <w:p w14:paraId="63E34EF5" w14:textId="5339EBC1" w:rsidR="00722090" w:rsidRDefault="00F72521" w:rsidP="00F72521">
      <w:pPr>
        <w:jc w:val="both"/>
        <w:rPr>
          <w:rFonts w:cstheme="minorHAnsi"/>
          <w:lang w:val="en-MY" w:eastAsia="en-AU"/>
        </w:rPr>
      </w:pPr>
      <w:r w:rsidRPr="00A63DBC">
        <w:rPr>
          <w:rFonts w:cstheme="minorHAnsi"/>
          <w:lang w:val="en-MY" w:eastAsia="en-AU"/>
        </w:rPr>
        <w:t>Services with the option to engage with clients pre-release felt this was invaluably important, given this provides an opportunity for structured engagement at a time when the client is more open to receiving support</w:t>
      </w:r>
      <w:r w:rsidR="006E16F1">
        <w:rPr>
          <w:rFonts w:cstheme="minorHAnsi"/>
          <w:lang w:val="en-MY" w:eastAsia="en-AU"/>
        </w:rPr>
        <w:t xml:space="preserve"> and less likely to become disengaged by distractions</w:t>
      </w:r>
      <w:r w:rsidRPr="00A63DBC">
        <w:rPr>
          <w:rFonts w:cstheme="minorHAnsi"/>
          <w:lang w:val="en-MY" w:eastAsia="en-AU"/>
        </w:rPr>
        <w:t xml:space="preserve">. </w:t>
      </w:r>
      <w:r w:rsidR="006E16F1">
        <w:rPr>
          <w:rFonts w:cstheme="minorHAnsi"/>
          <w:lang w:val="en-MY" w:eastAsia="en-AU"/>
        </w:rPr>
        <w:t>Early pre-release engagement was considered important by those case</w:t>
      </w:r>
      <w:r w:rsidR="00694565">
        <w:rPr>
          <w:rFonts w:cstheme="minorHAnsi"/>
          <w:lang w:val="en-MY" w:eastAsia="en-AU"/>
        </w:rPr>
        <w:t xml:space="preserve"> </w:t>
      </w:r>
      <w:r w:rsidR="006E16F1">
        <w:rPr>
          <w:rFonts w:cstheme="minorHAnsi"/>
          <w:lang w:val="en-MY" w:eastAsia="en-AU"/>
        </w:rPr>
        <w:t xml:space="preserve">workers able to achieve this, on the basis that it helped the client understand the benefits of the service, help build trust </w:t>
      </w:r>
      <w:r w:rsidR="006E16F1" w:rsidRPr="00A63DBC">
        <w:rPr>
          <w:rFonts w:cstheme="minorHAnsi"/>
          <w:lang w:val="en-MY" w:eastAsia="en-AU"/>
        </w:rPr>
        <w:t>and overcome hesitations about using the service.</w:t>
      </w:r>
      <w:r w:rsidR="006E16F1">
        <w:rPr>
          <w:rFonts w:cstheme="minorHAnsi"/>
          <w:lang w:val="en-MY" w:eastAsia="en-AU"/>
        </w:rPr>
        <w:t xml:space="preserve"> </w:t>
      </w:r>
      <w:r w:rsidRPr="00A63DBC">
        <w:rPr>
          <w:rFonts w:cstheme="minorHAnsi"/>
          <w:lang w:val="en-MY" w:eastAsia="en-AU"/>
        </w:rPr>
        <w:t xml:space="preserve">For some services, the preference of case workers is that this process commence early, up to </w:t>
      </w:r>
      <w:r w:rsidR="00964A6A">
        <w:rPr>
          <w:rFonts w:cstheme="minorHAnsi"/>
          <w:lang w:val="en-MY" w:eastAsia="en-AU"/>
        </w:rPr>
        <w:t xml:space="preserve">6 </w:t>
      </w:r>
      <w:r w:rsidRPr="00A63DBC">
        <w:rPr>
          <w:rFonts w:cstheme="minorHAnsi"/>
          <w:lang w:val="en-MY" w:eastAsia="en-AU"/>
        </w:rPr>
        <w:t>months prior to release, so that the client is as emotionally and practically ready for reintegration as possible upon release. Services with shorter or no period of pre-release, have lacked this opportunity and have risked losing clients from the service at the early stages post-release.</w:t>
      </w:r>
      <w:r w:rsidR="00997540">
        <w:rPr>
          <w:rFonts w:cstheme="minorHAnsi"/>
          <w:lang w:val="en-MY" w:eastAsia="en-AU"/>
        </w:rPr>
        <w:t xml:space="preserve"> The case study below evidences the benefit for some clients of early pre-release support from their through-care provider.</w:t>
      </w:r>
    </w:p>
    <w:p w14:paraId="5F37EA6E" w14:textId="2FAA29E8" w:rsidR="00722090" w:rsidRDefault="00852282" w:rsidP="00F72521">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1" behindDoc="0" locked="0" layoutInCell="1" allowOverlap="1" wp14:anchorId="65F5A1EB" wp14:editId="1BF5ECAF">
                <wp:simplePos x="0" y="0"/>
                <wp:positionH relativeFrom="column">
                  <wp:posOffset>0</wp:posOffset>
                </wp:positionH>
                <wp:positionV relativeFrom="paragraph">
                  <wp:posOffset>134669</wp:posOffset>
                </wp:positionV>
                <wp:extent cx="5709920" cy="1477010"/>
                <wp:effectExtent l="12700" t="12700" r="17780" b="19050"/>
                <wp:wrapNone/>
                <wp:docPr id="1874435652" name="TextBox 5"/>
                <wp:cNvGraphicFramePr/>
                <a:graphic xmlns:a="http://schemas.openxmlformats.org/drawingml/2006/main">
                  <a:graphicData uri="http://schemas.microsoft.com/office/word/2010/wordprocessingShape">
                    <wps:wsp>
                      <wps:cNvSpPr txBox="1"/>
                      <wps:spPr>
                        <a:xfrm>
                          <a:off x="0" y="0"/>
                          <a:ext cx="570992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2BADD22" w14:textId="338AB411" w:rsidR="009C42F3" w:rsidRPr="00A23205" w:rsidRDefault="009C42F3" w:rsidP="00905E3C">
                            <w:pPr>
                              <w:rPr>
                                <w:rFonts w:hAnsi="Calibri" w:cs="Arial"/>
                                <w:color w:val="000000" w:themeColor="text1"/>
                                <w:kern w:val="24"/>
                                <w:sz w:val="20"/>
                                <w:szCs w:val="20"/>
                              </w:rPr>
                            </w:pPr>
                            <w:r>
                              <w:rPr>
                                <w:rFonts w:hAnsi="Calibri" w:cs="Arial"/>
                                <w:color w:val="000000" w:themeColor="text1"/>
                                <w:kern w:val="24"/>
                                <w:sz w:val="20"/>
                                <w:szCs w:val="20"/>
                              </w:rPr>
                              <w:t xml:space="preserve">Denise is a young adult female who was sentenced to prison a year ago for a domestic violence offence. This was the first time she had been sentenced to an adult prison, although she had previously spent time in juvenile detention. Denise was referred to a through-care case worker by one of the prison staff she liked, who suggested she should meet with them at one of their upcoming visits. Denise wasn’t sure about the program and hadn’t heard much about it but knew from her experience as a youth that it was going to be difficult leaving the prison alone. When Denise met the case worker for the first time, she immediately felt comfortable and so when the case worker came back a week or so later, Denise was happy to accept their assistance. The case worker offered to help with accommodation from Mission Housing, because Denise </w:t>
                            </w:r>
                            <w:r w:rsidRPr="00DA5D90">
                              <w:rPr>
                                <w:rFonts w:hAnsi="Calibri" w:cs="Arial"/>
                                <w:color w:val="000000" w:themeColor="text1"/>
                                <w:kern w:val="24"/>
                                <w:sz w:val="20"/>
                                <w:szCs w:val="20"/>
                              </w:rPr>
                              <w:t>couldn</w:t>
                            </w:r>
                            <w:r>
                              <w:rPr>
                                <w:rFonts w:hAnsi="Calibri" w:cs="Arial"/>
                                <w:color w:val="000000" w:themeColor="text1"/>
                                <w:kern w:val="24"/>
                                <w:sz w:val="20"/>
                                <w:szCs w:val="20"/>
                              </w:rPr>
                              <w:t>’</w:t>
                            </w:r>
                            <w:r w:rsidRPr="00DA5D90">
                              <w:rPr>
                                <w:rFonts w:hAnsi="Calibri" w:cs="Arial"/>
                                <w:color w:val="000000" w:themeColor="text1"/>
                                <w:kern w:val="24"/>
                                <w:sz w:val="20"/>
                                <w:szCs w:val="20"/>
                              </w:rPr>
                              <w:t>t return to the same house</w:t>
                            </w:r>
                            <w:r>
                              <w:rPr>
                                <w:rFonts w:hAnsi="Calibri" w:cs="Arial"/>
                                <w:color w:val="000000" w:themeColor="text1"/>
                                <w:kern w:val="24"/>
                                <w:sz w:val="20"/>
                                <w:szCs w:val="20"/>
                              </w:rPr>
                              <w:t xml:space="preserve">. When the time came, the case worker picked Denise up from the prison and before taking her home to the unit, took her to McDonald’s for breakfast. Denise says the case worker has since always been there for her and refers to her Aunty. </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65F5A1EB" id="_x0000_s1068" type="#_x0000_t202" style="position:absolute;left:0;text-align:left;margin-left:0;margin-top:10.6pt;width:449.6pt;height:116.3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" fillcolor="white [3201]" strokecolor="#4bacc6 [3208]" strokeweight="2pt">
                <v:textbox style="mso-fit-shape-to-text:t">
                  <w:txbxContent>
                    <w:p w14:paraId="42BADD22" w14:textId="338AB411" w:rsidR="009C42F3" w:rsidRPr="00A23205" w:rsidRDefault="009C42F3" w:rsidP="00905E3C">
                      <w:pPr>
                        <w:rPr>
                          <w:rFonts w:hAnsi="Calibri" w:cs="Arial"/>
                          <w:color w:val="000000" w:themeColor="text1"/>
                          <w:kern w:val="24"/>
                          <w:sz w:val="20"/>
                          <w:szCs w:val="20"/>
                        </w:rPr>
                      </w:pPr>
                      <w:r>
                        <w:rPr>
                          <w:rFonts w:hAnsi="Calibri" w:cs="Arial"/>
                          <w:color w:val="000000" w:themeColor="text1"/>
                          <w:kern w:val="24"/>
                          <w:sz w:val="20"/>
                          <w:szCs w:val="20"/>
                        </w:rPr>
                        <w:t xml:space="preserve">Denise is a young adult female who was sentenced to prison a year ago for a domestic violence offence. This was the first time she had been sentenced to an adult prison, although she had previously spent time in juvenile detention. Denise was referred to a through-care case worker by one of the prison staff she liked, who suggested she should meet with them at one of their upcoming visits. Denise wasn’t sure about the program and hadn’t heard much about it but knew from her experience as a youth that it was going to be difficult leaving the prison alone. When Denise met the case worker for the first time, she immediately felt comfortable and so when the case worker came back a week or so later, Denise was happy to accept their assistance. The case worker offered to help with accommodation from Mission Housing, because Denise </w:t>
                      </w:r>
                      <w:r w:rsidRPr="00DA5D90">
                        <w:rPr>
                          <w:rFonts w:hAnsi="Calibri" w:cs="Arial"/>
                          <w:color w:val="000000" w:themeColor="text1"/>
                          <w:kern w:val="24"/>
                          <w:sz w:val="20"/>
                          <w:szCs w:val="20"/>
                        </w:rPr>
                        <w:t>couldn</w:t>
                      </w:r>
                      <w:r>
                        <w:rPr>
                          <w:rFonts w:hAnsi="Calibri" w:cs="Arial"/>
                          <w:color w:val="000000" w:themeColor="text1"/>
                          <w:kern w:val="24"/>
                          <w:sz w:val="20"/>
                          <w:szCs w:val="20"/>
                        </w:rPr>
                        <w:t>’</w:t>
                      </w:r>
                      <w:r w:rsidRPr="00DA5D90">
                        <w:rPr>
                          <w:rFonts w:hAnsi="Calibri" w:cs="Arial"/>
                          <w:color w:val="000000" w:themeColor="text1"/>
                          <w:kern w:val="24"/>
                          <w:sz w:val="20"/>
                          <w:szCs w:val="20"/>
                        </w:rPr>
                        <w:t>t return to the same house</w:t>
                      </w:r>
                      <w:r>
                        <w:rPr>
                          <w:rFonts w:hAnsi="Calibri" w:cs="Arial"/>
                          <w:color w:val="000000" w:themeColor="text1"/>
                          <w:kern w:val="24"/>
                          <w:sz w:val="20"/>
                          <w:szCs w:val="20"/>
                        </w:rPr>
                        <w:t xml:space="preserve">. When the time came, the case worker picked Denise up from the prison and before taking her home to the unit, took her to McDonald’s for breakfast. Denise says the case worker has since always been there for her and refers to her Aunty. </w:t>
                      </w:r>
                    </w:p>
                  </w:txbxContent>
                </v:textbox>
              </v:shape>
            </w:pict>
          </mc:Fallback>
        </mc:AlternateContent>
      </w:r>
    </w:p>
    <w:p w14:paraId="75194B97" w14:textId="30C27909" w:rsidR="00722090" w:rsidRDefault="00722090" w:rsidP="00F72521">
      <w:pPr>
        <w:jc w:val="both"/>
        <w:rPr>
          <w:rFonts w:cstheme="minorHAnsi"/>
          <w:lang w:val="en-MY" w:eastAsia="en-AU"/>
        </w:rPr>
      </w:pPr>
    </w:p>
    <w:p w14:paraId="543564C8" w14:textId="0B19E977" w:rsidR="00722090" w:rsidRDefault="00722090" w:rsidP="00F72521">
      <w:pPr>
        <w:jc w:val="both"/>
        <w:rPr>
          <w:rFonts w:cstheme="minorHAnsi"/>
          <w:lang w:val="en-MY" w:eastAsia="en-AU"/>
        </w:rPr>
      </w:pPr>
    </w:p>
    <w:p w14:paraId="78C7D13F" w14:textId="672F541E" w:rsidR="00722090" w:rsidRDefault="00722090" w:rsidP="00F72521">
      <w:pPr>
        <w:jc w:val="both"/>
        <w:rPr>
          <w:rFonts w:cstheme="minorHAnsi"/>
          <w:lang w:val="en-MY" w:eastAsia="en-AU"/>
        </w:rPr>
      </w:pPr>
    </w:p>
    <w:p w14:paraId="12D37427" w14:textId="7152CBEC" w:rsidR="00722090" w:rsidRDefault="00722090" w:rsidP="00F72521">
      <w:pPr>
        <w:jc w:val="both"/>
        <w:rPr>
          <w:rFonts w:cstheme="minorHAnsi"/>
          <w:lang w:val="en-MY" w:eastAsia="en-AU"/>
        </w:rPr>
      </w:pPr>
    </w:p>
    <w:p w14:paraId="25EB538D" w14:textId="759FD981" w:rsidR="00722090" w:rsidRDefault="00722090" w:rsidP="00F72521">
      <w:pPr>
        <w:jc w:val="both"/>
        <w:rPr>
          <w:rFonts w:cstheme="minorHAnsi"/>
          <w:lang w:val="en-MY" w:eastAsia="en-AU"/>
        </w:rPr>
      </w:pPr>
    </w:p>
    <w:p w14:paraId="6C33E557" w14:textId="77777777" w:rsidR="00722090" w:rsidRDefault="00722090" w:rsidP="00F72521">
      <w:pPr>
        <w:jc w:val="both"/>
        <w:rPr>
          <w:rFonts w:cstheme="minorHAnsi"/>
          <w:lang w:val="en-MY" w:eastAsia="en-AU"/>
        </w:rPr>
      </w:pPr>
    </w:p>
    <w:p w14:paraId="7125C49A" w14:textId="7D3E910A" w:rsidR="00722090" w:rsidRDefault="00722090" w:rsidP="00F72521">
      <w:pPr>
        <w:jc w:val="both"/>
        <w:rPr>
          <w:rFonts w:cstheme="minorHAnsi"/>
          <w:lang w:val="en-MY" w:eastAsia="en-AU"/>
        </w:rPr>
      </w:pPr>
    </w:p>
    <w:p w14:paraId="1550402E" w14:textId="5E50FCAE" w:rsidR="00905E3C" w:rsidRDefault="00905E3C" w:rsidP="00F72521">
      <w:pPr>
        <w:jc w:val="both"/>
        <w:rPr>
          <w:rFonts w:cstheme="minorHAnsi"/>
          <w:lang w:val="en-MY" w:eastAsia="en-AU"/>
        </w:rPr>
      </w:pPr>
    </w:p>
    <w:p w14:paraId="0D20C291" w14:textId="77777777" w:rsidR="00C55C6D" w:rsidRPr="00A63DBC" w:rsidRDefault="00C55C6D" w:rsidP="00F72521">
      <w:pPr>
        <w:jc w:val="both"/>
        <w:rPr>
          <w:rFonts w:cstheme="minorHAnsi"/>
          <w:lang w:val="en-MY" w:eastAsia="en-AU"/>
        </w:rPr>
      </w:pPr>
    </w:p>
    <w:p w14:paraId="702CE8AD" w14:textId="77777777" w:rsidR="00852AC9" w:rsidRDefault="00852AC9" w:rsidP="00F72521">
      <w:pPr>
        <w:jc w:val="both"/>
        <w:rPr>
          <w:rFonts w:cstheme="minorHAnsi"/>
          <w:lang w:val="en-MY" w:eastAsia="en-AU"/>
        </w:rPr>
      </w:pPr>
    </w:p>
    <w:p w14:paraId="72C1A11A" w14:textId="77777777" w:rsidR="000A2048" w:rsidRDefault="000A2048" w:rsidP="00F72521">
      <w:pPr>
        <w:jc w:val="both"/>
        <w:rPr>
          <w:rFonts w:cstheme="minorHAnsi"/>
          <w:lang w:val="en-MY" w:eastAsia="en-AU"/>
        </w:rPr>
      </w:pPr>
    </w:p>
    <w:p w14:paraId="2CDEBE14" w14:textId="0B8B1C19" w:rsidR="00450F06" w:rsidRDefault="00F72521" w:rsidP="00F72521">
      <w:pPr>
        <w:jc w:val="both"/>
        <w:rPr>
          <w:rFonts w:cstheme="minorHAnsi"/>
          <w:lang w:val="en-MY" w:eastAsia="en-AU"/>
        </w:rPr>
      </w:pPr>
      <w:r w:rsidRPr="00A63DBC">
        <w:rPr>
          <w:rFonts w:cstheme="minorHAnsi"/>
          <w:lang w:val="en-MY" w:eastAsia="en-AU"/>
        </w:rPr>
        <w:t>The stage immediately post-release is then usually the most intensive</w:t>
      </w:r>
      <w:r w:rsidR="00450F06">
        <w:rPr>
          <w:rFonts w:cstheme="minorHAnsi"/>
          <w:lang w:val="en-MY" w:eastAsia="en-AU"/>
        </w:rPr>
        <w:t>,</w:t>
      </w:r>
      <w:r w:rsidRPr="00A63DBC">
        <w:rPr>
          <w:rFonts w:cstheme="minorHAnsi"/>
          <w:lang w:val="en-MY" w:eastAsia="en-AU"/>
        </w:rPr>
        <w:t xml:space="preserve"> for a period from a couple of weeks to the first few months, depending on circumstances and the complexity of the client’s needs. Irrespective of their longer term effectiveness and client outcomes, a case worker will typically meet with the client almost daily to weekly in this phase, often working to obtain social identification (Centrelink, Medicare, and banking) and ensuring compliance with any parole orders. While circumstances vary, the majority of case workers will not push longer-term case planning in this period, and will focus on maintaining rapport in the post-release setting, as well as providing </w:t>
      </w:r>
      <w:r w:rsidRPr="00450F06">
        <w:rPr>
          <w:rFonts w:cstheme="minorHAnsi"/>
          <w:i/>
          <w:iCs/>
          <w:lang w:val="en-MY" w:eastAsia="en-AU"/>
        </w:rPr>
        <w:t>ad hoc</w:t>
      </w:r>
      <w:r w:rsidRPr="00A63DBC">
        <w:rPr>
          <w:rFonts w:cstheme="minorHAnsi"/>
          <w:lang w:val="en-MY" w:eastAsia="en-AU"/>
        </w:rPr>
        <w:t xml:space="preserve"> mentoring and other practical support to make the client emotionally settled</w:t>
      </w:r>
      <w:r w:rsidR="00450F06">
        <w:rPr>
          <w:rFonts w:cstheme="minorHAnsi"/>
          <w:lang w:val="en-MY" w:eastAsia="en-AU"/>
        </w:rPr>
        <w:t xml:space="preserve">, and </w:t>
      </w:r>
      <w:r w:rsidRPr="00A63DBC">
        <w:rPr>
          <w:rFonts w:cstheme="minorHAnsi"/>
          <w:lang w:val="en-MY" w:eastAsia="en-AU"/>
        </w:rPr>
        <w:t xml:space="preserve">with access to some form of safe and secure accommodation. </w:t>
      </w:r>
    </w:p>
    <w:p w14:paraId="37F2CED6" w14:textId="77777777" w:rsidR="00450F06" w:rsidRDefault="00450F06" w:rsidP="00F72521">
      <w:pPr>
        <w:jc w:val="both"/>
        <w:rPr>
          <w:rFonts w:cstheme="minorHAnsi"/>
          <w:lang w:val="en-MY" w:eastAsia="en-AU"/>
        </w:rPr>
      </w:pPr>
    </w:p>
    <w:p w14:paraId="61CA646E" w14:textId="31F74058" w:rsidR="008A1F7F" w:rsidRDefault="00F72521" w:rsidP="008A1F7F">
      <w:pPr>
        <w:jc w:val="both"/>
        <w:rPr>
          <w:rFonts w:cstheme="minorHAnsi"/>
          <w:lang w:val="en-MY" w:eastAsia="en-AU"/>
        </w:rPr>
      </w:pPr>
      <w:r w:rsidRPr="00A63DBC">
        <w:rPr>
          <w:rFonts w:cstheme="minorHAnsi"/>
          <w:lang w:val="en-MY" w:eastAsia="en-AU"/>
        </w:rPr>
        <w:t>Only with these emotional and material foundations in place will most case workers then work with clients on achieving their longer-term goals, including reconnection with family and culture if this is a priority</w:t>
      </w:r>
      <w:r w:rsidR="00450F06">
        <w:rPr>
          <w:rFonts w:cstheme="minorHAnsi"/>
          <w:lang w:val="en-MY" w:eastAsia="en-AU"/>
        </w:rPr>
        <w:t xml:space="preserve"> for the client</w:t>
      </w:r>
      <w:r w:rsidRPr="00A63DBC">
        <w:rPr>
          <w:rFonts w:cstheme="minorHAnsi"/>
          <w:lang w:val="en-MY" w:eastAsia="en-AU"/>
        </w:rPr>
        <w:t xml:space="preserve">. Many clients will, however, drop-off at this point, having either met their short-term material needs, or otherwise disengaged from being involved in a longer-term and potentially more personally challenging process. </w:t>
      </w:r>
      <w:r w:rsidR="008A1F7F" w:rsidRPr="00F0653B">
        <w:rPr>
          <w:rFonts w:cstheme="minorHAnsi"/>
          <w:lang w:val="en-MY" w:eastAsia="en-AU"/>
        </w:rPr>
        <w:t>Some case workers noted the need to focus iteratively on small and short-term goals to keep the momentum of engagement. This mean</w:t>
      </w:r>
      <w:r w:rsidR="008A1F7F">
        <w:rPr>
          <w:rFonts w:cstheme="minorHAnsi"/>
          <w:lang w:val="en-MY" w:eastAsia="en-AU"/>
        </w:rPr>
        <w:t>s</w:t>
      </w:r>
      <w:r w:rsidR="008A1F7F" w:rsidRPr="00F0653B">
        <w:rPr>
          <w:rFonts w:cstheme="minorHAnsi"/>
          <w:lang w:val="en-MY" w:eastAsia="en-AU"/>
        </w:rPr>
        <w:t xml:space="preserve"> </w:t>
      </w:r>
      <w:r w:rsidR="008A1F7F">
        <w:rPr>
          <w:rFonts w:cstheme="minorHAnsi"/>
          <w:lang w:val="en-MY" w:eastAsia="en-AU"/>
        </w:rPr>
        <w:t xml:space="preserve">introducing </w:t>
      </w:r>
      <w:r w:rsidR="008A1F7F" w:rsidRPr="00F0653B">
        <w:rPr>
          <w:rFonts w:cstheme="minorHAnsi"/>
          <w:lang w:val="en-MY" w:eastAsia="en-AU"/>
        </w:rPr>
        <w:t xml:space="preserve">longer-term goals such as further training, education and employment, </w:t>
      </w:r>
      <w:r w:rsidR="008A1F7F">
        <w:rPr>
          <w:rFonts w:cstheme="minorHAnsi"/>
          <w:lang w:val="en-MY" w:eastAsia="en-AU"/>
        </w:rPr>
        <w:t>softly, over time, to prevent</w:t>
      </w:r>
      <w:r w:rsidR="008A1F7F" w:rsidRPr="00F0653B">
        <w:rPr>
          <w:rFonts w:cstheme="minorHAnsi"/>
          <w:lang w:val="en-MY" w:eastAsia="en-AU"/>
        </w:rPr>
        <w:t xml:space="preserve"> rejection and disengagement by the client.</w:t>
      </w:r>
    </w:p>
    <w:p w14:paraId="51CEF502" w14:textId="2C7BB318" w:rsidR="00F72521" w:rsidRPr="00A63DBC" w:rsidRDefault="00F72521" w:rsidP="00F72521">
      <w:pPr>
        <w:jc w:val="both"/>
        <w:rPr>
          <w:rFonts w:cstheme="minorHAnsi"/>
          <w:lang w:val="en-MY" w:eastAsia="en-AU"/>
        </w:rPr>
      </w:pPr>
    </w:p>
    <w:p w14:paraId="0D246420" w14:textId="3A77F750" w:rsidR="00B4485E" w:rsidRDefault="00F72521" w:rsidP="00B4485E">
      <w:pPr>
        <w:jc w:val="both"/>
        <w:rPr>
          <w:rFonts w:cstheme="minorHAnsi"/>
          <w:lang w:val="en-MY" w:eastAsia="en-AU"/>
        </w:rPr>
      </w:pPr>
      <w:r w:rsidRPr="00A63DBC">
        <w:rPr>
          <w:rFonts w:cstheme="minorHAnsi"/>
          <w:lang w:val="en-MY" w:eastAsia="en-AU"/>
        </w:rPr>
        <w:t>For clients who remain in the through-care program after the first 3 to 6 months post-release, the pattern of support begins to diverge widely, depending on the individual demands of the client and the extent to which the service can strategically progress clients through their case</w:t>
      </w:r>
      <w:r w:rsidR="007E19B5">
        <w:rPr>
          <w:rFonts w:cstheme="minorHAnsi"/>
          <w:lang w:val="en-MY" w:eastAsia="en-AU"/>
        </w:rPr>
        <w:t>-</w:t>
      </w:r>
      <w:r w:rsidRPr="00A63DBC">
        <w:rPr>
          <w:rFonts w:cstheme="minorHAnsi"/>
          <w:lang w:val="en-MY" w:eastAsia="en-AU"/>
        </w:rPr>
        <w:t xml:space="preserve">load.  Most case plans were reported to </w:t>
      </w:r>
      <w:r w:rsidR="00450F06">
        <w:rPr>
          <w:rFonts w:cstheme="minorHAnsi"/>
          <w:lang w:val="en-MY" w:eastAsia="en-AU"/>
        </w:rPr>
        <w:t>‘</w:t>
      </w:r>
      <w:r w:rsidRPr="00A63DBC">
        <w:rPr>
          <w:rFonts w:cstheme="minorHAnsi"/>
          <w:lang w:val="en-MY" w:eastAsia="en-AU"/>
        </w:rPr>
        <w:t>evolve</w:t>
      </w:r>
      <w:r w:rsidR="00450F06">
        <w:rPr>
          <w:rFonts w:cstheme="minorHAnsi"/>
          <w:lang w:val="en-MY" w:eastAsia="en-AU"/>
        </w:rPr>
        <w:t>’</w:t>
      </w:r>
      <w:r w:rsidRPr="00A63DBC">
        <w:rPr>
          <w:rFonts w:cstheme="minorHAnsi"/>
          <w:lang w:val="en-MY" w:eastAsia="en-AU"/>
        </w:rPr>
        <w:t xml:space="preserve">, with the intensity of support therefore necessarily flexing in response to crisis, emerging barriers and changing personal circumstances. For some case workers this more chaotic reality was regarded as the normal pattern of events post-release and would caution not to over emphasise highly aspirational goals that risked </w:t>
      </w:r>
      <w:r w:rsidR="00C613F6">
        <w:rPr>
          <w:rFonts w:cstheme="minorHAnsi"/>
          <w:lang w:val="en-MY" w:eastAsia="en-AU"/>
        </w:rPr>
        <w:t>failure</w:t>
      </w:r>
      <w:r w:rsidRPr="00A63DBC">
        <w:rPr>
          <w:rFonts w:cstheme="minorHAnsi"/>
          <w:lang w:val="en-MY" w:eastAsia="en-AU"/>
        </w:rPr>
        <w:t xml:space="preserve">. Although reactive and un-strategic, support of this nature was considered to require constant communication with clients and the maintenance of a close almost personal over professional relationship. </w:t>
      </w:r>
      <w:r w:rsidR="00B4485E">
        <w:rPr>
          <w:rFonts w:cstheme="minorHAnsi"/>
          <w:lang w:val="en-MY" w:eastAsia="en-AU"/>
        </w:rPr>
        <w:t xml:space="preserve">The case study below evidences the impact for clients </w:t>
      </w:r>
      <w:r w:rsidR="00E7516C">
        <w:rPr>
          <w:rFonts w:cstheme="minorHAnsi"/>
          <w:lang w:val="en-MY" w:eastAsia="en-AU"/>
        </w:rPr>
        <w:t>of a close relationship with their case worker</w:t>
      </w:r>
      <w:r w:rsidR="00B4485E">
        <w:rPr>
          <w:rFonts w:cstheme="minorHAnsi"/>
          <w:lang w:val="en-MY" w:eastAsia="en-AU"/>
        </w:rPr>
        <w:t>.</w:t>
      </w:r>
    </w:p>
    <w:p w14:paraId="4491FF8A" w14:textId="4CF67E0A" w:rsidR="00694565" w:rsidRDefault="007E19B5" w:rsidP="00B4485E">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3" behindDoc="0" locked="0" layoutInCell="1" allowOverlap="1" wp14:anchorId="02E96A4D" wp14:editId="2F6D2945">
                <wp:simplePos x="0" y="0"/>
                <wp:positionH relativeFrom="column">
                  <wp:posOffset>166</wp:posOffset>
                </wp:positionH>
                <wp:positionV relativeFrom="paragraph">
                  <wp:posOffset>87520</wp:posOffset>
                </wp:positionV>
                <wp:extent cx="5791752" cy="1477010"/>
                <wp:effectExtent l="12700" t="12700" r="12700" b="9525"/>
                <wp:wrapNone/>
                <wp:docPr id="1897457079" name="TextBox 5"/>
                <wp:cNvGraphicFramePr/>
                <a:graphic xmlns:a="http://schemas.openxmlformats.org/drawingml/2006/main">
                  <a:graphicData uri="http://schemas.microsoft.com/office/word/2010/wordprocessingShape">
                    <wps:wsp>
                      <wps:cNvSpPr txBox="1"/>
                      <wps:spPr>
                        <a:xfrm>
                          <a:off x="0" y="0"/>
                          <a:ext cx="5791752"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28E6E25" w14:textId="4874AF16" w:rsidR="009C42F3" w:rsidRPr="00A23205" w:rsidRDefault="009C42F3" w:rsidP="00B4485E">
                            <w:pPr>
                              <w:rPr>
                                <w:rFonts w:hAnsi="Calibri" w:cs="Arial"/>
                                <w:color w:val="000000" w:themeColor="text1"/>
                                <w:kern w:val="24"/>
                                <w:sz w:val="20"/>
                                <w:szCs w:val="20"/>
                              </w:rPr>
                            </w:pPr>
                            <w:r>
                              <w:rPr>
                                <w:rFonts w:hAnsi="Calibri" w:cs="Arial"/>
                                <w:color w:val="000000" w:themeColor="text1"/>
                                <w:kern w:val="24"/>
                                <w:sz w:val="20"/>
                                <w:szCs w:val="20"/>
                              </w:rPr>
                              <w:t xml:space="preserve">Mark learned about the through-care program when he was enrolled in a </w:t>
                            </w:r>
                            <w:r w:rsidRPr="0013414F">
                              <w:rPr>
                                <w:rFonts w:hAnsi="Calibri" w:cs="Arial"/>
                                <w:color w:val="000000" w:themeColor="text1"/>
                                <w:kern w:val="24"/>
                                <w:sz w:val="20"/>
                                <w:szCs w:val="20"/>
                              </w:rPr>
                              <w:t>dangerous prisoner progra</w:t>
                            </w:r>
                            <w:r>
                              <w:rPr>
                                <w:rFonts w:hAnsi="Calibri" w:cs="Arial"/>
                                <w:color w:val="000000" w:themeColor="text1"/>
                                <w:kern w:val="24"/>
                                <w:sz w:val="20"/>
                                <w:szCs w:val="20"/>
                              </w:rPr>
                              <w:t xml:space="preserve">m and introduced to a through-care case worker. Mark unsure whether he liked the case worker at first, but after several weeks of them visiting, began to feel at ease, and they would joke and talk about sports. Mark was </w:t>
                            </w:r>
                            <w:r w:rsidRPr="0013414F">
                              <w:rPr>
                                <w:rFonts w:hAnsi="Calibri" w:cs="Arial"/>
                                <w:color w:val="000000" w:themeColor="text1"/>
                                <w:kern w:val="24"/>
                                <w:sz w:val="20"/>
                                <w:szCs w:val="20"/>
                              </w:rPr>
                              <w:t>jail</w:t>
                            </w:r>
                            <w:r>
                              <w:rPr>
                                <w:rFonts w:hAnsi="Calibri" w:cs="Arial"/>
                                <w:color w:val="000000" w:themeColor="text1"/>
                                <w:kern w:val="24"/>
                                <w:sz w:val="20"/>
                                <w:szCs w:val="20"/>
                              </w:rPr>
                              <w:t>ed</w:t>
                            </w:r>
                            <w:r w:rsidRPr="0013414F">
                              <w:rPr>
                                <w:rFonts w:hAnsi="Calibri" w:cs="Arial"/>
                                <w:color w:val="000000" w:themeColor="text1"/>
                                <w:kern w:val="24"/>
                                <w:sz w:val="20"/>
                                <w:szCs w:val="20"/>
                              </w:rPr>
                              <w:t xml:space="preserve"> </w:t>
                            </w:r>
                            <w:r>
                              <w:rPr>
                                <w:rFonts w:hAnsi="Calibri" w:cs="Arial"/>
                                <w:color w:val="000000" w:themeColor="text1"/>
                                <w:kern w:val="24"/>
                                <w:sz w:val="20"/>
                                <w:szCs w:val="20"/>
                              </w:rPr>
                              <w:t xml:space="preserve">for a serious offence around </w:t>
                            </w:r>
                            <w:r w:rsidRPr="0013414F">
                              <w:rPr>
                                <w:rFonts w:hAnsi="Calibri" w:cs="Arial"/>
                                <w:color w:val="000000" w:themeColor="text1"/>
                                <w:kern w:val="24"/>
                                <w:sz w:val="20"/>
                                <w:szCs w:val="20"/>
                              </w:rPr>
                              <w:t>1</w:t>
                            </w:r>
                            <w:r>
                              <w:rPr>
                                <w:rFonts w:hAnsi="Calibri" w:cs="Arial"/>
                                <w:color w:val="000000" w:themeColor="text1"/>
                                <w:kern w:val="24"/>
                                <w:sz w:val="20"/>
                                <w:szCs w:val="20"/>
                              </w:rPr>
                              <w:t xml:space="preserve">2 years ago, when he was just 17 years old, and has struggled to maintain relationships, even with family. When it was time for Mark’s release he was “scared about where to go” and didn’t have anyone for support other than his through-care case worker. On release Mark’s case worker helped him with social </w:t>
                            </w:r>
                            <w:r w:rsidRPr="0013414F">
                              <w:rPr>
                                <w:rFonts w:hAnsi="Calibri" w:cs="Arial"/>
                                <w:color w:val="000000" w:themeColor="text1"/>
                                <w:kern w:val="24"/>
                                <w:sz w:val="20"/>
                                <w:szCs w:val="20"/>
                              </w:rPr>
                              <w:t xml:space="preserve">ID and </w:t>
                            </w:r>
                            <w:r>
                              <w:rPr>
                                <w:rFonts w:hAnsi="Calibri" w:cs="Arial"/>
                                <w:color w:val="000000" w:themeColor="text1"/>
                                <w:kern w:val="24"/>
                                <w:sz w:val="20"/>
                                <w:szCs w:val="20"/>
                              </w:rPr>
                              <w:t xml:space="preserve">then </w:t>
                            </w:r>
                            <w:r w:rsidRPr="0013414F">
                              <w:rPr>
                                <w:rFonts w:hAnsi="Calibri" w:cs="Arial"/>
                                <w:color w:val="000000" w:themeColor="text1"/>
                                <w:kern w:val="24"/>
                                <w:sz w:val="20"/>
                                <w:szCs w:val="20"/>
                              </w:rPr>
                              <w:t>accommodation</w:t>
                            </w:r>
                            <w:r>
                              <w:rPr>
                                <w:rFonts w:hAnsi="Calibri" w:cs="Arial"/>
                                <w:color w:val="000000" w:themeColor="text1"/>
                                <w:kern w:val="24"/>
                                <w:sz w:val="20"/>
                                <w:szCs w:val="20"/>
                              </w:rPr>
                              <w:t xml:space="preserve">, as well as getting him to parole appointments, including attendance at a men’s healing centre. Mark was released from prison 2 years ago and has recently exited the through-care program, but keeps in contact with the case worker, with whom he occasionally has breakfast and still calls “brother”. </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02E96A4D" id="_x0000_s1069" type="#_x0000_t202" style="position:absolute;left:0;text-align:left;margin-left:0;margin-top:6.9pt;width:456.05pt;height:116.3pt;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" fillcolor="white [3201]" strokecolor="#4bacc6 [3208]" strokeweight="2pt">
                <v:textbox style="mso-fit-shape-to-text:t">
                  <w:txbxContent>
                    <w:p w14:paraId="628E6E25" w14:textId="4874AF16" w:rsidR="009C42F3" w:rsidRPr="00A23205" w:rsidRDefault="009C42F3" w:rsidP="00B4485E">
                      <w:pPr>
                        <w:rPr>
                          <w:rFonts w:hAnsi="Calibri" w:cs="Arial"/>
                          <w:color w:val="000000" w:themeColor="text1"/>
                          <w:kern w:val="24"/>
                          <w:sz w:val="20"/>
                          <w:szCs w:val="20"/>
                        </w:rPr>
                      </w:pPr>
                      <w:r>
                        <w:rPr>
                          <w:rFonts w:hAnsi="Calibri" w:cs="Arial"/>
                          <w:color w:val="000000" w:themeColor="text1"/>
                          <w:kern w:val="24"/>
                          <w:sz w:val="20"/>
                          <w:szCs w:val="20"/>
                        </w:rPr>
                        <w:t xml:space="preserve">Mark learned about the through-care program when he was enrolled in a </w:t>
                      </w:r>
                      <w:r w:rsidRPr="0013414F">
                        <w:rPr>
                          <w:rFonts w:hAnsi="Calibri" w:cs="Arial"/>
                          <w:color w:val="000000" w:themeColor="text1"/>
                          <w:kern w:val="24"/>
                          <w:sz w:val="20"/>
                          <w:szCs w:val="20"/>
                        </w:rPr>
                        <w:t>dangerous prisoner progra</w:t>
                      </w:r>
                      <w:r>
                        <w:rPr>
                          <w:rFonts w:hAnsi="Calibri" w:cs="Arial"/>
                          <w:color w:val="000000" w:themeColor="text1"/>
                          <w:kern w:val="24"/>
                          <w:sz w:val="20"/>
                          <w:szCs w:val="20"/>
                        </w:rPr>
                        <w:t xml:space="preserve">m and introduced to a through-care case worker. Mark unsure whether he liked the case worker at first, but after several weeks of them visiting, began to feel at ease, and they would joke and talk about sports. Mark was </w:t>
                      </w:r>
                      <w:r w:rsidRPr="0013414F">
                        <w:rPr>
                          <w:rFonts w:hAnsi="Calibri" w:cs="Arial"/>
                          <w:color w:val="000000" w:themeColor="text1"/>
                          <w:kern w:val="24"/>
                          <w:sz w:val="20"/>
                          <w:szCs w:val="20"/>
                        </w:rPr>
                        <w:t>jail</w:t>
                      </w:r>
                      <w:r>
                        <w:rPr>
                          <w:rFonts w:hAnsi="Calibri" w:cs="Arial"/>
                          <w:color w:val="000000" w:themeColor="text1"/>
                          <w:kern w:val="24"/>
                          <w:sz w:val="20"/>
                          <w:szCs w:val="20"/>
                        </w:rPr>
                        <w:t>ed</w:t>
                      </w:r>
                      <w:r w:rsidRPr="0013414F">
                        <w:rPr>
                          <w:rFonts w:hAnsi="Calibri" w:cs="Arial"/>
                          <w:color w:val="000000" w:themeColor="text1"/>
                          <w:kern w:val="24"/>
                          <w:sz w:val="20"/>
                          <w:szCs w:val="20"/>
                        </w:rPr>
                        <w:t xml:space="preserve"> </w:t>
                      </w:r>
                      <w:r>
                        <w:rPr>
                          <w:rFonts w:hAnsi="Calibri" w:cs="Arial"/>
                          <w:color w:val="000000" w:themeColor="text1"/>
                          <w:kern w:val="24"/>
                          <w:sz w:val="20"/>
                          <w:szCs w:val="20"/>
                        </w:rPr>
                        <w:t xml:space="preserve">for a serious offence around </w:t>
                      </w:r>
                      <w:r w:rsidRPr="0013414F">
                        <w:rPr>
                          <w:rFonts w:hAnsi="Calibri" w:cs="Arial"/>
                          <w:color w:val="000000" w:themeColor="text1"/>
                          <w:kern w:val="24"/>
                          <w:sz w:val="20"/>
                          <w:szCs w:val="20"/>
                        </w:rPr>
                        <w:t>1</w:t>
                      </w:r>
                      <w:r>
                        <w:rPr>
                          <w:rFonts w:hAnsi="Calibri" w:cs="Arial"/>
                          <w:color w:val="000000" w:themeColor="text1"/>
                          <w:kern w:val="24"/>
                          <w:sz w:val="20"/>
                          <w:szCs w:val="20"/>
                        </w:rPr>
                        <w:t xml:space="preserve">2 years ago, when he was just 17 years old, and has struggled to maintain relationships, even with family. When it was time for Mark’s release he was “scared about where to go” and didn’t have anyone for support other than his through-care case worker. On release Mark’s case worker helped him with social </w:t>
                      </w:r>
                      <w:r w:rsidRPr="0013414F">
                        <w:rPr>
                          <w:rFonts w:hAnsi="Calibri" w:cs="Arial"/>
                          <w:color w:val="000000" w:themeColor="text1"/>
                          <w:kern w:val="24"/>
                          <w:sz w:val="20"/>
                          <w:szCs w:val="20"/>
                        </w:rPr>
                        <w:t xml:space="preserve">ID and </w:t>
                      </w:r>
                      <w:r>
                        <w:rPr>
                          <w:rFonts w:hAnsi="Calibri" w:cs="Arial"/>
                          <w:color w:val="000000" w:themeColor="text1"/>
                          <w:kern w:val="24"/>
                          <w:sz w:val="20"/>
                          <w:szCs w:val="20"/>
                        </w:rPr>
                        <w:t xml:space="preserve">then </w:t>
                      </w:r>
                      <w:r w:rsidRPr="0013414F">
                        <w:rPr>
                          <w:rFonts w:hAnsi="Calibri" w:cs="Arial"/>
                          <w:color w:val="000000" w:themeColor="text1"/>
                          <w:kern w:val="24"/>
                          <w:sz w:val="20"/>
                          <w:szCs w:val="20"/>
                        </w:rPr>
                        <w:t>accommodation</w:t>
                      </w:r>
                      <w:r>
                        <w:rPr>
                          <w:rFonts w:hAnsi="Calibri" w:cs="Arial"/>
                          <w:color w:val="000000" w:themeColor="text1"/>
                          <w:kern w:val="24"/>
                          <w:sz w:val="20"/>
                          <w:szCs w:val="20"/>
                        </w:rPr>
                        <w:t xml:space="preserve">, as well as getting him to parole appointments, including attendance at a men’s healing centre. Mark was released from prison 2 years ago and has recently exited the through-care program, but keeps in contact with the case worker, with whom he occasionally has breakfast and still calls “brother”. </w:t>
                      </w:r>
                    </w:p>
                  </w:txbxContent>
                </v:textbox>
              </v:shape>
            </w:pict>
          </mc:Fallback>
        </mc:AlternateContent>
      </w:r>
    </w:p>
    <w:p w14:paraId="591758FA" w14:textId="075C4110" w:rsidR="005842C9" w:rsidRDefault="005842C9" w:rsidP="00B4485E">
      <w:pPr>
        <w:jc w:val="both"/>
        <w:rPr>
          <w:rFonts w:cstheme="minorHAnsi"/>
          <w:lang w:val="en-MY" w:eastAsia="en-AU"/>
        </w:rPr>
      </w:pPr>
    </w:p>
    <w:p w14:paraId="6C117C15" w14:textId="3C2BE33C" w:rsidR="005842C9" w:rsidRDefault="005842C9" w:rsidP="00B4485E">
      <w:pPr>
        <w:jc w:val="both"/>
        <w:rPr>
          <w:rFonts w:cstheme="minorHAnsi"/>
          <w:lang w:val="en-MY" w:eastAsia="en-AU"/>
        </w:rPr>
      </w:pPr>
    </w:p>
    <w:p w14:paraId="53AE650C" w14:textId="5D472256" w:rsidR="00E115C5" w:rsidRDefault="00E115C5" w:rsidP="00B4485E">
      <w:pPr>
        <w:jc w:val="both"/>
        <w:rPr>
          <w:rFonts w:cstheme="minorHAnsi"/>
          <w:lang w:val="en-MY" w:eastAsia="en-AU"/>
        </w:rPr>
      </w:pPr>
    </w:p>
    <w:p w14:paraId="7A8EE49D" w14:textId="4E5FD18A" w:rsidR="00E115C5" w:rsidRDefault="00E115C5" w:rsidP="00B4485E">
      <w:pPr>
        <w:jc w:val="both"/>
        <w:rPr>
          <w:rFonts w:cstheme="minorHAnsi"/>
          <w:lang w:val="en-MY" w:eastAsia="en-AU"/>
        </w:rPr>
      </w:pPr>
    </w:p>
    <w:p w14:paraId="36322500" w14:textId="72925CDA" w:rsidR="00E115C5" w:rsidRDefault="00E115C5" w:rsidP="00B4485E">
      <w:pPr>
        <w:jc w:val="both"/>
        <w:rPr>
          <w:rFonts w:cstheme="minorHAnsi"/>
          <w:lang w:val="en-MY" w:eastAsia="en-AU"/>
        </w:rPr>
      </w:pPr>
    </w:p>
    <w:p w14:paraId="4677BBD4" w14:textId="77777777" w:rsidR="00024565" w:rsidRDefault="00024565" w:rsidP="00B4485E">
      <w:pPr>
        <w:jc w:val="both"/>
        <w:rPr>
          <w:rFonts w:cstheme="minorHAnsi"/>
          <w:lang w:val="en-MY" w:eastAsia="en-AU"/>
        </w:rPr>
      </w:pPr>
    </w:p>
    <w:p w14:paraId="56BFC98D" w14:textId="77777777" w:rsidR="00024565" w:rsidRDefault="00024565" w:rsidP="00B4485E">
      <w:pPr>
        <w:jc w:val="both"/>
        <w:rPr>
          <w:rFonts w:cstheme="minorHAnsi"/>
          <w:lang w:val="en-MY" w:eastAsia="en-AU"/>
        </w:rPr>
      </w:pPr>
    </w:p>
    <w:p w14:paraId="2CF3B3DD" w14:textId="77777777" w:rsidR="00024565" w:rsidRDefault="00024565" w:rsidP="00B4485E">
      <w:pPr>
        <w:jc w:val="both"/>
        <w:rPr>
          <w:rFonts w:cstheme="minorHAnsi"/>
          <w:lang w:val="en-MY" w:eastAsia="en-AU"/>
        </w:rPr>
      </w:pPr>
    </w:p>
    <w:p w14:paraId="10F68198" w14:textId="77777777" w:rsidR="00024565" w:rsidRDefault="00024565" w:rsidP="00B4485E">
      <w:pPr>
        <w:jc w:val="both"/>
        <w:rPr>
          <w:rFonts w:cstheme="minorHAnsi"/>
          <w:lang w:val="en-MY" w:eastAsia="en-AU"/>
        </w:rPr>
      </w:pPr>
    </w:p>
    <w:p w14:paraId="367F457E" w14:textId="77777777" w:rsidR="00694565" w:rsidRDefault="00694565" w:rsidP="008A1F7F">
      <w:pPr>
        <w:jc w:val="both"/>
        <w:rPr>
          <w:rFonts w:cstheme="minorHAnsi"/>
          <w:lang w:val="en-MY" w:eastAsia="en-AU"/>
        </w:rPr>
      </w:pPr>
    </w:p>
    <w:p w14:paraId="57C7D44B" w14:textId="4B99D0E2" w:rsidR="008A1F7F" w:rsidRDefault="008A1F7F" w:rsidP="008A1F7F">
      <w:pPr>
        <w:jc w:val="both"/>
        <w:rPr>
          <w:rFonts w:cstheme="minorHAnsi"/>
          <w:lang w:val="en-MY" w:eastAsia="en-AU"/>
        </w:rPr>
      </w:pPr>
      <w:r w:rsidRPr="00F0653B">
        <w:rPr>
          <w:rFonts w:cstheme="minorHAnsi"/>
          <w:lang w:val="en-MY" w:eastAsia="en-AU"/>
        </w:rPr>
        <w:t>All youth services acknowledged challenges engaging with the young people who are typically mistrustful of authority and institutions. This issue was reportedly compounded by the shorter sentences usually received by young people, which made it challenging to develop rapport and trust in a short time-frame pre-release (and when youth are receptive to post-release support). Youth case workers consistently reported needing to hit the ground running; working very intensively with their clients in the first few weeks after release (including release from remand when not sentenced).</w:t>
      </w:r>
    </w:p>
    <w:p w14:paraId="5A2BA78E" w14:textId="77777777" w:rsidR="008A1F7F" w:rsidRPr="00A63DBC" w:rsidRDefault="008A1F7F" w:rsidP="00F72521">
      <w:pPr>
        <w:jc w:val="both"/>
        <w:rPr>
          <w:rFonts w:cstheme="minorHAnsi"/>
          <w:lang w:val="en-MY" w:eastAsia="en-AU"/>
        </w:rPr>
      </w:pPr>
    </w:p>
    <w:p w14:paraId="6DD1D3E8" w14:textId="1C29F27D" w:rsidR="0018045B" w:rsidRDefault="00F72521" w:rsidP="0018045B">
      <w:pPr>
        <w:jc w:val="both"/>
        <w:rPr>
          <w:rFonts w:cstheme="minorHAnsi"/>
          <w:lang w:val="en-MY" w:eastAsia="en-AU"/>
        </w:rPr>
      </w:pPr>
      <w:r w:rsidRPr="00A63DBC">
        <w:rPr>
          <w:rFonts w:cstheme="minorHAnsi"/>
          <w:lang w:val="en-MY" w:eastAsia="en-AU"/>
        </w:rPr>
        <w:t>In only a small number of examples</w:t>
      </w:r>
      <w:r w:rsidR="00C613F6">
        <w:rPr>
          <w:rFonts w:cstheme="minorHAnsi"/>
          <w:lang w:val="en-MY" w:eastAsia="en-AU"/>
        </w:rPr>
        <w:t xml:space="preserve"> </w:t>
      </w:r>
      <w:r w:rsidRPr="00A63DBC">
        <w:rPr>
          <w:rFonts w:cstheme="minorHAnsi"/>
          <w:lang w:val="en-MY" w:eastAsia="en-AU"/>
        </w:rPr>
        <w:t xml:space="preserve">was the more </w:t>
      </w:r>
      <w:r w:rsidR="00186D73">
        <w:rPr>
          <w:rFonts w:cstheme="minorHAnsi"/>
          <w:lang w:val="en-MY" w:eastAsia="en-AU"/>
        </w:rPr>
        <w:t xml:space="preserve">rigid pattern of intensive case management </w:t>
      </w:r>
      <w:r w:rsidR="00611C3B">
        <w:rPr>
          <w:rFonts w:cstheme="minorHAnsi"/>
          <w:lang w:val="en-MY" w:eastAsia="en-AU"/>
        </w:rPr>
        <w:t xml:space="preserve">described </w:t>
      </w:r>
      <w:r w:rsidR="00186D73">
        <w:rPr>
          <w:rFonts w:cstheme="minorHAnsi"/>
          <w:lang w:val="en-MY" w:eastAsia="en-AU"/>
        </w:rPr>
        <w:t>in the ABT model applied,</w:t>
      </w:r>
      <w:r w:rsidRPr="00A63DBC">
        <w:rPr>
          <w:rFonts w:cstheme="minorHAnsi"/>
          <w:lang w:val="en-MY" w:eastAsia="en-AU"/>
        </w:rPr>
        <w:t xml:space="preserve"> whereby a client’s longer-term goals and coordinated case plan are established, and the intensity of client support progressively lessens to a maintenance or hold pattern. </w:t>
      </w:r>
      <w:r w:rsidRPr="00450F06">
        <w:rPr>
          <w:rFonts w:cstheme="minorHAnsi"/>
          <w:i/>
          <w:iCs/>
          <w:lang w:val="en-MY" w:eastAsia="en-AU"/>
        </w:rPr>
        <w:t>“You can’t put a time on it”</w:t>
      </w:r>
      <w:r w:rsidRPr="00A63DBC">
        <w:rPr>
          <w:rFonts w:cstheme="minorHAnsi"/>
          <w:lang w:val="en-MY" w:eastAsia="en-AU"/>
        </w:rPr>
        <w:t xml:space="preserve"> was a common refrain amongst case workers, who felt the opportunity should remain indefinitely open if a client continued to request support. </w:t>
      </w:r>
    </w:p>
    <w:p w14:paraId="33691024" w14:textId="54363471" w:rsidR="00F72521" w:rsidRPr="008A1F7F" w:rsidRDefault="00F72521" w:rsidP="00A63DBC">
      <w:pPr>
        <w:jc w:val="both"/>
        <w:rPr>
          <w:rFonts w:cstheme="minorHAnsi"/>
          <w:lang w:val="en-MY" w:eastAsia="en-AU"/>
        </w:rPr>
      </w:pPr>
    </w:p>
    <w:p w14:paraId="2CE6A859" w14:textId="239EADF1" w:rsidR="00905E3C" w:rsidRDefault="00450F06" w:rsidP="00A63DBC">
      <w:pPr>
        <w:jc w:val="both"/>
        <w:rPr>
          <w:rFonts w:cstheme="minorHAnsi"/>
          <w:lang w:val="en-MY" w:eastAsia="en-AU"/>
        </w:rPr>
      </w:pPr>
      <w:r>
        <w:rPr>
          <w:rFonts w:cstheme="minorHAnsi"/>
          <w:lang w:val="en-MY" w:eastAsia="en-AU"/>
        </w:rPr>
        <w:t xml:space="preserve">Case management </w:t>
      </w:r>
      <w:r w:rsidR="00944BA0" w:rsidRPr="00A63DBC">
        <w:rPr>
          <w:rFonts w:cstheme="minorHAnsi"/>
          <w:lang w:val="en-MY" w:eastAsia="en-AU"/>
        </w:rPr>
        <w:t>services for the most part are delivered on a highly gendered basis, with all services except two, using female case workers to service females and vice-versa. Various reasons broadly related to cultural safety were provided by case workers and managers as a rationale for the delivery of gender-based th</w:t>
      </w:r>
      <w:r w:rsidR="00F80183">
        <w:rPr>
          <w:rFonts w:cstheme="minorHAnsi"/>
          <w:lang w:val="en-MY" w:eastAsia="en-AU"/>
        </w:rPr>
        <w:t>r</w:t>
      </w:r>
      <w:r w:rsidR="00944BA0" w:rsidRPr="00A63DBC">
        <w:rPr>
          <w:rFonts w:cstheme="minorHAnsi"/>
          <w:lang w:val="en-MY" w:eastAsia="en-AU"/>
        </w:rPr>
        <w:t>ough-care, including client preferences (to avoid shame or embarrassment that might compromise rapport); family preferences, so that issues of partner jealousy and conflict are avoided; and – in the case of male clients not working with female case workers – to avoid putting case workers at risk. While all services providing gender-based services considered this to be effective in developing strong client</w:t>
      </w:r>
      <w:r w:rsidR="008C2515">
        <w:rPr>
          <w:rFonts w:cstheme="minorHAnsi"/>
          <w:lang w:val="en-MY" w:eastAsia="en-AU"/>
        </w:rPr>
        <w:t xml:space="preserve"> and </w:t>
      </w:r>
      <w:r w:rsidR="00944BA0" w:rsidRPr="00A63DBC">
        <w:rPr>
          <w:rFonts w:cstheme="minorHAnsi"/>
          <w:lang w:val="en-MY" w:eastAsia="en-AU"/>
        </w:rPr>
        <w:t>case worker relationships, neither case workers nor clients of services with mixed-gender case</w:t>
      </w:r>
      <w:r w:rsidR="007E19B5">
        <w:rPr>
          <w:rFonts w:cstheme="minorHAnsi"/>
          <w:lang w:val="en-MY" w:eastAsia="en-AU"/>
        </w:rPr>
        <w:t>-</w:t>
      </w:r>
      <w:r w:rsidR="00944BA0" w:rsidRPr="00A63DBC">
        <w:rPr>
          <w:rFonts w:cstheme="minorHAnsi"/>
          <w:lang w:val="en-MY" w:eastAsia="en-AU"/>
        </w:rPr>
        <w:t>loads identified this as a barrier to engagement.</w:t>
      </w:r>
    </w:p>
    <w:p w14:paraId="6D606638" w14:textId="77777777" w:rsidR="00745F83" w:rsidRPr="00745F83" w:rsidRDefault="00745F83" w:rsidP="00A63DBC">
      <w:pPr>
        <w:jc w:val="both"/>
        <w:rPr>
          <w:rFonts w:cstheme="minorHAnsi"/>
          <w:lang w:val="en-MY" w:eastAsia="en-AU"/>
        </w:rPr>
      </w:pPr>
    </w:p>
    <w:p w14:paraId="4916712F" w14:textId="77777777" w:rsidR="005E393F" w:rsidRPr="005842C9" w:rsidRDefault="005E393F" w:rsidP="00187574">
      <w:pPr>
        <w:pStyle w:val="Caption"/>
        <w:rPr>
          <w:color w:val="4F81BD" w:themeColor="accent1"/>
          <w:sz w:val="22"/>
          <w:szCs w:val="22"/>
          <w:lang w:val="en-MY" w:eastAsia="en-AU"/>
        </w:rPr>
      </w:pPr>
      <w:r w:rsidRPr="005842C9">
        <w:rPr>
          <w:color w:val="4F81BD" w:themeColor="accent1"/>
          <w:sz w:val="22"/>
          <w:szCs w:val="22"/>
          <w:lang w:val="en-MY" w:eastAsia="en-AU"/>
        </w:rPr>
        <w:t>Cultural Connection and the Involvement of Families</w:t>
      </w:r>
    </w:p>
    <w:p w14:paraId="299D9969" w14:textId="7A95785D" w:rsidR="00F72521" w:rsidRPr="00B21295" w:rsidRDefault="00F72521" w:rsidP="00F72521">
      <w:pPr>
        <w:jc w:val="both"/>
        <w:rPr>
          <w:rFonts w:cstheme="minorHAnsi"/>
          <w:lang w:val="en-MY" w:eastAsia="en-AU"/>
        </w:rPr>
      </w:pPr>
      <w:r w:rsidRPr="00A63DBC">
        <w:rPr>
          <w:rFonts w:cstheme="minorHAnsi"/>
          <w:lang w:val="en-MY" w:eastAsia="en-AU"/>
        </w:rPr>
        <w:t xml:space="preserve">Family was regarded by clients and case workers as especially important to the reintegration journey of clients for whom their role as a parent, son, or daughter, was integral to their identity (and for whom reunification was a primary goal) but was also seen to be important for </w:t>
      </w:r>
      <w:r w:rsidRPr="00B21295">
        <w:rPr>
          <w:rFonts w:cstheme="minorHAnsi"/>
          <w:lang w:val="en-MY" w:eastAsia="en-AU"/>
        </w:rPr>
        <w:t xml:space="preserve">clients with physical or cognitive disabilities who had historically relied on family for practical support. In such </w:t>
      </w:r>
      <w:r w:rsidR="005E393F" w:rsidRPr="00B21295">
        <w:rPr>
          <w:rFonts w:cstheme="minorHAnsi"/>
          <w:lang w:val="en-MY" w:eastAsia="en-AU"/>
        </w:rPr>
        <w:t xml:space="preserve">circumstances </w:t>
      </w:r>
      <w:r w:rsidRPr="00B21295">
        <w:rPr>
          <w:rFonts w:cstheme="minorHAnsi"/>
          <w:lang w:val="en-MY" w:eastAsia="en-AU"/>
        </w:rPr>
        <w:t xml:space="preserve">case workers recognised the importance of family, not just to the social and emotional well-being of the client, but as an important source of knowledge about the needs of clients including possible housing options. </w:t>
      </w:r>
      <w:r w:rsidR="00C613F6" w:rsidRPr="00B21295">
        <w:rPr>
          <w:rFonts w:cstheme="minorHAnsi"/>
          <w:lang w:val="en-MY" w:eastAsia="en-AU"/>
        </w:rPr>
        <w:t>Some y</w:t>
      </w:r>
      <w:r w:rsidRPr="00B21295">
        <w:rPr>
          <w:rFonts w:cstheme="minorHAnsi"/>
          <w:lang w:val="en-MY" w:eastAsia="en-AU"/>
        </w:rPr>
        <w:t>outh focused case workers will also connect with family very early in the process prior to release</w:t>
      </w:r>
      <w:r w:rsidR="00C613F6" w:rsidRPr="00B21295">
        <w:rPr>
          <w:rFonts w:cstheme="minorHAnsi"/>
          <w:lang w:val="en-MY" w:eastAsia="en-AU"/>
        </w:rPr>
        <w:t xml:space="preserve">, </w:t>
      </w:r>
      <w:r w:rsidRPr="00B21295">
        <w:rPr>
          <w:rFonts w:cstheme="minorHAnsi"/>
          <w:lang w:val="en-MY" w:eastAsia="en-AU"/>
        </w:rPr>
        <w:t>and will engage holistically with their client and family to establish a working partnership.</w:t>
      </w:r>
    </w:p>
    <w:p w14:paraId="1E130D64" w14:textId="77777777" w:rsidR="00F72521" w:rsidRPr="00B21295" w:rsidRDefault="00F72521" w:rsidP="00F72521">
      <w:pPr>
        <w:jc w:val="both"/>
        <w:rPr>
          <w:rFonts w:cstheme="minorHAnsi"/>
          <w:lang w:val="en-MY" w:eastAsia="en-AU"/>
        </w:rPr>
      </w:pPr>
    </w:p>
    <w:p w14:paraId="7539BFEA" w14:textId="3F8F3E2D" w:rsidR="00E7516C" w:rsidRDefault="005E393F" w:rsidP="00E7516C">
      <w:pPr>
        <w:jc w:val="both"/>
        <w:rPr>
          <w:rFonts w:cstheme="minorHAnsi"/>
          <w:lang w:val="en-MY" w:eastAsia="en-AU"/>
        </w:rPr>
      </w:pPr>
      <w:r w:rsidRPr="00B21295">
        <w:rPr>
          <w:rFonts w:cstheme="minorHAnsi"/>
          <w:lang w:val="en-MY" w:eastAsia="en-AU"/>
        </w:rPr>
        <w:t>Although the role of family as a core element of through-care programs was recognised by the majority of case workers, it was not universally considered an appropriate or ‘given’ element of service delivery for all clients. According to some YTC case workers, in some instances, a youth can be ‘turned off’ by engagement with family for personal reasons, even following attempts to engage in ‘ restorative conversations’ to rebuild the family unit.</w:t>
      </w:r>
      <w:r w:rsidR="00E7516C" w:rsidRPr="00B21295">
        <w:rPr>
          <w:rFonts w:cstheme="minorHAnsi"/>
          <w:lang w:val="en-MY" w:eastAsia="en-AU"/>
        </w:rPr>
        <w:t xml:space="preserve"> The case study below evidences the benefit for some clients of positive post-release re-engagement with family.</w:t>
      </w:r>
    </w:p>
    <w:p w14:paraId="0FE7B180" w14:textId="4B7A7296" w:rsidR="00E7516C" w:rsidRDefault="00694565" w:rsidP="00E7516C">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2" behindDoc="0" locked="0" layoutInCell="1" allowOverlap="1" wp14:anchorId="6824AD00" wp14:editId="69537412">
                <wp:simplePos x="0" y="0"/>
                <wp:positionH relativeFrom="column">
                  <wp:posOffset>26670</wp:posOffset>
                </wp:positionH>
                <wp:positionV relativeFrom="paragraph">
                  <wp:posOffset>114521</wp:posOffset>
                </wp:positionV>
                <wp:extent cx="5778500" cy="1477010"/>
                <wp:effectExtent l="12700" t="12700" r="12700" b="19050"/>
                <wp:wrapNone/>
                <wp:docPr id="1491925682" name="TextBox 5"/>
                <wp:cNvGraphicFramePr/>
                <a:graphic xmlns:a="http://schemas.openxmlformats.org/drawingml/2006/main">
                  <a:graphicData uri="http://schemas.microsoft.com/office/word/2010/wordprocessingShape">
                    <wps:wsp>
                      <wps:cNvSpPr txBox="1"/>
                      <wps:spPr>
                        <a:xfrm>
                          <a:off x="0" y="0"/>
                          <a:ext cx="577850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4ED8CC8" w14:textId="3F9C5EE5" w:rsidR="009C42F3" w:rsidRDefault="009C42F3" w:rsidP="0051577B">
                            <w:pPr>
                              <w:rPr>
                                <w:rFonts w:hAnsi="Calibri" w:cs="Arial"/>
                                <w:color w:val="000000" w:themeColor="text1"/>
                                <w:kern w:val="24"/>
                                <w:sz w:val="20"/>
                                <w:szCs w:val="20"/>
                              </w:rPr>
                            </w:pPr>
                            <w:r>
                              <w:rPr>
                                <w:rFonts w:hAnsi="Calibri" w:cs="Arial"/>
                                <w:color w:val="000000" w:themeColor="text1"/>
                                <w:kern w:val="24"/>
                                <w:sz w:val="20"/>
                                <w:szCs w:val="20"/>
                              </w:rPr>
                              <w:t xml:space="preserve">Millie is a 16-year-old female living a regional town, who was referred to a through-care case worker a year ago by a youth justice worker. Millie lives with her mother and younger brother, Tyson, aged 9 years. Millie receives case management and support to meet her parole obligations, including </w:t>
                            </w:r>
                            <w:r w:rsidRPr="00476914">
                              <w:rPr>
                                <w:rFonts w:hAnsi="Calibri" w:cs="Arial"/>
                                <w:color w:val="000000" w:themeColor="text1"/>
                                <w:kern w:val="24"/>
                                <w:sz w:val="20"/>
                                <w:szCs w:val="20"/>
                              </w:rPr>
                              <w:t>get</w:t>
                            </w:r>
                            <w:r>
                              <w:rPr>
                                <w:rFonts w:hAnsi="Calibri" w:cs="Arial"/>
                                <w:color w:val="000000" w:themeColor="text1"/>
                                <w:kern w:val="24"/>
                                <w:sz w:val="20"/>
                                <w:szCs w:val="20"/>
                              </w:rPr>
                              <w:t xml:space="preserve">ting to various </w:t>
                            </w:r>
                            <w:r w:rsidRPr="00476914">
                              <w:rPr>
                                <w:rFonts w:hAnsi="Calibri" w:cs="Arial"/>
                                <w:color w:val="000000" w:themeColor="text1"/>
                                <w:kern w:val="24"/>
                                <w:sz w:val="20"/>
                                <w:szCs w:val="20"/>
                              </w:rPr>
                              <w:t>appointment</w:t>
                            </w:r>
                            <w:r>
                              <w:rPr>
                                <w:rFonts w:hAnsi="Calibri" w:cs="Arial"/>
                                <w:color w:val="000000" w:themeColor="text1"/>
                                <w:kern w:val="24"/>
                                <w:sz w:val="20"/>
                                <w:szCs w:val="20"/>
                              </w:rPr>
                              <w:t>s to see her parole officer, attend a drug and alcohol program and to liaise with her local senior school, where she plans to return</w:t>
                            </w:r>
                            <w:r w:rsidRPr="00476914">
                              <w:rPr>
                                <w:rFonts w:hAnsi="Calibri" w:cs="Arial"/>
                                <w:color w:val="000000" w:themeColor="text1"/>
                                <w:kern w:val="24"/>
                                <w:sz w:val="20"/>
                                <w:szCs w:val="20"/>
                              </w:rPr>
                              <w:t xml:space="preserve">. </w:t>
                            </w:r>
                          </w:p>
                          <w:p w14:paraId="783E9145" w14:textId="77777777" w:rsidR="009C42F3" w:rsidRDefault="009C42F3" w:rsidP="0051577B">
                            <w:pPr>
                              <w:rPr>
                                <w:rFonts w:hAnsi="Calibri" w:cs="Arial"/>
                                <w:color w:val="000000" w:themeColor="text1"/>
                                <w:kern w:val="24"/>
                                <w:sz w:val="20"/>
                                <w:szCs w:val="20"/>
                              </w:rPr>
                            </w:pPr>
                          </w:p>
                          <w:p w14:paraId="13580240" w14:textId="358817B6" w:rsidR="009C42F3" w:rsidRPr="00817CAD" w:rsidRDefault="009C42F3" w:rsidP="0051577B">
                            <w:pPr>
                              <w:rPr>
                                <w:rFonts w:hAnsi="Calibri" w:cs="Arial"/>
                                <w:color w:val="000000" w:themeColor="text1"/>
                                <w:kern w:val="24"/>
                                <w:sz w:val="20"/>
                                <w:szCs w:val="20"/>
                              </w:rPr>
                            </w:pPr>
                            <w:r>
                              <w:rPr>
                                <w:rFonts w:hAnsi="Calibri" w:cs="Arial"/>
                                <w:color w:val="000000" w:themeColor="text1"/>
                                <w:kern w:val="24"/>
                                <w:sz w:val="20"/>
                                <w:szCs w:val="20"/>
                              </w:rPr>
                              <w:t xml:space="preserve">Millie reports trusting her case worker to act in her best interests and says the case worker has “picked her up” emotionally. According to Millie’s mother, the case worker has helped </w:t>
                            </w:r>
                            <w:r w:rsidRPr="00476914">
                              <w:rPr>
                                <w:rFonts w:hAnsi="Calibri" w:cs="Arial"/>
                                <w:color w:val="000000" w:themeColor="text1"/>
                                <w:kern w:val="24"/>
                                <w:sz w:val="20"/>
                                <w:szCs w:val="20"/>
                              </w:rPr>
                              <w:t xml:space="preserve">get </w:t>
                            </w:r>
                            <w:r>
                              <w:rPr>
                                <w:rFonts w:hAnsi="Calibri" w:cs="Arial"/>
                                <w:color w:val="000000" w:themeColor="text1"/>
                                <w:kern w:val="24"/>
                                <w:sz w:val="20"/>
                                <w:szCs w:val="20"/>
                              </w:rPr>
                              <w:t xml:space="preserve">her and Millie </w:t>
                            </w:r>
                            <w:r w:rsidRPr="00476914">
                              <w:rPr>
                                <w:rFonts w:hAnsi="Calibri" w:cs="Arial"/>
                                <w:color w:val="000000" w:themeColor="text1"/>
                                <w:kern w:val="24"/>
                                <w:sz w:val="20"/>
                                <w:szCs w:val="20"/>
                              </w:rPr>
                              <w:t>talking</w:t>
                            </w:r>
                            <w:r>
                              <w:rPr>
                                <w:rFonts w:hAnsi="Calibri" w:cs="Arial"/>
                                <w:color w:val="000000" w:themeColor="text1"/>
                                <w:kern w:val="24"/>
                                <w:sz w:val="20"/>
                                <w:szCs w:val="20"/>
                              </w:rPr>
                              <w:t xml:space="preserve"> again, (even about sensitive issues like birth control) and Millie says she feels “in a good place”. Millie reports loving her </w:t>
                            </w:r>
                            <w:r w:rsidRPr="00476914">
                              <w:rPr>
                                <w:rFonts w:hAnsi="Calibri" w:cs="Arial"/>
                                <w:color w:val="000000" w:themeColor="text1"/>
                                <w:kern w:val="24"/>
                                <w:sz w:val="20"/>
                                <w:szCs w:val="20"/>
                              </w:rPr>
                              <w:t>little br</w:t>
                            </w:r>
                            <w:r>
                              <w:rPr>
                                <w:rFonts w:hAnsi="Calibri" w:cs="Arial"/>
                                <w:color w:val="000000" w:themeColor="text1"/>
                                <w:kern w:val="24"/>
                                <w:sz w:val="20"/>
                                <w:szCs w:val="20"/>
                              </w:rPr>
                              <w:t>other, whom her mother describes as always “</w:t>
                            </w:r>
                            <w:r w:rsidRPr="00476914">
                              <w:rPr>
                                <w:rFonts w:hAnsi="Calibri" w:cs="Arial"/>
                                <w:color w:val="000000" w:themeColor="text1"/>
                                <w:kern w:val="24"/>
                                <w:sz w:val="20"/>
                                <w:szCs w:val="20"/>
                              </w:rPr>
                              <w:t>watching and learning</w:t>
                            </w:r>
                            <w:r>
                              <w:rPr>
                                <w:rFonts w:hAnsi="Calibri" w:cs="Arial"/>
                                <w:color w:val="000000" w:themeColor="text1"/>
                                <w:kern w:val="24"/>
                                <w:sz w:val="20"/>
                                <w:szCs w:val="20"/>
                              </w:rPr>
                              <w:t>”</w:t>
                            </w:r>
                            <w:r w:rsidRPr="00476914">
                              <w:rPr>
                                <w:rFonts w:hAnsi="Calibri" w:cs="Arial"/>
                                <w:color w:val="000000" w:themeColor="text1"/>
                                <w:kern w:val="24"/>
                                <w:sz w:val="20"/>
                                <w:szCs w:val="20"/>
                              </w:rPr>
                              <w:t xml:space="preserve"> from this</w:t>
                            </w:r>
                            <w:r>
                              <w:rPr>
                                <w:rFonts w:hAnsi="Calibri" w:cs="Arial"/>
                                <w:color w:val="000000" w:themeColor="text1"/>
                                <w:kern w:val="24"/>
                                <w:sz w:val="20"/>
                                <w:szCs w:val="20"/>
                              </w:rPr>
                              <w:t xml:space="preserve"> older sister</w:t>
                            </w:r>
                            <w:r w:rsidRPr="00476914">
                              <w:rPr>
                                <w:rFonts w:hAnsi="Calibri" w:cs="Arial"/>
                                <w:color w:val="000000" w:themeColor="text1"/>
                                <w:kern w:val="24"/>
                                <w:sz w:val="20"/>
                                <w:szCs w:val="20"/>
                              </w:rPr>
                              <w:t xml:space="preserve">. </w:t>
                            </w:r>
                            <w:r>
                              <w:rPr>
                                <w:rFonts w:hAnsi="Calibri" w:cs="Arial"/>
                                <w:color w:val="000000" w:themeColor="text1"/>
                                <w:kern w:val="24"/>
                                <w:sz w:val="20"/>
                                <w:szCs w:val="20"/>
                              </w:rPr>
                              <w:t>Millie is now trusted enough by her mother to help with the care of Tyson when she’s out.</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6824AD00" id="_x0000_s1070" type="#_x0000_t202" style="position:absolute;left:0;text-align:left;margin-left:2.1pt;margin-top:9pt;width:455pt;height:116.3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" fillcolor="white [3201]" strokecolor="#4bacc6 [3208]" strokeweight="2pt">
                <v:textbox style="mso-fit-shape-to-text:t">
                  <w:txbxContent>
                    <w:p w14:paraId="14ED8CC8" w14:textId="3F9C5EE5" w:rsidR="009C42F3" w:rsidRDefault="009C42F3" w:rsidP="0051577B">
                      <w:pPr>
                        <w:rPr>
                          <w:rFonts w:hAnsi="Calibri" w:cs="Arial"/>
                          <w:color w:val="000000" w:themeColor="text1"/>
                          <w:kern w:val="24"/>
                          <w:sz w:val="20"/>
                          <w:szCs w:val="20"/>
                        </w:rPr>
                      </w:pPr>
                      <w:r>
                        <w:rPr>
                          <w:rFonts w:hAnsi="Calibri" w:cs="Arial"/>
                          <w:color w:val="000000" w:themeColor="text1"/>
                          <w:kern w:val="24"/>
                          <w:sz w:val="20"/>
                          <w:szCs w:val="20"/>
                        </w:rPr>
                        <w:t xml:space="preserve">Millie is a 16-year-old female living a regional town, who was referred to a through-care case worker a year ago by a youth justice worker. Millie lives with her mother and younger brother, Tyson, aged 9 years. Millie receives case management and support to meet her parole obligations, including </w:t>
                      </w:r>
                      <w:r w:rsidRPr="00476914">
                        <w:rPr>
                          <w:rFonts w:hAnsi="Calibri" w:cs="Arial"/>
                          <w:color w:val="000000" w:themeColor="text1"/>
                          <w:kern w:val="24"/>
                          <w:sz w:val="20"/>
                          <w:szCs w:val="20"/>
                        </w:rPr>
                        <w:t>get</w:t>
                      </w:r>
                      <w:r>
                        <w:rPr>
                          <w:rFonts w:hAnsi="Calibri" w:cs="Arial"/>
                          <w:color w:val="000000" w:themeColor="text1"/>
                          <w:kern w:val="24"/>
                          <w:sz w:val="20"/>
                          <w:szCs w:val="20"/>
                        </w:rPr>
                        <w:t xml:space="preserve">ting to various </w:t>
                      </w:r>
                      <w:r w:rsidRPr="00476914">
                        <w:rPr>
                          <w:rFonts w:hAnsi="Calibri" w:cs="Arial"/>
                          <w:color w:val="000000" w:themeColor="text1"/>
                          <w:kern w:val="24"/>
                          <w:sz w:val="20"/>
                          <w:szCs w:val="20"/>
                        </w:rPr>
                        <w:t>appointment</w:t>
                      </w:r>
                      <w:r>
                        <w:rPr>
                          <w:rFonts w:hAnsi="Calibri" w:cs="Arial"/>
                          <w:color w:val="000000" w:themeColor="text1"/>
                          <w:kern w:val="24"/>
                          <w:sz w:val="20"/>
                          <w:szCs w:val="20"/>
                        </w:rPr>
                        <w:t>s to see her parole officer, attend a drug and alcohol program and to liaise with her local senior school, where she plans to return</w:t>
                      </w:r>
                      <w:r w:rsidRPr="00476914">
                        <w:rPr>
                          <w:rFonts w:hAnsi="Calibri" w:cs="Arial"/>
                          <w:color w:val="000000" w:themeColor="text1"/>
                          <w:kern w:val="24"/>
                          <w:sz w:val="20"/>
                          <w:szCs w:val="20"/>
                        </w:rPr>
                        <w:t xml:space="preserve">. </w:t>
                      </w:r>
                    </w:p>
                    <w:p w14:paraId="783E9145" w14:textId="77777777" w:rsidR="009C42F3" w:rsidRDefault="009C42F3" w:rsidP="0051577B">
                      <w:pPr>
                        <w:rPr>
                          <w:rFonts w:hAnsi="Calibri" w:cs="Arial"/>
                          <w:color w:val="000000" w:themeColor="text1"/>
                          <w:kern w:val="24"/>
                          <w:sz w:val="20"/>
                          <w:szCs w:val="20"/>
                        </w:rPr>
                      </w:pPr>
                    </w:p>
                    <w:p w14:paraId="13580240" w14:textId="358817B6" w:rsidR="009C42F3" w:rsidRPr="00817CAD" w:rsidRDefault="009C42F3" w:rsidP="0051577B">
                      <w:pPr>
                        <w:rPr>
                          <w:rFonts w:hAnsi="Calibri" w:cs="Arial"/>
                          <w:color w:val="000000" w:themeColor="text1"/>
                          <w:kern w:val="24"/>
                          <w:sz w:val="20"/>
                          <w:szCs w:val="20"/>
                        </w:rPr>
                      </w:pPr>
                      <w:r>
                        <w:rPr>
                          <w:rFonts w:hAnsi="Calibri" w:cs="Arial"/>
                          <w:color w:val="000000" w:themeColor="text1"/>
                          <w:kern w:val="24"/>
                          <w:sz w:val="20"/>
                          <w:szCs w:val="20"/>
                        </w:rPr>
                        <w:t xml:space="preserve">Millie reports trusting her case worker to act in her best interests and says the case worker has “picked her up” emotionally. According to Millie’s mother, the case worker has helped </w:t>
                      </w:r>
                      <w:r w:rsidRPr="00476914">
                        <w:rPr>
                          <w:rFonts w:hAnsi="Calibri" w:cs="Arial"/>
                          <w:color w:val="000000" w:themeColor="text1"/>
                          <w:kern w:val="24"/>
                          <w:sz w:val="20"/>
                          <w:szCs w:val="20"/>
                        </w:rPr>
                        <w:t xml:space="preserve">get </w:t>
                      </w:r>
                      <w:r>
                        <w:rPr>
                          <w:rFonts w:hAnsi="Calibri" w:cs="Arial"/>
                          <w:color w:val="000000" w:themeColor="text1"/>
                          <w:kern w:val="24"/>
                          <w:sz w:val="20"/>
                          <w:szCs w:val="20"/>
                        </w:rPr>
                        <w:t xml:space="preserve">her and Millie </w:t>
                      </w:r>
                      <w:r w:rsidRPr="00476914">
                        <w:rPr>
                          <w:rFonts w:hAnsi="Calibri" w:cs="Arial"/>
                          <w:color w:val="000000" w:themeColor="text1"/>
                          <w:kern w:val="24"/>
                          <w:sz w:val="20"/>
                          <w:szCs w:val="20"/>
                        </w:rPr>
                        <w:t>talking</w:t>
                      </w:r>
                      <w:r>
                        <w:rPr>
                          <w:rFonts w:hAnsi="Calibri" w:cs="Arial"/>
                          <w:color w:val="000000" w:themeColor="text1"/>
                          <w:kern w:val="24"/>
                          <w:sz w:val="20"/>
                          <w:szCs w:val="20"/>
                        </w:rPr>
                        <w:t xml:space="preserve"> again, (even about sensitive issues like birth control) and Millie says she feels “in a good place”. Millie reports loving her </w:t>
                      </w:r>
                      <w:r w:rsidRPr="00476914">
                        <w:rPr>
                          <w:rFonts w:hAnsi="Calibri" w:cs="Arial"/>
                          <w:color w:val="000000" w:themeColor="text1"/>
                          <w:kern w:val="24"/>
                          <w:sz w:val="20"/>
                          <w:szCs w:val="20"/>
                        </w:rPr>
                        <w:t>little br</w:t>
                      </w:r>
                      <w:r>
                        <w:rPr>
                          <w:rFonts w:hAnsi="Calibri" w:cs="Arial"/>
                          <w:color w:val="000000" w:themeColor="text1"/>
                          <w:kern w:val="24"/>
                          <w:sz w:val="20"/>
                          <w:szCs w:val="20"/>
                        </w:rPr>
                        <w:t>other, whom her mother describes as always “</w:t>
                      </w:r>
                      <w:r w:rsidRPr="00476914">
                        <w:rPr>
                          <w:rFonts w:hAnsi="Calibri" w:cs="Arial"/>
                          <w:color w:val="000000" w:themeColor="text1"/>
                          <w:kern w:val="24"/>
                          <w:sz w:val="20"/>
                          <w:szCs w:val="20"/>
                        </w:rPr>
                        <w:t>watching and learning</w:t>
                      </w:r>
                      <w:r>
                        <w:rPr>
                          <w:rFonts w:hAnsi="Calibri" w:cs="Arial"/>
                          <w:color w:val="000000" w:themeColor="text1"/>
                          <w:kern w:val="24"/>
                          <w:sz w:val="20"/>
                          <w:szCs w:val="20"/>
                        </w:rPr>
                        <w:t>”</w:t>
                      </w:r>
                      <w:r w:rsidRPr="00476914">
                        <w:rPr>
                          <w:rFonts w:hAnsi="Calibri" w:cs="Arial"/>
                          <w:color w:val="000000" w:themeColor="text1"/>
                          <w:kern w:val="24"/>
                          <w:sz w:val="20"/>
                          <w:szCs w:val="20"/>
                        </w:rPr>
                        <w:t xml:space="preserve"> from this</w:t>
                      </w:r>
                      <w:r>
                        <w:rPr>
                          <w:rFonts w:hAnsi="Calibri" w:cs="Arial"/>
                          <w:color w:val="000000" w:themeColor="text1"/>
                          <w:kern w:val="24"/>
                          <w:sz w:val="20"/>
                          <w:szCs w:val="20"/>
                        </w:rPr>
                        <w:t xml:space="preserve"> older sister</w:t>
                      </w:r>
                      <w:r w:rsidRPr="00476914">
                        <w:rPr>
                          <w:rFonts w:hAnsi="Calibri" w:cs="Arial"/>
                          <w:color w:val="000000" w:themeColor="text1"/>
                          <w:kern w:val="24"/>
                          <w:sz w:val="20"/>
                          <w:szCs w:val="20"/>
                        </w:rPr>
                        <w:t xml:space="preserve">. </w:t>
                      </w:r>
                      <w:r>
                        <w:rPr>
                          <w:rFonts w:hAnsi="Calibri" w:cs="Arial"/>
                          <w:color w:val="000000" w:themeColor="text1"/>
                          <w:kern w:val="24"/>
                          <w:sz w:val="20"/>
                          <w:szCs w:val="20"/>
                        </w:rPr>
                        <w:t>Millie is now trusted enough by her mother to help with the care of Tyson when she’s out.</w:t>
                      </w:r>
                    </w:p>
                  </w:txbxContent>
                </v:textbox>
              </v:shape>
            </w:pict>
          </mc:Fallback>
        </mc:AlternateContent>
      </w:r>
    </w:p>
    <w:p w14:paraId="75830E30" w14:textId="4A08B7A8" w:rsidR="00E7516C" w:rsidRDefault="00E7516C" w:rsidP="00E7516C">
      <w:pPr>
        <w:jc w:val="both"/>
        <w:rPr>
          <w:rFonts w:cstheme="minorHAnsi"/>
          <w:lang w:val="en-MY" w:eastAsia="en-AU"/>
        </w:rPr>
      </w:pPr>
    </w:p>
    <w:p w14:paraId="30B6FE7A" w14:textId="77777777" w:rsidR="00852282" w:rsidRDefault="00852282" w:rsidP="00E7516C">
      <w:pPr>
        <w:jc w:val="both"/>
        <w:rPr>
          <w:rFonts w:cstheme="minorHAnsi"/>
          <w:lang w:val="en-MY" w:eastAsia="en-AU"/>
        </w:rPr>
      </w:pPr>
    </w:p>
    <w:p w14:paraId="3CA375FC" w14:textId="163C5FDA" w:rsidR="00E7516C" w:rsidRDefault="00E7516C" w:rsidP="00E7516C">
      <w:pPr>
        <w:jc w:val="both"/>
        <w:rPr>
          <w:rFonts w:cstheme="minorHAnsi"/>
          <w:lang w:val="en-MY" w:eastAsia="en-AU"/>
        </w:rPr>
      </w:pPr>
    </w:p>
    <w:p w14:paraId="0BD6944F" w14:textId="112BF8C8" w:rsidR="00E7516C" w:rsidRDefault="00E7516C" w:rsidP="00E7516C">
      <w:pPr>
        <w:jc w:val="both"/>
        <w:rPr>
          <w:rFonts w:cstheme="minorHAnsi"/>
          <w:lang w:val="en-MY" w:eastAsia="en-AU"/>
        </w:rPr>
      </w:pPr>
    </w:p>
    <w:p w14:paraId="3BF2921B" w14:textId="6C4FE297" w:rsidR="00E7516C" w:rsidRDefault="00E7516C" w:rsidP="00E7516C">
      <w:pPr>
        <w:jc w:val="both"/>
        <w:rPr>
          <w:rFonts w:cstheme="minorHAnsi"/>
          <w:lang w:val="en-MY" w:eastAsia="en-AU"/>
        </w:rPr>
      </w:pPr>
    </w:p>
    <w:p w14:paraId="045529B6" w14:textId="3B5DCFA0" w:rsidR="00E7516C" w:rsidRDefault="00E7516C" w:rsidP="00E7516C">
      <w:pPr>
        <w:jc w:val="both"/>
        <w:rPr>
          <w:rFonts w:cstheme="minorHAnsi"/>
          <w:lang w:val="en-MY" w:eastAsia="en-AU"/>
        </w:rPr>
      </w:pPr>
    </w:p>
    <w:p w14:paraId="41DBA042" w14:textId="77777777" w:rsidR="00E7516C" w:rsidRDefault="00E7516C" w:rsidP="00E7516C">
      <w:pPr>
        <w:jc w:val="both"/>
        <w:rPr>
          <w:rFonts w:cstheme="minorHAnsi"/>
          <w:lang w:val="en-MY" w:eastAsia="en-AU"/>
        </w:rPr>
      </w:pPr>
    </w:p>
    <w:p w14:paraId="494B1532" w14:textId="77777777" w:rsidR="00024565" w:rsidRDefault="00024565" w:rsidP="00E7516C">
      <w:pPr>
        <w:jc w:val="both"/>
        <w:rPr>
          <w:rFonts w:cstheme="minorHAnsi"/>
          <w:lang w:val="en-MY" w:eastAsia="en-AU"/>
        </w:rPr>
      </w:pPr>
    </w:p>
    <w:p w14:paraId="1F200891" w14:textId="77777777" w:rsidR="00024565" w:rsidRDefault="00024565" w:rsidP="00E7516C">
      <w:pPr>
        <w:jc w:val="both"/>
        <w:rPr>
          <w:rFonts w:cstheme="minorHAnsi"/>
          <w:lang w:val="en-MY" w:eastAsia="en-AU"/>
        </w:rPr>
      </w:pPr>
    </w:p>
    <w:p w14:paraId="39174412" w14:textId="186BB492" w:rsidR="005E393F" w:rsidRDefault="005E393F" w:rsidP="005E393F">
      <w:pPr>
        <w:jc w:val="both"/>
        <w:rPr>
          <w:rFonts w:cstheme="minorHAnsi"/>
          <w:lang w:val="en-MY" w:eastAsia="en-AU"/>
        </w:rPr>
      </w:pPr>
    </w:p>
    <w:p w14:paraId="77EE2C77" w14:textId="3DDDED5E" w:rsidR="005E393F" w:rsidRDefault="005E393F" w:rsidP="005E393F">
      <w:pPr>
        <w:jc w:val="both"/>
        <w:rPr>
          <w:rFonts w:cstheme="minorHAnsi"/>
          <w:lang w:val="en-MY" w:eastAsia="en-AU"/>
        </w:rPr>
      </w:pPr>
    </w:p>
    <w:p w14:paraId="1629E5C1" w14:textId="50362C68" w:rsidR="00E7516C" w:rsidRDefault="005E393F" w:rsidP="00F72521">
      <w:pPr>
        <w:jc w:val="both"/>
        <w:rPr>
          <w:rFonts w:cstheme="minorHAnsi"/>
          <w:lang w:val="en-MY" w:eastAsia="en-AU"/>
        </w:rPr>
      </w:pPr>
      <w:r w:rsidRPr="00A63DBC">
        <w:rPr>
          <w:rFonts w:cstheme="minorHAnsi"/>
          <w:lang w:val="en-MY" w:eastAsia="en-AU"/>
        </w:rPr>
        <w:t>The majority of case workers will</w:t>
      </w:r>
      <w:r>
        <w:rPr>
          <w:rFonts w:cstheme="minorHAnsi"/>
          <w:lang w:val="en-MY" w:eastAsia="en-AU"/>
        </w:rPr>
        <w:t xml:space="preserve">, however, </w:t>
      </w:r>
      <w:r w:rsidRPr="00A63DBC">
        <w:rPr>
          <w:rFonts w:cstheme="minorHAnsi"/>
          <w:lang w:val="en-MY" w:eastAsia="en-AU"/>
        </w:rPr>
        <w:t>seek to include family members in case management, and with the consent of clients will include family in goal setting processes to ensure there is a supportive social network around the individual client. According to many case workers, the involvement of family is crucial to ensure that services are culturally safe and holistic, and so that families have the opportunity to become an integral part of the process of a client becoming self-reliant and independent.</w:t>
      </w:r>
    </w:p>
    <w:p w14:paraId="57563C94" w14:textId="77777777" w:rsidR="00E7516C" w:rsidRDefault="00E7516C" w:rsidP="00F72521">
      <w:pPr>
        <w:jc w:val="both"/>
        <w:rPr>
          <w:rFonts w:cstheme="minorHAnsi"/>
          <w:lang w:val="en-MY" w:eastAsia="en-AU"/>
        </w:rPr>
      </w:pPr>
    </w:p>
    <w:p w14:paraId="5BF56A4D" w14:textId="501A6C1C" w:rsidR="00F72521" w:rsidRPr="00A63DBC" w:rsidRDefault="00F72521" w:rsidP="00F72521">
      <w:pPr>
        <w:jc w:val="both"/>
        <w:rPr>
          <w:rFonts w:cstheme="minorHAnsi"/>
          <w:lang w:val="en-MY" w:eastAsia="en-AU"/>
        </w:rPr>
      </w:pPr>
      <w:r w:rsidRPr="00A63DBC">
        <w:rPr>
          <w:rFonts w:cstheme="minorHAnsi"/>
          <w:lang w:val="en-MY" w:eastAsia="en-AU"/>
        </w:rPr>
        <w:t>Quality engagement with family is not, however, universally achieved</w:t>
      </w:r>
      <w:r w:rsidR="00C613F6">
        <w:rPr>
          <w:rFonts w:cstheme="minorHAnsi"/>
          <w:lang w:val="en-MY" w:eastAsia="en-AU"/>
        </w:rPr>
        <w:t xml:space="preserve">, </w:t>
      </w:r>
      <w:r w:rsidRPr="00A63DBC">
        <w:rPr>
          <w:rFonts w:cstheme="minorHAnsi"/>
          <w:lang w:val="en-MY" w:eastAsia="en-AU"/>
        </w:rPr>
        <w:t>even in circu</w:t>
      </w:r>
      <w:r w:rsidR="0051577B">
        <w:rPr>
          <w:rFonts w:cstheme="minorHAnsi"/>
          <w:lang w:val="en-MY" w:eastAsia="en-AU"/>
        </w:rPr>
        <w:t>m</w:t>
      </w:r>
      <w:r w:rsidRPr="00A63DBC">
        <w:rPr>
          <w:rFonts w:cstheme="minorHAnsi"/>
          <w:lang w:val="en-MY" w:eastAsia="en-AU"/>
        </w:rPr>
        <w:t>stances where re-engagement is set by the client as a personal goal. Depending on the offence committed, a through-care client may, for example, be legally prevented from returning to their home community or family dwelling, or otherwise be subject to orders that prevent them from visiting a spouse or child. Furthermore, while they might want to connect with selected family, family might not be open to re-engagement; with more than one case worker speaking of the need to directly mediate or make a referral to relationship counselling in response to a family dispute. Many youth clients involved with child protection services, for example, may not wish to</w:t>
      </w:r>
      <w:r w:rsidR="00C613F6">
        <w:rPr>
          <w:rFonts w:cstheme="minorHAnsi"/>
          <w:lang w:val="en-MY" w:eastAsia="en-AU"/>
        </w:rPr>
        <w:t xml:space="preserve">, </w:t>
      </w:r>
      <w:r w:rsidRPr="00A63DBC">
        <w:rPr>
          <w:rFonts w:cstheme="minorHAnsi"/>
          <w:lang w:val="en-MY" w:eastAsia="en-AU"/>
        </w:rPr>
        <w:t>or are prevented from</w:t>
      </w:r>
      <w:r w:rsidR="00C613F6">
        <w:rPr>
          <w:rFonts w:cstheme="minorHAnsi"/>
          <w:lang w:val="en-MY" w:eastAsia="en-AU"/>
        </w:rPr>
        <w:t>,</w:t>
      </w:r>
      <w:r w:rsidRPr="00A63DBC">
        <w:rPr>
          <w:rFonts w:cstheme="minorHAnsi"/>
          <w:lang w:val="en-MY" w:eastAsia="en-AU"/>
        </w:rPr>
        <w:t xml:space="preserve"> reconnecting with immediate family for reasons of their own personal well-being and safety, or will prefer not to talk with case workers about emotionally charged issues in front of a close family member. </w:t>
      </w:r>
    </w:p>
    <w:p w14:paraId="70FBF5EB" w14:textId="77777777" w:rsidR="00F72521" w:rsidRPr="00A63DBC" w:rsidRDefault="00F72521" w:rsidP="00F72521">
      <w:pPr>
        <w:jc w:val="both"/>
        <w:rPr>
          <w:rFonts w:cstheme="minorHAnsi"/>
          <w:lang w:val="en-MY" w:eastAsia="en-AU"/>
        </w:rPr>
      </w:pPr>
    </w:p>
    <w:p w14:paraId="0D16326F" w14:textId="047E5118" w:rsidR="00F72521" w:rsidRPr="00B21295" w:rsidRDefault="00F72521" w:rsidP="00F72521">
      <w:pPr>
        <w:jc w:val="both"/>
        <w:rPr>
          <w:rFonts w:cstheme="minorHAnsi"/>
          <w:lang w:val="en-MY" w:eastAsia="en-AU"/>
        </w:rPr>
      </w:pPr>
      <w:r w:rsidRPr="00A63DBC">
        <w:rPr>
          <w:rFonts w:cstheme="minorHAnsi"/>
          <w:lang w:val="en-MY" w:eastAsia="en-AU"/>
        </w:rPr>
        <w:t xml:space="preserve">In other circumstances, the distance between clients and family might mean that a case worker is logistically unable to include them in the case management process. Many ATC case workers working with adult male clients, for example, will connect with family on only a </w:t>
      </w:r>
      <w:r w:rsidRPr="00B21295">
        <w:rPr>
          <w:rFonts w:cstheme="minorHAnsi"/>
          <w:lang w:val="en-MY" w:eastAsia="en-AU"/>
        </w:rPr>
        <w:t>limited basis, if at all, even when reconnection is set as a goal. In contrast for adult female</w:t>
      </w:r>
      <w:r w:rsidR="000F26FC" w:rsidRPr="00B21295">
        <w:rPr>
          <w:rFonts w:cstheme="minorHAnsi"/>
          <w:lang w:val="en-MY" w:eastAsia="en-AU"/>
        </w:rPr>
        <w:t>s</w:t>
      </w:r>
      <w:r w:rsidRPr="00B21295">
        <w:rPr>
          <w:rFonts w:cstheme="minorHAnsi"/>
          <w:lang w:val="en-MY" w:eastAsia="en-AU"/>
        </w:rPr>
        <w:t xml:space="preserve"> at some services, their willingness to reconnect with family and in turn the family’s response, is unofficially regarded as an important indicator of the client’s potential to fully engage.</w:t>
      </w:r>
    </w:p>
    <w:p w14:paraId="27997BC1" w14:textId="77777777" w:rsidR="00F72521" w:rsidRPr="00B21295" w:rsidRDefault="00F72521" w:rsidP="00F72521">
      <w:pPr>
        <w:jc w:val="both"/>
        <w:rPr>
          <w:rFonts w:cstheme="minorHAnsi"/>
          <w:lang w:val="en-MY" w:eastAsia="en-AU"/>
        </w:rPr>
      </w:pPr>
    </w:p>
    <w:p w14:paraId="6A2F1E75" w14:textId="6FB3D08A" w:rsidR="00E93D8A" w:rsidRPr="00B21295" w:rsidRDefault="00647F1A" w:rsidP="00E93D8A">
      <w:pPr>
        <w:jc w:val="both"/>
        <w:rPr>
          <w:rFonts w:cstheme="minorHAnsi"/>
          <w:lang w:val="en-MY" w:eastAsia="en-AU"/>
        </w:rPr>
      </w:pPr>
      <w:r>
        <w:rPr>
          <w:rFonts w:cstheme="minorHAnsi"/>
          <w:lang w:val="en-MY" w:eastAsia="en-AU"/>
        </w:rPr>
        <w:t xml:space="preserve">The desire of many </w:t>
      </w:r>
      <w:r w:rsidR="00F72521" w:rsidRPr="00B21295">
        <w:rPr>
          <w:rFonts w:cstheme="minorHAnsi"/>
          <w:lang w:val="en-MY" w:eastAsia="en-AU"/>
        </w:rPr>
        <w:t>case workers’ to work holistically with family</w:t>
      </w:r>
      <w:r>
        <w:rPr>
          <w:rFonts w:cstheme="minorHAnsi"/>
          <w:lang w:val="en-MY" w:eastAsia="en-AU"/>
        </w:rPr>
        <w:t>, rather than just the primary client,</w:t>
      </w:r>
      <w:r w:rsidR="00F72521" w:rsidRPr="00B21295">
        <w:rPr>
          <w:rFonts w:cstheme="minorHAnsi"/>
          <w:lang w:val="en-MY" w:eastAsia="en-AU"/>
        </w:rPr>
        <w:t xml:space="preserve"> </w:t>
      </w:r>
      <w:r w:rsidR="000F26FC" w:rsidRPr="00B21295">
        <w:rPr>
          <w:rFonts w:cstheme="minorHAnsi"/>
          <w:lang w:val="en-MY" w:eastAsia="en-AU"/>
        </w:rPr>
        <w:t>was also observed and discussed with case workers</w:t>
      </w:r>
      <w:r w:rsidR="00F72521" w:rsidRPr="00B21295">
        <w:rPr>
          <w:rFonts w:cstheme="minorHAnsi"/>
          <w:lang w:val="en-MY" w:eastAsia="en-AU"/>
        </w:rPr>
        <w:t xml:space="preserve">, </w:t>
      </w:r>
      <w:r w:rsidR="000E1430">
        <w:rPr>
          <w:rFonts w:cstheme="minorHAnsi"/>
          <w:lang w:val="en-MY" w:eastAsia="en-AU"/>
        </w:rPr>
        <w:t xml:space="preserve">often in the context of a </w:t>
      </w:r>
      <w:r w:rsidR="00F72521" w:rsidRPr="00B21295">
        <w:rPr>
          <w:rFonts w:cstheme="minorHAnsi"/>
          <w:lang w:val="en-MY" w:eastAsia="en-AU"/>
        </w:rPr>
        <w:t>youth or</w:t>
      </w:r>
      <w:r w:rsidR="000E1430">
        <w:rPr>
          <w:rFonts w:cstheme="minorHAnsi"/>
          <w:lang w:val="en-MY" w:eastAsia="en-AU"/>
        </w:rPr>
        <w:t xml:space="preserve"> </w:t>
      </w:r>
      <w:r w:rsidR="00F72521" w:rsidRPr="00B21295">
        <w:rPr>
          <w:rFonts w:cstheme="minorHAnsi"/>
          <w:lang w:val="en-MY" w:eastAsia="en-AU"/>
        </w:rPr>
        <w:t xml:space="preserve">dependent </w:t>
      </w:r>
      <w:r w:rsidR="000E1430">
        <w:rPr>
          <w:rFonts w:cstheme="minorHAnsi"/>
          <w:lang w:val="en-MY" w:eastAsia="en-AU"/>
        </w:rPr>
        <w:t xml:space="preserve">client </w:t>
      </w:r>
      <w:r w:rsidR="00F72521" w:rsidRPr="00B21295">
        <w:rPr>
          <w:rFonts w:cstheme="minorHAnsi"/>
          <w:lang w:val="en-MY" w:eastAsia="en-AU"/>
        </w:rPr>
        <w:t xml:space="preserve">living with </w:t>
      </w:r>
      <w:r w:rsidR="000E1430">
        <w:rPr>
          <w:rFonts w:cstheme="minorHAnsi"/>
          <w:lang w:val="en-MY" w:eastAsia="en-AU"/>
        </w:rPr>
        <w:t>a parent or care-giver</w:t>
      </w:r>
      <w:r w:rsidR="00F72521" w:rsidRPr="00B21295">
        <w:rPr>
          <w:rFonts w:cstheme="minorHAnsi"/>
          <w:lang w:val="en-MY" w:eastAsia="en-AU"/>
        </w:rPr>
        <w:t>. In these examples the case worker would direct their efforts to the parent or caregiver</w:t>
      </w:r>
      <w:r w:rsidR="000F26FC" w:rsidRPr="00B21295">
        <w:rPr>
          <w:rFonts w:cstheme="minorHAnsi"/>
          <w:lang w:val="en-MY" w:eastAsia="en-AU"/>
        </w:rPr>
        <w:t xml:space="preserve"> rather than the primary client</w:t>
      </w:r>
      <w:r w:rsidR="00F72521" w:rsidRPr="00B21295">
        <w:rPr>
          <w:rFonts w:cstheme="minorHAnsi"/>
          <w:lang w:val="en-MY" w:eastAsia="en-AU"/>
        </w:rPr>
        <w:t>, providing support for them as well as the core client, for example to access shops or appointments</w:t>
      </w:r>
      <w:r w:rsidR="000F26FC" w:rsidRPr="00B21295">
        <w:rPr>
          <w:rFonts w:cstheme="minorHAnsi"/>
          <w:lang w:val="en-MY" w:eastAsia="en-AU"/>
        </w:rPr>
        <w:t xml:space="preserve">, </w:t>
      </w:r>
      <w:r w:rsidR="00C613F6" w:rsidRPr="00B21295">
        <w:rPr>
          <w:rFonts w:cstheme="minorHAnsi"/>
          <w:lang w:val="en-MY" w:eastAsia="en-AU"/>
        </w:rPr>
        <w:t>or</w:t>
      </w:r>
      <w:r w:rsidR="000F26FC" w:rsidRPr="00B21295">
        <w:rPr>
          <w:rFonts w:cstheme="minorHAnsi"/>
          <w:lang w:val="en-MY" w:eastAsia="en-AU"/>
        </w:rPr>
        <w:t xml:space="preserve"> </w:t>
      </w:r>
      <w:r w:rsidR="00C613F6" w:rsidRPr="00B21295">
        <w:rPr>
          <w:rFonts w:cstheme="minorHAnsi"/>
          <w:lang w:val="en-MY" w:eastAsia="en-AU"/>
        </w:rPr>
        <w:t>(</w:t>
      </w:r>
      <w:r w:rsidR="000F26FC" w:rsidRPr="00B21295">
        <w:rPr>
          <w:rFonts w:cstheme="minorHAnsi"/>
          <w:lang w:val="en-MY" w:eastAsia="en-AU"/>
        </w:rPr>
        <w:t>more fundamentally</w:t>
      </w:r>
      <w:r w:rsidR="00C613F6" w:rsidRPr="00B21295">
        <w:rPr>
          <w:rFonts w:cstheme="minorHAnsi"/>
          <w:lang w:val="en-MY" w:eastAsia="en-AU"/>
        </w:rPr>
        <w:t>)</w:t>
      </w:r>
      <w:r w:rsidR="000F26FC" w:rsidRPr="00B21295">
        <w:rPr>
          <w:rFonts w:cstheme="minorHAnsi"/>
          <w:lang w:val="en-MY" w:eastAsia="en-AU"/>
        </w:rPr>
        <w:t xml:space="preserve"> to advocate for access to housing</w:t>
      </w:r>
      <w:r w:rsidR="00F72521" w:rsidRPr="00B21295">
        <w:rPr>
          <w:rFonts w:cstheme="minorHAnsi"/>
          <w:lang w:val="en-MY" w:eastAsia="en-AU"/>
        </w:rPr>
        <w:t xml:space="preserve">. While this </w:t>
      </w:r>
      <w:r>
        <w:rPr>
          <w:rFonts w:cstheme="minorHAnsi"/>
          <w:lang w:val="en-MY" w:eastAsia="en-AU"/>
        </w:rPr>
        <w:t xml:space="preserve">approach </w:t>
      </w:r>
      <w:r w:rsidR="000E1430">
        <w:rPr>
          <w:rFonts w:cstheme="minorHAnsi"/>
          <w:lang w:val="en-MY" w:eastAsia="en-AU"/>
        </w:rPr>
        <w:t xml:space="preserve">can have </w:t>
      </w:r>
      <w:r>
        <w:rPr>
          <w:rFonts w:cstheme="minorHAnsi"/>
          <w:lang w:val="en-MY" w:eastAsia="en-AU"/>
        </w:rPr>
        <w:t>clear benefits for the</w:t>
      </w:r>
      <w:r w:rsidR="000E1430">
        <w:rPr>
          <w:rFonts w:cstheme="minorHAnsi"/>
          <w:lang w:val="en-MY" w:eastAsia="en-AU"/>
        </w:rPr>
        <w:t xml:space="preserve"> primary client-dependent, occasions were observed whereby the level of support provided to the carer, seemed to go beyond what might be reasonably necessary to assist the primary client, for example, at times when the primary client wasn’t present</w:t>
      </w:r>
      <w:r w:rsidR="000224A2">
        <w:rPr>
          <w:rFonts w:cstheme="minorHAnsi"/>
          <w:lang w:val="en-MY" w:eastAsia="en-AU"/>
        </w:rPr>
        <w:t xml:space="preserve"> or didn’t directly benefit</w:t>
      </w:r>
      <w:r w:rsidR="000E1430">
        <w:rPr>
          <w:rFonts w:cstheme="minorHAnsi"/>
          <w:lang w:val="en-MY" w:eastAsia="en-AU"/>
        </w:rPr>
        <w:t xml:space="preserve">. </w:t>
      </w:r>
      <w:r w:rsidR="000224A2">
        <w:rPr>
          <w:rFonts w:cstheme="minorHAnsi"/>
          <w:lang w:val="en-MY" w:eastAsia="en-AU"/>
        </w:rPr>
        <w:t>F</w:t>
      </w:r>
      <w:r w:rsidR="00F72521" w:rsidRPr="00B21295">
        <w:rPr>
          <w:rFonts w:cstheme="minorHAnsi"/>
          <w:lang w:val="en-MY" w:eastAsia="en-AU"/>
        </w:rPr>
        <w:t xml:space="preserve">urther practice-guidance may </w:t>
      </w:r>
      <w:r w:rsidR="000224A2">
        <w:rPr>
          <w:rFonts w:cstheme="minorHAnsi"/>
          <w:lang w:val="en-MY" w:eastAsia="en-AU"/>
        </w:rPr>
        <w:t xml:space="preserve">therefore </w:t>
      </w:r>
      <w:r w:rsidR="00F72521" w:rsidRPr="00B21295">
        <w:rPr>
          <w:rFonts w:cstheme="minorHAnsi"/>
          <w:lang w:val="en-MY" w:eastAsia="en-AU"/>
        </w:rPr>
        <w:t xml:space="preserve">be required for case workers to </w:t>
      </w:r>
      <w:r w:rsidR="000F26FC" w:rsidRPr="00B21295">
        <w:rPr>
          <w:rFonts w:cstheme="minorHAnsi"/>
          <w:lang w:val="en-MY" w:eastAsia="en-AU"/>
        </w:rPr>
        <w:t>maximise the benefits of this approach and to avoid ‘missing the target’</w:t>
      </w:r>
      <w:r w:rsidR="00F72521" w:rsidRPr="00B21295">
        <w:rPr>
          <w:rFonts w:cstheme="minorHAnsi"/>
          <w:lang w:val="en-MY" w:eastAsia="en-AU"/>
        </w:rPr>
        <w:t>.</w:t>
      </w:r>
    </w:p>
    <w:p w14:paraId="788547C8" w14:textId="584DEFC7" w:rsidR="00E93D8A" w:rsidRPr="00B21295" w:rsidRDefault="00E93D8A" w:rsidP="00E93D8A">
      <w:pPr>
        <w:jc w:val="both"/>
        <w:rPr>
          <w:rFonts w:cstheme="minorHAnsi"/>
          <w:lang w:val="en-MY" w:eastAsia="en-AU"/>
        </w:rPr>
      </w:pPr>
    </w:p>
    <w:p w14:paraId="426F4ABF" w14:textId="64990C60" w:rsidR="00866183" w:rsidRPr="00B21295" w:rsidRDefault="00E93D8A" w:rsidP="00866183">
      <w:pPr>
        <w:jc w:val="both"/>
        <w:rPr>
          <w:rFonts w:cstheme="minorHAnsi"/>
          <w:lang w:val="en-MY" w:eastAsia="en-AU"/>
        </w:rPr>
      </w:pPr>
      <w:r w:rsidRPr="00B21295">
        <w:rPr>
          <w:rFonts w:cstheme="minorHAnsi"/>
          <w:lang w:val="en-MY" w:eastAsia="en-AU"/>
        </w:rPr>
        <w:t xml:space="preserve">Government regulations, parole compliance and insurance were also seen as an obstacle for services seeking to better engage adult and youth clients in </w:t>
      </w:r>
      <w:r w:rsidR="000F26FC" w:rsidRPr="00B21295">
        <w:rPr>
          <w:rFonts w:cstheme="minorHAnsi"/>
          <w:lang w:val="en-MY" w:eastAsia="en-AU"/>
        </w:rPr>
        <w:t xml:space="preserve">kin or </w:t>
      </w:r>
      <w:r w:rsidRPr="00B21295">
        <w:rPr>
          <w:rFonts w:cstheme="minorHAnsi"/>
          <w:lang w:val="en-MY" w:eastAsia="en-AU"/>
        </w:rPr>
        <w:t>peer groups</w:t>
      </w:r>
      <w:r w:rsidR="000F26FC" w:rsidRPr="00B21295">
        <w:rPr>
          <w:rFonts w:cstheme="minorHAnsi"/>
          <w:lang w:val="en-MY" w:eastAsia="en-AU"/>
        </w:rPr>
        <w:t xml:space="preserve"> beyond the immediate family; </w:t>
      </w:r>
      <w:r w:rsidRPr="00B21295">
        <w:rPr>
          <w:rFonts w:cstheme="minorHAnsi"/>
          <w:lang w:val="en-MY" w:eastAsia="en-AU"/>
        </w:rPr>
        <w:t xml:space="preserve">noting challenges with mixing genders and ages, and with overnight activities such as camping and outdoor pursuits, which were regarded as being in high demand but administratively challenging to deliver. </w:t>
      </w:r>
      <w:r w:rsidR="00997540" w:rsidRPr="00B21295">
        <w:rPr>
          <w:rFonts w:cstheme="minorHAnsi"/>
          <w:lang w:val="en-MY" w:eastAsia="en-AU"/>
        </w:rPr>
        <w:t>The case study below evidences the benefit for some clients of positive peer-to-peer engagement facilitated by case</w:t>
      </w:r>
      <w:r w:rsidR="00694565">
        <w:rPr>
          <w:rFonts w:cstheme="minorHAnsi"/>
          <w:lang w:val="en-MY" w:eastAsia="en-AU"/>
        </w:rPr>
        <w:t xml:space="preserve"> </w:t>
      </w:r>
      <w:r w:rsidR="00997540" w:rsidRPr="00B21295">
        <w:rPr>
          <w:rFonts w:cstheme="minorHAnsi"/>
          <w:lang w:val="en-MY" w:eastAsia="en-AU"/>
        </w:rPr>
        <w:t>workers</w:t>
      </w:r>
      <w:r w:rsidR="000224A2">
        <w:rPr>
          <w:rFonts w:cstheme="minorHAnsi"/>
          <w:lang w:val="en-MY" w:eastAsia="en-AU"/>
        </w:rPr>
        <w:t xml:space="preserve"> and where the case</w:t>
      </w:r>
      <w:r w:rsidR="00694565">
        <w:rPr>
          <w:rFonts w:cstheme="minorHAnsi"/>
          <w:lang w:val="en-MY" w:eastAsia="en-AU"/>
        </w:rPr>
        <w:t xml:space="preserve"> </w:t>
      </w:r>
      <w:r w:rsidR="000224A2">
        <w:rPr>
          <w:rFonts w:cstheme="minorHAnsi"/>
          <w:lang w:val="en-MY" w:eastAsia="en-AU"/>
        </w:rPr>
        <w:t>worker has connected a group of similar clients</w:t>
      </w:r>
      <w:r w:rsidR="00997540" w:rsidRPr="00B21295">
        <w:rPr>
          <w:rFonts w:cstheme="minorHAnsi"/>
          <w:lang w:val="en-MY" w:eastAsia="en-AU"/>
        </w:rPr>
        <w:t>.</w:t>
      </w:r>
    </w:p>
    <w:p w14:paraId="291FBD41" w14:textId="36FD4622" w:rsidR="00866183" w:rsidRPr="00B21295" w:rsidRDefault="008C11C7" w:rsidP="00866183">
      <w:pPr>
        <w:jc w:val="both"/>
        <w:rPr>
          <w:rFonts w:cstheme="minorHAnsi"/>
          <w:lang w:val="en-MY" w:eastAsia="en-AU"/>
        </w:rPr>
      </w:pPr>
      <w:r w:rsidRPr="00B21295">
        <w:rPr>
          <w:rFonts w:cstheme="minorHAnsi"/>
          <w:noProof/>
          <w:lang w:eastAsia="en-AU"/>
        </w:rPr>
        <mc:AlternateContent>
          <mc:Choice Requires="wps">
            <w:drawing>
              <wp:anchor distT="0" distB="0" distL="114300" distR="114300" simplePos="0" relativeHeight="251658294" behindDoc="0" locked="0" layoutInCell="1" allowOverlap="1" wp14:anchorId="4C62D18B" wp14:editId="2C17568D">
                <wp:simplePos x="0" y="0"/>
                <wp:positionH relativeFrom="column">
                  <wp:posOffset>36830</wp:posOffset>
                </wp:positionH>
                <wp:positionV relativeFrom="paragraph">
                  <wp:posOffset>84455</wp:posOffset>
                </wp:positionV>
                <wp:extent cx="5709920" cy="1477010"/>
                <wp:effectExtent l="12700" t="12700" r="17780" b="19050"/>
                <wp:wrapNone/>
                <wp:docPr id="2074446353" name="TextBox 5"/>
                <wp:cNvGraphicFramePr/>
                <a:graphic xmlns:a="http://schemas.openxmlformats.org/drawingml/2006/main">
                  <a:graphicData uri="http://schemas.microsoft.com/office/word/2010/wordprocessingShape">
                    <wps:wsp>
                      <wps:cNvSpPr txBox="1"/>
                      <wps:spPr>
                        <a:xfrm>
                          <a:off x="0" y="0"/>
                          <a:ext cx="570992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9E9D464" w14:textId="3805DFEB" w:rsidR="009C42F3" w:rsidRPr="00A23205" w:rsidRDefault="009C42F3" w:rsidP="00E7516C">
                            <w:pPr>
                              <w:rPr>
                                <w:rFonts w:hAnsi="Calibri" w:cs="Arial"/>
                                <w:color w:val="000000" w:themeColor="text1"/>
                                <w:kern w:val="24"/>
                                <w:sz w:val="20"/>
                                <w:szCs w:val="20"/>
                              </w:rPr>
                            </w:pPr>
                            <w:r>
                              <w:rPr>
                                <w:rFonts w:hAnsi="Calibri" w:cs="Arial"/>
                                <w:color w:val="000000" w:themeColor="text1"/>
                                <w:kern w:val="24"/>
                                <w:sz w:val="20"/>
                                <w:szCs w:val="20"/>
                              </w:rPr>
                              <w:t>Henry, Mick, and Darren are adult males living in a small regional town. They were all released from prison more than 2 years ago, but have struggled to reintegrate into the community, because of anxiety, shame and rejection given the sexual nature of their previous convictions. Henry and Mick regard themselves as being lucky because despite being on multi-year parole orders, they went to prison in this region and have been released locally to their hometown. Henry, Mick, and Darren like to hang out together, but don’t feel comfortable doing this at the local Men’s Shed. The three men meet up for breakfast each Friday and try a different café each week. Henry and Mick can afford to pay for this with their disability pension, but Darren is on job-seeker allowance. They always invite their through-care case worker along because of his knowledge of football and rugby. The case worker collects them in his car and usually pays for Darren’s meal</w:t>
                            </w:r>
                            <w:r w:rsidRPr="00F10FF8">
                              <w:rPr>
                                <w:rFonts w:hAnsi="Calibri" w:cs="Arial"/>
                                <w:color w:val="000000" w:themeColor="text1"/>
                                <w:kern w:val="24"/>
                                <w:sz w:val="20"/>
                                <w:szCs w:val="20"/>
                              </w:rPr>
                              <w:t xml:space="preserve">.   </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4C62D18B" id="_x0000_s1071" type="#_x0000_t202" style="position:absolute;left:0;text-align:left;margin-left:2.9pt;margin-top:6.65pt;width:449.6pt;height:116.3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" fillcolor="white [3201]" strokecolor="#4bacc6 [3208]" strokeweight="2pt">
                <v:textbox style="mso-fit-shape-to-text:t">
                  <w:txbxContent>
                    <w:p w14:paraId="29E9D464" w14:textId="3805DFEB" w:rsidR="009C42F3" w:rsidRPr="00A23205" w:rsidRDefault="009C42F3" w:rsidP="00E7516C">
                      <w:pPr>
                        <w:rPr>
                          <w:rFonts w:hAnsi="Calibri" w:cs="Arial"/>
                          <w:color w:val="000000" w:themeColor="text1"/>
                          <w:kern w:val="24"/>
                          <w:sz w:val="20"/>
                          <w:szCs w:val="20"/>
                        </w:rPr>
                      </w:pPr>
                      <w:r>
                        <w:rPr>
                          <w:rFonts w:hAnsi="Calibri" w:cs="Arial"/>
                          <w:color w:val="000000" w:themeColor="text1"/>
                          <w:kern w:val="24"/>
                          <w:sz w:val="20"/>
                          <w:szCs w:val="20"/>
                        </w:rPr>
                        <w:t>Henry, Mick, and Darren are adult males living in a small regional town. They were all released from prison more than 2 years ago, but have struggled to reintegrate into the community, because of anxiety, shame and rejection given the sexual nature of their previous convictions. Henry and Mick regard themselves as being lucky because despite being on multi-year parole orders, they went to prison in this region and have been released locally to their hometown. Henry, Mick, and Darren like to hang out together, but don’t feel comfortable doing this at the local Men’s Shed. The three men meet up for breakfast each Friday and try a different café each week. Henry and Mick can afford to pay for this with their disability pension, but Darren is on job-seeker allowance. They always invite their through-care case worker along because of his knowledge of football and rugby. The case worker collects them in his car and usually pays for Darren’s meal</w:t>
                      </w:r>
                      <w:r w:rsidRPr="00F10FF8">
                        <w:rPr>
                          <w:rFonts w:hAnsi="Calibri" w:cs="Arial"/>
                          <w:color w:val="000000" w:themeColor="text1"/>
                          <w:kern w:val="24"/>
                          <w:sz w:val="20"/>
                          <w:szCs w:val="20"/>
                        </w:rPr>
                        <w:t xml:space="preserve">.   </w:t>
                      </w:r>
                    </w:p>
                  </w:txbxContent>
                </v:textbox>
              </v:shape>
            </w:pict>
          </mc:Fallback>
        </mc:AlternateContent>
      </w:r>
    </w:p>
    <w:p w14:paraId="059971B1" w14:textId="36DE2EEB" w:rsidR="00866183" w:rsidRPr="00B21295" w:rsidRDefault="00866183" w:rsidP="00866183">
      <w:pPr>
        <w:jc w:val="both"/>
        <w:rPr>
          <w:rFonts w:cstheme="minorHAnsi"/>
          <w:lang w:val="en-MY" w:eastAsia="en-AU"/>
        </w:rPr>
      </w:pPr>
    </w:p>
    <w:p w14:paraId="46A4BF07" w14:textId="3A617E7A" w:rsidR="00866183" w:rsidRPr="00B21295" w:rsidRDefault="00866183" w:rsidP="00866183">
      <w:pPr>
        <w:jc w:val="both"/>
        <w:rPr>
          <w:rFonts w:cstheme="minorHAnsi"/>
          <w:lang w:val="en-MY" w:eastAsia="en-AU"/>
        </w:rPr>
      </w:pPr>
    </w:p>
    <w:p w14:paraId="21C43F97" w14:textId="29510169" w:rsidR="00C613F6" w:rsidRPr="00B21295" w:rsidRDefault="00C613F6" w:rsidP="00866183">
      <w:pPr>
        <w:jc w:val="both"/>
        <w:rPr>
          <w:rFonts w:cstheme="minorHAnsi"/>
          <w:lang w:val="en-MY" w:eastAsia="en-AU"/>
        </w:rPr>
      </w:pPr>
    </w:p>
    <w:p w14:paraId="00A735FF" w14:textId="422878B1" w:rsidR="00C613F6" w:rsidRPr="00B21295" w:rsidRDefault="00C613F6" w:rsidP="00866183">
      <w:pPr>
        <w:jc w:val="both"/>
        <w:rPr>
          <w:rFonts w:cstheme="minorHAnsi"/>
          <w:lang w:val="en-MY" w:eastAsia="en-AU"/>
        </w:rPr>
      </w:pPr>
    </w:p>
    <w:p w14:paraId="17BA7103" w14:textId="42B22225" w:rsidR="00866183" w:rsidRPr="00B21295" w:rsidRDefault="00866183" w:rsidP="00866183">
      <w:pPr>
        <w:jc w:val="both"/>
        <w:rPr>
          <w:rFonts w:cstheme="minorHAnsi"/>
          <w:lang w:val="en-MY" w:eastAsia="en-AU"/>
        </w:rPr>
      </w:pPr>
    </w:p>
    <w:p w14:paraId="77D039AE" w14:textId="0CEE8F54" w:rsidR="00866183" w:rsidRPr="00B21295" w:rsidRDefault="00866183" w:rsidP="00866183">
      <w:pPr>
        <w:jc w:val="both"/>
        <w:rPr>
          <w:rFonts w:cstheme="minorHAnsi"/>
          <w:lang w:val="en-MY" w:eastAsia="en-AU"/>
        </w:rPr>
      </w:pPr>
    </w:p>
    <w:p w14:paraId="1A252B80" w14:textId="77777777" w:rsidR="00866183" w:rsidRPr="00B21295" w:rsidRDefault="00866183" w:rsidP="00866183">
      <w:pPr>
        <w:jc w:val="both"/>
        <w:rPr>
          <w:rFonts w:cstheme="minorHAnsi"/>
          <w:lang w:val="en-MY" w:eastAsia="en-AU"/>
        </w:rPr>
      </w:pPr>
    </w:p>
    <w:p w14:paraId="24F639CD" w14:textId="77777777" w:rsidR="00024565" w:rsidRDefault="00024565" w:rsidP="00BC7517">
      <w:pPr>
        <w:jc w:val="both"/>
        <w:rPr>
          <w:rFonts w:cstheme="minorHAnsi"/>
          <w:lang w:val="en-MY" w:eastAsia="en-AU"/>
        </w:rPr>
      </w:pPr>
    </w:p>
    <w:p w14:paraId="448AEA8C" w14:textId="77777777" w:rsidR="00024565" w:rsidRDefault="00024565" w:rsidP="00BC7517">
      <w:pPr>
        <w:jc w:val="both"/>
        <w:rPr>
          <w:rFonts w:cstheme="minorHAnsi"/>
          <w:lang w:val="en-MY" w:eastAsia="en-AU"/>
        </w:rPr>
      </w:pPr>
    </w:p>
    <w:p w14:paraId="717865CD" w14:textId="77777777" w:rsidR="00024565" w:rsidRDefault="00024565" w:rsidP="00BC7517">
      <w:pPr>
        <w:jc w:val="both"/>
        <w:rPr>
          <w:rFonts w:cstheme="minorHAnsi"/>
          <w:lang w:val="en-MY" w:eastAsia="en-AU"/>
        </w:rPr>
      </w:pPr>
    </w:p>
    <w:p w14:paraId="4DBA1E13" w14:textId="2054D4E7" w:rsidR="00997540" w:rsidRPr="00BC7517" w:rsidRDefault="00997540" w:rsidP="00BC7517">
      <w:pPr>
        <w:jc w:val="both"/>
        <w:rPr>
          <w:rFonts w:cstheme="minorHAnsi"/>
          <w:lang w:val="en-MY" w:eastAsia="en-AU"/>
        </w:rPr>
      </w:pPr>
      <w:r w:rsidRPr="00B21295">
        <w:rPr>
          <w:rFonts w:cstheme="minorHAnsi"/>
          <w:lang w:val="en-MY" w:eastAsia="en-AU"/>
        </w:rPr>
        <w:t>To this extent, aspects of the models implemented were seen by clients and case workers alike to be somewhat lacking as an Indigenous approach, since activities to promote social interaction amongst peers are often limited and face various operational challenges. The suggestion was made by case</w:t>
      </w:r>
      <w:r w:rsidR="00694565">
        <w:rPr>
          <w:rFonts w:cstheme="minorHAnsi"/>
          <w:lang w:val="en-MY" w:eastAsia="en-AU"/>
        </w:rPr>
        <w:t xml:space="preserve"> </w:t>
      </w:r>
      <w:r w:rsidRPr="00B21295">
        <w:rPr>
          <w:rFonts w:cstheme="minorHAnsi"/>
          <w:lang w:val="en-MY" w:eastAsia="en-AU"/>
        </w:rPr>
        <w:t>workers that implementation of a truly Indigenous approach would better support collective social activity which brings client-peers together, over more formalised activities that are provided more formally as a service by a third-party organisation.</w:t>
      </w:r>
      <w:r w:rsidRPr="00866183">
        <w:rPr>
          <w:rFonts w:cstheme="minorHAnsi"/>
          <w:lang w:val="en-MY" w:eastAsia="en-AU"/>
        </w:rPr>
        <w:t xml:space="preserve"> </w:t>
      </w:r>
    </w:p>
    <w:p w14:paraId="0E3E404E" w14:textId="77777777" w:rsidR="00BC7517" w:rsidRDefault="00DB7526" w:rsidP="00BC7517">
      <w:pPr>
        <w:pStyle w:val="SUBHEAD2"/>
        <w:rPr>
          <w:rFonts w:asciiTheme="minorHAnsi" w:hAnsiTheme="minorHAnsi" w:cstheme="minorHAnsi"/>
          <w:lang w:val="en-MY" w:eastAsia="en-AU"/>
        </w:rPr>
      </w:pPr>
      <w:r w:rsidRPr="00BC7517">
        <w:rPr>
          <w:rFonts w:asciiTheme="minorHAnsi" w:hAnsiTheme="minorHAnsi" w:cstheme="minorHAnsi"/>
          <w:lang w:val="en-MY" w:eastAsia="en-AU"/>
        </w:rPr>
        <w:t xml:space="preserve">What is Working Well </w:t>
      </w:r>
      <w:r w:rsidR="00C9765E" w:rsidRPr="00BC7517">
        <w:rPr>
          <w:rFonts w:asciiTheme="minorHAnsi" w:hAnsiTheme="minorHAnsi" w:cstheme="minorHAnsi"/>
          <w:lang w:val="en-MY" w:eastAsia="en-AU"/>
        </w:rPr>
        <w:t xml:space="preserve">and </w:t>
      </w:r>
      <w:r w:rsidR="00CE3A3A" w:rsidRPr="00BC7517">
        <w:rPr>
          <w:rFonts w:asciiTheme="minorHAnsi" w:hAnsiTheme="minorHAnsi" w:cstheme="minorHAnsi"/>
          <w:lang w:val="en-MY" w:eastAsia="en-AU"/>
        </w:rPr>
        <w:t>Associated Enablers</w:t>
      </w:r>
    </w:p>
    <w:p w14:paraId="6EA0D4F8" w14:textId="77777777" w:rsidR="00BC7517" w:rsidRDefault="000224A2" w:rsidP="00C241C1">
      <w:pPr>
        <w:spacing w:before="120" w:after="120"/>
        <w:jc w:val="both"/>
        <w:rPr>
          <w:b/>
          <w:smallCaps/>
          <w:lang w:val="en-MY" w:eastAsia="en-AU"/>
        </w:rPr>
      </w:pPr>
      <w:r w:rsidRPr="00BC7517">
        <w:rPr>
          <w:lang w:val="en-MY" w:eastAsia="en-AU"/>
        </w:rPr>
        <w:t xml:space="preserve">The quality of case workers and by extension the level of support they receive to operate effectively and sustainably was found to be key to enabling services that are flexible and </w:t>
      </w:r>
      <w:r w:rsidR="00914E0E" w:rsidRPr="00BC7517">
        <w:rPr>
          <w:lang w:val="en-MY" w:eastAsia="en-AU"/>
        </w:rPr>
        <w:t>responsive to the needs of clients.</w:t>
      </w:r>
    </w:p>
    <w:p w14:paraId="39E9C775" w14:textId="64B8C5CF" w:rsidR="00BC7517" w:rsidRPr="00BC7517" w:rsidRDefault="007362EA" w:rsidP="00BC7517">
      <w:pPr>
        <w:pStyle w:val="SUBHEAD2"/>
        <w:jc w:val="both"/>
        <w:rPr>
          <w:rFonts w:asciiTheme="minorHAnsi" w:hAnsiTheme="minorHAnsi" w:cstheme="minorHAnsi"/>
          <w:b w:val="0"/>
          <w:i/>
          <w:iCs/>
          <w:smallCaps w:val="0"/>
          <w:color w:val="4F81BD" w:themeColor="accent1"/>
          <w:spacing w:val="0"/>
          <w:lang w:val="en-MY" w:eastAsia="en-AU"/>
        </w:rPr>
      </w:pPr>
      <w:r w:rsidRPr="00BC7517">
        <w:rPr>
          <w:rFonts w:asciiTheme="minorHAnsi" w:hAnsiTheme="minorHAnsi" w:cstheme="minorHAnsi"/>
          <w:b w:val="0"/>
          <w:i/>
          <w:iCs/>
          <w:smallCaps w:val="0"/>
          <w:color w:val="4F81BD" w:themeColor="accent1"/>
          <w:spacing w:val="0"/>
          <w:lang w:val="en-MY" w:eastAsia="en-AU"/>
        </w:rPr>
        <w:t>Through-Care Case</w:t>
      </w:r>
      <w:r w:rsidR="00694565">
        <w:rPr>
          <w:rFonts w:asciiTheme="minorHAnsi" w:hAnsiTheme="minorHAnsi" w:cstheme="minorHAnsi"/>
          <w:b w:val="0"/>
          <w:i/>
          <w:iCs/>
          <w:smallCaps w:val="0"/>
          <w:color w:val="4F81BD" w:themeColor="accent1"/>
          <w:spacing w:val="0"/>
          <w:lang w:val="en-MY" w:eastAsia="en-AU"/>
        </w:rPr>
        <w:t xml:space="preserve"> W</w:t>
      </w:r>
      <w:r w:rsidRPr="00BC7517">
        <w:rPr>
          <w:rFonts w:asciiTheme="minorHAnsi" w:hAnsiTheme="minorHAnsi" w:cstheme="minorHAnsi"/>
          <w:b w:val="0"/>
          <w:i/>
          <w:iCs/>
          <w:smallCaps w:val="0"/>
          <w:color w:val="4F81BD" w:themeColor="accent1"/>
          <w:spacing w:val="0"/>
          <w:lang w:val="en-MY" w:eastAsia="en-AU"/>
        </w:rPr>
        <w:t>orkers</w:t>
      </w:r>
    </w:p>
    <w:p w14:paraId="1DF39307" w14:textId="21FE7561" w:rsidR="00BA0ABC" w:rsidRPr="00BC7517" w:rsidRDefault="000A376F" w:rsidP="00C241C1">
      <w:pPr>
        <w:spacing w:before="120" w:after="120"/>
        <w:jc w:val="both"/>
        <w:rPr>
          <w:b/>
          <w:smallCaps/>
          <w:lang w:val="en-MY" w:eastAsia="en-AU"/>
        </w:rPr>
      </w:pPr>
      <w:r w:rsidRPr="00BC7517">
        <w:rPr>
          <w:lang w:val="en-MY" w:eastAsia="en-AU"/>
        </w:rPr>
        <w:t>According to service managers, t</w:t>
      </w:r>
      <w:r w:rsidR="00BF73BB" w:rsidRPr="00BC7517">
        <w:rPr>
          <w:lang w:val="en-MY" w:eastAsia="en-AU"/>
        </w:rPr>
        <w:t xml:space="preserve">he extent to which service providers are successfully onboarding new </w:t>
      </w:r>
      <w:r w:rsidRPr="00BC7517">
        <w:rPr>
          <w:lang w:val="en-MY" w:eastAsia="en-AU"/>
        </w:rPr>
        <w:t>case</w:t>
      </w:r>
      <w:r w:rsidR="0067602A" w:rsidRPr="00BC7517">
        <w:rPr>
          <w:lang w:val="en-MY" w:eastAsia="en-AU"/>
        </w:rPr>
        <w:t xml:space="preserve"> </w:t>
      </w:r>
      <w:r w:rsidRPr="00BC7517">
        <w:rPr>
          <w:lang w:val="en-MY" w:eastAsia="en-AU"/>
        </w:rPr>
        <w:t>worker</w:t>
      </w:r>
      <w:r w:rsidR="0067602A" w:rsidRPr="00BC7517">
        <w:rPr>
          <w:lang w:val="en-MY" w:eastAsia="en-AU"/>
        </w:rPr>
        <w:t>s</w:t>
      </w:r>
      <w:r w:rsidRPr="00BC7517">
        <w:rPr>
          <w:lang w:val="en-MY" w:eastAsia="en-AU"/>
        </w:rPr>
        <w:t xml:space="preserve"> </w:t>
      </w:r>
      <w:r w:rsidR="00BF73BB" w:rsidRPr="00BC7517">
        <w:rPr>
          <w:lang w:val="en-MY" w:eastAsia="en-AU"/>
        </w:rPr>
        <w:t xml:space="preserve">has historically been mixed, </w:t>
      </w:r>
      <w:r w:rsidRPr="00BC7517">
        <w:rPr>
          <w:lang w:val="en-MY" w:eastAsia="en-AU"/>
        </w:rPr>
        <w:t xml:space="preserve">even at </w:t>
      </w:r>
      <w:r w:rsidR="00BF73BB" w:rsidRPr="00BC7517">
        <w:rPr>
          <w:lang w:val="en-MY" w:eastAsia="en-AU"/>
        </w:rPr>
        <w:t>larger services w</w:t>
      </w:r>
      <w:r w:rsidR="0067602A" w:rsidRPr="00BC7517">
        <w:rPr>
          <w:lang w:val="en-MY" w:eastAsia="en-AU"/>
        </w:rPr>
        <w:t xml:space="preserve">ith more </w:t>
      </w:r>
      <w:r w:rsidRPr="00BC7517">
        <w:rPr>
          <w:lang w:val="en-MY" w:eastAsia="en-AU"/>
        </w:rPr>
        <w:t xml:space="preserve">established human resource management </w:t>
      </w:r>
      <w:r w:rsidR="00BF73BB" w:rsidRPr="00BC7517">
        <w:rPr>
          <w:lang w:val="en-MY" w:eastAsia="en-AU"/>
        </w:rPr>
        <w:t xml:space="preserve">systems. </w:t>
      </w:r>
      <w:r w:rsidRPr="00BC7517">
        <w:rPr>
          <w:lang w:val="en-MY" w:eastAsia="en-AU"/>
        </w:rPr>
        <w:t xml:space="preserve">In cases where </w:t>
      </w:r>
      <w:r w:rsidR="00BF73BB" w:rsidRPr="00BC7517">
        <w:rPr>
          <w:lang w:val="en-MY" w:eastAsia="en-AU"/>
        </w:rPr>
        <w:t xml:space="preserve">these </w:t>
      </w:r>
      <w:r w:rsidRPr="00BC7517">
        <w:rPr>
          <w:lang w:val="en-MY" w:eastAsia="en-AU"/>
        </w:rPr>
        <w:t xml:space="preserve">resources </w:t>
      </w:r>
      <w:r w:rsidR="00BF73BB" w:rsidRPr="00BC7517">
        <w:rPr>
          <w:lang w:val="en-MY" w:eastAsia="en-AU"/>
        </w:rPr>
        <w:t>have improved</w:t>
      </w:r>
      <w:r w:rsidRPr="00BC7517">
        <w:rPr>
          <w:lang w:val="en-MY" w:eastAsia="en-AU"/>
        </w:rPr>
        <w:t>, n</w:t>
      </w:r>
      <w:r w:rsidR="00BF73BB" w:rsidRPr="00BC7517">
        <w:rPr>
          <w:lang w:val="en-MY" w:eastAsia="en-AU"/>
        </w:rPr>
        <w:t xml:space="preserve">ew staff are provided with an </w:t>
      </w:r>
      <w:r w:rsidR="00CA7FDE" w:rsidRPr="00BC7517">
        <w:rPr>
          <w:lang w:val="en-MY" w:eastAsia="en-AU"/>
        </w:rPr>
        <w:t>induction pack</w:t>
      </w:r>
      <w:r w:rsidR="00BF73BB" w:rsidRPr="00BC7517">
        <w:rPr>
          <w:lang w:val="en-MY" w:eastAsia="en-AU"/>
        </w:rPr>
        <w:t xml:space="preserve"> inclusive of program level and organisational </w:t>
      </w:r>
      <w:r w:rsidR="00CA7FDE" w:rsidRPr="00BC7517">
        <w:rPr>
          <w:lang w:val="en-MY" w:eastAsia="en-AU"/>
        </w:rPr>
        <w:t xml:space="preserve">policies and procedures, </w:t>
      </w:r>
      <w:r w:rsidR="00BF73BB" w:rsidRPr="00BC7517">
        <w:rPr>
          <w:lang w:val="en-MY" w:eastAsia="en-AU"/>
        </w:rPr>
        <w:t xml:space="preserve">and will </w:t>
      </w:r>
      <w:r w:rsidR="00CA7FDE" w:rsidRPr="00BC7517">
        <w:rPr>
          <w:lang w:val="en-MY" w:eastAsia="en-AU"/>
        </w:rPr>
        <w:t xml:space="preserve">receive </w:t>
      </w:r>
      <w:r w:rsidR="00BF73BB" w:rsidRPr="00BC7517">
        <w:rPr>
          <w:lang w:val="en-MY" w:eastAsia="en-AU"/>
        </w:rPr>
        <w:t xml:space="preserve">a range of </w:t>
      </w:r>
      <w:r w:rsidR="00CA7FDE" w:rsidRPr="00BC7517">
        <w:rPr>
          <w:lang w:val="en-MY" w:eastAsia="en-AU"/>
        </w:rPr>
        <w:t>mandatory training</w:t>
      </w:r>
      <w:r w:rsidR="00BF73BB" w:rsidRPr="00BC7517">
        <w:rPr>
          <w:lang w:val="en-MY" w:eastAsia="en-AU"/>
        </w:rPr>
        <w:t xml:space="preserve">, </w:t>
      </w:r>
      <w:r w:rsidR="00E34F1F" w:rsidRPr="00BC7517">
        <w:rPr>
          <w:lang w:val="en-MY" w:eastAsia="en-AU"/>
        </w:rPr>
        <w:t xml:space="preserve">on-the-job </w:t>
      </w:r>
      <w:r w:rsidR="00BF1291" w:rsidRPr="00BC7517">
        <w:rPr>
          <w:lang w:val="en-MY" w:eastAsia="en-AU"/>
        </w:rPr>
        <w:t xml:space="preserve">training </w:t>
      </w:r>
      <w:r w:rsidR="00E34F1F" w:rsidRPr="00BC7517">
        <w:rPr>
          <w:lang w:val="en-MY" w:eastAsia="en-AU"/>
        </w:rPr>
        <w:t xml:space="preserve">with a </w:t>
      </w:r>
      <w:r w:rsidR="000C3E7E" w:rsidRPr="00BC7517">
        <w:rPr>
          <w:lang w:val="en-MY" w:eastAsia="en-AU"/>
        </w:rPr>
        <w:t>‘</w:t>
      </w:r>
      <w:r w:rsidR="00E34F1F" w:rsidRPr="00BC7517">
        <w:rPr>
          <w:lang w:val="en-MY" w:eastAsia="en-AU"/>
        </w:rPr>
        <w:t>buddy</w:t>
      </w:r>
      <w:r w:rsidR="000C3E7E" w:rsidRPr="00BC7517">
        <w:rPr>
          <w:lang w:val="en-MY" w:eastAsia="en-AU"/>
        </w:rPr>
        <w:t>’</w:t>
      </w:r>
      <w:r w:rsidR="00E34F1F" w:rsidRPr="00BC7517">
        <w:rPr>
          <w:lang w:val="en-MY" w:eastAsia="en-AU"/>
        </w:rPr>
        <w:t xml:space="preserve">, and </w:t>
      </w:r>
      <w:r w:rsidR="00BF73BB" w:rsidRPr="00BC7517">
        <w:rPr>
          <w:lang w:val="en-MY" w:eastAsia="en-AU"/>
        </w:rPr>
        <w:t xml:space="preserve">ongoing access to further training and professional development opportunities </w:t>
      </w:r>
      <w:r w:rsidR="00BF1291" w:rsidRPr="00BC7517">
        <w:rPr>
          <w:lang w:val="en-MY" w:eastAsia="en-AU"/>
        </w:rPr>
        <w:t>(</w:t>
      </w:r>
      <w:r w:rsidRPr="00BC7517">
        <w:rPr>
          <w:lang w:val="en-MY" w:eastAsia="en-AU"/>
        </w:rPr>
        <w:t xml:space="preserve">should </w:t>
      </w:r>
      <w:r w:rsidR="00E34F1F" w:rsidRPr="00BC7517">
        <w:rPr>
          <w:lang w:val="en-MY" w:eastAsia="en-AU"/>
        </w:rPr>
        <w:t xml:space="preserve">regular performance reviews </w:t>
      </w:r>
      <w:r w:rsidRPr="00BC7517">
        <w:rPr>
          <w:lang w:val="en-MY" w:eastAsia="en-AU"/>
        </w:rPr>
        <w:t xml:space="preserve">be </w:t>
      </w:r>
      <w:r w:rsidR="00E34F1F" w:rsidRPr="00BC7517">
        <w:rPr>
          <w:lang w:val="en-MY" w:eastAsia="en-AU"/>
        </w:rPr>
        <w:t>undertaken</w:t>
      </w:r>
      <w:r w:rsidR="00BF1291" w:rsidRPr="00BC7517">
        <w:rPr>
          <w:lang w:val="en-MY" w:eastAsia="en-AU"/>
        </w:rPr>
        <w:t>)</w:t>
      </w:r>
      <w:r w:rsidR="00BF73BB" w:rsidRPr="00BC7517">
        <w:rPr>
          <w:lang w:val="en-MY" w:eastAsia="en-AU"/>
        </w:rPr>
        <w:t>.</w:t>
      </w:r>
      <w:r w:rsidR="00BF1291" w:rsidRPr="00BC7517">
        <w:rPr>
          <w:lang w:val="en-MY" w:eastAsia="en-AU"/>
        </w:rPr>
        <w:t xml:space="preserve"> S</w:t>
      </w:r>
      <w:r w:rsidR="00650404" w:rsidRPr="00BC7517">
        <w:rPr>
          <w:lang w:val="en-MY" w:eastAsia="en-AU"/>
        </w:rPr>
        <w:t>ome services</w:t>
      </w:r>
      <w:r w:rsidR="00BF1291" w:rsidRPr="00BC7517">
        <w:rPr>
          <w:lang w:val="en-MY" w:eastAsia="en-AU"/>
        </w:rPr>
        <w:t xml:space="preserve"> use a software application</w:t>
      </w:r>
      <w:r w:rsidR="00650404" w:rsidRPr="00BC7517">
        <w:rPr>
          <w:lang w:val="en-MY" w:eastAsia="en-AU"/>
        </w:rPr>
        <w:t>,</w:t>
      </w:r>
      <w:r w:rsidR="00FF4147" w:rsidRPr="00BC7517">
        <w:rPr>
          <w:lang w:val="en-MY" w:eastAsia="en-AU"/>
        </w:rPr>
        <w:t xml:space="preserve"> </w:t>
      </w:r>
      <w:r w:rsidR="00BF1291" w:rsidRPr="00BC7517">
        <w:rPr>
          <w:lang w:val="en-MY" w:eastAsia="en-AU"/>
        </w:rPr>
        <w:t>such as Employment Hero</w:t>
      </w:r>
      <w:r w:rsidR="00650404" w:rsidRPr="00BC7517">
        <w:rPr>
          <w:lang w:val="en-MY" w:eastAsia="en-AU"/>
        </w:rPr>
        <w:t>,</w:t>
      </w:r>
      <w:r w:rsidR="00BF1291" w:rsidRPr="00BC7517">
        <w:rPr>
          <w:lang w:val="en-MY" w:eastAsia="en-AU"/>
        </w:rPr>
        <w:t xml:space="preserve"> to guide the performance review process</w:t>
      </w:r>
      <w:r w:rsidR="00DA1AD6" w:rsidRPr="00BC7517">
        <w:rPr>
          <w:lang w:val="en-MY" w:eastAsia="en-AU"/>
        </w:rPr>
        <w:t xml:space="preserve">, </w:t>
      </w:r>
      <w:r w:rsidR="00BF1291" w:rsidRPr="00BC7517">
        <w:rPr>
          <w:lang w:val="en-MY" w:eastAsia="en-AU"/>
        </w:rPr>
        <w:t>and to ensure teams undertake the required modules and hours of core training</w:t>
      </w:r>
      <w:r w:rsidR="00DA1AD6" w:rsidRPr="00BC7517">
        <w:rPr>
          <w:lang w:val="en-MY" w:eastAsia="en-AU"/>
        </w:rPr>
        <w:t xml:space="preserve">, as well as </w:t>
      </w:r>
      <w:r w:rsidR="000C3E7E" w:rsidRPr="00BC7517">
        <w:rPr>
          <w:lang w:val="en-MY" w:eastAsia="en-AU"/>
        </w:rPr>
        <w:t xml:space="preserve">to </w:t>
      </w:r>
      <w:r w:rsidR="00DA1AD6" w:rsidRPr="00BC7517">
        <w:rPr>
          <w:lang w:val="en-MY" w:eastAsia="en-AU"/>
        </w:rPr>
        <w:t>record professional development opportunities</w:t>
      </w:r>
      <w:r w:rsidR="00BF1291" w:rsidRPr="00BC7517">
        <w:rPr>
          <w:lang w:val="en-MY" w:eastAsia="en-AU"/>
        </w:rPr>
        <w:t>.</w:t>
      </w:r>
    </w:p>
    <w:p w14:paraId="3F6C62BC" w14:textId="2598F6E9" w:rsidR="00BA0ABC" w:rsidRDefault="00E34F1F" w:rsidP="007C411F">
      <w:pPr>
        <w:jc w:val="both"/>
        <w:rPr>
          <w:rFonts w:cstheme="minorHAnsi"/>
          <w:lang w:val="en-MY" w:eastAsia="en-AU"/>
        </w:rPr>
      </w:pPr>
      <w:r w:rsidRPr="00BA0ABC">
        <w:rPr>
          <w:rFonts w:cstheme="minorHAnsi"/>
          <w:lang w:val="en-MY" w:eastAsia="en-AU"/>
        </w:rPr>
        <w:t>The level of o</w:t>
      </w:r>
      <w:r w:rsidR="00CA7FDE" w:rsidRPr="00BA0ABC">
        <w:rPr>
          <w:rFonts w:cstheme="minorHAnsi"/>
          <w:lang w:val="en-MY" w:eastAsia="en-AU"/>
        </w:rPr>
        <w:t xml:space="preserve">ngoing support and mentoring </w:t>
      </w:r>
      <w:r w:rsidRPr="00BA0ABC">
        <w:rPr>
          <w:rFonts w:cstheme="minorHAnsi"/>
          <w:lang w:val="en-MY" w:eastAsia="en-AU"/>
        </w:rPr>
        <w:t xml:space="preserve">provided by managers to case workers has also historically varied, but based on the interviews </w:t>
      </w:r>
      <w:r w:rsidR="000A376F">
        <w:rPr>
          <w:rFonts w:cstheme="minorHAnsi"/>
          <w:lang w:val="en-MY" w:eastAsia="en-AU"/>
        </w:rPr>
        <w:t>with service managers and case workers</w:t>
      </w:r>
      <w:r w:rsidRPr="00BA0ABC">
        <w:rPr>
          <w:rFonts w:cstheme="minorHAnsi"/>
          <w:lang w:val="en-MY" w:eastAsia="en-AU"/>
        </w:rPr>
        <w:t xml:space="preserve">, </w:t>
      </w:r>
      <w:r w:rsidR="000A376F">
        <w:rPr>
          <w:rFonts w:cstheme="minorHAnsi"/>
          <w:lang w:val="en-MY" w:eastAsia="en-AU"/>
        </w:rPr>
        <w:t xml:space="preserve">this is also beginning to </w:t>
      </w:r>
      <w:r w:rsidRPr="00BA0ABC">
        <w:rPr>
          <w:rFonts w:cstheme="minorHAnsi"/>
          <w:lang w:val="en-MY" w:eastAsia="en-AU"/>
        </w:rPr>
        <w:t xml:space="preserve">improve </w:t>
      </w:r>
      <w:r w:rsidR="000A376F">
        <w:rPr>
          <w:rFonts w:cstheme="minorHAnsi"/>
          <w:lang w:val="en-MY" w:eastAsia="en-AU"/>
        </w:rPr>
        <w:t>at larger services</w:t>
      </w:r>
      <w:r w:rsidR="00CA7FDE" w:rsidRPr="00BA0ABC">
        <w:rPr>
          <w:rFonts w:cstheme="minorHAnsi"/>
          <w:lang w:val="en-MY" w:eastAsia="en-AU"/>
        </w:rPr>
        <w:t>.</w:t>
      </w:r>
      <w:r w:rsidRPr="00BA0ABC">
        <w:rPr>
          <w:rFonts w:cstheme="minorHAnsi"/>
          <w:lang w:val="en-MY" w:eastAsia="en-AU"/>
        </w:rPr>
        <w:t xml:space="preserve"> </w:t>
      </w:r>
      <w:r w:rsidR="000A376F">
        <w:rPr>
          <w:rFonts w:cstheme="minorHAnsi"/>
          <w:lang w:val="en-MY" w:eastAsia="en-AU"/>
        </w:rPr>
        <w:t>At most services</w:t>
      </w:r>
      <w:r w:rsidRPr="00BA0ABC">
        <w:rPr>
          <w:rFonts w:cstheme="minorHAnsi"/>
          <w:lang w:val="en-MY" w:eastAsia="en-AU"/>
        </w:rPr>
        <w:t>, case workers commented on their close and effective working relationships with their program manager, with whom they felt comfortable discussing staff wellbeing issues</w:t>
      </w:r>
      <w:r w:rsidR="00CA7FDE" w:rsidRPr="00BA0ABC">
        <w:rPr>
          <w:rFonts w:cstheme="minorHAnsi"/>
          <w:lang w:val="en-MY" w:eastAsia="en-AU"/>
        </w:rPr>
        <w:t xml:space="preserve">. </w:t>
      </w:r>
      <w:r w:rsidRPr="00BA0ABC">
        <w:rPr>
          <w:rFonts w:cstheme="minorHAnsi"/>
          <w:lang w:val="en-MY" w:eastAsia="en-AU"/>
        </w:rPr>
        <w:t xml:space="preserve">All teams have access to an </w:t>
      </w:r>
      <w:r w:rsidR="00CA7FDE" w:rsidRPr="00BA0ABC">
        <w:rPr>
          <w:rFonts w:cstheme="minorHAnsi"/>
          <w:lang w:val="en-MY" w:eastAsia="en-AU"/>
        </w:rPr>
        <w:t>E</w:t>
      </w:r>
      <w:r w:rsidR="00721E4B" w:rsidRPr="00BA0ABC">
        <w:rPr>
          <w:rFonts w:cstheme="minorHAnsi"/>
          <w:lang w:val="en-MY" w:eastAsia="en-AU"/>
        </w:rPr>
        <w:t xml:space="preserve">mployee </w:t>
      </w:r>
      <w:r w:rsidR="00CA7FDE" w:rsidRPr="00BA0ABC">
        <w:rPr>
          <w:rFonts w:cstheme="minorHAnsi"/>
          <w:lang w:val="en-MY" w:eastAsia="en-AU"/>
        </w:rPr>
        <w:t>A</w:t>
      </w:r>
      <w:r w:rsidR="00721E4B" w:rsidRPr="00BA0ABC">
        <w:rPr>
          <w:rFonts w:cstheme="minorHAnsi"/>
          <w:lang w:val="en-MY" w:eastAsia="en-AU"/>
        </w:rPr>
        <w:t xml:space="preserve">ssistance </w:t>
      </w:r>
      <w:r w:rsidR="00CA7FDE" w:rsidRPr="00BA0ABC">
        <w:rPr>
          <w:rFonts w:cstheme="minorHAnsi"/>
          <w:lang w:val="en-MY" w:eastAsia="en-AU"/>
        </w:rPr>
        <w:t>P</w:t>
      </w:r>
      <w:r w:rsidR="00721E4B" w:rsidRPr="00BA0ABC">
        <w:rPr>
          <w:rFonts w:cstheme="minorHAnsi"/>
          <w:lang w:val="en-MY" w:eastAsia="en-AU"/>
        </w:rPr>
        <w:t>rogramme</w:t>
      </w:r>
      <w:r w:rsidR="0096266B">
        <w:rPr>
          <w:rFonts w:cstheme="minorHAnsi"/>
          <w:lang w:val="en-MY" w:eastAsia="en-AU"/>
        </w:rPr>
        <w:t xml:space="preserve"> (EAP)</w:t>
      </w:r>
      <w:r w:rsidRPr="00BA0ABC">
        <w:rPr>
          <w:rFonts w:cstheme="minorHAnsi"/>
          <w:lang w:val="en-MY" w:eastAsia="en-AU"/>
        </w:rPr>
        <w:t xml:space="preserve">, with </w:t>
      </w:r>
      <w:r w:rsidR="003F65ED">
        <w:rPr>
          <w:rFonts w:cstheme="minorHAnsi"/>
          <w:lang w:val="en-MY" w:eastAsia="en-AU"/>
        </w:rPr>
        <w:t xml:space="preserve">some services </w:t>
      </w:r>
      <w:r w:rsidRPr="00BA0ABC">
        <w:rPr>
          <w:rFonts w:cstheme="minorHAnsi"/>
          <w:lang w:val="en-MY" w:eastAsia="en-AU"/>
        </w:rPr>
        <w:t xml:space="preserve">providing </w:t>
      </w:r>
      <w:r w:rsidR="00CA7FDE" w:rsidRPr="00BA0ABC">
        <w:rPr>
          <w:rFonts w:cstheme="minorHAnsi"/>
          <w:lang w:val="en-MY" w:eastAsia="en-AU"/>
        </w:rPr>
        <w:t xml:space="preserve">in-house training in psychological safety </w:t>
      </w:r>
      <w:r w:rsidR="00BF1291" w:rsidRPr="00BA0ABC">
        <w:rPr>
          <w:rFonts w:cstheme="minorHAnsi"/>
          <w:lang w:val="en-MY" w:eastAsia="en-AU"/>
        </w:rPr>
        <w:t xml:space="preserve">and </w:t>
      </w:r>
      <w:r w:rsidR="00600D56" w:rsidRPr="00BA0ABC">
        <w:rPr>
          <w:rFonts w:cstheme="minorHAnsi"/>
          <w:lang w:val="en-MY" w:eastAsia="en-AU"/>
        </w:rPr>
        <w:t xml:space="preserve">vicarious trauma, as well as </w:t>
      </w:r>
      <w:r w:rsidR="00BF1291" w:rsidRPr="00BA0ABC">
        <w:rPr>
          <w:rFonts w:cstheme="minorHAnsi"/>
          <w:lang w:val="en-MY" w:eastAsia="en-AU"/>
        </w:rPr>
        <w:t>providing access to clinical and cultural supervision</w:t>
      </w:r>
      <w:r w:rsidR="00DA1AD6" w:rsidRPr="00BA0ABC">
        <w:rPr>
          <w:rFonts w:cstheme="minorHAnsi"/>
          <w:lang w:val="en-MY" w:eastAsia="en-AU"/>
        </w:rPr>
        <w:t xml:space="preserve"> if external </w:t>
      </w:r>
      <w:r w:rsidR="00600D56" w:rsidRPr="00BA0ABC">
        <w:rPr>
          <w:rFonts w:cstheme="minorHAnsi"/>
          <w:lang w:val="en-MY" w:eastAsia="en-AU"/>
        </w:rPr>
        <w:t xml:space="preserve">support </w:t>
      </w:r>
      <w:r w:rsidR="00DA1AD6" w:rsidRPr="00BA0ABC">
        <w:rPr>
          <w:rFonts w:cstheme="minorHAnsi"/>
          <w:lang w:val="en-MY" w:eastAsia="en-AU"/>
        </w:rPr>
        <w:t>is needed</w:t>
      </w:r>
      <w:r w:rsidR="00CA7FDE" w:rsidRPr="00BA0ABC">
        <w:rPr>
          <w:rFonts w:cstheme="minorHAnsi"/>
          <w:lang w:val="en-MY" w:eastAsia="en-AU"/>
        </w:rPr>
        <w:t>.</w:t>
      </w:r>
      <w:r w:rsidR="00600D56" w:rsidRPr="00BA0ABC">
        <w:rPr>
          <w:rFonts w:cstheme="minorHAnsi"/>
          <w:lang w:val="en-MY" w:eastAsia="en-AU"/>
        </w:rPr>
        <w:t xml:space="preserve"> Most services conduct regular team meetings, both in sub-groups based on geography and at a service-wide level, and while exceptions </w:t>
      </w:r>
      <w:r w:rsidR="004A31BC" w:rsidRPr="00BA0ABC">
        <w:rPr>
          <w:rFonts w:cstheme="minorHAnsi"/>
          <w:lang w:val="en-MY" w:eastAsia="en-AU"/>
        </w:rPr>
        <w:t>exist -</w:t>
      </w:r>
      <w:r w:rsidR="00600D56" w:rsidRPr="00BA0ABC">
        <w:rPr>
          <w:rFonts w:cstheme="minorHAnsi"/>
          <w:lang w:val="en-MY" w:eastAsia="en-AU"/>
        </w:rPr>
        <w:t xml:space="preserve"> based </w:t>
      </w:r>
      <w:r w:rsidR="00DC6412" w:rsidRPr="00BA0ABC">
        <w:rPr>
          <w:rFonts w:cstheme="minorHAnsi"/>
          <w:lang w:val="en-MY" w:eastAsia="en-AU"/>
        </w:rPr>
        <w:t>on</w:t>
      </w:r>
      <w:r w:rsidR="003F65ED">
        <w:rPr>
          <w:rFonts w:cstheme="minorHAnsi"/>
          <w:lang w:val="en-MY" w:eastAsia="en-AU"/>
        </w:rPr>
        <w:t xml:space="preserve"> </w:t>
      </w:r>
      <w:r w:rsidR="00600D56" w:rsidRPr="00BA0ABC">
        <w:rPr>
          <w:rFonts w:cstheme="minorHAnsi"/>
          <w:lang w:val="en-MY" w:eastAsia="en-AU"/>
        </w:rPr>
        <w:t>interviews with case workers</w:t>
      </w:r>
      <w:r w:rsidR="004A31BC" w:rsidRPr="00BA0ABC">
        <w:rPr>
          <w:rFonts w:cstheme="minorHAnsi"/>
          <w:lang w:val="en-MY" w:eastAsia="en-AU"/>
        </w:rPr>
        <w:t xml:space="preserve"> - </w:t>
      </w:r>
      <w:r w:rsidR="00600D56" w:rsidRPr="00BA0ABC">
        <w:rPr>
          <w:rFonts w:cstheme="minorHAnsi"/>
          <w:lang w:val="en-MY" w:eastAsia="en-AU"/>
        </w:rPr>
        <w:t>the workplace culture of most services is supportive.</w:t>
      </w:r>
    </w:p>
    <w:p w14:paraId="7C3C684F" w14:textId="77777777" w:rsidR="00BA0ABC" w:rsidRDefault="00BA0ABC" w:rsidP="007C411F">
      <w:pPr>
        <w:jc w:val="both"/>
        <w:rPr>
          <w:rFonts w:cstheme="minorHAnsi"/>
          <w:lang w:val="en-MY" w:eastAsia="en-AU"/>
        </w:rPr>
      </w:pPr>
    </w:p>
    <w:p w14:paraId="203269B0" w14:textId="36C0CF7A" w:rsidR="00BA0ABC" w:rsidRDefault="00E34F1F" w:rsidP="007C411F">
      <w:pPr>
        <w:jc w:val="both"/>
        <w:rPr>
          <w:rFonts w:cstheme="minorHAnsi"/>
          <w:lang w:val="en-MY" w:eastAsia="en-AU"/>
        </w:rPr>
      </w:pPr>
      <w:r w:rsidRPr="00BA0ABC">
        <w:rPr>
          <w:rFonts w:cstheme="minorHAnsi"/>
          <w:lang w:val="en-MY" w:eastAsia="en-AU"/>
        </w:rPr>
        <w:t>Although recruitment of experienced and qualified staff is an ongoing challenge</w:t>
      </w:r>
      <w:r w:rsidR="007A4A9B" w:rsidRPr="00BA0ABC">
        <w:rPr>
          <w:rFonts w:cstheme="minorHAnsi"/>
          <w:lang w:val="en-MY" w:eastAsia="en-AU"/>
        </w:rPr>
        <w:t>, the reported high quality of case work staff in many instances – by management and clients alike – should be noted</w:t>
      </w:r>
      <w:r w:rsidR="008F6EDB" w:rsidRPr="00BA0ABC">
        <w:rPr>
          <w:rFonts w:cstheme="minorHAnsi"/>
          <w:lang w:val="en-MY" w:eastAsia="en-AU"/>
        </w:rPr>
        <w:t>.</w:t>
      </w:r>
      <w:r w:rsidR="007A4A9B" w:rsidRPr="00BA0ABC">
        <w:rPr>
          <w:rFonts w:cstheme="minorHAnsi"/>
          <w:lang w:val="en-MY" w:eastAsia="en-AU"/>
        </w:rPr>
        <w:t xml:space="preserve"> At smaller services where staff turnover was less of an issue, long serving</w:t>
      </w:r>
      <w:r w:rsidR="00345F22">
        <w:rPr>
          <w:rFonts w:cstheme="minorHAnsi"/>
          <w:lang w:val="en-MY" w:eastAsia="en-AU"/>
        </w:rPr>
        <w:t xml:space="preserve"> </w:t>
      </w:r>
      <w:r w:rsidR="00EA7FE3" w:rsidRPr="00BA0ABC">
        <w:rPr>
          <w:rFonts w:cstheme="minorHAnsi"/>
          <w:lang w:val="en-MY" w:eastAsia="en-AU"/>
        </w:rPr>
        <w:t>case worker</w:t>
      </w:r>
      <w:r w:rsidR="007A4A9B" w:rsidRPr="00BA0ABC">
        <w:rPr>
          <w:rFonts w:cstheme="minorHAnsi"/>
          <w:lang w:val="en-MY" w:eastAsia="en-AU"/>
        </w:rPr>
        <w:t xml:space="preserve"> teams had many years of cumulative </w:t>
      </w:r>
      <w:r w:rsidR="00EA7FE3" w:rsidRPr="00BA0ABC">
        <w:rPr>
          <w:rFonts w:cstheme="minorHAnsi"/>
          <w:lang w:val="en-MY" w:eastAsia="en-AU"/>
        </w:rPr>
        <w:t xml:space="preserve">experience </w:t>
      </w:r>
      <w:r w:rsidR="007A4A9B" w:rsidRPr="00BA0ABC">
        <w:rPr>
          <w:rFonts w:cstheme="minorHAnsi"/>
          <w:lang w:val="en-MY" w:eastAsia="en-AU"/>
        </w:rPr>
        <w:t xml:space="preserve">and effectively balanced the need for </w:t>
      </w:r>
      <w:r w:rsidR="00B73772" w:rsidRPr="00BA0ABC">
        <w:rPr>
          <w:rFonts w:cstheme="minorHAnsi"/>
          <w:lang w:val="en-MY" w:eastAsia="en-AU"/>
        </w:rPr>
        <w:t>lived experience</w:t>
      </w:r>
      <w:r w:rsidR="007A4A9B" w:rsidRPr="00BA0ABC">
        <w:rPr>
          <w:rFonts w:cstheme="minorHAnsi"/>
          <w:lang w:val="en-MY" w:eastAsia="en-AU"/>
        </w:rPr>
        <w:t xml:space="preserve"> and empathy with the requisite qualifications and technical expertise. </w:t>
      </w:r>
      <w:r w:rsidR="003F65ED">
        <w:rPr>
          <w:rFonts w:cstheme="minorHAnsi"/>
          <w:lang w:val="en-MY" w:eastAsia="en-AU"/>
        </w:rPr>
        <w:t>At s</w:t>
      </w:r>
      <w:r w:rsidR="00AF611B" w:rsidRPr="00BA0ABC">
        <w:rPr>
          <w:rFonts w:cstheme="minorHAnsi"/>
          <w:lang w:val="en-MY" w:eastAsia="en-AU"/>
        </w:rPr>
        <w:t>ome</w:t>
      </w:r>
      <w:r w:rsidR="007A4A9B" w:rsidRPr="00BA0ABC">
        <w:rPr>
          <w:rFonts w:cstheme="minorHAnsi"/>
          <w:lang w:val="en-MY" w:eastAsia="en-AU"/>
        </w:rPr>
        <w:t xml:space="preserve"> services t</w:t>
      </w:r>
      <w:r w:rsidR="00360CC4" w:rsidRPr="00BA0ABC">
        <w:rPr>
          <w:rFonts w:cstheme="minorHAnsi"/>
          <w:lang w:val="en-MY" w:eastAsia="en-AU"/>
        </w:rPr>
        <w:t>here is</w:t>
      </w:r>
      <w:r w:rsidR="00600D56" w:rsidRPr="00BA0ABC">
        <w:rPr>
          <w:rFonts w:cstheme="minorHAnsi"/>
          <w:lang w:val="en-MY" w:eastAsia="en-AU"/>
        </w:rPr>
        <w:t xml:space="preserve"> </w:t>
      </w:r>
      <w:r w:rsidR="00360CC4" w:rsidRPr="00BA0ABC">
        <w:rPr>
          <w:rFonts w:cstheme="minorHAnsi"/>
          <w:lang w:val="en-MY" w:eastAsia="en-AU"/>
        </w:rPr>
        <w:t xml:space="preserve">an expectation that staff will have a Cert IV or </w:t>
      </w:r>
      <w:r w:rsidR="007A4A9B" w:rsidRPr="00BA0ABC">
        <w:rPr>
          <w:rFonts w:cstheme="minorHAnsi"/>
          <w:lang w:val="en-MY" w:eastAsia="en-AU"/>
        </w:rPr>
        <w:t>D</w:t>
      </w:r>
      <w:r w:rsidR="00360CC4" w:rsidRPr="00BA0ABC">
        <w:rPr>
          <w:rFonts w:cstheme="minorHAnsi"/>
          <w:lang w:val="en-MY" w:eastAsia="en-AU"/>
        </w:rPr>
        <w:t xml:space="preserve">iploma in community services or </w:t>
      </w:r>
      <w:r w:rsidR="007A4A9B" w:rsidRPr="00BA0ABC">
        <w:rPr>
          <w:rFonts w:cstheme="minorHAnsi"/>
          <w:lang w:val="en-MY" w:eastAsia="en-AU"/>
        </w:rPr>
        <w:t xml:space="preserve">an </w:t>
      </w:r>
      <w:r w:rsidR="00360CC4" w:rsidRPr="00BA0ABC">
        <w:rPr>
          <w:rFonts w:cstheme="minorHAnsi"/>
          <w:lang w:val="en-MY" w:eastAsia="en-AU"/>
        </w:rPr>
        <w:t>equivalent</w:t>
      </w:r>
      <w:r w:rsidR="00592015" w:rsidRPr="00BA0ABC">
        <w:rPr>
          <w:rFonts w:cstheme="minorHAnsi"/>
          <w:lang w:val="en-MY" w:eastAsia="en-AU"/>
        </w:rPr>
        <w:t>. W</w:t>
      </w:r>
      <w:r w:rsidR="007A4A9B" w:rsidRPr="00BA0ABC">
        <w:rPr>
          <w:rFonts w:cstheme="minorHAnsi"/>
          <w:lang w:val="en-MY" w:eastAsia="en-AU"/>
        </w:rPr>
        <w:t xml:space="preserve">here </w:t>
      </w:r>
      <w:r w:rsidR="00592015" w:rsidRPr="00BA0ABC">
        <w:rPr>
          <w:rFonts w:cstheme="minorHAnsi"/>
          <w:lang w:val="en-MY" w:eastAsia="en-AU"/>
        </w:rPr>
        <w:t>lived experience exists</w:t>
      </w:r>
      <w:r w:rsidR="002D3EE8" w:rsidRPr="00BA0ABC">
        <w:rPr>
          <w:rFonts w:cstheme="minorHAnsi"/>
          <w:lang w:val="en-MY" w:eastAsia="en-AU"/>
        </w:rPr>
        <w:t xml:space="preserve">, yet </w:t>
      </w:r>
      <w:r w:rsidR="00592015" w:rsidRPr="00BA0ABC">
        <w:rPr>
          <w:rFonts w:cstheme="minorHAnsi"/>
          <w:lang w:val="en-MY" w:eastAsia="en-AU"/>
        </w:rPr>
        <w:t xml:space="preserve">a formal qualification is lacking, </w:t>
      </w:r>
      <w:r w:rsidR="007A4A9B" w:rsidRPr="00BA0ABC">
        <w:rPr>
          <w:rFonts w:cstheme="minorHAnsi"/>
          <w:lang w:val="en-MY" w:eastAsia="en-AU"/>
        </w:rPr>
        <w:t xml:space="preserve">staff </w:t>
      </w:r>
      <w:r w:rsidR="00360CC4" w:rsidRPr="00BA0ABC">
        <w:rPr>
          <w:rFonts w:cstheme="minorHAnsi"/>
          <w:lang w:val="en-MY" w:eastAsia="en-AU"/>
        </w:rPr>
        <w:t xml:space="preserve">will </w:t>
      </w:r>
      <w:r w:rsidR="00592015" w:rsidRPr="00BA0ABC">
        <w:rPr>
          <w:rFonts w:cstheme="minorHAnsi"/>
          <w:lang w:val="en-MY" w:eastAsia="en-AU"/>
        </w:rPr>
        <w:t xml:space="preserve">often </w:t>
      </w:r>
      <w:r w:rsidR="007A4A9B" w:rsidRPr="00BA0ABC">
        <w:rPr>
          <w:rFonts w:cstheme="minorHAnsi"/>
          <w:lang w:val="en-MY" w:eastAsia="en-AU"/>
        </w:rPr>
        <w:t xml:space="preserve">be </w:t>
      </w:r>
      <w:r w:rsidR="00360CC4" w:rsidRPr="00BA0ABC">
        <w:rPr>
          <w:rFonts w:cstheme="minorHAnsi"/>
          <w:lang w:val="en-MY" w:eastAsia="en-AU"/>
        </w:rPr>
        <w:t>support</w:t>
      </w:r>
      <w:r w:rsidR="00592015" w:rsidRPr="00BA0ABC">
        <w:rPr>
          <w:rFonts w:cstheme="minorHAnsi"/>
          <w:lang w:val="en-MY" w:eastAsia="en-AU"/>
        </w:rPr>
        <w:t>ed</w:t>
      </w:r>
      <w:r w:rsidR="00360CC4" w:rsidRPr="00BA0ABC">
        <w:rPr>
          <w:rFonts w:cstheme="minorHAnsi"/>
          <w:lang w:val="en-MY" w:eastAsia="en-AU"/>
        </w:rPr>
        <w:t xml:space="preserve"> to </w:t>
      </w:r>
      <w:r w:rsidR="00592015" w:rsidRPr="00BA0ABC">
        <w:rPr>
          <w:rFonts w:cstheme="minorHAnsi"/>
          <w:lang w:val="en-MY" w:eastAsia="en-AU"/>
        </w:rPr>
        <w:t xml:space="preserve">obtain this qualification. While the financial and mentoring capacity of services to provide this support varies, some </w:t>
      </w:r>
      <w:r w:rsidR="00583F31" w:rsidRPr="00BA0ABC">
        <w:rPr>
          <w:rFonts w:cstheme="minorHAnsi"/>
          <w:lang w:val="en-MY" w:eastAsia="en-AU"/>
        </w:rPr>
        <w:t xml:space="preserve">have </w:t>
      </w:r>
      <w:r w:rsidR="00592015" w:rsidRPr="00BA0ABC">
        <w:rPr>
          <w:rFonts w:cstheme="minorHAnsi"/>
          <w:lang w:val="en-MY" w:eastAsia="en-AU"/>
        </w:rPr>
        <w:t xml:space="preserve">access to a </w:t>
      </w:r>
      <w:r w:rsidR="00583F31" w:rsidRPr="00BA0ABC">
        <w:rPr>
          <w:rFonts w:cstheme="minorHAnsi"/>
          <w:lang w:val="en-MY" w:eastAsia="en-AU"/>
        </w:rPr>
        <w:t xml:space="preserve">Learning </w:t>
      </w:r>
      <w:r w:rsidR="00592015" w:rsidRPr="00BA0ABC">
        <w:rPr>
          <w:rFonts w:cstheme="minorHAnsi"/>
          <w:lang w:val="en-MY" w:eastAsia="en-AU"/>
        </w:rPr>
        <w:t xml:space="preserve">and </w:t>
      </w:r>
      <w:r w:rsidR="00583F31" w:rsidRPr="00BA0ABC">
        <w:rPr>
          <w:rFonts w:cstheme="minorHAnsi"/>
          <w:lang w:val="en-MY" w:eastAsia="en-AU"/>
        </w:rPr>
        <w:t xml:space="preserve">Development Unit </w:t>
      </w:r>
      <w:r w:rsidR="00592015" w:rsidRPr="00BA0ABC">
        <w:rPr>
          <w:rFonts w:cstheme="minorHAnsi"/>
          <w:lang w:val="en-MY" w:eastAsia="en-AU"/>
        </w:rPr>
        <w:t>in-house</w:t>
      </w:r>
      <w:r w:rsidR="002B1E21" w:rsidRPr="00BA0ABC">
        <w:rPr>
          <w:rFonts w:cstheme="minorHAnsi"/>
          <w:lang w:val="en-MY" w:eastAsia="en-AU"/>
        </w:rPr>
        <w:t xml:space="preserve">, </w:t>
      </w:r>
      <w:r w:rsidR="002D3EE8" w:rsidRPr="00BA0ABC">
        <w:rPr>
          <w:rFonts w:cstheme="minorHAnsi"/>
          <w:lang w:val="en-MY" w:eastAsia="en-AU"/>
        </w:rPr>
        <w:t xml:space="preserve">and </w:t>
      </w:r>
      <w:r w:rsidR="00592015" w:rsidRPr="00BA0ABC">
        <w:rPr>
          <w:rFonts w:cstheme="minorHAnsi"/>
          <w:lang w:val="en-MY" w:eastAsia="en-AU"/>
        </w:rPr>
        <w:t>s</w:t>
      </w:r>
      <w:r w:rsidR="00583F31" w:rsidRPr="00BA0ABC">
        <w:rPr>
          <w:rFonts w:cstheme="minorHAnsi"/>
          <w:lang w:val="en-MY" w:eastAsia="en-AU"/>
        </w:rPr>
        <w:t xml:space="preserve">taff </w:t>
      </w:r>
      <w:r w:rsidR="00592015" w:rsidRPr="00BA0ABC">
        <w:rPr>
          <w:rFonts w:cstheme="minorHAnsi"/>
          <w:lang w:val="en-MY" w:eastAsia="en-AU"/>
        </w:rPr>
        <w:t xml:space="preserve">have access to up to </w:t>
      </w:r>
      <w:r w:rsidR="00583F31" w:rsidRPr="00BA0ABC">
        <w:rPr>
          <w:rFonts w:cstheme="minorHAnsi"/>
          <w:lang w:val="en-MY" w:eastAsia="en-AU"/>
        </w:rPr>
        <w:t>$2</w:t>
      </w:r>
      <w:r w:rsidR="00592015" w:rsidRPr="00BA0ABC">
        <w:rPr>
          <w:rFonts w:cstheme="minorHAnsi"/>
          <w:lang w:val="en-MY" w:eastAsia="en-AU"/>
        </w:rPr>
        <w:t>,</w:t>
      </w:r>
      <w:r w:rsidR="00583F31" w:rsidRPr="00BA0ABC">
        <w:rPr>
          <w:rFonts w:cstheme="minorHAnsi"/>
          <w:lang w:val="en-MY" w:eastAsia="en-AU"/>
        </w:rPr>
        <w:t xml:space="preserve">000 </w:t>
      </w:r>
      <w:r w:rsidR="00592015" w:rsidRPr="00BA0ABC">
        <w:rPr>
          <w:rFonts w:cstheme="minorHAnsi"/>
          <w:lang w:val="en-MY" w:eastAsia="en-AU"/>
        </w:rPr>
        <w:t xml:space="preserve">for </w:t>
      </w:r>
      <w:r w:rsidR="00583F31" w:rsidRPr="00BA0ABC">
        <w:rPr>
          <w:rFonts w:cstheme="minorHAnsi"/>
          <w:lang w:val="en-MY" w:eastAsia="en-AU"/>
        </w:rPr>
        <w:t xml:space="preserve">training to support their </w:t>
      </w:r>
      <w:r w:rsidR="00592015" w:rsidRPr="00BA0ABC">
        <w:rPr>
          <w:rFonts w:cstheme="minorHAnsi"/>
          <w:lang w:val="en-MY" w:eastAsia="en-AU"/>
        </w:rPr>
        <w:t>development</w:t>
      </w:r>
      <w:r w:rsidR="00583F31" w:rsidRPr="00BA0ABC">
        <w:rPr>
          <w:rFonts w:cstheme="minorHAnsi"/>
          <w:lang w:val="en-MY" w:eastAsia="en-AU"/>
        </w:rPr>
        <w:t>.</w:t>
      </w:r>
    </w:p>
    <w:p w14:paraId="1DDAADEB" w14:textId="77777777" w:rsidR="00BA0ABC" w:rsidRDefault="00BA0ABC" w:rsidP="007C411F">
      <w:pPr>
        <w:jc w:val="both"/>
        <w:rPr>
          <w:rFonts w:cstheme="minorHAnsi"/>
          <w:lang w:val="en-MY" w:eastAsia="en-AU"/>
        </w:rPr>
      </w:pPr>
    </w:p>
    <w:p w14:paraId="1E223BF2" w14:textId="74177919" w:rsidR="008F3431" w:rsidRDefault="00FD10F2" w:rsidP="007C411F">
      <w:pPr>
        <w:jc w:val="both"/>
        <w:rPr>
          <w:rFonts w:cstheme="minorHAnsi"/>
          <w:lang w:val="en-MY" w:eastAsia="en-AU"/>
        </w:rPr>
      </w:pPr>
      <w:r w:rsidRPr="00BA0ABC">
        <w:rPr>
          <w:rFonts w:cstheme="minorHAnsi"/>
          <w:lang w:val="en-MY" w:eastAsia="en-AU"/>
        </w:rPr>
        <w:t>The extent to which case workers are effectively supported by management in terms of onboarding, training and development, clinical and cultural supervision</w:t>
      </w:r>
      <w:r w:rsidR="004A31BC" w:rsidRPr="00BA0ABC">
        <w:rPr>
          <w:rFonts w:cstheme="minorHAnsi"/>
          <w:lang w:val="en-MY" w:eastAsia="en-AU"/>
        </w:rPr>
        <w:t>,</w:t>
      </w:r>
      <w:r w:rsidRPr="00BA0ABC">
        <w:rPr>
          <w:rFonts w:cstheme="minorHAnsi"/>
          <w:lang w:val="en-MY" w:eastAsia="en-AU"/>
        </w:rPr>
        <w:t xml:space="preserve"> and performance development, is largely determined by the quality of </w:t>
      </w:r>
      <w:r w:rsidR="003F65ED">
        <w:rPr>
          <w:rFonts w:cstheme="minorHAnsi"/>
          <w:lang w:val="en-MY" w:eastAsia="en-AU"/>
        </w:rPr>
        <w:t xml:space="preserve">the senior </w:t>
      </w:r>
      <w:r w:rsidRPr="00BA0ABC">
        <w:rPr>
          <w:rFonts w:cstheme="minorHAnsi"/>
          <w:lang w:val="en-MY" w:eastAsia="en-AU"/>
        </w:rPr>
        <w:t>management, including whether program managers themselves have the support of their executive and board. The chain of management is strongest in smaller services</w:t>
      </w:r>
      <w:r w:rsidR="00215926">
        <w:rPr>
          <w:rFonts w:cstheme="minorHAnsi"/>
          <w:lang w:val="en-MY" w:eastAsia="en-AU"/>
        </w:rPr>
        <w:t xml:space="preserve">, </w:t>
      </w:r>
      <w:r w:rsidRPr="00BA0ABC">
        <w:rPr>
          <w:rFonts w:cstheme="minorHAnsi"/>
          <w:lang w:val="en-MY" w:eastAsia="en-AU"/>
        </w:rPr>
        <w:t xml:space="preserve">where management of the through-care service is </w:t>
      </w:r>
      <w:r w:rsidR="00297E75" w:rsidRPr="00BA0ABC">
        <w:rPr>
          <w:rFonts w:cstheme="minorHAnsi"/>
          <w:lang w:val="en-MY" w:eastAsia="en-AU"/>
        </w:rPr>
        <w:t>undertaken directly by the CEO, as well as in those larger services which benefit</w:t>
      </w:r>
      <w:r w:rsidR="00215926">
        <w:rPr>
          <w:rFonts w:cstheme="minorHAnsi"/>
          <w:lang w:val="en-MY" w:eastAsia="en-AU"/>
        </w:rPr>
        <w:t>ted</w:t>
      </w:r>
      <w:r w:rsidR="00297E75" w:rsidRPr="00BA0ABC">
        <w:rPr>
          <w:rFonts w:cstheme="minorHAnsi"/>
          <w:lang w:val="en-MY" w:eastAsia="en-AU"/>
        </w:rPr>
        <w:t xml:space="preserve"> from cohesive management teams. This not only ensures a </w:t>
      </w:r>
      <w:r w:rsidR="00AE6ECD" w:rsidRPr="00BA0ABC">
        <w:rPr>
          <w:rFonts w:cstheme="minorHAnsi"/>
          <w:lang w:val="en-MY" w:eastAsia="en-AU"/>
        </w:rPr>
        <w:t xml:space="preserve">direct </w:t>
      </w:r>
      <w:r w:rsidR="00297E75" w:rsidRPr="00BA0ABC">
        <w:rPr>
          <w:rFonts w:cstheme="minorHAnsi"/>
          <w:lang w:val="en-MY" w:eastAsia="en-AU"/>
        </w:rPr>
        <w:t xml:space="preserve">line of communication from case workers to the executive, but – for diversified organisations </w:t>
      </w:r>
      <w:r w:rsidR="00DA110D">
        <w:rPr>
          <w:rFonts w:cstheme="minorHAnsi"/>
          <w:lang w:val="en-MY" w:eastAsia="en-AU"/>
        </w:rPr>
        <w:t xml:space="preserve">offering complimentary therapeutic or accommodation services </w:t>
      </w:r>
      <w:r w:rsidR="00297E75" w:rsidRPr="00BA0ABC">
        <w:rPr>
          <w:rFonts w:cstheme="minorHAnsi"/>
          <w:lang w:val="en-MY" w:eastAsia="en-AU"/>
        </w:rPr>
        <w:t>- also fosters improved integration of complimentary services, with clear pathways for internal referral</w:t>
      </w:r>
      <w:r w:rsidR="003F65ED">
        <w:rPr>
          <w:rFonts w:cstheme="minorHAnsi"/>
          <w:lang w:val="en-MY" w:eastAsia="en-AU"/>
        </w:rPr>
        <w:t>s</w:t>
      </w:r>
      <w:r w:rsidR="00303654" w:rsidRPr="00BA0ABC">
        <w:rPr>
          <w:rFonts w:cstheme="minorHAnsi"/>
          <w:lang w:val="en-MY" w:eastAsia="en-AU"/>
        </w:rPr>
        <w:t>.</w:t>
      </w:r>
    </w:p>
    <w:p w14:paraId="52A35E07" w14:textId="77777777" w:rsidR="00852282" w:rsidRDefault="00852282" w:rsidP="00BC7517">
      <w:pPr>
        <w:pStyle w:val="SUBHEAD2"/>
        <w:rPr>
          <w:rFonts w:asciiTheme="minorHAnsi" w:hAnsiTheme="minorHAnsi" w:cstheme="minorHAnsi"/>
          <w:lang w:val="en-MY" w:eastAsia="en-AU"/>
        </w:rPr>
      </w:pPr>
    </w:p>
    <w:p w14:paraId="56D3198F" w14:textId="546C1D0D" w:rsidR="00BC7517" w:rsidRDefault="00CE3A3A" w:rsidP="00BC7517">
      <w:pPr>
        <w:pStyle w:val="SUBHEAD2"/>
        <w:rPr>
          <w:rFonts w:asciiTheme="minorHAnsi" w:hAnsiTheme="minorHAnsi" w:cstheme="minorHAnsi"/>
          <w:lang w:val="en-MY" w:eastAsia="en-AU"/>
        </w:rPr>
      </w:pPr>
      <w:r w:rsidRPr="00BC7517">
        <w:rPr>
          <w:rFonts w:asciiTheme="minorHAnsi" w:hAnsiTheme="minorHAnsi" w:cstheme="minorHAnsi"/>
          <w:lang w:val="en-MY" w:eastAsia="en-AU"/>
        </w:rPr>
        <w:t xml:space="preserve">What is Working Less Well and Associated Barriers </w:t>
      </w:r>
    </w:p>
    <w:p w14:paraId="793CE7C7" w14:textId="32E6590B" w:rsidR="007362EA" w:rsidRPr="00024565" w:rsidRDefault="00165BEA" w:rsidP="00024565">
      <w:pPr>
        <w:spacing w:before="120" w:after="120"/>
        <w:jc w:val="both"/>
        <w:rPr>
          <w:b/>
          <w:smallCaps/>
          <w:lang w:val="en-MY" w:eastAsia="en-AU"/>
        </w:rPr>
      </w:pPr>
      <w:r w:rsidRPr="00BC7517">
        <w:rPr>
          <w:lang w:val="en-MY" w:eastAsia="en-AU"/>
        </w:rPr>
        <w:t>As reported by case</w:t>
      </w:r>
      <w:r w:rsidR="00694565">
        <w:rPr>
          <w:lang w:val="en-MY" w:eastAsia="en-AU"/>
        </w:rPr>
        <w:t xml:space="preserve"> </w:t>
      </w:r>
      <w:r w:rsidRPr="00BC7517">
        <w:rPr>
          <w:lang w:val="en-MY" w:eastAsia="en-AU"/>
        </w:rPr>
        <w:t>workers and service managers, a range of structural, organisational and operation barrier</w:t>
      </w:r>
      <w:r w:rsidR="00E52703" w:rsidRPr="00BC7517">
        <w:rPr>
          <w:lang w:val="en-MY" w:eastAsia="en-AU"/>
        </w:rPr>
        <w:t>s</w:t>
      </w:r>
      <w:r w:rsidRPr="00BC7517">
        <w:rPr>
          <w:lang w:val="en-MY" w:eastAsia="en-AU"/>
        </w:rPr>
        <w:t xml:space="preserve"> can negatively impact the delivery of th</w:t>
      </w:r>
      <w:r w:rsidR="00E52703" w:rsidRPr="00BC7517">
        <w:rPr>
          <w:lang w:val="en-MY" w:eastAsia="en-AU"/>
        </w:rPr>
        <w:t>r</w:t>
      </w:r>
      <w:r w:rsidRPr="00BC7517">
        <w:rPr>
          <w:lang w:val="en-MY" w:eastAsia="en-AU"/>
        </w:rPr>
        <w:t xml:space="preserve">ough-care services, including external factors such as remoteness and access to client housing, as well as more directly related to management and human resources. </w:t>
      </w:r>
    </w:p>
    <w:p w14:paraId="3EB56261" w14:textId="77777777" w:rsidR="007362EA" w:rsidRPr="00BC7517" w:rsidRDefault="007362EA" w:rsidP="00187574">
      <w:pPr>
        <w:pStyle w:val="Caption"/>
        <w:rPr>
          <w:color w:val="4F81BD" w:themeColor="accent1"/>
          <w:sz w:val="22"/>
          <w:szCs w:val="22"/>
          <w:lang w:val="en-MY" w:eastAsia="en-AU"/>
        </w:rPr>
      </w:pPr>
      <w:r w:rsidRPr="00BC7517">
        <w:rPr>
          <w:color w:val="4F81BD" w:themeColor="accent1"/>
          <w:sz w:val="22"/>
          <w:szCs w:val="22"/>
          <w:lang w:val="en-MY" w:eastAsia="en-AU"/>
        </w:rPr>
        <w:t>Service Provider Organisational Capacity</w:t>
      </w:r>
    </w:p>
    <w:p w14:paraId="4F8C0312" w14:textId="1EA76621" w:rsidR="007362EA" w:rsidRPr="00F0653B" w:rsidRDefault="007362EA" w:rsidP="007362EA">
      <w:pPr>
        <w:jc w:val="both"/>
        <w:rPr>
          <w:rFonts w:cstheme="minorHAnsi"/>
          <w:lang w:val="en-MY" w:eastAsia="en-AU"/>
        </w:rPr>
      </w:pPr>
      <w:r w:rsidRPr="00F0653B">
        <w:rPr>
          <w:rFonts w:cstheme="minorHAnsi"/>
          <w:lang w:val="en-MY" w:eastAsia="en-AU"/>
        </w:rPr>
        <w:t>A range of operational and managerial issues also adversely affect some through-care services. In larger services, where through-care is regarded as ancillary to core legal services, there has historically been a high turnover of managerial leadership and case workers, particular in satellite regional offices. While focused efforts are in place to address this issue</w:t>
      </w:r>
      <w:r>
        <w:rPr>
          <w:rFonts w:cstheme="minorHAnsi"/>
          <w:lang w:val="en-MY" w:eastAsia="en-AU"/>
        </w:rPr>
        <w:t xml:space="preserve">, at the time of the researcher’s visits, </w:t>
      </w:r>
      <w:r w:rsidRPr="00F0653B">
        <w:rPr>
          <w:rFonts w:cstheme="minorHAnsi"/>
          <w:lang w:val="en-MY" w:eastAsia="en-AU"/>
        </w:rPr>
        <w:t>neither service ha</w:t>
      </w:r>
      <w:r>
        <w:rPr>
          <w:rFonts w:cstheme="minorHAnsi"/>
          <w:lang w:val="en-MY" w:eastAsia="en-AU"/>
        </w:rPr>
        <w:t>d</w:t>
      </w:r>
      <w:r w:rsidRPr="00F0653B">
        <w:rPr>
          <w:rFonts w:cstheme="minorHAnsi"/>
          <w:lang w:val="en-MY" w:eastAsia="en-AU"/>
        </w:rPr>
        <w:t xml:space="preserve"> reached a point of stabilisation, and it may be some time before evidence of operational and performance improvement emerges.</w:t>
      </w:r>
      <w:r>
        <w:rPr>
          <w:rFonts w:cstheme="minorHAnsi"/>
          <w:lang w:val="en-MY" w:eastAsia="en-AU"/>
        </w:rPr>
        <w:t xml:space="preserve"> T</w:t>
      </w:r>
      <w:r w:rsidRPr="00F0653B">
        <w:rPr>
          <w:rFonts w:cstheme="minorHAnsi"/>
          <w:lang w:val="en-MY" w:eastAsia="en-AU"/>
        </w:rPr>
        <w:t>wo large</w:t>
      </w:r>
      <w:r w:rsidR="00F4651A">
        <w:rPr>
          <w:rFonts w:cstheme="minorHAnsi"/>
          <w:lang w:val="en-MY" w:eastAsia="en-AU"/>
        </w:rPr>
        <w:t xml:space="preserve">r </w:t>
      </w:r>
      <w:r>
        <w:rPr>
          <w:rFonts w:cstheme="minorHAnsi"/>
          <w:lang w:val="en-MY" w:eastAsia="en-AU"/>
        </w:rPr>
        <w:t xml:space="preserve">adult and </w:t>
      </w:r>
      <w:r w:rsidRPr="00F0653B">
        <w:rPr>
          <w:rFonts w:cstheme="minorHAnsi"/>
          <w:lang w:val="en-MY" w:eastAsia="en-AU"/>
        </w:rPr>
        <w:t xml:space="preserve">youth through-care services, </w:t>
      </w:r>
      <w:r w:rsidR="00F4651A">
        <w:rPr>
          <w:rFonts w:cstheme="minorHAnsi"/>
          <w:lang w:val="en-MY" w:eastAsia="en-AU"/>
        </w:rPr>
        <w:t xml:space="preserve">for example, </w:t>
      </w:r>
      <w:r w:rsidRPr="00F0653B">
        <w:rPr>
          <w:rFonts w:cstheme="minorHAnsi"/>
          <w:lang w:val="en-MY" w:eastAsia="en-AU"/>
        </w:rPr>
        <w:t>have both experienced recent staff and managerial changes following a challenging period for the administration of these services. Both services consider themselves to be restabilizing</w:t>
      </w:r>
      <w:r>
        <w:rPr>
          <w:rFonts w:cstheme="minorHAnsi"/>
          <w:lang w:val="en-MY" w:eastAsia="en-AU"/>
        </w:rPr>
        <w:t xml:space="preserve">, but </w:t>
      </w:r>
      <w:r w:rsidRPr="00F0653B">
        <w:rPr>
          <w:rFonts w:cstheme="minorHAnsi"/>
          <w:lang w:val="en-MY" w:eastAsia="en-AU"/>
        </w:rPr>
        <w:t xml:space="preserve">with a large proportion of new and inexperienced case workers in the role. </w:t>
      </w:r>
    </w:p>
    <w:p w14:paraId="495EAF97" w14:textId="77777777" w:rsidR="007362EA" w:rsidRDefault="007362EA" w:rsidP="007362EA">
      <w:pPr>
        <w:jc w:val="both"/>
        <w:rPr>
          <w:rFonts w:cstheme="minorHAnsi"/>
          <w:lang w:val="en-MY" w:eastAsia="en-AU"/>
        </w:rPr>
      </w:pPr>
    </w:p>
    <w:p w14:paraId="50831CD4" w14:textId="77A19588" w:rsidR="007362EA" w:rsidRPr="00B21295" w:rsidRDefault="007362EA" w:rsidP="007362EA">
      <w:pPr>
        <w:jc w:val="both"/>
        <w:rPr>
          <w:rFonts w:cstheme="minorHAnsi"/>
          <w:lang w:val="en-MY" w:eastAsia="en-AU"/>
        </w:rPr>
      </w:pPr>
      <w:r w:rsidRPr="00F0653B">
        <w:rPr>
          <w:rFonts w:cstheme="minorHAnsi"/>
          <w:lang w:val="en-MY" w:eastAsia="en-AU"/>
        </w:rPr>
        <w:t>These services have historically not operated as effectively managed teams, and until recently have lacked the systems, processes, and management support necessary to guide practice, drive accountability and support intra-team collaboration. One striking example of the impact of this legacy was observed in</w:t>
      </w:r>
      <w:r w:rsidR="008462DF">
        <w:rPr>
          <w:rFonts w:cstheme="minorHAnsi"/>
          <w:lang w:val="en-MY" w:eastAsia="en-AU"/>
        </w:rPr>
        <w:t xml:space="preserve"> one remote service delivery location</w:t>
      </w:r>
      <w:r w:rsidRPr="00F0653B">
        <w:rPr>
          <w:rFonts w:cstheme="minorHAnsi"/>
          <w:lang w:val="en-MY" w:eastAsia="en-AU"/>
        </w:rPr>
        <w:t>, where an inexperienced case worker had been working for 2 years in relative isolation, without ever having had training in through-care practices and with no intermediate management support from a local team leader or coordinator. This case</w:t>
      </w:r>
      <w:r w:rsidR="00694565">
        <w:rPr>
          <w:rFonts w:cstheme="minorHAnsi"/>
          <w:lang w:val="en-MY" w:eastAsia="en-AU"/>
        </w:rPr>
        <w:t xml:space="preserve"> </w:t>
      </w:r>
      <w:r w:rsidRPr="00F0653B">
        <w:rPr>
          <w:rFonts w:cstheme="minorHAnsi"/>
          <w:lang w:val="en-MY" w:eastAsia="en-AU"/>
        </w:rPr>
        <w:t>worker had a case</w:t>
      </w:r>
      <w:r w:rsidR="00694565">
        <w:rPr>
          <w:rFonts w:cstheme="minorHAnsi"/>
          <w:lang w:val="en-MY" w:eastAsia="en-AU"/>
        </w:rPr>
        <w:t>-</w:t>
      </w:r>
      <w:r w:rsidRPr="00F0653B">
        <w:rPr>
          <w:rFonts w:cstheme="minorHAnsi"/>
          <w:lang w:val="en-MY" w:eastAsia="en-AU"/>
        </w:rPr>
        <w:t xml:space="preserve">load of two youth clients, both of whom were existing clients </w:t>
      </w:r>
      <w:r w:rsidRPr="00B21295">
        <w:rPr>
          <w:rFonts w:cstheme="minorHAnsi"/>
          <w:lang w:val="en-MY" w:eastAsia="en-AU"/>
        </w:rPr>
        <w:t xml:space="preserve">transferred to </w:t>
      </w:r>
      <w:r w:rsidR="008462DF">
        <w:rPr>
          <w:rFonts w:cstheme="minorHAnsi"/>
          <w:lang w:val="en-MY" w:eastAsia="en-AU"/>
        </w:rPr>
        <w:t xml:space="preserve">their </w:t>
      </w:r>
      <w:r w:rsidRPr="00B21295">
        <w:rPr>
          <w:rFonts w:cstheme="minorHAnsi"/>
          <w:lang w:val="en-MY" w:eastAsia="en-AU"/>
        </w:rPr>
        <w:t>case</w:t>
      </w:r>
      <w:r w:rsidR="00694565">
        <w:rPr>
          <w:rFonts w:cstheme="minorHAnsi"/>
          <w:lang w:val="en-MY" w:eastAsia="en-AU"/>
        </w:rPr>
        <w:t>-</w:t>
      </w:r>
      <w:r w:rsidRPr="00B21295">
        <w:rPr>
          <w:rFonts w:cstheme="minorHAnsi"/>
          <w:lang w:val="en-MY" w:eastAsia="en-AU"/>
        </w:rPr>
        <w:t>load upon joining.</w:t>
      </w:r>
    </w:p>
    <w:p w14:paraId="50F5DD36" w14:textId="77777777" w:rsidR="007362EA" w:rsidRPr="00B21295" w:rsidRDefault="007362EA" w:rsidP="007362EA">
      <w:pPr>
        <w:jc w:val="both"/>
        <w:rPr>
          <w:rFonts w:cstheme="minorHAnsi"/>
          <w:lang w:val="en-MY" w:eastAsia="en-AU"/>
        </w:rPr>
      </w:pPr>
    </w:p>
    <w:p w14:paraId="0334458D" w14:textId="35D93E9C" w:rsidR="007362EA" w:rsidRPr="00B21295" w:rsidRDefault="00F4651A" w:rsidP="007362EA">
      <w:pPr>
        <w:jc w:val="both"/>
        <w:rPr>
          <w:rFonts w:cstheme="minorHAnsi"/>
          <w:lang w:val="en-MY" w:eastAsia="en-AU"/>
        </w:rPr>
      </w:pPr>
      <w:r>
        <w:rPr>
          <w:rFonts w:cstheme="minorHAnsi"/>
          <w:lang w:val="en-MY" w:eastAsia="en-AU"/>
        </w:rPr>
        <w:t>Two services</w:t>
      </w:r>
      <w:r w:rsidR="008462DF" w:rsidRPr="00B21295">
        <w:rPr>
          <w:rFonts w:cstheme="minorHAnsi"/>
          <w:lang w:val="en-MY" w:eastAsia="en-AU"/>
        </w:rPr>
        <w:t xml:space="preserve"> </w:t>
      </w:r>
      <w:r w:rsidR="007362EA" w:rsidRPr="00B21295">
        <w:rPr>
          <w:rFonts w:cstheme="minorHAnsi"/>
          <w:lang w:val="en-MY" w:eastAsia="en-AU"/>
        </w:rPr>
        <w:t xml:space="preserve">also acknowledged concerns regarding the integration of operations with the legal </w:t>
      </w:r>
      <w:r>
        <w:rPr>
          <w:rFonts w:cstheme="minorHAnsi"/>
          <w:lang w:val="en-MY" w:eastAsia="en-AU"/>
        </w:rPr>
        <w:t xml:space="preserve">divisions </w:t>
      </w:r>
      <w:r w:rsidR="007362EA" w:rsidRPr="00B21295">
        <w:rPr>
          <w:rFonts w:cstheme="minorHAnsi"/>
          <w:lang w:val="en-MY" w:eastAsia="en-AU"/>
        </w:rPr>
        <w:t>of the</w:t>
      </w:r>
      <w:r w:rsidR="008462DF">
        <w:rPr>
          <w:rFonts w:cstheme="minorHAnsi"/>
          <w:lang w:val="en-MY" w:eastAsia="en-AU"/>
        </w:rPr>
        <w:t xml:space="preserve">ir </w:t>
      </w:r>
      <w:r w:rsidR="007362EA" w:rsidRPr="00B21295">
        <w:rPr>
          <w:rFonts w:cstheme="minorHAnsi"/>
          <w:lang w:val="en-MY" w:eastAsia="en-AU"/>
        </w:rPr>
        <w:t>organisations. Notwithstanding benefits such as timely referrals from lawyers or the capability to work though bail amendments, several detrimental issues were noted, including an ongoing need to push back where lawyers recommended through-care to the courts or parole boards (thereby negating the voluntary principle), and the potential for conflicts of interest (for example, if asked to provide a statement of character to the court).</w:t>
      </w:r>
    </w:p>
    <w:p w14:paraId="075CD90A" w14:textId="77777777" w:rsidR="007362EA" w:rsidRPr="00B21295" w:rsidRDefault="007362EA" w:rsidP="007362EA">
      <w:pPr>
        <w:jc w:val="both"/>
        <w:rPr>
          <w:rFonts w:cstheme="minorHAnsi"/>
          <w:lang w:val="en-MY" w:eastAsia="en-AU"/>
        </w:rPr>
      </w:pPr>
    </w:p>
    <w:p w14:paraId="0FFF0B90" w14:textId="0CF28AC7" w:rsidR="007362EA" w:rsidRPr="00B21295" w:rsidRDefault="007362EA" w:rsidP="007362EA">
      <w:pPr>
        <w:jc w:val="both"/>
        <w:rPr>
          <w:rFonts w:cstheme="minorHAnsi"/>
          <w:lang w:val="en-MY" w:eastAsia="en-AU"/>
        </w:rPr>
      </w:pPr>
      <w:r w:rsidRPr="00B21295">
        <w:rPr>
          <w:rFonts w:cstheme="minorHAnsi"/>
          <w:lang w:val="en-MY" w:eastAsia="en-AU"/>
        </w:rPr>
        <w:t>Across all services</w:t>
      </w:r>
      <w:r w:rsidR="00345F22" w:rsidRPr="00B21295">
        <w:rPr>
          <w:rFonts w:cstheme="minorHAnsi"/>
          <w:lang w:val="en-MY" w:eastAsia="en-AU"/>
        </w:rPr>
        <w:t>,</w:t>
      </w:r>
      <w:r w:rsidRPr="00B21295">
        <w:rPr>
          <w:rFonts w:cstheme="minorHAnsi"/>
          <w:lang w:val="en-MY" w:eastAsia="en-AU"/>
        </w:rPr>
        <w:t xml:space="preserve"> pay levels were frequently cited by case workers as the primary reason for high rates of staff turnover and challenges recruiting experienced and qualified staff. Other managerial issues were also noted by service managers, including limited opportunities for career progression, vicarious trauma, and long hours supporting clients without recognition or reward. Along with relatively short-term contract arrangements, this has made it difficult to attract qualified, experienced and committed staff. </w:t>
      </w:r>
      <w:r w:rsidR="00F4651A">
        <w:rPr>
          <w:rFonts w:cstheme="minorHAnsi"/>
          <w:lang w:val="en-MY" w:eastAsia="en-AU"/>
        </w:rPr>
        <w:t>One service</w:t>
      </w:r>
      <w:r w:rsidRPr="00B21295">
        <w:rPr>
          <w:rFonts w:cstheme="minorHAnsi"/>
          <w:lang w:val="en-MY" w:eastAsia="en-AU"/>
        </w:rPr>
        <w:t>, for example, has no team leader or coordinator role within its case worker teams (which limits progression within an already isolated program); and since the organisation does not recognise through-care as a crisis service, does not resource the time spent by case</w:t>
      </w:r>
      <w:r w:rsidR="00694565">
        <w:rPr>
          <w:rFonts w:cstheme="minorHAnsi"/>
          <w:lang w:val="en-MY" w:eastAsia="en-AU"/>
        </w:rPr>
        <w:t xml:space="preserve"> </w:t>
      </w:r>
      <w:r w:rsidRPr="00B21295">
        <w:rPr>
          <w:rFonts w:cstheme="minorHAnsi"/>
          <w:lang w:val="en-MY" w:eastAsia="en-AU"/>
        </w:rPr>
        <w:t>workers after hours working with vulnerable clients in crisis.</w:t>
      </w:r>
    </w:p>
    <w:p w14:paraId="466B3CE3" w14:textId="77777777" w:rsidR="007362EA" w:rsidRPr="00B21295" w:rsidRDefault="007362EA" w:rsidP="007362EA">
      <w:pPr>
        <w:jc w:val="both"/>
        <w:rPr>
          <w:rFonts w:cstheme="minorHAnsi"/>
          <w:lang w:val="en-MY" w:eastAsia="en-AU"/>
        </w:rPr>
      </w:pPr>
    </w:p>
    <w:p w14:paraId="1B0BBA27" w14:textId="4FC2BE3F" w:rsidR="007362EA" w:rsidRPr="00B21295" w:rsidRDefault="007362EA" w:rsidP="007362EA">
      <w:pPr>
        <w:jc w:val="both"/>
        <w:rPr>
          <w:rFonts w:cstheme="minorHAnsi"/>
          <w:lang w:val="en-MY" w:eastAsia="en-AU"/>
        </w:rPr>
      </w:pPr>
      <w:r w:rsidRPr="00B21295">
        <w:rPr>
          <w:rFonts w:cstheme="minorHAnsi"/>
          <w:lang w:val="en-MY" w:eastAsia="en-AU"/>
        </w:rPr>
        <w:t>Service providers have also historically struggled to recruit case worker teams with the right balance of lived experience and technical competency, such that client engagement is achieved but supported by the technical aspects of case coordination and reporting. Attempts to recruit Indigenous staff have also faced additional challenges in cases where people with lived experience have lacked sufficient support to achieve further qualifications or have been denied clearance to work with youth or in prisons, either because of some history of offending or because of a familial conflict of interest. Frequent changes in case</w:t>
      </w:r>
      <w:r w:rsidR="00694565">
        <w:rPr>
          <w:rFonts w:cstheme="minorHAnsi"/>
          <w:lang w:val="en-MY" w:eastAsia="en-AU"/>
        </w:rPr>
        <w:t xml:space="preserve"> </w:t>
      </w:r>
      <w:r w:rsidRPr="00B21295">
        <w:rPr>
          <w:rFonts w:cstheme="minorHAnsi"/>
          <w:lang w:val="en-MY" w:eastAsia="en-AU"/>
        </w:rPr>
        <w:t xml:space="preserve">workers can disrupt the continuity of case management and support to clients, and </w:t>
      </w:r>
      <w:r w:rsidR="00432581">
        <w:rPr>
          <w:rFonts w:cstheme="minorHAnsi"/>
          <w:lang w:val="en-MY" w:eastAsia="en-AU"/>
        </w:rPr>
        <w:t xml:space="preserve">according to case workers </w:t>
      </w:r>
      <w:r w:rsidRPr="00B21295">
        <w:rPr>
          <w:rFonts w:cstheme="minorHAnsi"/>
          <w:lang w:val="en-MY" w:eastAsia="en-AU"/>
        </w:rPr>
        <w:t xml:space="preserve">can be detrimental to the ongoing quality of </w:t>
      </w:r>
      <w:r w:rsidR="00432581">
        <w:rPr>
          <w:rFonts w:cstheme="minorHAnsi"/>
          <w:lang w:val="en-MY" w:eastAsia="en-AU"/>
        </w:rPr>
        <w:t xml:space="preserve">client </w:t>
      </w:r>
      <w:r w:rsidRPr="00B21295">
        <w:rPr>
          <w:rFonts w:cstheme="minorHAnsi"/>
          <w:lang w:val="en-MY" w:eastAsia="en-AU"/>
        </w:rPr>
        <w:t>engagement</w:t>
      </w:r>
      <w:r w:rsidR="00432581">
        <w:rPr>
          <w:rFonts w:cstheme="minorHAnsi"/>
          <w:lang w:val="en-MY" w:eastAsia="en-AU"/>
        </w:rPr>
        <w:t xml:space="preserve">, </w:t>
      </w:r>
      <w:r w:rsidRPr="00B21295">
        <w:rPr>
          <w:rFonts w:cstheme="minorHAnsi"/>
          <w:lang w:val="en-MY" w:eastAsia="en-AU"/>
        </w:rPr>
        <w:t xml:space="preserve">with youth </w:t>
      </w:r>
      <w:r w:rsidR="00432581">
        <w:rPr>
          <w:rFonts w:cstheme="minorHAnsi"/>
          <w:lang w:val="en-MY" w:eastAsia="en-AU"/>
        </w:rPr>
        <w:t xml:space="preserve">especially being negatively impacted by </w:t>
      </w:r>
      <w:r w:rsidRPr="00B21295">
        <w:rPr>
          <w:rFonts w:cstheme="minorHAnsi"/>
          <w:lang w:val="en-MY" w:eastAsia="en-AU"/>
        </w:rPr>
        <w:t>having to re-tell their story.</w:t>
      </w:r>
    </w:p>
    <w:p w14:paraId="2BF138B2" w14:textId="77777777" w:rsidR="007362EA" w:rsidRPr="00B21295" w:rsidRDefault="007362EA" w:rsidP="007362EA">
      <w:pPr>
        <w:jc w:val="both"/>
        <w:rPr>
          <w:rFonts w:cstheme="minorHAnsi"/>
          <w:lang w:val="en-MY" w:eastAsia="en-AU"/>
        </w:rPr>
      </w:pPr>
    </w:p>
    <w:p w14:paraId="6018C5ED" w14:textId="7D095B70" w:rsidR="007362EA" w:rsidRPr="00B21295" w:rsidRDefault="007362EA" w:rsidP="007362EA">
      <w:pPr>
        <w:jc w:val="both"/>
        <w:rPr>
          <w:rFonts w:cstheme="minorHAnsi"/>
          <w:lang w:val="en-MY" w:eastAsia="en-AU"/>
        </w:rPr>
      </w:pPr>
      <w:r w:rsidRPr="00B21295">
        <w:rPr>
          <w:rFonts w:cstheme="minorHAnsi"/>
          <w:lang w:val="en-MY" w:eastAsia="en-AU"/>
        </w:rPr>
        <w:t>Investments in training and professional development were not made consistently across either the ATC or YTC programs, and varied according to the extent of management supervision and the capacity of management (and the organisation’s underlying management systems) to review the professional development needs and training requirements of staff. Core training in areas of practice such as client-centred case management and trauma-informed care were not consistently delivered, and at all but two services training had not been provided to new staff in practice model standards or in understanding the key stakeholders and referral partners in their local service system. Specific training gaps identified for further professional development by case</w:t>
      </w:r>
      <w:r w:rsidR="00694565">
        <w:rPr>
          <w:rFonts w:cstheme="minorHAnsi"/>
          <w:lang w:val="en-MY" w:eastAsia="en-AU"/>
        </w:rPr>
        <w:t xml:space="preserve"> </w:t>
      </w:r>
      <w:r w:rsidRPr="00B21295">
        <w:rPr>
          <w:rFonts w:cstheme="minorHAnsi"/>
          <w:lang w:val="en-MY" w:eastAsia="en-AU"/>
        </w:rPr>
        <w:t>workers across several services, included culturally appropriate suicide prevention and culturally appropriate mental health training. Additional training was especially required for work with high needs clients with cognitive disability.</w:t>
      </w:r>
    </w:p>
    <w:p w14:paraId="316DF6F5" w14:textId="77777777" w:rsidR="007362EA" w:rsidRPr="00B21295" w:rsidRDefault="007362EA" w:rsidP="007362EA">
      <w:pPr>
        <w:jc w:val="both"/>
        <w:rPr>
          <w:rFonts w:cstheme="minorHAnsi"/>
          <w:lang w:val="en-MY" w:eastAsia="en-AU"/>
        </w:rPr>
      </w:pPr>
    </w:p>
    <w:p w14:paraId="332E63DE" w14:textId="55967186" w:rsidR="0096319F" w:rsidRPr="00B21295" w:rsidRDefault="007362EA" w:rsidP="007362EA">
      <w:pPr>
        <w:jc w:val="both"/>
        <w:rPr>
          <w:rFonts w:cstheme="minorHAnsi"/>
          <w:lang w:val="en-MY" w:eastAsia="en-AU"/>
        </w:rPr>
      </w:pPr>
      <w:r w:rsidRPr="00B21295">
        <w:rPr>
          <w:rFonts w:cstheme="minorHAnsi"/>
          <w:lang w:val="en-MY" w:eastAsia="en-AU"/>
        </w:rPr>
        <w:t xml:space="preserve">Services where through-care services are ancillary to core legal services also experienced challenges with budget management and use of discretionary brokerage funding. Program-level management had no control over budget setting processes and – a corollary of not being recognised as a crisis service – case workers lacked adequate access to discretionary brokerage monies to use on an as needed basis for clients. According to case workers, access to such monies was not only </w:t>
      </w:r>
      <w:r w:rsidRPr="00B21295">
        <w:rPr>
          <w:rFonts w:cstheme="minorHAnsi"/>
          <w:i/>
          <w:iCs/>
          <w:lang w:val="en-MY" w:eastAsia="en-AU"/>
        </w:rPr>
        <w:t>ad hoc</w:t>
      </w:r>
      <w:r w:rsidRPr="00B21295">
        <w:rPr>
          <w:rFonts w:cstheme="minorHAnsi"/>
          <w:lang w:val="en-MY" w:eastAsia="en-AU"/>
        </w:rPr>
        <w:t xml:space="preserve"> and uncertain, but administratively complex and often provided only as a reimbursement to staff.</w:t>
      </w:r>
      <w:r w:rsidR="008C11C7">
        <w:rPr>
          <w:rStyle w:val="FootnoteReference"/>
          <w:rFonts w:cstheme="minorHAnsi"/>
          <w:lang w:val="en-MY" w:eastAsia="en-AU"/>
        </w:rPr>
        <w:footnoteReference w:id="85"/>
      </w:r>
      <w:r w:rsidRPr="00B21295">
        <w:rPr>
          <w:rFonts w:cstheme="minorHAnsi"/>
          <w:lang w:val="en-MY" w:eastAsia="en-AU"/>
        </w:rPr>
        <w:t xml:space="preserve"> This has not only stretched the personal financial resources of some staff but created a perception of employer mistrust of their case workers by those individuals affected.</w:t>
      </w:r>
    </w:p>
    <w:p w14:paraId="14B752E4" w14:textId="77777777" w:rsidR="0096319F" w:rsidRPr="00B21295" w:rsidRDefault="0096319F" w:rsidP="007362EA">
      <w:pPr>
        <w:jc w:val="both"/>
        <w:rPr>
          <w:rFonts w:cstheme="minorHAnsi"/>
          <w:lang w:val="en-MY" w:eastAsia="en-AU"/>
        </w:rPr>
      </w:pPr>
    </w:p>
    <w:p w14:paraId="6553A572" w14:textId="6B05CEBF" w:rsidR="0018045B" w:rsidRPr="00B21295" w:rsidRDefault="0018045B" w:rsidP="007362EA">
      <w:pPr>
        <w:jc w:val="both"/>
        <w:rPr>
          <w:rFonts w:cstheme="minorHAnsi"/>
          <w:lang w:val="en-MY" w:eastAsia="en-AU"/>
        </w:rPr>
      </w:pPr>
      <w:r w:rsidRPr="00B21295">
        <w:rPr>
          <w:rFonts w:cstheme="minorHAnsi"/>
          <w:lang w:val="en-MY" w:eastAsia="en-AU"/>
        </w:rPr>
        <w:t>Also with regards to gaps in the way case</w:t>
      </w:r>
      <w:r w:rsidR="00694565">
        <w:rPr>
          <w:rFonts w:cstheme="minorHAnsi"/>
          <w:lang w:val="en-MY" w:eastAsia="en-AU"/>
        </w:rPr>
        <w:t xml:space="preserve"> </w:t>
      </w:r>
      <w:r w:rsidRPr="00B21295">
        <w:rPr>
          <w:rFonts w:cstheme="minorHAnsi"/>
          <w:lang w:val="en-MY" w:eastAsia="en-AU"/>
        </w:rPr>
        <w:t>workers are supported, is the need for crisis intervention supports for youth case workers for clients who need support after hours and on weekends, when youths tend to be most socially active. This was regarded to be a major gap in the YTC program that is preventing these services from meeting the needs of youth beyond normal business hours. With additional staff resources or other means, such as partnerships with youth services, the opportunity exists to provide this additional support, and for youth, for example, to have access to youth worker support at these times during the week.</w:t>
      </w:r>
    </w:p>
    <w:p w14:paraId="536AAE81" w14:textId="77777777" w:rsidR="007362EA" w:rsidRPr="00B21295" w:rsidRDefault="007362EA" w:rsidP="00F0653B">
      <w:pPr>
        <w:jc w:val="both"/>
        <w:rPr>
          <w:rFonts w:cstheme="minorHAnsi"/>
          <w:lang w:val="en-MY" w:eastAsia="en-AU"/>
        </w:rPr>
      </w:pPr>
    </w:p>
    <w:p w14:paraId="1B3F07B2" w14:textId="1B804F7E" w:rsidR="007362EA" w:rsidRPr="00BC7517" w:rsidRDefault="007362EA" w:rsidP="00187574">
      <w:pPr>
        <w:pStyle w:val="Caption"/>
        <w:rPr>
          <w:color w:val="4F81BD" w:themeColor="accent1"/>
          <w:sz w:val="22"/>
          <w:szCs w:val="22"/>
          <w:lang w:val="en-MY" w:eastAsia="en-AU"/>
        </w:rPr>
      </w:pPr>
      <w:r w:rsidRPr="00BC7517">
        <w:rPr>
          <w:color w:val="4F81BD" w:themeColor="accent1"/>
          <w:sz w:val="22"/>
          <w:szCs w:val="22"/>
          <w:lang w:val="en-MY" w:eastAsia="en-AU"/>
        </w:rPr>
        <w:t>Geographic Remoteness and Service Access</w:t>
      </w:r>
    </w:p>
    <w:p w14:paraId="43388552" w14:textId="3242E87B" w:rsidR="00670102" w:rsidRPr="00B21295" w:rsidRDefault="00165BEA" w:rsidP="00F0653B">
      <w:pPr>
        <w:jc w:val="both"/>
        <w:rPr>
          <w:rFonts w:cstheme="minorHAnsi"/>
          <w:lang w:val="en-MY" w:eastAsia="en-AU"/>
        </w:rPr>
      </w:pPr>
      <w:r w:rsidRPr="00B21295">
        <w:rPr>
          <w:rFonts w:cstheme="minorHAnsi"/>
          <w:lang w:val="en-MY" w:eastAsia="en-AU"/>
        </w:rPr>
        <w:t>S</w:t>
      </w:r>
      <w:r w:rsidR="00E208AB" w:rsidRPr="00B21295">
        <w:rPr>
          <w:rFonts w:cstheme="minorHAnsi"/>
          <w:lang w:val="en-MY" w:eastAsia="en-AU"/>
        </w:rPr>
        <w:t>ervice</w:t>
      </w:r>
      <w:r w:rsidR="00D161C3" w:rsidRPr="00B21295">
        <w:rPr>
          <w:rFonts w:cstheme="minorHAnsi"/>
          <w:lang w:val="en-MY" w:eastAsia="en-AU"/>
        </w:rPr>
        <w:t xml:space="preserve"> delivery</w:t>
      </w:r>
      <w:r w:rsidR="00E208AB" w:rsidRPr="00B21295">
        <w:rPr>
          <w:rFonts w:cstheme="minorHAnsi"/>
          <w:lang w:val="en-MY" w:eastAsia="en-AU"/>
        </w:rPr>
        <w:t xml:space="preserve"> </w:t>
      </w:r>
      <w:r w:rsidR="00D161C3" w:rsidRPr="00B21295">
        <w:rPr>
          <w:rFonts w:cstheme="minorHAnsi"/>
          <w:lang w:val="en-MY" w:eastAsia="en-AU"/>
        </w:rPr>
        <w:t xml:space="preserve">sites </w:t>
      </w:r>
      <w:r w:rsidR="00E208AB" w:rsidRPr="00B21295">
        <w:rPr>
          <w:rFonts w:cstheme="minorHAnsi"/>
          <w:lang w:val="en-MY" w:eastAsia="en-AU"/>
        </w:rPr>
        <w:t xml:space="preserve">not located either close to places of prison or detention, or close to the home community of </w:t>
      </w:r>
      <w:r w:rsidR="000E5702" w:rsidRPr="00B21295">
        <w:rPr>
          <w:rFonts w:cstheme="minorHAnsi"/>
          <w:lang w:val="en-MY" w:eastAsia="en-AU"/>
        </w:rPr>
        <w:t>their</w:t>
      </w:r>
      <w:r w:rsidR="00E208AB" w:rsidRPr="00B21295">
        <w:rPr>
          <w:rFonts w:cstheme="minorHAnsi"/>
          <w:lang w:val="en-MY" w:eastAsia="en-AU"/>
        </w:rPr>
        <w:t xml:space="preserve"> clients</w:t>
      </w:r>
      <w:r w:rsidR="000E5702" w:rsidRPr="00B21295">
        <w:rPr>
          <w:rFonts w:cstheme="minorHAnsi"/>
          <w:lang w:val="en-MY" w:eastAsia="en-AU"/>
        </w:rPr>
        <w:t xml:space="preserve"> </w:t>
      </w:r>
      <w:r w:rsidR="00E208AB" w:rsidRPr="00B21295">
        <w:rPr>
          <w:rFonts w:cstheme="minorHAnsi"/>
          <w:lang w:val="en-MY" w:eastAsia="en-AU"/>
        </w:rPr>
        <w:t>tend</w:t>
      </w:r>
      <w:r w:rsidR="00D161C3" w:rsidRPr="00B21295">
        <w:rPr>
          <w:rFonts w:cstheme="minorHAnsi"/>
          <w:lang w:val="en-MY" w:eastAsia="en-AU"/>
        </w:rPr>
        <w:t xml:space="preserve">ed to experience greater service delivery challenges (both in terms of client engagement and access to services) </w:t>
      </w:r>
      <w:r w:rsidR="00E208AB" w:rsidRPr="00B21295">
        <w:rPr>
          <w:rFonts w:cstheme="minorHAnsi"/>
          <w:lang w:val="en-MY" w:eastAsia="en-AU"/>
        </w:rPr>
        <w:t xml:space="preserve">than those located </w:t>
      </w:r>
      <w:r w:rsidR="000E5702" w:rsidRPr="00B21295">
        <w:rPr>
          <w:rFonts w:cstheme="minorHAnsi"/>
          <w:lang w:val="en-MY" w:eastAsia="en-AU"/>
        </w:rPr>
        <w:t xml:space="preserve">near to the source of demand and </w:t>
      </w:r>
      <w:r w:rsidR="00D161C3" w:rsidRPr="00B21295">
        <w:rPr>
          <w:rFonts w:cstheme="minorHAnsi"/>
          <w:lang w:val="en-MY" w:eastAsia="en-AU"/>
        </w:rPr>
        <w:t xml:space="preserve">a wider range of post-release support </w:t>
      </w:r>
      <w:r w:rsidR="000E5702" w:rsidRPr="00B21295">
        <w:rPr>
          <w:rFonts w:cstheme="minorHAnsi"/>
          <w:lang w:val="en-MY" w:eastAsia="en-AU"/>
        </w:rPr>
        <w:t>services.</w:t>
      </w:r>
      <w:r w:rsidR="00E208AB" w:rsidRPr="00B21295">
        <w:rPr>
          <w:rFonts w:cstheme="minorHAnsi"/>
          <w:lang w:val="en-MY" w:eastAsia="en-AU"/>
        </w:rPr>
        <w:t xml:space="preserve"> </w:t>
      </w:r>
      <w:r w:rsidR="00D161C3" w:rsidRPr="00B21295">
        <w:rPr>
          <w:rFonts w:cstheme="minorHAnsi"/>
          <w:lang w:val="en-MY" w:eastAsia="en-AU"/>
        </w:rPr>
        <w:t>As discussed below, t</w:t>
      </w:r>
      <w:r w:rsidR="000E5702" w:rsidRPr="00B21295">
        <w:rPr>
          <w:rFonts w:cstheme="minorHAnsi"/>
          <w:lang w:val="en-MY" w:eastAsia="en-AU"/>
        </w:rPr>
        <w:t xml:space="preserve">he absence of this structural foundation for success is compounded in services which experience managerial and workforce challenges, and for whom the through-care program is not equivalent in priority to </w:t>
      </w:r>
      <w:r w:rsidRPr="00B21295">
        <w:rPr>
          <w:rFonts w:cstheme="minorHAnsi"/>
          <w:lang w:val="en-MY" w:eastAsia="en-AU"/>
        </w:rPr>
        <w:t xml:space="preserve">other functions within the </w:t>
      </w:r>
      <w:r w:rsidR="000E5702" w:rsidRPr="00B21295">
        <w:rPr>
          <w:rFonts w:cstheme="minorHAnsi"/>
          <w:lang w:val="en-MY" w:eastAsia="en-AU"/>
        </w:rPr>
        <w:t>organisation.</w:t>
      </w:r>
    </w:p>
    <w:p w14:paraId="0ED74B92" w14:textId="77777777" w:rsidR="00BF10E5" w:rsidRPr="00B21295" w:rsidRDefault="00BF10E5" w:rsidP="00F0653B">
      <w:pPr>
        <w:jc w:val="both"/>
        <w:rPr>
          <w:rFonts w:cstheme="minorHAnsi"/>
          <w:lang w:val="en-MY" w:eastAsia="en-AU"/>
        </w:rPr>
      </w:pPr>
    </w:p>
    <w:p w14:paraId="4EE7FB9B" w14:textId="6C8C3B51" w:rsidR="00312C24" w:rsidRPr="00B21295" w:rsidRDefault="00165BEA" w:rsidP="00F0653B">
      <w:pPr>
        <w:jc w:val="both"/>
        <w:rPr>
          <w:rFonts w:cstheme="minorHAnsi"/>
          <w:lang w:val="en-MY" w:eastAsia="en-AU"/>
        </w:rPr>
      </w:pPr>
      <w:r w:rsidRPr="00B21295">
        <w:rPr>
          <w:rFonts w:cstheme="minorHAnsi"/>
          <w:lang w:val="en-MY" w:eastAsia="en-AU"/>
        </w:rPr>
        <w:t xml:space="preserve">Based on interviews with corrective services staff and clients, </w:t>
      </w:r>
      <w:r w:rsidR="008F3444" w:rsidRPr="00B21295">
        <w:rPr>
          <w:rFonts w:cstheme="minorHAnsi"/>
          <w:lang w:val="en-MY" w:eastAsia="en-AU"/>
        </w:rPr>
        <w:t xml:space="preserve">ATC services which are not geographically proximate to prisons are disadvantaged since case workers are unable to establish close and effective relationships with prison staff </w:t>
      </w:r>
      <w:r w:rsidR="00312C24" w:rsidRPr="00B21295">
        <w:rPr>
          <w:rFonts w:cstheme="minorHAnsi"/>
          <w:lang w:val="en-MY" w:eastAsia="en-AU"/>
        </w:rPr>
        <w:t xml:space="preserve">or </w:t>
      </w:r>
      <w:r w:rsidR="008F3444" w:rsidRPr="00B21295">
        <w:rPr>
          <w:rFonts w:cstheme="minorHAnsi"/>
          <w:lang w:val="en-MY" w:eastAsia="en-AU"/>
        </w:rPr>
        <w:t xml:space="preserve">with </w:t>
      </w:r>
      <w:r w:rsidRPr="00B21295">
        <w:rPr>
          <w:rFonts w:cstheme="minorHAnsi"/>
          <w:lang w:val="en-MY" w:eastAsia="en-AU"/>
        </w:rPr>
        <w:t xml:space="preserve">their </w:t>
      </w:r>
      <w:r w:rsidR="008F3444" w:rsidRPr="00B21295">
        <w:rPr>
          <w:rFonts w:cstheme="minorHAnsi"/>
          <w:lang w:val="en-MY" w:eastAsia="en-AU"/>
        </w:rPr>
        <w:t xml:space="preserve">clients prior to their release. Although strategies have been put in place by some services to mitigate this limitation – for example </w:t>
      </w:r>
      <w:r w:rsidR="00312C24" w:rsidRPr="00B21295">
        <w:rPr>
          <w:rFonts w:cstheme="minorHAnsi"/>
          <w:lang w:val="en-MY" w:eastAsia="en-AU"/>
        </w:rPr>
        <w:t xml:space="preserve">fortnightly schedules of travel - </w:t>
      </w:r>
      <w:r w:rsidR="008F3444" w:rsidRPr="00B21295">
        <w:rPr>
          <w:rFonts w:cstheme="minorHAnsi"/>
          <w:lang w:val="en-MY" w:eastAsia="en-AU"/>
        </w:rPr>
        <w:t>th</w:t>
      </w:r>
      <w:r w:rsidR="00312C24" w:rsidRPr="00B21295">
        <w:rPr>
          <w:rFonts w:cstheme="minorHAnsi"/>
          <w:lang w:val="en-MY" w:eastAsia="en-AU"/>
        </w:rPr>
        <w:t>is</w:t>
      </w:r>
      <w:r w:rsidR="008F3444" w:rsidRPr="00B21295">
        <w:rPr>
          <w:rFonts w:cstheme="minorHAnsi"/>
          <w:lang w:val="en-MY" w:eastAsia="en-AU"/>
        </w:rPr>
        <w:t xml:space="preserve"> come</w:t>
      </w:r>
      <w:r w:rsidR="00312C24" w:rsidRPr="00B21295">
        <w:rPr>
          <w:rFonts w:cstheme="minorHAnsi"/>
          <w:lang w:val="en-MY" w:eastAsia="en-AU"/>
        </w:rPr>
        <w:t>s</w:t>
      </w:r>
      <w:r w:rsidR="008F3444" w:rsidRPr="00B21295">
        <w:rPr>
          <w:rFonts w:cstheme="minorHAnsi"/>
          <w:lang w:val="en-MY" w:eastAsia="en-AU"/>
        </w:rPr>
        <w:t xml:space="preserve"> at a significant opportunity cost </w:t>
      </w:r>
      <w:r w:rsidR="00312C24" w:rsidRPr="00B21295">
        <w:rPr>
          <w:rFonts w:cstheme="minorHAnsi"/>
          <w:lang w:val="en-MY" w:eastAsia="en-AU"/>
        </w:rPr>
        <w:t>in terms of time away from other clients or unproductive time spent during travel</w:t>
      </w:r>
      <w:r w:rsidR="008F6EDB" w:rsidRPr="00B21295">
        <w:rPr>
          <w:rFonts w:cstheme="minorHAnsi"/>
          <w:lang w:val="en-MY" w:eastAsia="en-AU"/>
        </w:rPr>
        <w:t>.</w:t>
      </w:r>
    </w:p>
    <w:p w14:paraId="5136C7DA" w14:textId="77777777" w:rsidR="00312C24" w:rsidRPr="00B21295" w:rsidRDefault="00312C24" w:rsidP="00F0653B">
      <w:pPr>
        <w:jc w:val="both"/>
        <w:rPr>
          <w:rFonts w:cstheme="minorHAnsi"/>
          <w:lang w:val="en-MY" w:eastAsia="en-AU"/>
        </w:rPr>
      </w:pPr>
    </w:p>
    <w:p w14:paraId="3346655F" w14:textId="32FF13A6" w:rsidR="0018045B" w:rsidRPr="00B21295" w:rsidRDefault="00312C24" w:rsidP="00F0653B">
      <w:pPr>
        <w:jc w:val="both"/>
        <w:rPr>
          <w:rFonts w:cstheme="minorHAnsi"/>
          <w:lang w:val="en-MY" w:eastAsia="en-AU"/>
        </w:rPr>
      </w:pPr>
      <w:r w:rsidRPr="00B21295">
        <w:rPr>
          <w:rFonts w:cstheme="minorHAnsi"/>
          <w:lang w:val="en-MY" w:eastAsia="en-AU"/>
        </w:rPr>
        <w:t xml:space="preserve">Services which operate at a distance from the home community of their clients also tend to work </w:t>
      </w:r>
      <w:r w:rsidR="0004330D" w:rsidRPr="00B21295">
        <w:rPr>
          <w:rFonts w:cstheme="minorHAnsi"/>
          <w:lang w:val="en-MY" w:eastAsia="en-AU"/>
        </w:rPr>
        <w:t xml:space="preserve">either </w:t>
      </w:r>
      <w:r w:rsidRPr="00B21295">
        <w:rPr>
          <w:rFonts w:cstheme="minorHAnsi"/>
          <w:lang w:val="en-MY" w:eastAsia="en-AU"/>
        </w:rPr>
        <w:t>inefficiently</w:t>
      </w:r>
      <w:r w:rsidR="0004330D" w:rsidRPr="00B21295">
        <w:rPr>
          <w:rFonts w:cstheme="minorHAnsi"/>
          <w:lang w:val="en-MY" w:eastAsia="en-AU"/>
        </w:rPr>
        <w:t xml:space="preserve"> - </w:t>
      </w:r>
      <w:r w:rsidRPr="00B21295">
        <w:rPr>
          <w:rFonts w:cstheme="minorHAnsi"/>
          <w:lang w:val="en-MY" w:eastAsia="en-AU"/>
        </w:rPr>
        <w:t>spend</w:t>
      </w:r>
      <w:r w:rsidR="0004330D" w:rsidRPr="00B21295">
        <w:rPr>
          <w:rFonts w:cstheme="minorHAnsi"/>
          <w:lang w:val="en-MY" w:eastAsia="en-AU"/>
        </w:rPr>
        <w:t>ing</w:t>
      </w:r>
      <w:r w:rsidRPr="00B21295">
        <w:rPr>
          <w:rFonts w:cstheme="minorHAnsi"/>
          <w:lang w:val="en-MY" w:eastAsia="en-AU"/>
        </w:rPr>
        <w:t xml:space="preserve"> a great deal of unproductive time travelling between dispersed clients</w:t>
      </w:r>
      <w:r w:rsidR="0004330D" w:rsidRPr="00B21295">
        <w:rPr>
          <w:rFonts w:cstheme="minorHAnsi"/>
          <w:lang w:val="en-MY" w:eastAsia="en-AU"/>
        </w:rPr>
        <w:t xml:space="preserve"> – or else consciously reduce the level of client engagement and support (including the coordination of secondary services)</w:t>
      </w:r>
      <w:r w:rsidRPr="00B21295">
        <w:rPr>
          <w:rFonts w:cstheme="minorHAnsi"/>
          <w:lang w:val="en-MY" w:eastAsia="en-AU"/>
        </w:rPr>
        <w:t xml:space="preserve">. Although many home communities in regional and remote areas may be disadvantaged by a lack of affordable transport or public transport options, the time spent by some case workers driving across large regions to service clients was widely recognised </w:t>
      </w:r>
      <w:r w:rsidR="0004330D" w:rsidRPr="00B21295">
        <w:rPr>
          <w:rFonts w:cstheme="minorHAnsi"/>
          <w:lang w:val="en-MY" w:eastAsia="en-AU"/>
        </w:rPr>
        <w:t xml:space="preserve">by service managers </w:t>
      </w:r>
      <w:r w:rsidRPr="00B21295">
        <w:rPr>
          <w:rFonts w:cstheme="minorHAnsi"/>
          <w:lang w:val="en-MY" w:eastAsia="en-AU"/>
        </w:rPr>
        <w:t xml:space="preserve">to be </w:t>
      </w:r>
      <w:r w:rsidR="0004330D" w:rsidRPr="00B21295">
        <w:rPr>
          <w:rFonts w:cstheme="minorHAnsi"/>
          <w:lang w:val="en-MY" w:eastAsia="en-AU"/>
        </w:rPr>
        <w:t xml:space="preserve">problematic </w:t>
      </w:r>
      <w:r w:rsidR="000E5702" w:rsidRPr="00B21295">
        <w:rPr>
          <w:rFonts w:cstheme="minorHAnsi"/>
          <w:lang w:val="en-MY" w:eastAsia="en-AU"/>
        </w:rPr>
        <w:t>and something which has constrained case</w:t>
      </w:r>
      <w:r w:rsidR="007E19B5">
        <w:rPr>
          <w:rFonts w:cstheme="minorHAnsi"/>
          <w:lang w:val="en-MY" w:eastAsia="en-AU"/>
        </w:rPr>
        <w:t>-</w:t>
      </w:r>
      <w:r w:rsidR="000E5702" w:rsidRPr="00B21295">
        <w:rPr>
          <w:rFonts w:cstheme="minorHAnsi"/>
          <w:lang w:val="en-MY" w:eastAsia="en-AU"/>
        </w:rPr>
        <w:t xml:space="preserve">load </w:t>
      </w:r>
      <w:r w:rsidR="00345F22" w:rsidRPr="00B21295">
        <w:rPr>
          <w:rFonts w:cstheme="minorHAnsi"/>
          <w:lang w:val="en-MY" w:eastAsia="en-AU"/>
        </w:rPr>
        <w:t>expansion</w:t>
      </w:r>
      <w:r w:rsidRPr="00B21295">
        <w:rPr>
          <w:rFonts w:cstheme="minorHAnsi"/>
          <w:lang w:val="en-MY" w:eastAsia="en-AU"/>
        </w:rPr>
        <w:t>.</w:t>
      </w:r>
      <w:r w:rsidR="0004330D" w:rsidRPr="00B21295">
        <w:rPr>
          <w:rFonts w:cstheme="minorHAnsi"/>
          <w:lang w:val="en-MY" w:eastAsia="en-AU"/>
        </w:rPr>
        <w:t xml:space="preserve"> </w:t>
      </w:r>
    </w:p>
    <w:p w14:paraId="0D28AF19" w14:textId="77777777" w:rsidR="0018045B" w:rsidRPr="00B21295" w:rsidRDefault="0018045B" w:rsidP="00F0653B">
      <w:pPr>
        <w:jc w:val="both"/>
        <w:rPr>
          <w:rFonts w:cstheme="minorHAnsi"/>
          <w:lang w:val="en-MY" w:eastAsia="en-AU"/>
        </w:rPr>
      </w:pPr>
    </w:p>
    <w:p w14:paraId="5C33820D" w14:textId="18DE038F" w:rsidR="0004330D" w:rsidRPr="00B21295" w:rsidRDefault="0004330D" w:rsidP="00F0653B">
      <w:pPr>
        <w:jc w:val="both"/>
        <w:rPr>
          <w:rFonts w:cstheme="minorHAnsi"/>
          <w:lang w:val="en-MY" w:eastAsia="en-AU"/>
        </w:rPr>
      </w:pPr>
      <w:r w:rsidRPr="00B21295">
        <w:rPr>
          <w:rFonts w:cstheme="minorHAnsi"/>
          <w:lang w:val="en-MY" w:eastAsia="en-AU"/>
        </w:rPr>
        <w:t>Furthermore, where clients had relocated home to a discrete remote community and contact with case</w:t>
      </w:r>
      <w:r w:rsidR="00694565">
        <w:rPr>
          <w:rFonts w:cstheme="minorHAnsi"/>
          <w:lang w:val="en-MY" w:eastAsia="en-AU"/>
        </w:rPr>
        <w:t xml:space="preserve"> </w:t>
      </w:r>
      <w:r w:rsidRPr="00B21295">
        <w:rPr>
          <w:rFonts w:cstheme="minorHAnsi"/>
          <w:lang w:val="en-MY" w:eastAsia="en-AU"/>
        </w:rPr>
        <w:t>workers became more limited, case</w:t>
      </w:r>
      <w:r w:rsidR="00694565">
        <w:rPr>
          <w:rFonts w:cstheme="minorHAnsi"/>
          <w:lang w:val="en-MY" w:eastAsia="en-AU"/>
        </w:rPr>
        <w:t xml:space="preserve"> </w:t>
      </w:r>
      <w:r w:rsidRPr="00B21295">
        <w:rPr>
          <w:rFonts w:cstheme="minorHAnsi"/>
          <w:lang w:val="en-MY" w:eastAsia="en-AU"/>
        </w:rPr>
        <w:t>workers relied on continuity of support to be provided by external service providers</w:t>
      </w:r>
      <w:r w:rsidR="00345F22" w:rsidRPr="00B21295">
        <w:rPr>
          <w:rFonts w:cstheme="minorHAnsi"/>
          <w:lang w:val="en-MY" w:eastAsia="en-AU"/>
        </w:rPr>
        <w:t xml:space="preserve">, </w:t>
      </w:r>
      <w:r w:rsidRPr="00B21295">
        <w:rPr>
          <w:rFonts w:cstheme="minorHAnsi"/>
          <w:lang w:val="en-MY" w:eastAsia="en-AU"/>
        </w:rPr>
        <w:t>or else were forced to accept the reality that a client might drop-off their case</w:t>
      </w:r>
      <w:r w:rsidR="007E19B5">
        <w:rPr>
          <w:rFonts w:cstheme="minorHAnsi"/>
          <w:lang w:val="en-MY" w:eastAsia="en-AU"/>
        </w:rPr>
        <w:t>-</w:t>
      </w:r>
      <w:r w:rsidRPr="00B21295">
        <w:rPr>
          <w:rFonts w:cstheme="minorHAnsi"/>
          <w:lang w:val="en-MY" w:eastAsia="en-AU"/>
        </w:rPr>
        <w:t xml:space="preserve">load or become uncontactable. </w:t>
      </w:r>
      <w:r w:rsidR="00432581">
        <w:rPr>
          <w:rFonts w:cstheme="minorHAnsi"/>
          <w:lang w:val="en-MY" w:eastAsia="en-AU"/>
        </w:rPr>
        <w:t>The implication is that destination of release in these cases is not always fully taken into account when prioritising clients, while t</w:t>
      </w:r>
      <w:r w:rsidR="008F6EDB" w:rsidRPr="00B21295">
        <w:rPr>
          <w:rFonts w:cstheme="minorHAnsi"/>
          <w:lang w:val="en-MY" w:eastAsia="en-AU"/>
        </w:rPr>
        <w:t>h</w:t>
      </w:r>
      <w:r w:rsidR="00312C24" w:rsidRPr="00B21295">
        <w:rPr>
          <w:rFonts w:cstheme="minorHAnsi"/>
          <w:lang w:val="en-MY" w:eastAsia="en-AU"/>
        </w:rPr>
        <w:t xml:space="preserve">e problem of distance </w:t>
      </w:r>
      <w:r w:rsidR="009E6E1A" w:rsidRPr="00B21295">
        <w:rPr>
          <w:rFonts w:cstheme="minorHAnsi"/>
          <w:lang w:val="en-MY" w:eastAsia="en-AU"/>
        </w:rPr>
        <w:t xml:space="preserve">is further compounded when clients live at a </w:t>
      </w:r>
      <w:r w:rsidR="00670102" w:rsidRPr="00B21295">
        <w:rPr>
          <w:rFonts w:cstheme="minorHAnsi"/>
          <w:lang w:val="en-MY" w:eastAsia="en-AU"/>
        </w:rPr>
        <w:t>distance</w:t>
      </w:r>
      <w:r w:rsidR="009E6E1A" w:rsidRPr="00B21295">
        <w:rPr>
          <w:rFonts w:cstheme="minorHAnsi"/>
          <w:lang w:val="en-MY" w:eastAsia="en-AU"/>
        </w:rPr>
        <w:t xml:space="preserve"> to the locations of secondary services</w:t>
      </w:r>
      <w:r w:rsidRPr="00B21295">
        <w:rPr>
          <w:rFonts w:cstheme="minorHAnsi"/>
          <w:lang w:val="en-MY" w:eastAsia="en-AU"/>
        </w:rPr>
        <w:t>, making the task of coordinating secondary services extremely challenging</w:t>
      </w:r>
      <w:r w:rsidR="009E6E1A" w:rsidRPr="00B21295">
        <w:rPr>
          <w:rFonts w:cstheme="minorHAnsi"/>
          <w:lang w:val="en-MY" w:eastAsia="en-AU"/>
        </w:rPr>
        <w:t xml:space="preserve">. </w:t>
      </w:r>
    </w:p>
    <w:p w14:paraId="0BA2CF13" w14:textId="77777777" w:rsidR="0004330D" w:rsidRPr="00B21295" w:rsidRDefault="0004330D" w:rsidP="00F0653B">
      <w:pPr>
        <w:jc w:val="both"/>
        <w:rPr>
          <w:rFonts w:cstheme="minorHAnsi"/>
          <w:lang w:val="en-MY" w:eastAsia="en-AU"/>
        </w:rPr>
      </w:pPr>
    </w:p>
    <w:p w14:paraId="2B757271" w14:textId="3F110969" w:rsidR="00A5222D" w:rsidRPr="00B21295" w:rsidRDefault="009E6E1A" w:rsidP="00F0653B">
      <w:pPr>
        <w:jc w:val="both"/>
        <w:rPr>
          <w:rFonts w:cstheme="minorHAnsi"/>
          <w:lang w:val="en-MY" w:eastAsia="en-AU"/>
        </w:rPr>
      </w:pPr>
      <w:r w:rsidRPr="00B21295">
        <w:rPr>
          <w:rFonts w:cstheme="minorHAnsi"/>
          <w:lang w:val="en-MY" w:eastAsia="en-AU"/>
        </w:rPr>
        <w:t>Taken together the problem of service reach is recognised to stretch the time resources of some cases workers, foster a degree of transport dependency</w:t>
      </w:r>
      <w:r w:rsidR="008F6EDB" w:rsidRPr="00B21295">
        <w:rPr>
          <w:rFonts w:cstheme="minorHAnsi"/>
          <w:lang w:val="en-MY" w:eastAsia="en-AU"/>
        </w:rPr>
        <w:t xml:space="preserve">, </w:t>
      </w:r>
      <w:r w:rsidRPr="00B21295">
        <w:rPr>
          <w:rFonts w:cstheme="minorHAnsi"/>
          <w:lang w:val="en-MY" w:eastAsia="en-AU"/>
        </w:rPr>
        <w:t>and prevent case workers from working in support of other clients. In the case of discrete remote communities, it is not expected that case workers will visit their clients following repatriation, however a large proportion of clients will drop off within weeks of returning home, when they cannot be regularly contacted</w:t>
      </w:r>
      <w:r w:rsidR="00670102" w:rsidRPr="00B21295">
        <w:rPr>
          <w:rFonts w:cstheme="minorHAnsi"/>
          <w:lang w:val="en-MY" w:eastAsia="en-AU"/>
        </w:rPr>
        <w:t xml:space="preserve">, </w:t>
      </w:r>
      <w:r w:rsidRPr="00B21295">
        <w:rPr>
          <w:rFonts w:cstheme="minorHAnsi"/>
          <w:lang w:val="en-MY" w:eastAsia="en-AU"/>
        </w:rPr>
        <w:t>or service providers lack strong local partners to assist in maintaining support.</w:t>
      </w:r>
    </w:p>
    <w:p w14:paraId="3470E67A" w14:textId="77777777" w:rsidR="0097191E" w:rsidRPr="00B21295" w:rsidRDefault="0097191E" w:rsidP="00F0653B">
      <w:pPr>
        <w:jc w:val="both"/>
        <w:rPr>
          <w:rFonts w:cstheme="minorHAnsi"/>
          <w:lang w:val="en-MY" w:eastAsia="en-AU"/>
        </w:rPr>
      </w:pPr>
    </w:p>
    <w:p w14:paraId="6FCCA09D" w14:textId="438DA3F3" w:rsidR="00404FEA" w:rsidRPr="00BC7517" w:rsidRDefault="0004330D" w:rsidP="00BC7517">
      <w:pPr>
        <w:jc w:val="both"/>
        <w:rPr>
          <w:rFonts w:cstheme="minorHAnsi"/>
          <w:lang w:val="en-MY" w:eastAsia="en-AU"/>
        </w:rPr>
      </w:pPr>
      <w:r w:rsidRPr="00B21295">
        <w:rPr>
          <w:rFonts w:cstheme="minorHAnsi"/>
          <w:lang w:val="en-MY" w:eastAsia="en-AU"/>
        </w:rPr>
        <w:t>In addition to remoteness, s</w:t>
      </w:r>
      <w:r w:rsidR="0097191E" w:rsidRPr="00B21295">
        <w:rPr>
          <w:rFonts w:cstheme="minorHAnsi"/>
          <w:lang w:val="en-MY" w:eastAsia="en-AU"/>
        </w:rPr>
        <w:t>ervice providers universally stated that access to affordable, safe and secure housing for clients was the greatest external barrier to successful client outcomes, and a driver of factors such as homelessness and transience which increase</w:t>
      </w:r>
      <w:r w:rsidRPr="00B21295">
        <w:rPr>
          <w:rFonts w:cstheme="minorHAnsi"/>
          <w:lang w:val="en-MY" w:eastAsia="en-AU"/>
        </w:rPr>
        <w:t xml:space="preserve"> </w:t>
      </w:r>
      <w:r w:rsidR="0097191E" w:rsidRPr="00B21295">
        <w:rPr>
          <w:rFonts w:cstheme="minorHAnsi"/>
          <w:lang w:val="en-MY" w:eastAsia="en-AU"/>
        </w:rPr>
        <w:t>the prospects of reoffending</w:t>
      </w:r>
      <w:r w:rsidRPr="00B21295">
        <w:rPr>
          <w:rFonts w:cstheme="minorHAnsi"/>
          <w:lang w:val="en-MY" w:eastAsia="en-AU"/>
        </w:rPr>
        <w:t>, as well as being a c</w:t>
      </w:r>
      <w:r w:rsidR="002E70AC" w:rsidRPr="00B21295">
        <w:rPr>
          <w:rFonts w:cstheme="minorHAnsi"/>
          <w:lang w:val="en-MY" w:eastAsia="en-AU"/>
        </w:rPr>
        <w:t>ausal factor for other drivers such as unemployment</w:t>
      </w:r>
      <w:r w:rsidR="0097191E" w:rsidRPr="00B21295">
        <w:rPr>
          <w:rFonts w:cstheme="minorHAnsi"/>
          <w:lang w:val="en-MY" w:eastAsia="en-AU"/>
        </w:rPr>
        <w:t xml:space="preserve">. While a small number of services are able to integrate housing into their support models, most spend a large proportion of their intensive </w:t>
      </w:r>
      <w:r w:rsidR="002E70AC" w:rsidRPr="00B21295">
        <w:rPr>
          <w:rFonts w:cstheme="minorHAnsi"/>
          <w:lang w:val="en-MY" w:eastAsia="en-AU"/>
        </w:rPr>
        <w:t xml:space="preserve">case management </w:t>
      </w:r>
      <w:r w:rsidR="00370CAB" w:rsidRPr="00B21295">
        <w:rPr>
          <w:rFonts w:cstheme="minorHAnsi"/>
          <w:lang w:val="en-MY" w:eastAsia="en-AU"/>
        </w:rPr>
        <w:t>advocating for</w:t>
      </w:r>
      <w:r w:rsidR="002E70AC" w:rsidRPr="00B21295">
        <w:rPr>
          <w:rFonts w:cstheme="minorHAnsi"/>
          <w:lang w:val="en-MY" w:eastAsia="en-AU"/>
        </w:rPr>
        <w:t xml:space="preserve"> </w:t>
      </w:r>
      <w:r w:rsidR="0097191E" w:rsidRPr="00B21295">
        <w:rPr>
          <w:rFonts w:cstheme="minorHAnsi"/>
          <w:lang w:val="en-MY" w:eastAsia="en-AU"/>
        </w:rPr>
        <w:t>clients to access social or community housing.</w:t>
      </w:r>
      <w:r w:rsidR="002E70AC" w:rsidRPr="00B21295">
        <w:rPr>
          <w:rFonts w:cstheme="minorHAnsi"/>
          <w:lang w:val="en-MY" w:eastAsia="en-AU"/>
        </w:rPr>
        <w:t xml:space="preserve"> Additional barriers were also reported, depending on the severity of the offence, since </w:t>
      </w:r>
      <w:r w:rsidR="0097191E" w:rsidRPr="00B21295">
        <w:rPr>
          <w:rFonts w:cstheme="minorHAnsi"/>
          <w:lang w:val="en-MY" w:eastAsia="en-AU"/>
        </w:rPr>
        <w:t>hostels</w:t>
      </w:r>
      <w:r w:rsidR="002E70AC" w:rsidRPr="00B21295">
        <w:rPr>
          <w:rFonts w:cstheme="minorHAnsi"/>
          <w:lang w:val="en-MY" w:eastAsia="en-AU"/>
        </w:rPr>
        <w:t xml:space="preserve"> and </w:t>
      </w:r>
      <w:r w:rsidR="0097191E" w:rsidRPr="00B21295">
        <w:rPr>
          <w:rFonts w:cstheme="minorHAnsi"/>
          <w:lang w:val="en-MY" w:eastAsia="en-AU"/>
        </w:rPr>
        <w:t>rehab</w:t>
      </w:r>
      <w:r w:rsidR="002E70AC" w:rsidRPr="00B21295">
        <w:rPr>
          <w:rFonts w:cstheme="minorHAnsi"/>
          <w:lang w:val="en-MY" w:eastAsia="en-AU"/>
        </w:rPr>
        <w:t>ilitation facilities will not take sex offenders, while many clients with a history of domestic violence were prevented from moving to their usual places of residence</w:t>
      </w:r>
      <w:r w:rsidR="0097191E" w:rsidRPr="00B21295">
        <w:rPr>
          <w:rFonts w:cstheme="minorHAnsi"/>
          <w:lang w:val="en-MY" w:eastAsia="en-AU"/>
        </w:rPr>
        <w:t xml:space="preserve">. </w:t>
      </w:r>
    </w:p>
    <w:p w14:paraId="2B7BB63C" w14:textId="77777777" w:rsidR="00BC7517" w:rsidRDefault="008C4869" w:rsidP="00BC7517">
      <w:pPr>
        <w:pStyle w:val="SUBHEAD2"/>
        <w:rPr>
          <w:rFonts w:asciiTheme="minorHAnsi" w:hAnsiTheme="minorHAnsi" w:cstheme="minorHAnsi"/>
          <w:lang w:val="en-MY" w:eastAsia="en-AU"/>
        </w:rPr>
      </w:pPr>
      <w:r w:rsidRPr="00BC7517">
        <w:rPr>
          <w:rFonts w:asciiTheme="minorHAnsi" w:hAnsiTheme="minorHAnsi" w:cstheme="minorHAnsi"/>
          <w:lang w:val="en-MY" w:eastAsia="en-AU"/>
        </w:rPr>
        <w:t xml:space="preserve">Gaps or Opportunities To </w:t>
      </w:r>
      <w:r w:rsidR="003C383A" w:rsidRPr="00BC7517">
        <w:rPr>
          <w:rFonts w:asciiTheme="minorHAnsi" w:hAnsiTheme="minorHAnsi" w:cstheme="minorHAnsi"/>
          <w:lang w:val="en-MY" w:eastAsia="en-AU"/>
        </w:rPr>
        <w:t>Improve Effectiveness of Service Delivery</w:t>
      </w:r>
    </w:p>
    <w:p w14:paraId="74D3A7CB" w14:textId="263E5B65" w:rsidR="00B43A32" w:rsidRPr="00745F83" w:rsidRDefault="00B43A32" w:rsidP="00745F83">
      <w:pPr>
        <w:spacing w:before="120" w:after="120"/>
        <w:jc w:val="both"/>
        <w:rPr>
          <w:b/>
          <w:smallCaps/>
          <w:lang w:val="en-MY" w:eastAsia="en-AU"/>
        </w:rPr>
      </w:pPr>
      <w:r w:rsidRPr="00BC7517">
        <w:rPr>
          <w:lang w:val="en-MY" w:eastAsia="en-AU"/>
        </w:rPr>
        <w:t>Various gaps in services and associated service models were identified during research, noting t</w:t>
      </w:r>
      <w:r w:rsidR="00401F19" w:rsidRPr="00BC7517">
        <w:rPr>
          <w:lang w:val="en-MY" w:eastAsia="en-AU"/>
        </w:rPr>
        <w:t xml:space="preserve">he extent to which gaps </w:t>
      </w:r>
      <w:r w:rsidR="008E29E0" w:rsidRPr="00BC7517">
        <w:rPr>
          <w:lang w:val="en-MY" w:eastAsia="en-AU"/>
        </w:rPr>
        <w:t>can be filled</w:t>
      </w:r>
      <w:r w:rsidR="00401F19" w:rsidRPr="00BC7517">
        <w:rPr>
          <w:lang w:val="en-MY" w:eastAsia="en-AU"/>
        </w:rPr>
        <w:t xml:space="preserve"> is dependent </w:t>
      </w:r>
      <w:r w:rsidR="008E29E0" w:rsidRPr="00BC7517">
        <w:rPr>
          <w:lang w:val="en-MY" w:eastAsia="en-AU"/>
        </w:rPr>
        <w:t>not just on access to additional resources</w:t>
      </w:r>
      <w:r w:rsidRPr="00BC7517">
        <w:rPr>
          <w:lang w:val="en-MY" w:eastAsia="en-AU"/>
        </w:rPr>
        <w:t xml:space="preserve"> and </w:t>
      </w:r>
      <w:r w:rsidR="00401F19" w:rsidRPr="00BC7517">
        <w:rPr>
          <w:lang w:val="en-MY" w:eastAsia="en-AU"/>
        </w:rPr>
        <w:t xml:space="preserve">the </w:t>
      </w:r>
      <w:r w:rsidR="008E29E0" w:rsidRPr="00BC7517">
        <w:rPr>
          <w:lang w:val="en-MY" w:eastAsia="en-AU"/>
        </w:rPr>
        <w:t>capacity of services to take a strategic approach</w:t>
      </w:r>
      <w:r w:rsidRPr="00BC7517">
        <w:rPr>
          <w:lang w:val="en-MY" w:eastAsia="en-AU"/>
        </w:rPr>
        <w:t>, but on success in advocating for policy changes at the State and Territory level</w:t>
      </w:r>
      <w:r w:rsidR="00680E83" w:rsidRPr="00BC7517">
        <w:rPr>
          <w:lang w:val="en-MY" w:eastAsia="en-AU"/>
        </w:rPr>
        <w:t>.</w:t>
      </w:r>
    </w:p>
    <w:p w14:paraId="043F3BC3" w14:textId="77777777" w:rsidR="00C243F1" w:rsidRPr="00BC7517" w:rsidRDefault="00C243F1" w:rsidP="00187574">
      <w:pPr>
        <w:pStyle w:val="Caption"/>
        <w:rPr>
          <w:color w:val="4F81BD" w:themeColor="accent1"/>
          <w:sz w:val="22"/>
          <w:szCs w:val="22"/>
          <w:lang w:val="en-MY" w:eastAsia="en-AU"/>
        </w:rPr>
      </w:pPr>
      <w:r w:rsidRPr="00BC7517">
        <w:rPr>
          <w:color w:val="4F81BD" w:themeColor="accent1"/>
          <w:sz w:val="22"/>
          <w:szCs w:val="22"/>
          <w:lang w:val="en-MY" w:eastAsia="en-AU"/>
        </w:rPr>
        <w:t>Eligibility to Receive a Service</w:t>
      </w:r>
    </w:p>
    <w:p w14:paraId="08E46D27" w14:textId="77777777" w:rsidR="00C243F1" w:rsidRDefault="00C243F1" w:rsidP="00C243F1">
      <w:pPr>
        <w:jc w:val="both"/>
        <w:rPr>
          <w:rFonts w:cstheme="minorHAnsi"/>
          <w:lang w:val="en-MY" w:eastAsia="en-AU"/>
        </w:rPr>
      </w:pPr>
      <w:r w:rsidRPr="00B21295">
        <w:rPr>
          <w:rFonts w:cstheme="minorHAnsi"/>
          <w:lang w:val="en-MY" w:eastAsia="en-AU"/>
        </w:rPr>
        <w:t>From a demand and eligibility perspective, prospective clients receiving shorter sentences were also regarded by service managers to be disadvantaged in terms of their ability to access a through-care service, since they are either not picked up at the point of referral or else lack the time for pre-release contact (despite this being an opportunity for earlier intervention with clients who may otherwise progress to longer sentences). This situation was understood by service providers to disproportionately affect females, for whom shorter sentences partially explains their smaller through-care client numbers. All services reported working with both males and females, but in all cases predominantly males (despite the increasing numbers of females within the prison population).</w:t>
      </w:r>
    </w:p>
    <w:p w14:paraId="3E3C2552" w14:textId="77777777" w:rsidR="00C243F1" w:rsidRDefault="00C243F1" w:rsidP="00C243F1">
      <w:pPr>
        <w:jc w:val="both"/>
        <w:rPr>
          <w:rFonts w:cstheme="minorHAnsi"/>
          <w:lang w:val="en-MY" w:eastAsia="en-AU"/>
        </w:rPr>
      </w:pPr>
    </w:p>
    <w:p w14:paraId="24707E74" w14:textId="226206D4" w:rsidR="00C243F1" w:rsidRPr="00B21295" w:rsidRDefault="00C243F1" w:rsidP="00C243F1">
      <w:pPr>
        <w:jc w:val="both"/>
        <w:rPr>
          <w:rFonts w:cstheme="minorHAnsi"/>
          <w:lang w:val="en-MY" w:eastAsia="en-AU"/>
        </w:rPr>
      </w:pPr>
      <w:r w:rsidRPr="00B21295">
        <w:rPr>
          <w:rFonts w:cstheme="minorHAnsi"/>
          <w:lang w:val="en-MY" w:eastAsia="en-AU"/>
        </w:rPr>
        <w:t>It was also widely considered that neither program is meeting the needs of individuals and clients on remand (who have not been sentenced and do not have a prison release date).</w:t>
      </w:r>
      <w:r w:rsidRPr="00B21295">
        <w:rPr>
          <w:rFonts w:cstheme="minorHAnsi"/>
          <w:vertAlign w:val="superscript"/>
          <w:lang w:val="en-MY" w:eastAsia="en-AU"/>
        </w:rPr>
        <w:footnoteReference w:id="86"/>
      </w:r>
      <w:r w:rsidRPr="00B21295">
        <w:rPr>
          <w:rFonts w:cstheme="minorHAnsi"/>
          <w:vertAlign w:val="superscript"/>
          <w:lang w:val="en-MY" w:eastAsia="en-AU"/>
        </w:rPr>
        <w:t xml:space="preserve"> </w:t>
      </w:r>
      <w:r w:rsidRPr="00B21295">
        <w:rPr>
          <w:rFonts w:cstheme="minorHAnsi"/>
          <w:lang w:val="en-MY" w:eastAsia="en-AU"/>
        </w:rPr>
        <w:t>Such individuals were either - in the case of ATC - regarded as ineligible for the service (given they haven’t been sentenced) or else, in the case of YTC, unable to successfully set goals until after their court appearance.</w:t>
      </w:r>
      <w:r w:rsidR="008C11C7">
        <w:rPr>
          <w:rStyle w:val="FootnoteReference"/>
          <w:rFonts w:cstheme="minorHAnsi"/>
          <w:lang w:val="en-MY" w:eastAsia="en-AU"/>
        </w:rPr>
        <w:footnoteReference w:id="87"/>
      </w:r>
      <w:r w:rsidRPr="00B21295">
        <w:rPr>
          <w:rFonts w:cstheme="minorHAnsi"/>
          <w:lang w:val="en-MY" w:eastAsia="en-AU"/>
        </w:rPr>
        <w:t xml:space="preserve"> It was reported by service managers that this is a significant issues for females and youth, since most are on remand or on bail in the community, yet the strict eligibility criteria for through-care, makes it problematic for them to access the service which is intended for sentenced prisoners. This view was echoed by comments from interviews with correctional services, who described the need for flexibility in the delivery of through-care services to meet the needs of those on remand and those subject to a shorter sentence (including recurrent offenders who might regularly complete a custodial sentence of 3 to 5 months).</w:t>
      </w:r>
    </w:p>
    <w:p w14:paraId="0AAFDC72" w14:textId="77777777" w:rsidR="00C243F1" w:rsidRPr="00B21295" w:rsidRDefault="00C243F1" w:rsidP="00C243F1">
      <w:pPr>
        <w:jc w:val="both"/>
        <w:rPr>
          <w:rFonts w:cstheme="minorHAnsi"/>
          <w:lang w:val="en-MY" w:eastAsia="en-AU"/>
        </w:rPr>
      </w:pPr>
    </w:p>
    <w:p w14:paraId="17A8ACA7" w14:textId="1608B4C7" w:rsidR="00C243F1" w:rsidRPr="00B21295" w:rsidRDefault="00C243F1" w:rsidP="00C243F1">
      <w:pPr>
        <w:jc w:val="both"/>
        <w:rPr>
          <w:rFonts w:cstheme="minorHAnsi"/>
          <w:lang w:val="en-MY" w:eastAsia="en-AU"/>
        </w:rPr>
      </w:pPr>
      <w:r w:rsidRPr="00B21295">
        <w:rPr>
          <w:rFonts w:cstheme="minorHAnsi"/>
          <w:lang w:val="en-MY" w:eastAsia="en-AU"/>
        </w:rPr>
        <w:t xml:space="preserve">Since the ABT through-care model stipulates eligibility should commence with more than 6 months left on a sentence, services are at best circumventing the prescribed model in limited cases, or else not meeting the latent demand from this prospective client group. Most service providers will not onboard prisoners on remand, although </w:t>
      </w:r>
      <w:r w:rsidR="008D74CE">
        <w:rPr>
          <w:rFonts w:cstheme="minorHAnsi"/>
          <w:lang w:val="en-MY" w:eastAsia="en-AU"/>
        </w:rPr>
        <w:t xml:space="preserve">one YTC service </w:t>
      </w:r>
      <w:r w:rsidRPr="00B21295">
        <w:rPr>
          <w:rFonts w:cstheme="minorHAnsi"/>
          <w:lang w:val="en-MY" w:eastAsia="en-AU"/>
        </w:rPr>
        <w:t xml:space="preserve">will reportedly do so for older </w:t>
      </w:r>
      <w:r w:rsidR="008D74CE">
        <w:rPr>
          <w:rFonts w:cstheme="minorHAnsi"/>
          <w:lang w:val="en-MY" w:eastAsia="en-AU"/>
        </w:rPr>
        <w:t xml:space="preserve">youth </w:t>
      </w:r>
      <w:r w:rsidRPr="00B21295">
        <w:rPr>
          <w:rFonts w:cstheme="minorHAnsi"/>
          <w:lang w:val="en-MY" w:eastAsia="en-AU"/>
        </w:rPr>
        <w:t>clients (noting YTC clients aged less that 14 years tend not to be placed on remand by the courts).</w:t>
      </w:r>
    </w:p>
    <w:p w14:paraId="3CF42EBA" w14:textId="77777777" w:rsidR="00C243F1" w:rsidRPr="00B21295" w:rsidRDefault="00C243F1" w:rsidP="00C243F1">
      <w:pPr>
        <w:jc w:val="both"/>
        <w:rPr>
          <w:rFonts w:cstheme="minorHAnsi"/>
          <w:lang w:val="en-MY" w:eastAsia="en-AU"/>
        </w:rPr>
      </w:pPr>
    </w:p>
    <w:p w14:paraId="7EB167EA" w14:textId="77777777" w:rsidR="00C243F1" w:rsidRPr="00B21295" w:rsidRDefault="00C243F1" w:rsidP="00C243F1">
      <w:pPr>
        <w:jc w:val="both"/>
        <w:rPr>
          <w:rFonts w:cstheme="minorHAnsi"/>
          <w:lang w:val="en-MY" w:eastAsia="en-AU"/>
        </w:rPr>
      </w:pPr>
      <w:r w:rsidRPr="00B21295">
        <w:rPr>
          <w:rFonts w:cstheme="minorHAnsi"/>
          <w:lang w:val="en-MY" w:eastAsia="en-AU"/>
        </w:rPr>
        <w:t>Given the need for some trigger for a change in mindset, it was noted by those working with youth, that clients aged 16 years and older tended to be the more engaged, and that younger teens and adolescents were often at greater risk of re-offending and lacked the maturity for the process to be self-driven. This observation partially explains why, according to service managers, older youth constitute the larger proportion of youth clients. That the through-care model is less suited to meeting the needs of youth aged under 14 years was noted, but not necessarily seen as a catastrophe given the presence of other statutory and non-government services available to this cohort. Based on discussion with data administrators, YTC clients are most frequently male, aged 14 to 17 years, and have tended to join the program while either on bail or in community on an administrative order.</w:t>
      </w:r>
    </w:p>
    <w:p w14:paraId="72FA37E5" w14:textId="77777777" w:rsidR="00C243F1" w:rsidRPr="00B21295" w:rsidRDefault="00C243F1" w:rsidP="00A63DBC">
      <w:pPr>
        <w:jc w:val="both"/>
        <w:rPr>
          <w:rFonts w:cstheme="minorHAnsi"/>
          <w:lang w:val="en-MY" w:eastAsia="en-AU"/>
        </w:rPr>
      </w:pPr>
    </w:p>
    <w:p w14:paraId="282C9F9B" w14:textId="0649A7D4" w:rsidR="00EE3B0A" w:rsidRDefault="00114B74" w:rsidP="00A63DBC">
      <w:pPr>
        <w:jc w:val="both"/>
        <w:rPr>
          <w:rFonts w:cstheme="minorHAnsi"/>
          <w:lang w:val="en-MY" w:eastAsia="en-AU"/>
        </w:rPr>
      </w:pPr>
      <w:r w:rsidRPr="00B21295">
        <w:rPr>
          <w:rFonts w:cstheme="minorHAnsi"/>
          <w:lang w:val="en-MY" w:eastAsia="en-AU"/>
        </w:rPr>
        <w:t xml:space="preserve">As identified by </w:t>
      </w:r>
      <w:r w:rsidR="00B31419" w:rsidRPr="00B21295">
        <w:rPr>
          <w:rFonts w:cstheme="minorHAnsi"/>
          <w:lang w:val="en-MY" w:eastAsia="en-AU"/>
        </w:rPr>
        <w:t>case</w:t>
      </w:r>
      <w:r w:rsidR="00ED5B5B">
        <w:rPr>
          <w:rFonts w:cstheme="minorHAnsi"/>
          <w:lang w:val="en-MY" w:eastAsia="en-AU"/>
        </w:rPr>
        <w:t xml:space="preserve"> </w:t>
      </w:r>
      <w:r w:rsidR="00B31419" w:rsidRPr="00B21295">
        <w:rPr>
          <w:rFonts w:cstheme="minorHAnsi"/>
          <w:lang w:val="en-MY" w:eastAsia="en-AU"/>
        </w:rPr>
        <w:t xml:space="preserve">workers at </w:t>
      </w:r>
      <w:r w:rsidR="00ED5B5B">
        <w:rPr>
          <w:rFonts w:cstheme="minorHAnsi"/>
          <w:lang w:val="en-MY" w:eastAsia="en-AU"/>
        </w:rPr>
        <w:t>one YTC service</w:t>
      </w:r>
      <w:r w:rsidRPr="00B21295">
        <w:rPr>
          <w:rFonts w:cstheme="minorHAnsi"/>
          <w:lang w:val="en-MY" w:eastAsia="en-AU"/>
        </w:rPr>
        <w:t xml:space="preserve">, a </w:t>
      </w:r>
      <w:r w:rsidR="00EC0110" w:rsidRPr="00B21295">
        <w:rPr>
          <w:rFonts w:cstheme="minorHAnsi"/>
          <w:lang w:val="en-MY" w:eastAsia="en-AU"/>
        </w:rPr>
        <w:t xml:space="preserve">gap in service delivery </w:t>
      </w:r>
      <w:r w:rsidR="00B31419" w:rsidRPr="00B21295">
        <w:rPr>
          <w:rFonts w:cstheme="minorHAnsi"/>
          <w:lang w:val="en-MY" w:eastAsia="en-AU"/>
        </w:rPr>
        <w:t xml:space="preserve">specific to the YTC program </w:t>
      </w:r>
      <w:r w:rsidR="00EA03BD" w:rsidRPr="00B21295">
        <w:rPr>
          <w:rFonts w:cstheme="minorHAnsi"/>
          <w:lang w:val="en-MY" w:eastAsia="en-AU"/>
        </w:rPr>
        <w:t>ca</w:t>
      </w:r>
      <w:r w:rsidR="00EE3B0A" w:rsidRPr="00B21295">
        <w:rPr>
          <w:rFonts w:cstheme="minorHAnsi"/>
          <w:lang w:val="en-MY" w:eastAsia="en-AU"/>
        </w:rPr>
        <w:t>n</w:t>
      </w:r>
      <w:r w:rsidR="00EA03BD" w:rsidRPr="00B21295">
        <w:rPr>
          <w:rFonts w:cstheme="minorHAnsi"/>
          <w:lang w:val="en-MY" w:eastAsia="en-AU"/>
        </w:rPr>
        <w:t xml:space="preserve"> </w:t>
      </w:r>
      <w:r w:rsidR="00EE3B0A" w:rsidRPr="00B21295">
        <w:rPr>
          <w:rFonts w:cstheme="minorHAnsi"/>
          <w:lang w:val="en-MY" w:eastAsia="en-AU"/>
        </w:rPr>
        <w:t xml:space="preserve">emerge </w:t>
      </w:r>
      <w:r w:rsidR="0037176A" w:rsidRPr="00B21295">
        <w:rPr>
          <w:rFonts w:cstheme="minorHAnsi"/>
          <w:lang w:val="en-MY" w:eastAsia="en-AU"/>
        </w:rPr>
        <w:t>whe</w:t>
      </w:r>
      <w:r w:rsidR="00EA03BD" w:rsidRPr="00B21295">
        <w:rPr>
          <w:rFonts w:cstheme="minorHAnsi"/>
          <w:lang w:val="en-MY" w:eastAsia="en-AU"/>
        </w:rPr>
        <w:t xml:space="preserve">n </w:t>
      </w:r>
      <w:r w:rsidR="00B31419" w:rsidRPr="00B21295">
        <w:rPr>
          <w:rFonts w:cstheme="minorHAnsi"/>
          <w:lang w:val="en-MY" w:eastAsia="en-AU"/>
        </w:rPr>
        <w:t xml:space="preserve">an individual </w:t>
      </w:r>
      <w:r w:rsidR="0037176A" w:rsidRPr="00B21295">
        <w:rPr>
          <w:rFonts w:cstheme="minorHAnsi"/>
          <w:lang w:val="en-MY" w:eastAsia="en-AU"/>
        </w:rPr>
        <w:t xml:space="preserve">reaches 18 years and </w:t>
      </w:r>
      <w:r w:rsidR="00EC0110" w:rsidRPr="00B21295">
        <w:rPr>
          <w:rFonts w:cstheme="minorHAnsi"/>
          <w:lang w:val="en-MY" w:eastAsia="en-AU"/>
        </w:rPr>
        <w:t>transition</w:t>
      </w:r>
      <w:r w:rsidR="00EA03BD" w:rsidRPr="00B21295">
        <w:rPr>
          <w:rFonts w:cstheme="minorHAnsi"/>
          <w:lang w:val="en-MY" w:eastAsia="en-AU"/>
        </w:rPr>
        <w:t>s</w:t>
      </w:r>
      <w:r w:rsidR="00EC0110" w:rsidRPr="00B21295">
        <w:rPr>
          <w:rFonts w:cstheme="minorHAnsi"/>
          <w:lang w:val="en-MY" w:eastAsia="en-AU"/>
        </w:rPr>
        <w:t xml:space="preserve"> to adulthood</w:t>
      </w:r>
      <w:r w:rsidR="00EA03BD" w:rsidRPr="00B21295">
        <w:rPr>
          <w:rFonts w:cstheme="minorHAnsi"/>
          <w:lang w:val="en-MY" w:eastAsia="en-AU"/>
        </w:rPr>
        <w:t xml:space="preserve"> programs</w:t>
      </w:r>
      <w:r w:rsidR="0037176A" w:rsidRPr="00B21295">
        <w:rPr>
          <w:rFonts w:cstheme="minorHAnsi"/>
          <w:lang w:val="en-MY" w:eastAsia="en-AU"/>
        </w:rPr>
        <w:t xml:space="preserve">. At this point many programs and services for youth </w:t>
      </w:r>
      <w:r w:rsidRPr="00B21295">
        <w:rPr>
          <w:rFonts w:cstheme="minorHAnsi"/>
          <w:lang w:val="en-MY" w:eastAsia="en-AU"/>
        </w:rPr>
        <w:t xml:space="preserve">tend </w:t>
      </w:r>
      <w:r w:rsidR="00EC0110" w:rsidRPr="00B21295">
        <w:rPr>
          <w:rFonts w:cstheme="minorHAnsi"/>
          <w:lang w:val="en-MY" w:eastAsia="en-AU"/>
        </w:rPr>
        <w:t>to drop off</w:t>
      </w:r>
      <w:r w:rsidR="0037176A" w:rsidRPr="00B21295">
        <w:rPr>
          <w:rFonts w:cstheme="minorHAnsi"/>
          <w:lang w:val="en-MY" w:eastAsia="en-AU"/>
        </w:rPr>
        <w:t>, meaning youth who are still maturing and those with complex needs</w:t>
      </w:r>
      <w:r w:rsidR="00EA03BD" w:rsidRPr="00B21295">
        <w:rPr>
          <w:rFonts w:cstheme="minorHAnsi"/>
          <w:lang w:val="en-MY" w:eastAsia="en-AU"/>
        </w:rPr>
        <w:t xml:space="preserve">, including those with cognitive disabilities, </w:t>
      </w:r>
      <w:r w:rsidR="0037176A" w:rsidRPr="00B21295">
        <w:rPr>
          <w:rFonts w:cstheme="minorHAnsi"/>
          <w:lang w:val="en-MY" w:eastAsia="en-AU"/>
        </w:rPr>
        <w:t>begin to lose essential forms of support.</w:t>
      </w:r>
      <w:r w:rsidRPr="00B21295">
        <w:rPr>
          <w:rFonts w:cstheme="minorHAnsi"/>
          <w:lang w:val="en-MY" w:eastAsia="en-AU"/>
        </w:rPr>
        <w:t xml:space="preserve"> </w:t>
      </w:r>
      <w:r w:rsidR="0001745D" w:rsidRPr="00B21295">
        <w:rPr>
          <w:rFonts w:cstheme="minorHAnsi"/>
          <w:lang w:val="en-MY" w:eastAsia="en-AU"/>
        </w:rPr>
        <w:t xml:space="preserve">In Victoria, Indigenous youth may enter a youth detention centre (rather than an adult prison) even when aged over 18 years, but remain technically ineligible based on age for through-care services. </w:t>
      </w:r>
      <w:r w:rsidR="00EC0110" w:rsidRPr="00B21295">
        <w:rPr>
          <w:rFonts w:cstheme="minorHAnsi"/>
          <w:lang w:val="en-MY" w:eastAsia="en-AU"/>
        </w:rPr>
        <w:t>While</w:t>
      </w:r>
      <w:r w:rsidR="00EC0110" w:rsidRPr="00A63DBC">
        <w:rPr>
          <w:rFonts w:cstheme="minorHAnsi"/>
          <w:lang w:val="en-MY" w:eastAsia="en-AU"/>
        </w:rPr>
        <w:t xml:space="preserve"> </w:t>
      </w:r>
      <w:r w:rsidRPr="00A63DBC">
        <w:rPr>
          <w:rFonts w:cstheme="minorHAnsi"/>
          <w:lang w:val="en-MY" w:eastAsia="en-AU"/>
        </w:rPr>
        <w:t xml:space="preserve">NIAA provides </w:t>
      </w:r>
      <w:r w:rsidR="00EC0110" w:rsidRPr="00A63DBC">
        <w:rPr>
          <w:rFonts w:cstheme="minorHAnsi"/>
          <w:lang w:val="en-MY" w:eastAsia="en-AU"/>
        </w:rPr>
        <w:t xml:space="preserve">some flexibility to continue providing services after a client reaches 18 years, it was felt this needed to be clarified for some services and ultimately the definition of youth expanded – in line with World Health Organisation </w:t>
      </w:r>
      <w:r w:rsidRPr="00A63DBC">
        <w:rPr>
          <w:rFonts w:cstheme="minorHAnsi"/>
          <w:lang w:val="en-MY" w:eastAsia="en-AU"/>
        </w:rPr>
        <w:t xml:space="preserve">(WHO) </w:t>
      </w:r>
      <w:r w:rsidR="00EC0110" w:rsidRPr="00A63DBC">
        <w:rPr>
          <w:rFonts w:cstheme="minorHAnsi"/>
          <w:lang w:val="en-MY" w:eastAsia="en-AU"/>
        </w:rPr>
        <w:t>definitions – to include young people up to the age of 24 years</w:t>
      </w:r>
      <w:r w:rsidR="00721E4B" w:rsidRPr="00A63DBC">
        <w:rPr>
          <w:rFonts w:cstheme="minorHAnsi"/>
          <w:lang w:val="en-MY" w:eastAsia="en-AU"/>
        </w:rPr>
        <w:t>.</w:t>
      </w:r>
      <w:r w:rsidR="002B5936" w:rsidRPr="00A63DBC">
        <w:rPr>
          <w:rFonts w:cstheme="minorHAnsi"/>
          <w:lang w:val="en-MY" w:eastAsia="en-AU"/>
        </w:rPr>
        <w:t xml:space="preserve"> </w:t>
      </w:r>
      <w:r w:rsidR="00EC0110" w:rsidRPr="00A63DBC">
        <w:rPr>
          <w:rFonts w:cstheme="minorHAnsi"/>
          <w:lang w:val="en-MY" w:eastAsia="en-AU"/>
        </w:rPr>
        <w:t>It was commented that in Victoria at least a d</w:t>
      </w:r>
      <w:r w:rsidR="002B5936" w:rsidRPr="00A63DBC">
        <w:rPr>
          <w:rFonts w:cstheme="minorHAnsi"/>
          <w:lang w:val="en-MY" w:eastAsia="en-AU"/>
        </w:rPr>
        <w:t>ual track system</w:t>
      </w:r>
      <w:r w:rsidR="00EC0110" w:rsidRPr="00A63DBC">
        <w:rPr>
          <w:rFonts w:cstheme="minorHAnsi"/>
          <w:lang w:val="en-MY" w:eastAsia="en-AU"/>
        </w:rPr>
        <w:t xml:space="preserve"> exists, </w:t>
      </w:r>
      <w:r w:rsidR="002B772A" w:rsidRPr="00A63DBC">
        <w:rPr>
          <w:rFonts w:cstheme="minorHAnsi"/>
          <w:lang w:val="en-MY" w:eastAsia="en-AU"/>
        </w:rPr>
        <w:t xml:space="preserve">with some departments defining youth as 18 years and under and others using the WHO definition. </w:t>
      </w:r>
    </w:p>
    <w:p w14:paraId="1282D01E" w14:textId="77777777" w:rsidR="008A1F7F" w:rsidRDefault="008A1F7F" w:rsidP="008A1F7F">
      <w:pPr>
        <w:jc w:val="both"/>
        <w:rPr>
          <w:rFonts w:cstheme="minorHAnsi"/>
          <w:lang w:val="en-MY" w:eastAsia="en-AU"/>
        </w:rPr>
      </w:pPr>
    </w:p>
    <w:p w14:paraId="51EDDE1E" w14:textId="1155DD56" w:rsidR="008A1F7F" w:rsidRDefault="008A1F7F" w:rsidP="00A63DBC">
      <w:pPr>
        <w:jc w:val="both"/>
        <w:rPr>
          <w:rFonts w:cstheme="minorHAnsi"/>
          <w:lang w:val="en-MY" w:eastAsia="en-AU"/>
        </w:rPr>
      </w:pPr>
      <w:r w:rsidRPr="00F0653B">
        <w:rPr>
          <w:rFonts w:cstheme="minorHAnsi"/>
          <w:lang w:val="en-MY" w:eastAsia="en-AU"/>
        </w:rPr>
        <w:t>A related issue identified by</w:t>
      </w:r>
      <w:r w:rsidR="00ED5B5B">
        <w:rPr>
          <w:rFonts w:cstheme="minorHAnsi"/>
          <w:lang w:val="en-MY" w:eastAsia="en-AU"/>
        </w:rPr>
        <w:t xml:space="preserve"> one YTC service</w:t>
      </w:r>
      <w:r w:rsidRPr="00F0653B">
        <w:rPr>
          <w:rFonts w:cstheme="minorHAnsi"/>
          <w:lang w:val="en-MY" w:eastAsia="en-AU"/>
        </w:rPr>
        <w:t xml:space="preserve"> was the typically long waitlist for youth alcohol and drug services</w:t>
      </w:r>
      <w:r>
        <w:rPr>
          <w:rFonts w:cstheme="minorHAnsi"/>
          <w:lang w:val="en-MY" w:eastAsia="en-AU"/>
        </w:rPr>
        <w:t>,</w:t>
      </w:r>
      <w:r w:rsidRPr="00F0653B">
        <w:rPr>
          <w:rFonts w:cstheme="minorHAnsi"/>
          <w:lang w:val="en-MY" w:eastAsia="en-AU"/>
        </w:rPr>
        <w:t xml:space="preserve"> which risked losing youth who ought to be accessing theses services immediately upon release</w:t>
      </w:r>
      <w:r>
        <w:rPr>
          <w:rFonts w:cstheme="minorHAnsi"/>
          <w:lang w:val="en-MY" w:eastAsia="en-AU"/>
        </w:rPr>
        <w:t>,</w:t>
      </w:r>
      <w:r w:rsidRPr="00F0653B">
        <w:rPr>
          <w:rFonts w:cstheme="minorHAnsi"/>
          <w:lang w:val="en-MY" w:eastAsia="en-AU"/>
        </w:rPr>
        <w:t xml:space="preserve"> when they are still in a motivational stage. It was commented that many services expect the young person to go to them, whereas this is rarely a realistic expectation.</w:t>
      </w:r>
    </w:p>
    <w:p w14:paraId="5606B318" w14:textId="097FBBE3" w:rsidR="00123BF2" w:rsidRPr="00124E6C" w:rsidRDefault="00421CD3" w:rsidP="00B77817">
      <w:pPr>
        <w:pStyle w:val="Heading2"/>
        <w:numPr>
          <w:ilvl w:val="0"/>
          <w:numId w:val="33"/>
        </w:numPr>
        <w:rPr>
          <w:rFonts w:cstheme="minorHAnsi"/>
          <w:lang w:val="en-MY" w:eastAsia="en-AU"/>
        </w:rPr>
      </w:pPr>
      <w:bookmarkStart w:id="30" w:name="_Toc150784204"/>
      <w:r w:rsidRPr="00124E6C">
        <w:rPr>
          <w:rFonts w:cstheme="minorHAnsi"/>
          <w:lang w:val="en-MY" w:eastAsia="en-AU"/>
        </w:rPr>
        <w:t>Resource Use</w:t>
      </w:r>
      <w:bookmarkEnd w:id="30"/>
    </w:p>
    <w:p w14:paraId="1DAF384C" w14:textId="24DCAA4C" w:rsidR="00B66FD9" w:rsidRPr="00124E6C" w:rsidRDefault="00421CD3" w:rsidP="00B66FD9">
      <w:pPr>
        <w:jc w:val="both"/>
        <w:rPr>
          <w:rFonts w:cstheme="minorHAnsi"/>
          <w:i/>
          <w:iCs/>
          <w:color w:val="4F81BD" w:themeColor="accent1"/>
          <w:lang w:val="en-MY" w:eastAsia="en-AU"/>
        </w:rPr>
      </w:pPr>
      <w:r w:rsidRPr="00124E6C">
        <w:rPr>
          <w:rFonts w:cstheme="minorHAnsi"/>
          <w:i/>
          <w:iCs/>
          <w:color w:val="4F81BD" w:themeColor="accent1"/>
          <w:lang w:val="en-MY" w:eastAsia="en-AU"/>
        </w:rPr>
        <w:t>Are resources being used/deployed effectively and efficiently to deliver the ATC and YTC models?</w:t>
      </w:r>
    </w:p>
    <w:p w14:paraId="77F924B1" w14:textId="77777777" w:rsidR="008C4869" w:rsidRPr="00BC7517" w:rsidRDefault="008C4869" w:rsidP="00BC7517">
      <w:pPr>
        <w:pStyle w:val="SUBHEAD2"/>
        <w:rPr>
          <w:rFonts w:asciiTheme="minorHAnsi" w:hAnsiTheme="minorHAnsi" w:cstheme="minorHAnsi"/>
          <w:lang w:val="en-MY" w:eastAsia="en-AU"/>
        </w:rPr>
      </w:pPr>
      <w:r w:rsidRPr="00BC7517">
        <w:rPr>
          <w:rFonts w:asciiTheme="minorHAnsi" w:hAnsiTheme="minorHAnsi" w:cstheme="minorHAnsi"/>
          <w:lang w:val="en-MY" w:eastAsia="en-AU"/>
        </w:rPr>
        <w:t>Whether Resources are Used Effectively and Efficiently</w:t>
      </w:r>
    </w:p>
    <w:p w14:paraId="3A005001" w14:textId="77777777" w:rsidR="00BC7517" w:rsidRDefault="00BC7517" w:rsidP="001A64BA">
      <w:pPr>
        <w:jc w:val="both"/>
        <w:rPr>
          <w:rFonts w:cstheme="minorHAnsi"/>
          <w:lang w:val="en-MY" w:eastAsia="en-AU"/>
        </w:rPr>
      </w:pPr>
    </w:p>
    <w:p w14:paraId="6CB9B1E3" w14:textId="407DED2B" w:rsidR="003B005E" w:rsidRDefault="005C1FD7" w:rsidP="001A64BA">
      <w:pPr>
        <w:jc w:val="both"/>
        <w:rPr>
          <w:rFonts w:cstheme="minorHAnsi"/>
          <w:lang w:val="en-MY" w:eastAsia="en-AU"/>
        </w:rPr>
      </w:pPr>
      <w:r>
        <w:rPr>
          <w:rFonts w:cstheme="minorHAnsi"/>
          <w:lang w:val="en-MY" w:eastAsia="en-AU"/>
        </w:rPr>
        <w:t>Managers from a</w:t>
      </w:r>
      <w:r w:rsidR="00872A16" w:rsidRPr="001A64BA">
        <w:rPr>
          <w:rFonts w:cstheme="minorHAnsi"/>
          <w:lang w:val="en-MY" w:eastAsia="en-AU"/>
        </w:rPr>
        <w:t>ll service providers a</w:t>
      </w:r>
      <w:r>
        <w:rPr>
          <w:rFonts w:cstheme="minorHAnsi"/>
          <w:lang w:val="en-MY" w:eastAsia="en-AU"/>
        </w:rPr>
        <w:t xml:space="preserve">cross </w:t>
      </w:r>
      <w:r w:rsidR="00872A16" w:rsidRPr="001A64BA">
        <w:rPr>
          <w:rFonts w:cstheme="minorHAnsi"/>
          <w:lang w:val="en-MY" w:eastAsia="en-AU"/>
        </w:rPr>
        <w:t>ATC and YTC programs</w:t>
      </w:r>
      <w:r>
        <w:rPr>
          <w:rFonts w:cstheme="minorHAnsi"/>
          <w:lang w:val="en-MY" w:eastAsia="en-AU"/>
        </w:rPr>
        <w:t>,</w:t>
      </w:r>
      <w:r w:rsidR="00872A16" w:rsidRPr="001A64BA">
        <w:rPr>
          <w:rFonts w:cstheme="minorHAnsi"/>
          <w:lang w:val="en-MY" w:eastAsia="en-AU"/>
        </w:rPr>
        <w:t xml:space="preserve"> stated that their </w:t>
      </w:r>
      <w:r w:rsidR="00AD460A" w:rsidRPr="001A64BA">
        <w:rPr>
          <w:rFonts w:cstheme="minorHAnsi"/>
          <w:lang w:val="en-MY" w:eastAsia="en-AU"/>
        </w:rPr>
        <w:t xml:space="preserve">services </w:t>
      </w:r>
      <w:r w:rsidR="00872A16" w:rsidRPr="001A64BA">
        <w:rPr>
          <w:rFonts w:cstheme="minorHAnsi"/>
          <w:lang w:val="en-MY" w:eastAsia="en-AU"/>
        </w:rPr>
        <w:t xml:space="preserve">were under-resourced and </w:t>
      </w:r>
      <w:r>
        <w:rPr>
          <w:rFonts w:cstheme="minorHAnsi"/>
          <w:lang w:val="en-MY" w:eastAsia="en-AU"/>
        </w:rPr>
        <w:t xml:space="preserve">that additional funding was needed to meet </w:t>
      </w:r>
      <w:r w:rsidR="00A322A0">
        <w:rPr>
          <w:rFonts w:cstheme="minorHAnsi"/>
          <w:lang w:val="en-MY" w:eastAsia="en-AU"/>
        </w:rPr>
        <w:t xml:space="preserve">client needs </w:t>
      </w:r>
      <w:r>
        <w:rPr>
          <w:rFonts w:cstheme="minorHAnsi"/>
          <w:lang w:val="en-MY" w:eastAsia="en-AU"/>
        </w:rPr>
        <w:t>by recruiting more case workers, increas</w:t>
      </w:r>
      <w:r w:rsidR="00A322A0">
        <w:rPr>
          <w:rFonts w:cstheme="minorHAnsi"/>
          <w:lang w:val="en-MY" w:eastAsia="en-AU"/>
        </w:rPr>
        <w:t xml:space="preserve">ing </w:t>
      </w:r>
      <w:r>
        <w:rPr>
          <w:rFonts w:cstheme="minorHAnsi"/>
          <w:lang w:val="en-MY" w:eastAsia="en-AU"/>
        </w:rPr>
        <w:t xml:space="preserve">brokerage </w:t>
      </w:r>
      <w:r w:rsidR="00A322A0">
        <w:rPr>
          <w:rFonts w:cstheme="minorHAnsi"/>
          <w:lang w:val="en-MY" w:eastAsia="en-AU"/>
        </w:rPr>
        <w:t xml:space="preserve">expenditure and access </w:t>
      </w:r>
      <w:r w:rsidR="00A322A0" w:rsidRPr="001A64BA">
        <w:rPr>
          <w:rFonts w:cstheme="minorHAnsi"/>
          <w:lang w:val="en-MY" w:eastAsia="en-AU"/>
        </w:rPr>
        <w:t>to high quality therapeutic programs</w:t>
      </w:r>
      <w:r w:rsidR="00A322A0">
        <w:rPr>
          <w:rFonts w:cstheme="minorHAnsi"/>
          <w:lang w:val="en-MY" w:eastAsia="en-AU"/>
        </w:rPr>
        <w:t xml:space="preserve">, and by improving the pay and conditions of case workers to </w:t>
      </w:r>
      <w:r w:rsidR="00A322A0" w:rsidRPr="001A64BA">
        <w:rPr>
          <w:rFonts w:cstheme="minorHAnsi"/>
          <w:lang w:val="en-MY" w:eastAsia="en-AU"/>
        </w:rPr>
        <w:t>attract and retain high quality staff</w:t>
      </w:r>
      <w:r w:rsidR="00A322A0">
        <w:rPr>
          <w:rFonts w:cstheme="minorHAnsi"/>
          <w:lang w:val="en-MY" w:eastAsia="en-AU"/>
        </w:rPr>
        <w:t>.</w:t>
      </w:r>
    </w:p>
    <w:p w14:paraId="50D4846C" w14:textId="77777777" w:rsidR="008A1F7F" w:rsidRDefault="008A1F7F" w:rsidP="001A64BA">
      <w:pPr>
        <w:jc w:val="both"/>
        <w:rPr>
          <w:rFonts w:cstheme="minorHAnsi"/>
          <w:lang w:val="en-MY" w:eastAsia="en-AU"/>
        </w:rPr>
      </w:pPr>
    </w:p>
    <w:p w14:paraId="76358DF1" w14:textId="30AE2B26" w:rsidR="003B005E" w:rsidRPr="00BC7517" w:rsidRDefault="008A1F7F" w:rsidP="00187574">
      <w:pPr>
        <w:pStyle w:val="Caption"/>
        <w:rPr>
          <w:color w:val="4F81BD" w:themeColor="accent1"/>
          <w:sz w:val="22"/>
          <w:szCs w:val="22"/>
          <w:lang w:val="en-MY" w:eastAsia="en-AU"/>
        </w:rPr>
      </w:pPr>
      <w:r w:rsidRPr="00BC7517">
        <w:rPr>
          <w:color w:val="4F81BD" w:themeColor="accent1"/>
          <w:sz w:val="22"/>
          <w:szCs w:val="22"/>
          <w:lang w:val="en-MY" w:eastAsia="en-AU"/>
        </w:rPr>
        <w:t>Operational Capacity</w:t>
      </w:r>
    </w:p>
    <w:p w14:paraId="3575406B" w14:textId="275ECC2D" w:rsidR="00A322A0" w:rsidRDefault="008A1F7F" w:rsidP="001A64BA">
      <w:pPr>
        <w:jc w:val="both"/>
        <w:rPr>
          <w:rFonts w:cstheme="minorHAnsi"/>
          <w:lang w:val="en-MY" w:eastAsia="en-AU"/>
        </w:rPr>
      </w:pPr>
      <w:r>
        <w:rPr>
          <w:rFonts w:cstheme="minorHAnsi"/>
          <w:lang w:val="en-MY" w:eastAsia="en-AU"/>
        </w:rPr>
        <w:t>T</w:t>
      </w:r>
      <w:r w:rsidR="00A322A0">
        <w:rPr>
          <w:rFonts w:cstheme="minorHAnsi"/>
          <w:lang w:val="en-MY" w:eastAsia="en-AU"/>
        </w:rPr>
        <w:t xml:space="preserve">he </w:t>
      </w:r>
      <w:r w:rsidR="00776365">
        <w:rPr>
          <w:rFonts w:cstheme="minorHAnsi"/>
          <w:lang w:val="en-MY" w:eastAsia="en-AU"/>
        </w:rPr>
        <w:t xml:space="preserve">overall quantum of </w:t>
      </w:r>
      <w:r w:rsidR="00A322A0">
        <w:rPr>
          <w:rFonts w:cstheme="minorHAnsi"/>
          <w:lang w:val="en-MY" w:eastAsia="en-AU"/>
        </w:rPr>
        <w:t xml:space="preserve">ATC program </w:t>
      </w:r>
      <w:r w:rsidR="00776365">
        <w:rPr>
          <w:rFonts w:cstheme="minorHAnsi"/>
          <w:lang w:val="en-MY" w:eastAsia="en-AU"/>
        </w:rPr>
        <w:t xml:space="preserve">funding </w:t>
      </w:r>
      <w:r w:rsidR="00A322A0">
        <w:rPr>
          <w:rFonts w:cstheme="minorHAnsi"/>
          <w:lang w:val="en-MY" w:eastAsia="en-AU"/>
        </w:rPr>
        <w:t xml:space="preserve">is approximately $7.3 million </w:t>
      </w:r>
      <w:r w:rsidR="00776365">
        <w:rPr>
          <w:rFonts w:cstheme="minorHAnsi"/>
          <w:lang w:val="en-MY" w:eastAsia="en-AU"/>
        </w:rPr>
        <w:t xml:space="preserve">per annum – funding </w:t>
      </w:r>
      <w:r w:rsidR="00A322A0">
        <w:rPr>
          <w:rFonts w:cstheme="minorHAnsi"/>
          <w:lang w:val="en-MY" w:eastAsia="en-AU"/>
        </w:rPr>
        <w:t>43 case</w:t>
      </w:r>
      <w:r w:rsidR="00694565">
        <w:rPr>
          <w:rFonts w:cstheme="minorHAnsi"/>
          <w:lang w:val="en-MY" w:eastAsia="en-AU"/>
        </w:rPr>
        <w:t xml:space="preserve"> </w:t>
      </w:r>
      <w:r w:rsidR="00A322A0">
        <w:rPr>
          <w:rFonts w:cstheme="minorHAnsi"/>
          <w:lang w:val="en-MY" w:eastAsia="en-AU"/>
        </w:rPr>
        <w:t>worker positions</w:t>
      </w:r>
      <w:r w:rsidR="00776365">
        <w:rPr>
          <w:rFonts w:cstheme="minorHAnsi"/>
          <w:lang w:val="en-MY" w:eastAsia="en-AU"/>
        </w:rPr>
        <w:t xml:space="preserve"> (equivalent to </w:t>
      </w:r>
      <w:r w:rsidR="00A322A0">
        <w:rPr>
          <w:rFonts w:cstheme="minorHAnsi"/>
          <w:lang w:val="en-MY" w:eastAsia="en-AU"/>
        </w:rPr>
        <w:t xml:space="preserve">approximately $170,000 per </w:t>
      </w:r>
      <w:r w:rsidR="00776365">
        <w:rPr>
          <w:rFonts w:cstheme="minorHAnsi"/>
          <w:lang w:val="en-MY" w:eastAsia="en-AU"/>
        </w:rPr>
        <w:t>front-line position) in addition to managers, administrators and other corporate staff who do not manage a case</w:t>
      </w:r>
      <w:r w:rsidR="00694565">
        <w:rPr>
          <w:rFonts w:cstheme="minorHAnsi"/>
          <w:lang w:val="en-MY" w:eastAsia="en-AU"/>
        </w:rPr>
        <w:t>-</w:t>
      </w:r>
      <w:r w:rsidR="00776365">
        <w:rPr>
          <w:rFonts w:cstheme="minorHAnsi"/>
          <w:lang w:val="en-MY" w:eastAsia="en-AU"/>
        </w:rPr>
        <w:t>load</w:t>
      </w:r>
      <w:r w:rsidR="00A322A0">
        <w:rPr>
          <w:rFonts w:cstheme="minorHAnsi"/>
          <w:lang w:val="en-MY" w:eastAsia="en-AU"/>
        </w:rPr>
        <w:t>.</w:t>
      </w:r>
      <w:r w:rsidR="00776365">
        <w:rPr>
          <w:rFonts w:cstheme="minorHAnsi"/>
          <w:lang w:val="en-MY" w:eastAsia="en-AU"/>
        </w:rPr>
        <w:t xml:space="preserve"> </w:t>
      </w:r>
      <w:r w:rsidR="00A322A0">
        <w:rPr>
          <w:rFonts w:cstheme="minorHAnsi"/>
          <w:lang w:val="en-MY" w:eastAsia="en-AU"/>
        </w:rPr>
        <w:t>For the YTC program, the figure</w:t>
      </w:r>
      <w:r w:rsidR="00776365">
        <w:rPr>
          <w:rFonts w:cstheme="minorHAnsi"/>
          <w:lang w:val="en-MY" w:eastAsia="en-AU"/>
        </w:rPr>
        <w:t>s</w:t>
      </w:r>
      <w:r w:rsidR="00A322A0">
        <w:rPr>
          <w:rFonts w:cstheme="minorHAnsi"/>
          <w:lang w:val="en-MY" w:eastAsia="en-AU"/>
        </w:rPr>
        <w:t xml:space="preserve"> are $2.8 million and $117,000 respectively</w:t>
      </w:r>
      <w:r w:rsidR="00A54257">
        <w:rPr>
          <w:rFonts w:cstheme="minorHAnsi"/>
          <w:lang w:val="en-MY" w:eastAsia="en-AU"/>
        </w:rPr>
        <w:t xml:space="preserve"> (for 24 front-line positions)</w:t>
      </w:r>
      <w:r w:rsidR="00776365">
        <w:rPr>
          <w:rFonts w:cstheme="minorHAnsi"/>
          <w:lang w:val="en-MY" w:eastAsia="en-AU"/>
        </w:rPr>
        <w:t xml:space="preserve"> although this is not necessarily an indication </w:t>
      </w:r>
      <w:r w:rsidR="00250D29">
        <w:rPr>
          <w:rFonts w:cstheme="minorHAnsi"/>
          <w:lang w:val="en-MY" w:eastAsia="en-AU"/>
        </w:rPr>
        <w:t xml:space="preserve">that fewer resources are available to the YTC </w:t>
      </w:r>
      <w:r w:rsidR="00776365">
        <w:rPr>
          <w:rFonts w:cstheme="minorHAnsi"/>
          <w:lang w:val="en-MY" w:eastAsia="en-AU"/>
        </w:rPr>
        <w:t>program, given</w:t>
      </w:r>
      <w:r w:rsidR="00A322A0">
        <w:rPr>
          <w:rFonts w:cstheme="minorHAnsi"/>
          <w:lang w:val="en-MY" w:eastAsia="en-AU"/>
        </w:rPr>
        <w:t xml:space="preserve"> that </w:t>
      </w:r>
      <w:r w:rsidR="00250D29">
        <w:rPr>
          <w:rFonts w:cstheme="minorHAnsi"/>
          <w:lang w:val="en-MY" w:eastAsia="en-AU"/>
        </w:rPr>
        <w:t xml:space="preserve">– with the exception of </w:t>
      </w:r>
      <w:r w:rsidR="00ED5B5B">
        <w:rPr>
          <w:rFonts w:cstheme="minorHAnsi"/>
          <w:lang w:val="en-MY" w:eastAsia="en-AU"/>
        </w:rPr>
        <w:t xml:space="preserve">one service </w:t>
      </w:r>
      <w:r w:rsidR="00250D29">
        <w:rPr>
          <w:rFonts w:cstheme="minorHAnsi"/>
          <w:lang w:val="en-MY" w:eastAsia="en-AU"/>
        </w:rPr>
        <w:t xml:space="preserve">- </w:t>
      </w:r>
      <w:r w:rsidR="00A322A0">
        <w:rPr>
          <w:rFonts w:cstheme="minorHAnsi"/>
          <w:lang w:val="en-MY" w:eastAsia="en-AU"/>
        </w:rPr>
        <w:t xml:space="preserve">the management and administration of both programs is </w:t>
      </w:r>
      <w:r w:rsidR="00776365">
        <w:rPr>
          <w:rFonts w:cstheme="minorHAnsi"/>
          <w:lang w:val="en-MY" w:eastAsia="en-AU"/>
        </w:rPr>
        <w:t>combined</w:t>
      </w:r>
      <w:r w:rsidR="00250D29">
        <w:rPr>
          <w:rFonts w:cstheme="minorHAnsi"/>
          <w:lang w:val="en-MY" w:eastAsia="en-AU"/>
        </w:rPr>
        <w:t>.</w:t>
      </w:r>
    </w:p>
    <w:p w14:paraId="7216B498" w14:textId="77777777" w:rsidR="00776365" w:rsidRDefault="00776365" w:rsidP="001A64BA">
      <w:pPr>
        <w:jc w:val="both"/>
        <w:rPr>
          <w:rFonts w:cstheme="minorHAnsi"/>
          <w:lang w:val="en-MY" w:eastAsia="en-AU"/>
        </w:rPr>
      </w:pPr>
    </w:p>
    <w:p w14:paraId="6975921E" w14:textId="7ACBA413" w:rsidR="00250D29" w:rsidRPr="00B21295" w:rsidRDefault="00A54257" w:rsidP="00771141">
      <w:pPr>
        <w:jc w:val="both"/>
        <w:rPr>
          <w:rFonts w:cstheme="minorHAnsi"/>
          <w:lang w:val="en-MY" w:eastAsia="en-AU"/>
        </w:rPr>
      </w:pPr>
      <w:r>
        <w:rPr>
          <w:rFonts w:cstheme="minorHAnsi"/>
          <w:lang w:val="en-MY" w:eastAsia="en-AU"/>
        </w:rPr>
        <w:t xml:space="preserve">Based on expenditure data provided by </w:t>
      </w:r>
      <w:r w:rsidR="00250D29">
        <w:rPr>
          <w:rFonts w:cstheme="minorHAnsi"/>
          <w:lang w:val="en-MY" w:eastAsia="en-AU"/>
        </w:rPr>
        <w:t xml:space="preserve">some </w:t>
      </w:r>
      <w:r>
        <w:rPr>
          <w:rFonts w:cstheme="minorHAnsi"/>
          <w:lang w:val="en-MY" w:eastAsia="en-AU"/>
        </w:rPr>
        <w:t>services,</w:t>
      </w:r>
      <w:r w:rsidR="00A15C80">
        <w:rPr>
          <w:rFonts w:cstheme="minorHAnsi"/>
          <w:lang w:val="en-MY" w:eastAsia="en-AU"/>
        </w:rPr>
        <w:t xml:space="preserve"> expenditure is distributed according to a common pattern, with approximately </w:t>
      </w:r>
      <w:r w:rsidR="00771141" w:rsidRPr="00A15C80">
        <w:rPr>
          <w:rFonts w:cstheme="minorHAnsi"/>
          <w:lang w:val="en-MY" w:eastAsia="en-AU"/>
        </w:rPr>
        <w:t>70 p</w:t>
      </w:r>
      <w:r w:rsidR="00A15C80">
        <w:rPr>
          <w:rFonts w:cstheme="minorHAnsi"/>
          <w:lang w:val="en-MY" w:eastAsia="en-AU"/>
        </w:rPr>
        <w:t xml:space="preserve">ercent of each annual budget allocated to fixed </w:t>
      </w:r>
      <w:r w:rsidR="00771141" w:rsidRPr="00A15C80">
        <w:rPr>
          <w:rFonts w:cstheme="minorHAnsi"/>
          <w:lang w:val="en-MY" w:eastAsia="en-AU"/>
        </w:rPr>
        <w:t>case</w:t>
      </w:r>
      <w:r w:rsidR="00694565">
        <w:rPr>
          <w:rFonts w:cstheme="minorHAnsi"/>
          <w:lang w:val="en-MY" w:eastAsia="en-AU"/>
        </w:rPr>
        <w:t xml:space="preserve"> </w:t>
      </w:r>
      <w:r w:rsidR="00771141" w:rsidRPr="00A15C80">
        <w:rPr>
          <w:rFonts w:cstheme="minorHAnsi"/>
          <w:lang w:val="en-MY" w:eastAsia="en-AU"/>
        </w:rPr>
        <w:t xml:space="preserve">worker staff costs, </w:t>
      </w:r>
      <w:r w:rsidR="00A15C80">
        <w:rPr>
          <w:rFonts w:cstheme="minorHAnsi"/>
          <w:lang w:val="en-MY" w:eastAsia="en-AU"/>
        </w:rPr>
        <w:t xml:space="preserve">20 to 25 percent </w:t>
      </w:r>
      <w:r w:rsidR="00771141" w:rsidRPr="00A15C80">
        <w:rPr>
          <w:rFonts w:cstheme="minorHAnsi"/>
          <w:lang w:val="en-MY" w:eastAsia="en-AU"/>
        </w:rPr>
        <w:t xml:space="preserve">on other fixed costs including </w:t>
      </w:r>
      <w:r w:rsidR="00A15C80">
        <w:rPr>
          <w:rFonts w:cstheme="minorHAnsi"/>
          <w:lang w:val="en-MY" w:eastAsia="en-AU"/>
        </w:rPr>
        <w:t xml:space="preserve">the salaries of management and other </w:t>
      </w:r>
      <w:r w:rsidR="00771141" w:rsidRPr="00A15C80">
        <w:rPr>
          <w:rFonts w:cstheme="minorHAnsi"/>
          <w:lang w:val="en-MY" w:eastAsia="en-AU"/>
        </w:rPr>
        <w:t>corporate overheads</w:t>
      </w:r>
      <w:r w:rsidR="00A15C80">
        <w:rPr>
          <w:rFonts w:cstheme="minorHAnsi"/>
          <w:lang w:val="en-MY" w:eastAsia="en-AU"/>
        </w:rPr>
        <w:t xml:space="preserve"> (for contributions to rents, corporate staff and </w:t>
      </w:r>
      <w:r w:rsidR="00A15C80" w:rsidRPr="00B21295">
        <w:rPr>
          <w:rFonts w:cstheme="minorHAnsi"/>
          <w:lang w:val="en-MY" w:eastAsia="en-AU"/>
        </w:rPr>
        <w:t xml:space="preserve">insurances, etc.) </w:t>
      </w:r>
      <w:r w:rsidR="00771141" w:rsidRPr="00B21295">
        <w:rPr>
          <w:rFonts w:cstheme="minorHAnsi"/>
          <w:lang w:val="en-MY" w:eastAsia="en-AU"/>
        </w:rPr>
        <w:t xml:space="preserve">plus </w:t>
      </w:r>
      <w:r w:rsidR="00A15C80" w:rsidRPr="00B21295">
        <w:rPr>
          <w:rFonts w:cstheme="minorHAnsi"/>
          <w:lang w:val="en-MY" w:eastAsia="en-AU"/>
        </w:rPr>
        <w:t xml:space="preserve">5 to </w:t>
      </w:r>
      <w:r w:rsidR="00771141" w:rsidRPr="00B21295">
        <w:rPr>
          <w:rFonts w:cstheme="minorHAnsi"/>
          <w:lang w:val="en-MY" w:eastAsia="en-AU"/>
        </w:rPr>
        <w:t>10 p</w:t>
      </w:r>
      <w:r w:rsidR="00A15C80" w:rsidRPr="00B21295">
        <w:rPr>
          <w:rFonts w:cstheme="minorHAnsi"/>
          <w:lang w:val="en-MY" w:eastAsia="en-AU"/>
        </w:rPr>
        <w:t xml:space="preserve">ercent </w:t>
      </w:r>
      <w:r w:rsidR="00771141" w:rsidRPr="00B21295">
        <w:rPr>
          <w:rFonts w:cstheme="minorHAnsi"/>
          <w:lang w:val="en-MY" w:eastAsia="en-AU"/>
        </w:rPr>
        <w:t xml:space="preserve">on variable costs for brokerage and </w:t>
      </w:r>
      <w:r w:rsidR="00A15C80" w:rsidRPr="00B21295">
        <w:rPr>
          <w:rFonts w:cstheme="minorHAnsi"/>
          <w:lang w:val="en-MY" w:eastAsia="en-AU"/>
        </w:rPr>
        <w:t xml:space="preserve">the variable component of </w:t>
      </w:r>
      <w:r w:rsidR="00771141" w:rsidRPr="00B21295">
        <w:rPr>
          <w:rFonts w:cstheme="minorHAnsi"/>
          <w:lang w:val="en-MY" w:eastAsia="en-AU"/>
        </w:rPr>
        <w:t>transport</w:t>
      </w:r>
      <w:r w:rsidR="00250D29" w:rsidRPr="00B21295">
        <w:rPr>
          <w:rFonts w:cstheme="minorHAnsi"/>
          <w:lang w:val="en-MY" w:eastAsia="en-AU"/>
        </w:rPr>
        <w:t xml:space="preserve">. Corporate overheads were marginally less for larger services than </w:t>
      </w:r>
      <w:r w:rsidR="00B03847" w:rsidRPr="00B21295">
        <w:rPr>
          <w:rFonts w:cstheme="minorHAnsi"/>
          <w:lang w:val="en-MY" w:eastAsia="en-AU"/>
        </w:rPr>
        <w:t xml:space="preserve">for </w:t>
      </w:r>
      <w:r w:rsidR="00250D29" w:rsidRPr="00B21295">
        <w:rPr>
          <w:rFonts w:cstheme="minorHAnsi"/>
          <w:lang w:val="en-MY" w:eastAsia="en-AU"/>
        </w:rPr>
        <w:t>smaller</w:t>
      </w:r>
      <w:r w:rsidR="00B03847" w:rsidRPr="00B21295">
        <w:rPr>
          <w:rFonts w:cstheme="minorHAnsi"/>
          <w:lang w:val="en-MY" w:eastAsia="en-AU"/>
        </w:rPr>
        <w:t xml:space="preserve"> services</w:t>
      </w:r>
      <w:r w:rsidR="00250D29" w:rsidRPr="00B21295">
        <w:rPr>
          <w:rFonts w:cstheme="minorHAnsi"/>
          <w:lang w:val="en-MY" w:eastAsia="en-AU"/>
        </w:rPr>
        <w:t xml:space="preserve">, indicating some degree of financial efficiency dividend for services operating at scale. </w:t>
      </w:r>
    </w:p>
    <w:p w14:paraId="6D365FD4" w14:textId="77777777" w:rsidR="00D364BE" w:rsidRPr="00B21295" w:rsidRDefault="00D364BE" w:rsidP="00771141">
      <w:pPr>
        <w:jc w:val="both"/>
        <w:rPr>
          <w:rFonts w:cstheme="minorHAnsi"/>
          <w:lang w:val="en-MY" w:eastAsia="en-AU"/>
        </w:rPr>
      </w:pPr>
    </w:p>
    <w:p w14:paraId="57888994" w14:textId="0D2D5492" w:rsidR="00771141" w:rsidRPr="00B21295" w:rsidRDefault="00771141" w:rsidP="00771141">
      <w:pPr>
        <w:jc w:val="both"/>
        <w:rPr>
          <w:rFonts w:cstheme="minorHAnsi"/>
          <w:lang w:val="en-MY" w:eastAsia="en-AU"/>
        </w:rPr>
      </w:pPr>
      <w:r w:rsidRPr="00B21295">
        <w:rPr>
          <w:rFonts w:cstheme="minorHAnsi"/>
          <w:lang w:val="en-MY" w:eastAsia="en-AU"/>
        </w:rPr>
        <w:t>No service provider delivers the through-care program as a stand-alone service, and service delivery is integrated - to a greater or lesser extent - with other operations of the host organisation. In some cases</w:t>
      </w:r>
      <w:r w:rsidR="00DA110D">
        <w:rPr>
          <w:rFonts w:cstheme="minorHAnsi"/>
          <w:lang w:val="en-MY" w:eastAsia="en-AU"/>
        </w:rPr>
        <w:t xml:space="preserve"> </w:t>
      </w:r>
      <w:r w:rsidRPr="00B21295">
        <w:rPr>
          <w:rFonts w:cstheme="minorHAnsi"/>
          <w:lang w:val="en-MY" w:eastAsia="en-AU"/>
        </w:rPr>
        <w:t xml:space="preserve">this has provided the opportunity for efficiencies and potential cost savings when the through-care program can </w:t>
      </w:r>
      <w:r w:rsidR="00B03847" w:rsidRPr="00B21295">
        <w:rPr>
          <w:rFonts w:cstheme="minorHAnsi"/>
          <w:lang w:val="en-MY" w:eastAsia="en-AU"/>
        </w:rPr>
        <w:t>‘</w:t>
      </w:r>
      <w:r w:rsidRPr="00B21295">
        <w:rPr>
          <w:rFonts w:cstheme="minorHAnsi"/>
          <w:lang w:val="en-MY" w:eastAsia="en-AU"/>
        </w:rPr>
        <w:t>piggy-back</w:t>
      </w:r>
      <w:r w:rsidR="00B03847" w:rsidRPr="00B21295">
        <w:rPr>
          <w:rFonts w:cstheme="minorHAnsi"/>
          <w:lang w:val="en-MY" w:eastAsia="en-AU"/>
        </w:rPr>
        <w:t>’</w:t>
      </w:r>
      <w:r w:rsidRPr="00B21295">
        <w:rPr>
          <w:rFonts w:cstheme="minorHAnsi"/>
          <w:lang w:val="en-MY" w:eastAsia="en-AU"/>
        </w:rPr>
        <w:t xml:space="preserve"> on the resources and services provided by a larger or complimentary program. In other cases, despite some opportunities for integration, the through-care program is for the most part operationally isolated, despite the fact of physical co-location at some sites.</w:t>
      </w:r>
    </w:p>
    <w:p w14:paraId="2C12D632" w14:textId="77777777" w:rsidR="00771141" w:rsidRPr="00B21295" w:rsidRDefault="00771141" w:rsidP="00771141">
      <w:pPr>
        <w:jc w:val="both"/>
        <w:rPr>
          <w:rFonts w:cstheme="minorHAnsi"/>
          <w:lang w:val="en-MY" w:eastAsia="en-AU"/>
        </w:rPr>
      </w:pPr>
    </w:p>
    <w:p w14:paraId="78027014" w14:textId="2CAA7A70" w:rsidR="0002622E" w:rsidRDefault="00771141" w:rsidP="00BC09B2">
      <w:pPr>
        <w:jc w:val="both"/>
        <w:rPr>
          <w:rFonts w:cstheme="minorHAnsi"/>
          <w:lang w:val="en-MY" w:eastAsia="en-AU"/>
        </w:rPr>
      </w:pPr>
      <w:r w:rsidRPr="00B21295">
        <w:rPr>
          <w:rFonts w:cstheme="minorHAnsi"/>
          <w:lang w:val="en-MY" w:eastAsia="en-AU"/>
        </w:rPr>
        <w:t xml:space="preserve">Since programs are delivered as services operating within a host organisation, responsibilities for funding are corporate and </w:t>
      </w:r>
      <w:r w:rsidR="00B03847" w:rsidRPr="00B21295">
        <w:rPr>
          <w:rFonts w:cstheme="minorHAnsi"/>
          <w:lang w:val="en-MY" w:eastAsia="en-AU"/>
        </w:rPr>
        <w:t xml:space="preserve">tend </w:t>
      </w:r>
      <w:r w:rsidRPr="00B21295">
        <w:rPr>
          <w:rFonts w:cstheme="minorHAnsi"/>
          <w:lang w:val="en-MY" w:eastAsia="en-AU"/>
        </w:rPr>
        <w:t xml:space="preserve">not </w:t>
      </w:r>
      <w:r w:rsidR="00B03847" w:rsidRPr="00B21295">
        <w:rPr>
          <w:rFonts w:cstheme="minorHAnsi"/>
          <w:lang w:val="en-MY" w:eastAsia="en-AU"/>
        </w:rPr>
        <w:t xml:space="preserve">to be </w:t>
      </w:r>
      <w:r w:rsidR="0002622E" w:rsidRPr="00B21295">
        <w:rPr>
          <w:rFonts w:cstheme="minorHAnsi"/>
          <w:lang w:val="en-MY" w:eastAsia="en-AU"/>
        </w:rPr>
        <w:t>delegated to</w:t>
      </w:r>
      <w:r w:rsidRPr="00B21295">
        <w:rPr>
          <w:rFonts w:cstheme="minorHAnsi"/>
          <w:lang w:val="en-MY" w:eastAsia="en-AU"/>
        </w:rPr>
        <w:t xml:space="preserve"> the service level.</w:t>
      </w:r>
      <w:r w:rsidR="00BC09B2" w:rsidRPr="00B21295">
        <w:rPr>
          <w:rFonts w:cstheme="minorHAnsi"/>
          <w:lang w:val="en-MY" w:eastAsia="en-AU"/>
        </w:rPr>
        <w:t xml:space="preserve"> Despite opportunities for programmatic synergies and greater financial efficiency, the fact that through-care operates within the broader organisational context of each service was </w:t>
      </w:r>
      <w:r w:rsidR="0002622E" w:rsidRPr="00B21295">
        <w:rPr>
          <w:rFonts w:cstheme="minorHAnsi"/>
          <w:lang w:val="en-MY" w:eastAsia="en-AU"/>
        </w:rPr>
        <w:t>regarded by service</w:t>
      </w:r>
      <w:r w:rsidR="0002622E">
        <w:rPr>
          <w:rFonts w:cstheme="minorHAnsi"/>
          <w:lang w:val="en-MY" w:eastAsia="en-AU"/>
        </w:rPr>
        <w:t xml:space="preserve"> managers </w:t>
      </w:r>
      <w:r w:rsidR="00BC09B2">
        <w:rPr>
          <w:rFonts w:cstheme="minorHAnsi"/>
          <w:lang w:val="en-MY" w:eastAsia="en-AU"/>
        </w:rPr>
        <w:t xml:space="preserve">to be counterproductive in some cases. For larger services </w:t>
      </w:r>
      <w:r w:rsidR="0002622E">
        <w:rPr>
          <w:rFonts w:cstheme="minorHAnsi"/>
          <w:lang w:val="en-MY" w:eastAsia="en-AU"/>
        </w:rPr>
        <w:t xml:space="preserve">linked to </w:t>
      </w:r>
      <w:r w:rsidR="00BC09B2">
        <w:rPr>
          <w:rFonts w:cstheme="minorHAnsi"/>
          <w:lang w:val="en-MY" w:eastAsia="en-AU"/>
        </w:rPr>
        <w:t xml:space="preserve">a </w:t>
      </w:r>
      <w:r w:rsidR="0002622E">
        <w:rPr>
          <w:rFonts w:cstheme="minorHAnsi"/>
          <w:lang w:val="en-MY" w:eastAsia="en-AU"/>
        </w:rPr>
        <w:t xml:space="preserve">legal services division, </w:t>
      </w:r>
      <w:r w:rsidR="00BC09B2">
        <w:rPr>
          <w:rFonts w:cstheme="minorHAnsi"/>
          <w:lang w:val="en-MY" w:eastAsia="en-AU"/>
        </w:rPr>
        <w:t>the</w:t>
      </w:r>
      <w:r w:rsidR="0002622E">
        <w:rPr>
          <w:rFonts w:cstheme="minorHAnsi"/>
          <w:lang w:val="en-MY" w:eastAsia="en-AU"/>
        </w:rPr>
        <w:t xml:space="preserve"> association has highlighted disparities between the two functions, with opportunities for promotion and higher pay regarded </w:t>
      </w:r>
      <w:r w:rsidR="00620B3D">
        <w:rPr>
          <w:rFonts w:cstheme="minorHAnsi"/>
          <w:lang w:val="en-MY" w:eastAsia="en-AU"/>
        </w:rPr>
        <w:t xml:space="preserve">to </w:t>
      </w:r>
      <w:r w:rsidR="0002622E">
        <w:rPr>
          <w:rFonts w:cstheme="minorHAnsi"/>
          <w:lang w:val="en-MY" w:eastAsia="en-AU"/>
        </w:rPr>
        <w:t xml:space="preserve">favour those working in the legal function. </w:t>
      </w:r>
      <w:r w:rsidR="00D364BE" w:rsidRPr="001A64BA">
        <w:rPr>
          <w:rFonts w:cstheme="minorHAnsi"/>
          <w:lang w:val="en-MY" w:eastAsia="en-AU"/>
        </w:rPr>
        <w:t>No service has a diverse and sustainable funding base for their through-care programs, which operate solely with IAS funding</w:t>
      </w:r>
      <w:r w:rsidR="00D364BE">
        <w:rPr>
          <w:rFonts w:cstheme="minorHAnsi"/>
          <w:lang w:val="en-MY" w:eastAsia="en-AU"/>
        </w:rPr>
        <w:t xml:space="preserve">, noting that in </w:t>
      </w:r>
      <w:r w:rsidR="00D364BE" w:rsidRPr="001A64BA">
        <w:rPr>
          <w:rFonts w:cstheme="minorHAnsi"/>
          <w:lang w:val="en-MY" w:eastAsia="en-AU"/>
        </w:rPr>
        <w:t>some instances, program management and case workers were not aware of the program’s budget (which was managed by the corporation’s executive management team).</w:t>
      </w:r>
    </w:p>
    <w:p w14:paraId="674855FE" w14:textId="77777777" w:rsidR="0002622E" w:rsidRDefault="0002622E" w:rsidP="00BC09B2">
      <w:pPr>
        <w:jc w:val="both"/>
        <w:rPr>
          <w:rFonts w:cstheme="minorHAnsi"/>
          <w:lang w:val="en-MY" w:eastAsia="en-AU"/>
        </w:rPr>
      </w:pPr>
    </w:p>
    <w:p w14:paraId="277FDDF5" w14:textId="66798824" w:rsidR="0053096D" w:rsidRDefault="00932464" w:rsidP="001A64BA">
      <w:pPr>
        <w:jc w:val="both"/>
        <w:rPr>
          <w:rFonts w:cstheme="minorHAnsi"/>
          <w:lang w:val="en-MY" w:eastAsia="en-AU"/>
        </w:rPr>
      </w:pPr>
      <w:r>
        <w:rPr>
          <w:rFonts w:cstheme="minorHAnsi"/>
          <w:lang w:val="en-MY" w:eastAsia="en-AU"/>
        </w:rPr>
        <w:t>While data on rates of case</w:t>
      </w:r>
      <w:r w:rsidR="00694565">
        <w:rPr>
          <w:rFonts w:cstheme="minorHAnsi"/>
          <w:lang w:val="en-MY" w:eastAsia="en-AU"/>
        </w:rPr>
        <w:t xml:space="preserve"> </w:t>
      </w:r>
      <w:r>
        <w:rPr>
          <w:rFonts w:cstheme="minorHAnsi"/>
          <w:lang w:val="en-MY" w:eastAsia="en-AU"/>
        </w:rPr>
        <w:t xml:space="preserve">worker turnover were not available, high turnover rates were reported </w:t>
      </w:r>
      <w:r w:rsidR="00105838">
        <w:rPr>
          <w:rFonts w:cstheme="minorHAnsi"/>
          <w:lang w:val="en-MY" w:eastAsia="en-AU"/>
        </w:rPr>
        <w:t xml:space="preserve">by managers </w:t>
      </w:r>
      <w:r>
        <w:rPr>
          <w:rFonts w:cstheme="minorHAnsi"/>
          <w:lang w:val="en-MY" w:eastAsia="en-AU"/>
        </w:rPr>
        <w:t xml:space="preserve">at all larger services irrespective of program type (and at the time of visiting </w:t>
      </w:r>
      <w:r w:rsidR="00105838">
        <w:rPr>
          <w:rFonts w:cstheme="minorHAnsi"/>
          <w:lang w:val="en-MY" w:eastAsia="en-AU"/>
        </w:rPr>
        <w:t xml:space="preserve">several </w:t>
      </w:r>
      <w:r>
        <w:rPr>
          <w:rFonts w:cstheme="minorHAnsi"/>
          <w:lang w:val="en-MY" w:eastAsia="en-AU"/>
        </w:rPr>
        <w:t>service</w:t>
      </w:r>
      <w:r w:rsidR="00105838">
        <w:rPr>
          <w:rFonts w:cstheme="minorHAnsi"/>
          <w:lang w:val="en-MY" w:eastAsia="en-AU"/>
        </w:rPr>
        <w:t>s</w:t>
      </w:r>
      <w:r>
        <w:rPr>
          <w:rFonts w:cstheme="minorHAnsi"/>
          <w:lang w:val="en-MY" w:eastAsia="en-AU"/>
        </w:rPr>
        <w:t xml:space="preserve"> </w:t>
      </w:r>
      <w:r w:rsidR="00105838">
        <w:rPr>
          <w:rFonts w:cstheme="minorHAnsi"/>
          <w:lang w:val="en-MY" w:eastAsia="en-AU"/>
        </w:rPr>
        <w:t xml:space="preserve">were </w:t>
      </w:r>
      <w:r>
        <w:rPr>
          <w:rFonts w:cstheme="minorHAnsi"/>
          <w:lang w:val="en-MY" w:eastAsia="en-AU"/>
        </w:rPr>
        <w:t>experienc</w:t>
      </w:r>
      <w:r w:rsidR="00105838">
        <w:rPr>
          <w:rFonts w:cstheme="minorHAnsi"/>
          <w:lang w:val="en-MY" w:eastAsia="en-AU"/>
        </w:rPr>
        <w:t xml:space="preserve">ing </w:t>
      </w:r>
      <w:r>
        <w:rPr>
          <w:rFonts w:cstheme="minorHAnsi"/>
          <w:lang w:val="en-MY" w:eastAsia="en-AU"/>
        </w:rPr>
        <w:t xml:space="preserve">changes in personnel or were attempting to fill vacant positions). Notwithstanding the limited pool of experienced and qualified labour in regional locations, </w:t>
      </w:r>
      <w:r w:rsidR="00D364BE">
        <w:rPr>
          <w:rFonts w:cstheme="minorHAnsi"/>
          <w:lang w:val="en-MY" w:eastAsia="en-AU"/>
        </w:rPr>
        <w:t>and the impact of the COVID-19 pandemic</w:t>
      </w:r>
      <w:r w:rsidR="00105838">
        <w:rPr>
          <w:rFonts w:cstheme="minorHAnsi"/>
          <w:lang w:val="en-MY" w:eastAsia="en-AU"/>
        </w:rPr>
        <w:t xml:space="preserve"> which placed aspects of service delivery on hold</w:t>
      </w:r>
      <w:r w:rsidR="00D364BE">
        <w:rPr>
          <w:rFonts w:cstheme="minorHAnsi"/>
          <w:lang w:val="en-MY" w:eastAsia="en-AU"/>
        </w:rPr>
        <w:t xml:space="preserve">, </w:t>
      </w:r>
      <w:r>
        <w:rPr>
          <w:rFonts w:cstheme="minorHAnsi"/>
          <w:lang w:val="en-MY" w:eastAsia="en-AU"/>
        </w:rPr>
        <w:t>p</w:t>
      </w:r>
      <w:r w:rsidR="00B03847" w:rsidRPr="001A64BA">
        <w:rPr>
          <w:rFonts w:cstheme="minorHAnsi"/>
          <w:lang w:val="en-MY" w:eastAsia="en-AU"/>
        </w:rPr>
        <w:t>oor pay levels for case workers w</w:t>
      </w:r>
      <w:r w:rsidR="00D364BE">
        <w:rPr>
          <w:rFonts w:cstheme="minorHAnsi"/>
          <w:lang w:val="en-MY" w:eastAsia="en-AU"/>
        </w:rPr>
        <w:t xml:space="preserve">as </w:t>
      </w:r>
      <w:r w:rsidR="00B03847" w:rsidRPr="001A64BA">
        <w:rPr>
          <w:rFonts w:cstheme="minorHAnsi"/>
          <w:lang w:val="en-MY" w:eastAsia="en-AU"/>
        </w:rPr>
        <w:t>regarded</w:t>
      </w:r>
      <w:r>
        <w:rPr>
          <w:rFonts w:cstheme="minorHAnsi"/>
          <w:lang w:val="en-MY" w:eastAsia="en-AU"/>
        </w:rPr>
        <w:t xml:space="preserve"> by </w:t>
      </w:r>
      <w:r w:rsidR="00D364BE">
        <w:rPr>
          <w:rFonts w:cstheme="minorHAnsi"/>
          <w:lang w:val="en-MY" w:eastAsia="en-AU"/>
        </w:rPr>
        <w:t>managers and case</w:t>
      </w:r>
      <w:r w:rsidR="00694565">
        <w:rPr>
          <w:rFonts w:cstheme="minorHAnsi"/>
          <w:lang w:val="en-MY" w:eastAsia="en-AU"/>
        </w:rPr>
        <w:t xml:space="preserve"> </w:t>
      </w:r>
      <w:r w:rsidR="00D364BE">
        <w:rPr>
          <w:rFonts w:cstheme="minorHAnsi"/>
          <w:lang w:val="en-MY" w:eastAsia="en-AU"/>
        </w:rPr>
        <w:t xml:space="preserve">workers </w:t>
      </w:r>
      <w:r w:rsidR="00B03847" w:rsidRPr="001A64BA">
        <w:rPr>
          <w:rFonts w:cstheme="minorHAnsi"/>
          <w:lang w:val="en-MY" w:eastAsia="en-AU"/>
        </w:rPr>
        <w:t xml:space="preserve">to be </w:t>
      </w:r>
      <w:r>
        <w:rPr>
          <w:rFonts w:cstheme="minorHAnsi"/>
          <w:lang w:val="en-MY" w:eastAsia="en-AU"/>
        </w:rPr>
        <w:t>a strong contributing factor</w:t>
      </w:r>
      <w:r w:rsidR="00105838">
        <w:rPr>
          <w:rFonts w:cstheme="minorHAnsi"/>
          <w:lang w:val="en-MY" w:eastAsia="en-AU"/>
        </w:rPr>
        <w:t xml:space="preserve"> to high staff turnover rates</w:t>
      </w:r>
      <w:r>
        <w:rPr>
          <w:rFonts w:cstheme="minorHAnsi"/>
          <w:lang w:val="en-MY" w:eastAsia="en-AU"/>
        </w:rPr>
        <w:t>.</w:t>
      </w:r>
      <w:r w:rsidR="00D03D05">
        <w:rPr>
          <w:rStyle w:val="FootnoteReference"/>
          <w:rFonts w:cstheme="minorHAnsi"/>
          <w:lang w:val="en-MY" w:eastAsia="en-AU"/>
        </w:rPr>
        <w:footnoteReference w:id="88"/>
      </w:r>
      <w:r w:rsidR="00D364BE">
        <w:rPr>
          <w:rFonts w:cstheme="minorHAnsi"/>
          <w:lang w:val="en-MY" w:eastAsia="en-AU"/>
        </w:rPr>
        <w:t xml:space="preserve"> </w:t>
      </w:r>
      <w:r w:rsidR="00D364BE" w:rsidRPr="001A64BA">
        <w:rPr>
          <w:rFonts w:cstheme="minorHAnsi"/>
          <w:lang w:val="en-MY" w:eastAsia="en-AU"/>
        </w:rPr>
        <w:t>Recent years have seen substantial variations between planned budgets and actual expenditure</w:t>
      </w:r>
      <w:r w:rsidR="00D364BE">
        <w:rPr>
          <w:rFonts w:cstheme="minorHAnsi"/>
          <w:lang w:val="en-MY" w:eastAsia="en-AU"/>
        </w:rPr>
        <w:t xml:space="preserve"> amongst some services, which is attributed by service (and finance) managers  to underspends </w:t>
      </w:r>
      <w:r w:rsidR="00D364BE" w:rsidRPr="001A64BA">
        <w:rPr>
          <w:rFonts w:cstheme="minorHAnsi"/>
          <w:lang w:val="en-MY" w:eastAsia="en-AU"/>
        </w:rPr>
        <w:t>on salar</w:t>
      </w:r>
      <w:r w:rsidR="00D364BE">
        <w:rPr>
          <w:rFonts w:cstheme="minorHAnsi"/>
          <w:lang w:val="en-MY" w:eastAsia="en-AU"/>
        </w:rPr>
        <w:t>ies for vacant positions.</w:t>
      </w:r>
    </w:p>
    <w:p w14:paraId="22C034CB" w14:textId="77777777" w:rsidR="0053096D" w:rsidRDefault="0053096D" w:rsidP="001A64BA">
      <w:pPr>
        <w:jc w:val="both"/>
        <w:rPr>
          <w:rFonts w:cstheme="minorHAnsi"/>
          <w:lang w:val="en-MY" w:eastAsia="en-AU"/>
        </w:rPr>
      </w:pPr>
    </w:p>
    <w:p w14:paraId="187055AD" w14:textId="5B7C9405" w:rsidR="00A322A0" w:rsidRDefault="00700AAF" w:rsidP="001A64BA">
      <w:pPr>
        <w:jc w:val="both"/>
        <w:rPr>
          <w:rFonts w:cstheme="minorHAnsi"/>
          <w:lang w:val="en-MY" w:eastAsia="en-AU"/>
        </w:rPr>
      </w:pPr>
      <w:r>
        <w:rPr>
          <w:rFonts w:cstheme="minorHAnsi"/>
          <w:lang w:val="en-MY" w:eastAsia="en-AU"/>
        </w:rPr>
        <w:t xml:space="preserve">Service managers who express the desire for increased funding to recruit more case workers cite high levels of demand for through-care services. It is </w:t>
      </w:r>
      <w:r w:rsidRPr="009829B3">
        <w:rPr>
          <w:rFonts w:cstheme="minorHAnsi"/>
          <w:lang w:val="en-MY" w:eastAsia="en-AU"/>
        </w:rPr>
        <w:t>not possible</w:t>
      </w:r>
      <w:r>
        <w:rPr>
          <w:rFonts w:cstheme="minorHAnsi"/>
          <w:lang w:val="en-MY" w:eastAsia="en-AU"/>
        </w:rPr>
        <w:t xml:space="preserve"> </w:t>
      </w:r>
      <w:r w:rsidRPr="009829B3">
        <w:rPr>
          <w:rFonts w:cstheme="minorHAnsi"/>
          <w:lang w:val="en-MY" w:eastAsia="en-AU"/>
        </w:rPr>
        <w:t xml:space="preserve">to </w:t>
      </w:r>
      <w:r>
        <w:rPr>
          <w:rFonts w:cstheme="minorHAnsi"/>
          <w:lang w:val="en-MY" w:eastAsia="en-AU"/>
        </w:rPr>
        <w:t xml:space="preserve">verify such claims using the </w:t>
      </w:r>
      <w:r w:rsidRPr="009829B3">
        <w:rPr>
          <w:rFonts w:cstheme="minorHAnsi"/>
          <w:lang w:val="en-MY" w:eastAsia="en-AU"/>
        </w:rPr>
        <w:t>available data, since only a small number of services actively maintain a ‘waitlist’ or list of eligible clients for whom a place cannot be made available.</w:t>
      </w:r>
      <w:r>
        <w:rPr>
          <w:rFonts w:cstheme="minorHAnsi"/>
          <w:lang w:val="en-MY" w:eastAsia="en-AU"/>
        </w:rPr>
        <w:t xml:space="preserve"> This data is not available in six-monthly performance reporting.</w:t>
      </w:r>
      <w:r>
        <w:rPr>
          <w:rStyle w:val="FootnoteReference"/>
          <w:rFonts w:cstheme="minorHAnsi"/>
          <w:lang w:val="en-MY" w:eastAsia="en-AU"/>
        </w:rPr>
        <w:footnoteReference w:id="89"/>
      </w:r>
      <w:r>
        <w:rPr>
          <w:rFonts w:cstheme="minorHAnsi"/>
          <w:lang w:val="en-MY" w:eastAsia="en-AU"/>
        </w:rPr>
        <w:t xml:space="preserve"> That said, given the large number of Indigenous </w:t>
      </w:r>
      <w:r w:rsidR="001C4A59">
        <w:rPr>
          <w:rFonts w:cstheme="minorHAnsi"/>
          <w:lang w:val="en-MY" w:eastAsia="en-AU"/>
        </w:rPr>
        <w:t xml:space="preserve">persons </w:t>
      </w:r>
      <w:r>
        <w:rPr>
          <w:rFonts w:cstheme="minorHAnsi"/>
          <w:lang w:val="en-MY" w:eastAsia="en-AU"/>
        </w:rPr>
        <w:t xml:space="preserve">in prison or detention, compared to the number of through care places, as a general proposition, it is difficult to refute the claim. </w:t>
      </w:r>
      <w:r w:rsidR="001C4A59">
        <w:rPr>
          <w:rFonts w:cstheme="minorHAnsi"/>
          <w:lang w:val="en-MY" w:eastAsia="en-AU"/>
        </w:rPr>
        <w:t>As at March 2023, for example, t</w:t>
      </w:r>
      <w:r w:rsidR="001C4A59" w:rsidRPr="00700AAF">
        <w:rPr>
          <w:rFonts w:cstheme="minorHAnsi"/>
          <w:lang w:val="en-MY" w:eastAsia="en-AU"/>
        </w:rPr>
        <w:t xml:space="preserve">here were 13,716 Aboriginal and Torres Strait Islander </w:t>
      </w:r>
      <w:r w:rsidR="001C4A59">
        <w:rPr>
          <w:rFonts w:cstheme="minorHAnsi"/>
          <w:lang w:val="en-MY" w:eastAsia="en-AU"/>
        </w:rPr>
        <w:t xml:space="preserve">adult </w:t>
      </w:r>
      <w:r w:rsidR="001C4A59" w:rsidRPr="00700AAF">
        <w:rPr>
          <w:rFonts w:cstheme="minorHAnsi"/>
          <w:lang w:val="en-MY" w:eastAsia="en-AU"/>
        </w:rPr>
        <w:t>prisoners</w:t>
      </w:r>
      <w:r w:rsidR="001C4A59">
        <w:rPr>
          <w:rFonts w:cstheme="minorHAnsi"/>
          <w:lang w:val="en-MY" w:eastAsia="en-AU"/>
        </w:rPr>
        <w:t xml:space="preserve"> in Australia,</w:t>
      </w:r>
      <w:r w:rsidR="001C4A59">
        <w:rPr>
          <w:rStyle w:val="FootnoteReference"/>
          <w:rFonts w:cstheme="minorHAnsi"/>
          <w:lang w:val="en-MY" w:eastAsia="en-AU"/>
        </w:rPr>
        <w:footnoteReference w:id="90"/>
      </w:r>
      <w:r w:rsidR="001C4A59">
        <w:rPr>
          <w:rFonts w:cstheme="minorHAnsi"/>
          <w:lang w:val="en-MY" w:eastAsia="en-AU"/>
        </w:rPr>
        <w:t xml:space="preserve"> compared to an estimated case</w:t>
      </w:r>
      <w:r w:rsidR="00694565">
        <w:rPr>
          <w:rFonts w:cstheme="minorHAnsi"/>
          <w:lang w:val="en-MY" w:eastAsia="en-AU"/>
        </w:rPr>
        <w:t>-</w:t>
      </w:r>
      <w:r w:rsidR="001C4A59">
        <w:rPr>
          <w:rFonts w:cstheme="minorHAnsi"/>
          <w:lang w:val="en-MY" w:eastAsia="en-AU"/>
        </w:rPr>
        <w:t>load of IAS funded through-care clients of just under 400 person</w:t>
      </w:r>
      <w:r w:rsidR="002A7494">
        <w:rPr>
          <w:rFonts w:cstheme="minorHAnsi"/>
          <w:lang w:val="en-MY" w:eastAsia="en-AU"/>
        </w:rPr>
        <w:t>s</w:t>
      </w:r>
      <w:r w:rsidR="001C4A59">
        <w:rPr>
          <w:rFonts w:cstheme="minorHAnsi"/>
          <w:lang w:val="en-MY" w:eastAsia="en-AU"/>
        </w:rPr>
        <w:t>. Clearly o</w:t>
      </w:r>
      <w:r w:rsidR="00771141">
        <w:rPr>
          <w:rFonts w:cstheme="minorHAnsi"/>
          <w:lang w:val="en-MY" w:eastAsia="en-AU"/>
        </w:rPr>
        <w:t xml:space="preserve">nly a small </w:t>
      </w:r>
      <w:r w:rsidR="001C4A59">
        <w:rPr>
          <w:rFonts w:cstheme="minorHAnsi"/>
          <w:lang w:val="en-MY" w:eastAsia="en-AU"/>
        </w:rPr>
        <w:t xml:space="preserve">proportion of </w:t>
      </w:r>
      <w:r w:rsidR="00771141">
        <w:rPr>
          <w:rFonts w:cstheme="minorHAnsi"/>
          <w:lang w:val="en-MY" w:eastAsia="en-AU"/>
        </w:rPr>
        <w:t xml:space="preserve">prisoners have access to through-care services, </w:t>
      </w:r>
      <w:r>
        <w:rPr>
          <w:rFonts w:cstheme="minorHAnsi"/>
          <w:lang w:val="en-MY" w:eastAsia="en-AU"/>
        </w:rPr>
        <w:t>with</w:t>
      </w:r>
      <w:r w:rsidR="00771141">
        <w:rPr>
          <w:rFonts w:cstheme="minorHAnsi"/>
          <w:lang w:val="en-MY" w:eastAsia="en-AU"/>
        </w:rPr>
        <w:t xml:space="preserve"> demand </w:t>
      </w:r>
      <w:r>
        <w:rPr>
          <w:rFonts w:cstheme="minorHAnsi"/>
          <w:lang w:val="en-MY" w:eastAsia="en-AU"/>
        </w:rPr>
        <w:t xml:space="preserve">according to service managers, </w:t>
      </w:r>
      <w:r w:rsidR="00771141">
        <w:rPr>
          <w:rFonts w:cstheme="minorHAnsi"/>
          <w:lang w:val="en-MY" w:eastAsia="en-AU"/>
        </w:rPr>
        <w:t>highest in locations with large prison populations as well as those locations that are popular destinations for individuals post-release.</w:t>
      </w:r>
    </w:p>
    <w:p w14:paraId="5AAC2114" w14:textId="77777777" w:rsidR="007F6281" w:rsidRDefault="007F6281" w:rsidP="001A64BA">
      <w:pPr>
        <w:jc w:val="both"/>
        <w:rPr>
          <w:rFonts w:cstheme="minorHAnsi"/>
          <w:lang w:val="en-MY" w:eastAsia="en-AU"/>
        </w:rPr>
      </w:pPr>
    </w:p>
    <w:p w14:paraId="19469689" w14:textId="55475C61" w:rsidR="008A1F7F" w:rsidRPr="00BC7517" w:rsidRDefault="008A1F7F" w:rsidP="00187574">
      <w:pPr>
        <w:pStyle w:val="Caption"/>
        <w:rPr>
          <w:color w:val="4F81BD" w:themeColor="accent1"/>
          <w:sz w:val="22"/>
          <w:szCs w:val="22"/>
          <w:lang w:val="en-MY" w:eastAsia="en-AU"/>
        </w:rPr>
      </w:pPr>
      <w:r w:rsidRPr="00BC7517">
        <w:rPr>
          <w:color w:val="4F81BD" w:themeColor="accent1"/>
          <w:sz w:val="22"/>
          <w:szCs w:val="22"/>
          <w:lang w:val="en-MY" w:eastAsia="en-AU"/>
        </w:rPr>
        <w:t>Service Provider Case</w:t>
      </w:r>
      <w:r w:rsidR="00694565">
        <w:rPr>
          <w:color w:val="4F81BD" w:themeColor="accent1"/>
          <w:sz w:val="22"/>
          <w:szCs w:val="22"/>
          <w:lang w:val="en-MY" w:eastAsia="en-AU"/>
        </w:rPr>
        <w:t>-</w:t>
      </w:r>
      <w:r w:rsidRPr="00BC7517">
        <w:rPr>
          <w:color w:val="4F81BD" w:themeColor="accent1"/>
          <w:sz w:val="22"/>
          <w:szCs w:val="22"/>
          <w:lang w:val="en-MY" w:eastAsia="en-AU"/>
        </w:rPr>
        <w:t>loads</w:t>
      </w:r>
    </w:p>
    <w:p w14:paraId="2A836F6E" w14:textId="5F68C4E3" w:rsidR="007F6281" w:rsidRDefault="007F6281" w:rsidP="007F6281">
      <w:pPr>
        <w:jc w:val="both"/>
        <w:rPr>
          <w:rFonts w:cstheme="minorHAnsi"/>
          <w:lang w:val="en-MY" w:eastAsia="en-AU"/>
        </w:rPr>
      </w:pPr>
      <w:r w:rsidRPr="001A64BA">
        <w:rPr>
          <w:rFonts w:cstheme="minorHAnsi"/>
          <w:lang w:val="en-MY" w:eastAsia="en-AU"/>
        </w:rPr>
        <w:t>Nearly all case</w:t>
      </w:r>
      <w:r w:rsidR="00694565">
        <w:rPr>
          <w:rFonts w:cstheme="minorHAnsi"/>
          <w:lang w:val="en-MY" w:eastAsia="en-AU"/>
        </w:rPr>
        <w:t xml:space="preserve"> </w:t>
      </w:r>
      <w:r w:rsidRPr="001A64BA">
        <w:rPr>
          <w:rFonts w:cstheme="minorHAnsi"/>
          <w:lang w:val="en-MY" w:eastAsia="en-AU"/>
        </w:rPr>
        <w:t>workers, irrespective of their client cohort or service, believed they were managing too large a case</w:t>
      </w:r>
      <w:r w:rsidR="00694565">
        <w:rPr>
          <w:rFonts w:cstheme="minorHAnsi"/>
          <w:lang w:val="en-MY" w:eastAsia="en-AU"/>
        </w:rPr>
        <w:t>-</w:t>
      </w:r>
      <w:r w:rsidRPr="001A64BA">
        <w:rPr>
          <w:rFonts w:cstheme="minorHAnsi"/>
          <w:lang w:val="en-MY" w:eastAsia="en-AU"/>
        </w:rPr>
        <w:t>load to be able to provide a truly intensive service</w:t>
      </w:r>
      <w:r>
        <w:rPr>
          <w:rFonts w:cstheme="minorHAnsi"/>
          <w:lang w:val="en-MY" w:eastAsia="en-AU"/>
        </w:rPr>
        <w:t xml:space="preserve"> for their clients</w:t>
      </w:r>
      <w:r w:rsidRPr="001A64BA">
        <w:rPr>
          <w:rFonts w:cstheme="minorHAnsi"/>
          <w:lang w:val="en-MY" w:eastAsia="en-AU"/>
        </w:rPr>
        <w:t xml:space="preserve">, and felt they were in a reactive rather than a proactive mode of operation (responding to individual client calls and needs on an </w:t>
      </w:r>
      <w:r w:rsidRPr="007F6281">
        <w:rPr>
          <w:rFonts w:cstheme="minorHAnsi"/>
          <w:i/>
          <w:iCs/>
          <w:lang w:val="en-MY" w:eastAsia="en-AU"/>
        </w:rPr>
        <w:t>ad hoc</w:t>
      </w:r>
      <w:r w:rsidRPr="001A64BA">
        <w:rPr>
          <w:rFonts w:cstheme="minorHAnsi"/>
          <w:lang w:val="en-MY" w:eastAsia="en-AU"/>
        </w:rPr>
        <w:t xml:space="preserve"> basis, rather than managing their case</w:t>
      </w:r>
      <w:r w:rsidR="00694565">
        <w:rPr>
          <w:rFonts w:cstheme="minorHAnsi"/>
          <w:lang w:val="en-MY" w:eastAsia="en-AU"/>
        </w:rPr>
        <w:t>-</w:t>
      </w:r>
      <w:r w:rsidRPr="001A64BA">
        <w:rPr>
          <w:rFonts w:cstheme="minorHAnsi"/>
          <w:lang w:val="en-MY" w:eastAsia="en-AU"/>
        </w:rPr>
        <w:t xml:space="preserve">loads strategically). This was especially true of case workers with a high proportion of post-release clients </w:t>
      </w:r>
      <w:r>
        <w:rPr>
          <w:rFonts w:cstheme="minorHAnsi"/>
          <w:lang w:val="en-MY" w:eastAsia="en-AU"/>
        </w:rPr>
        <w:t xml:space="preserve">for whom case work is more intensive, </w:t>
      </w:r>
      <w:r w:rsidRPr="001A64BA">
        <w:rPr>
          <w:rFonts w:cstheme="minorHAnsi"/>
          <w:lang w:val="en-MY" w:eastAsia="en-AU"/>
        </w:rPr>
        <w:t>and for case workers with youth clients for whom greater effort was needed to establish and maintain engagement.</w:t>
      </w:r>
    </w:p>
    <w:p w14:paraId="3AF3F4BB" w14:textId="77777777" w:rsidR="0053096D" w:rsidRDefault="0053096D" w:rsidP="007F6281">
      <w:pPr>
        <w:jc w:val="both"/>
        <w:rPr>
          <w:rFonts w:cstheme="minorHAnsi"/>
          <w:lang w:val="en-MY" w:eastAsia="en-AU"/>
        </w:rPr>
      </w:pPr>
    </w:p>
    <w:p w14:paraId="19EBADDA" w14:textId="030DDF66" w:rsidR="0053096D" w:rsidRDefault="0053096D" w:rsidP="0053096D">
      <w:pPr>
        <w:jc w:val="both"/>
        <w:rPr>
          <w:rFonts w:cstheme="minorHAnsi"/>
          <w:lang w:val="en-MY" w:eastAsia="en-AU"/>
        </w:rPr>
      </w:pPr>
      <w:r>
        <w:rPr>
          <w:rFonts w:cstheme="minorHAnsi"/>
          <w:lang w:val="en-MY" w:eastAsia="en-AU"/>
        </w:rPr>
        <w:t xml:space="preserve">Data regarding </w:t>
      </w:r>
      <w:r w:rsidRPr="0077533B">
        <w:rPr>
          <w:rFonts w:cstheme="minorHAnsi"/>
          <w:lang w:val="en-MY" w:eastAsia="en-AU"/>
        </w:rPr>
        <w:t>the average number of active clients over available reporting periods from 1 July 20</w:t>
      </w:r>
      <w:r w:rsidR="002A68DB">
        <w:rPr>
          <w:rFonts w:cstheme="minorHAnsi"/>
          <w:lang w:val="en-MY" w:eastAsia="en-AU"/>
        </w:rPr>
        <w:t>19</w:t>
      </w:r>
      <w:r w:rsidRPr="0077533B">
        <w:rPr>
          <w:rFonts w:cstheme="minorHAnsi"/>
          <w:lang w:val="en-MY" w:eastAsia="en-AU"/>
        </w:rPr>
        <w:t xml:space="preserve"> to 31 December 2022 is provided </w:t>
      </w:r>
      <w:r>
        <w:rPr>
          <w:rFonts w:cstheme="minorHAnsi"/>
          <w:lang w:val="en-MY" w:eastAsia="en-AU"/>
        </w:rPr>
        <w:t>in the table below</w:t>
      </w:r>
      <w:r w:rsidRPr="0077533B">
        <w:rPr>
          <w:rFonts w:cstheme="minorHAnsi"/>
          <w:lang w:val="en-MY" w:eastAsia="en-AU"/>
        </w:rPr>
        <w:t>.</w:t>
      </w:r>
      <w:r>
        <w:rPr>
          <w:rFonts w:cstheme="minorHAnsi"/>
          <w:lang w:val="en-MY" w:eastAsia="en-AU"/>
        </w:rPr>
        <w:t xml:space="preserve"> While inconsistencies in the data definitions and counting rules applied by services means this data should be treated with caution, it shows that the ATC program supported an average of 397 active clients in the period, while 157 were supported by YTC. </w:t>
      </w:r>
    </w:p>
    <w:p w14:paraId="7A89F793" w14:textId="77777777" w:rsidR="0053096D" w:rsidRDefault="0053096D" w:rsidP="007F6281">
      <w:pPr>
        <w:jc w:val="both"/>
        <w:rPr>
          <w:rFonts w:cstheme="minorHAnsi"/>
          <w:lang w:val="en-MY" w:eastAsia="en-AU"/>
        </w:rPr>
      </w:pPr>
    </w:p>
    <w:p w14:paraId="21F18E88" w14:textId="348E674C" w:rsidR="0053096D" w:rsidRDefault="0053096D" w:rsidP="0053096D">
      <w:pPr>
        <w:jc w:val="both"/>
        <w:rPr>
          <w:rFonts w:cstheme="minorHAnsi"/>
          <w:lang w:val="en-MY" w:eastAsia="en-AU"/>
        </w:rPr>
      </w:pPr>
      <w:r>
        <w:rPr>
          <w:rFonts w:cstheme="minorHAnsi"/>
          <w:lang w:val="en-MY" w:eastAsia="en-AU"/>
        </w:rPr>
        <w:t>Although the calculation of case</w:t>
      </w:r>
      <w:r w:rsidR="00694565">
        <w:rPr>
          <w:rFonts w:cstheme="minorHAnsi"/>
          <w:lang w:val="en-MY" w:eastAsia="en-AU"/>
        </w:rPr>
        <w:t xml:space="preserve"> </w:t>
      </w:r>
      <w:r>
        <w:rPr>
          <w:rFonts w:cstheme="minorHAnsi"/>
          <w:lang w:val="en-MY" w:eastAsia="en-AU"/>
        </w:rPr>
        <w:t>worker to client ratios is challenging as a measure of productivity, since counts for case</w:t>
      </w:r>
      <w:r w:rsidR="00694565">
        <w:rPr>
          <w:rFonts w:cstheme="minorHAnsi"/>
          <w:lang w:val="en-MY" w:eastAsia="en-AU"/>
        </w:rPr>
        <w:t xml:space="preserve"> </w:t>
      </w:r>
      <w:r>
        <w:rPr>
          <w:rFonts w:cstheme="minorHAnsi"/>
          <w:lang w:val="en-MY" w:eastAsia="en-AU"/>
        </w:rPr>
        <w:t xml:space="preserve">workers do not incorporate periods of absence or vacancy, using the staff data reported in Tables 1 and 2, the ratio for the ATC program is calculated at 9.2 clients for every case worker, and 6.5 clients for the YTC. Despite known data limitations these ratios make intuitive sense, with youth casework anecdotally reported to be relatively more time-consuming given the particularly complex needs of youth and the additional time required for ongoing engagement. </w:t>
      </w:r>
      <w:r w:rsidR="00B53DAE">
        <w:rPr>
          <w:rFonts w:cstheme="minorHAnsi"/>
          <w:lang w:val="en-MY" w:eastAsia="en-AU"/>
        </w:rPr>
        <w:t xml:space="preserve">The uniqueness of Five Bridges as an </w:t>
      </w:r>
      <w:r w:rsidR="005C7E99">
        <w:rPr>
          <w:rFonts w:cstheme="minorHAnsi"/>
          <w:lang w:val="en-MY" w:eastAsia="en-AU"/>
        </w:rPr>
        <w:t xml:space="preserve">ATC </w:t>
      </w:r>
      <w:r w:rsidR="00B53DAE">
        <w:rPr>
          <w:rFonts w:cstheme="minorHAnsi"/>
          <w:lang w:val="en-MY" w:eastAsia="en-AU"/>
        </w:rPr>
        <w:t>service with low client to case</w:t>
      </w:r>
      <w:r w:rsidR="00694565">
        <w:rPr>
          <w:rFonts w:cstheme="minorHAnsi"/>
          <w:lang w:val="en-MY" w:eastAsia="en-AU"/>
        </w:rPr>
        <w:t xml:space="preserve"> </w:t>
      </w:r>
      <w:r w:rsidR="00B53DAE">
        <w:rPr>
          <w:rFonts w:cstheme="minorHAnsi"/>
          <w:lang w:val="en-MY" w:eastAsia="en-AU"/>
        </w:rPr>
        <w:t xml:space="preserve">worker ratios provides an exception </w:t>
      </w:r>
      <w:r w:rsidR="005C7E99">
        <w:rPr>
          <w:rFonts w:cstheme="minorHAnsi"/>
          <w:lang w:val="en-MY" w:eastAsia="en-AU"/>
        </w:rPr>
        <w:t xml:space="preserve">to </w:t>
      </w:r>
      <w:r w:rsidR="00B53DAE">
        <w:rPr>
          <w:rFonts w:cstheme="minorHAnsi"/>
          <w:lang w:val="en-MY" w:eastAsia="en-AU"/>
        </w:rPr>
        <w:t>prove rule</w:t>
      </w:r>
      <w:r w:rsidR="005C7E99">
        <w:rPr>
          <w:rFonts w:cstheme="minorHAnsi"/>
          <w:lang w:val="en-MY" w:eastAsia="en-AU"/>
        </w:rPr>
        <w:t>,</w:t>
      </w:r>
      <w:r w:rsidR="00B53DAE">
        <w:rPr>
          <w:rFonts w:cstheme="minorHAnsi"/>
          <w:lang w:val="en-MY" w:eastAsia="en-AU"/>
        </w:rPr>
        <w:t xml:space="preserve"> given the accommodation focus of this model which tends towards </w:t>
      </w:r>
      <w:r w:rsidR="005C7E99">
        <w:rPr>
          <w:rFonts w:cstheme="minorHAnsi"/>
          <w:lang w:val="en-MY" w:eastAsia="en-AU"/>
        </w:rPr>
        <w:t xml:space="preserve">particularly </w:t>
      </w:r>
      <w:r w:rsidR="00B53DAE">
        <w:rPr>
          <w:rFonts w:cstheme="minorHAnsi"/>
          <w:lang w:val="en-MY" w:eastAsia="en-AU"/>
        </w:rPr>
        <w:t>small client groupings</w:t>
      </w:r>
      <w:r w:rsidR="005C7E99">
        <w:rPr>
          <w:rFonts w:cstheme="minorHAnsi"/>
          <w:lang w:val="en-MY" w:eastAsia="en-AU"/>
        </w:rPr>
        <w:t>.</w:t>
      </w:r>
    </w:p>
    <w:p w14:paraId="6893FE80" w14:textId="77777777" w:rsidR="00BC03C1" w:rsidRDefault="00BC03C1" w:rsidP="002A7494">
      <w:pPr>
        <w:rPr>
          <w:rFonts w:cstheme="minorHAnsi"/>
          <w:i/>
          <w:iCs/>
          <w:color w:val="1F497D" w:themeColor="text2"/>
          <w:sz w:val="20"/>
          <w:szCs w:val="20"/>
        </w:rPr>
      </w:pPr>
    </w:p>
    <w:p w14:paraId="181D2D64" w14:textId="7C2D1538" w:rsidR="002A7494" w:rsidRDefault="002A7494" w:rsidP="002A7494">
      <w:pPr>
        <w:rPr>
          <w:rStyle w:val="eop"/>
          <w:rFonts w:ascii="Calibri" w:hAnsi="Calibri" w:cs="Calibri"/>
          <w:i/>
          <w:iCs/>
          <w:color w:val="44546A"/>
          <w:sz w:val="18"/>
          <w:szCs w:val="18"/>
        </w:rPr>
      </w:pPr>
      <w:r w:rsidRPr="00537EC2">
        <w:rPr>
          <w:rFonts w:cstheme="minorHAnsi"/>
          <w:i/>
          <w:iCs/>
          <w:color w:val="1F497D" w:themeColor="text2"/>
          <w:sz w:val="20"/>
          <w:szCs w:val="20"/>
        </w:rPr>
        <w:t xml:space="preserve">Table </w:t>
      </w:r>
      <w:r w:rsidR="00691792">
        <w:rPr>
          <w:rFonts w:cstheme="minorHAnsi"/>
          <w:i/>
          <w:iCs/>
          <w:color w:val="1F497D" w:themeColor="text2"/>
          <w:sz w:val="20"/>
          <w:szCs w:val="20"/>
        </w:rPr>
        <w:t>5</w:t>
      </w:r>
      <w:r w:rsidRPr="00537EC2">
        <w:rPr>
          <w:rFonts w:cstheme="minorHAnsi"/>
          <w:i/>
          <w:iCs/>
          <w:color w:val="1F497D" w:themeColor="text2"/>
          <w:sz w:val="20"/>
          <w:szCs w:val="20"/>
        </w:rPr>
        <w:t xml:space="preserve"> – </w:t>
      </w:r>
      <w:r>
        <w:rPr>
          <w:rFonts w:cstheme="minorHAnsi"/>
          <w:i/>
          <w:iCs/>
          <w:color w:val="1F497D" w:themeColor="text2"/>
          <w:sz w:val="20"/>
          <w:szCs w:val="20"/>
        </w:rPr>
        <w:t xml:space="preserve">Average Number of Active Clients by </w:t>
      </w:r>
      <w:r w:rsidR="00691792">
        <w:rPr>
          <w:rFonts w:cstheme="minorHAnsi"/>
          <w:i/>
          <w:iCs/>
          <w:color w:val="1F497D" w:themeColor="text2"/>
          <w:sz w:val="20"/>
          <w:szCs w:val="20"/>
        </w:rPr>
        <w:t xml:space="preserve">Service </w:t>
      </w:r>
      <w:r>
        <w:rPr>
          <w:rFonts w:cstheme="minorHAnsi"/>
          <w:i/>
          <w:iCs/>
          <w:color w:val="1F497D" w:themeColor="text2"/>
          <w:sz w:val="20"/>
          <w:szCs w:val="20"/>
        </w:rPr>
        <w:t>Provider (July 20</w:t>
      </w:r>
      <w:r w:rsidR="002A68DB">
        <w:rPr>
          <w:rFonts w:cstheme="minorHAnsi"/>
          <w:i/>
          <w:iCs/>
          <w:color w:val="1F497D" w:themeColor="text2"/>
          <w:sz w:val="20"/>
          <w:szCs w:val="20"/>
        </w:rPr>
        <w:t>19</w:t>
      </w:r>
      <w:r>
        <w:rPr>
          <w:rFonts w:cstheme="minorHAnsi"/>
          <w:i/>
          <w:iCs/>
          <w:color w:val="1F497D" w:themeColor="text2"/>
          <w:sz w:val="20"/>
          <w:szCs w:val="20"/>
        </w:rPr>
        <w:t xml:space="preserve"> to December 2022) </w:t>
      </w:r>
    </w:p>
    <w:p w14:paraId="3263189D" w14:textId="77777777" w:rsidR="002A7494" w:rsidRPr="0077533B" w:rsidRDefault="002A7494" w:rsidP="002A7494">
      <w:pPr>
        <w:rPr>
          <w:rFonts w:ascii="Calibri" w:hAnsi="Calibri" w:cs="Calibri"/>
          <w:i/>
          <w:iCs/>
          <w:color w:val="44546A"/>
          <w:sz w:val="14"/>
          <w:szCs w:val="14"/>
          <w:vertAlign w:val="superscript"/>
        </w:rPr>
      </w:pPr>
    </w:p>
    <w:tbl>
      <w:tblPr>
        <w:tblStyle w:val="GridTable1Light-Accent1"/>
        <w:tblW w:w="9060" w:type="dxa"/>
        <w:tblLook w:val="04A0" w:firstRow="1" w:lastRow="0" w:firstColumn="1" w:lastColumn="0" w:noHBand="0" w:noVBand="1"/>
        <w:tblCaption w:val="Table 5"/>
        <w:tblDescription w:val="Table lists data on average number of ATC clients, client to case worker ratio for ATC, average number of YTC clients, and client to case worker ratio for YTC. Date is provided for each of the 9 through care providers."/>
      </w:tblPr>
      <w:tblGrid>
        <w:gridCol w:w="1508"/>
        <w:gridCol w:w="2005"/>
        <w:gridCol w:w="1781"/>
        <w:gridCol w:w="1985"/>
        <w:gridCol w:w="1781"/>
      </w:tblGrid>
      <w:tr w:rsidR="004772A2" w:rsidRPr="004772A2" w14:paraId="630AE3CF" w14:textId="76FA6A01" w:rsidTr="004772A2">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1EB41D39" w14:textId="77777777" w:rsidR="00522B54" w:rsidRPr="004772A2" w:rsidRDefault="00522B54" w:rsidP="004772A2">
            <w:pPr>
              <w:pStyle w:val="Heading7"/>
              <w:rPr>
                <w:color w:val="auto"/>
              </w:rPr>
            </w:pPr>
            <w:r w:rsidRPr="004772A2">
              <w:rPr>
                <w:rStyle w:val="normaltextrun"/>
                <w:color w:val="auto"/>
              </w:rPr>
              <w:t>Provider</w:t>
            </w:r>
          </w:p>
        </w:tc>
        <w:tc>
          <w:tcPr>
            <w:tcW w:w="2005" w:type="dxa"/>
            <w:vAlign w:val="center"/>
            <w:hideMark/>
          </w:tcPr>
          <w:p w14:paraId="7ED1D38B" w14:textId="104A8682" w:rsidR="00522B54" w:rsidRPr="004772A2" w:rsidRDefault="00522B54" w:rsidP="004772A2">
            <w:pPr>
              <w:pStyle w:val="Heading7"/>
              <w:cnfStyle w:val="100000000000" w:firstRow="1" w:lastRow="0" w:firstColumn="0" w:lastColumn="0" w:oddVBand="0" w:evenVBand="0" w:oddHBand="0" w:evenHBand="0" w:firstRowFirstColumn="0" w:firstRowLastColumn="0" w:lastRowFirstColumn="0" w:lastRowLastColumn="0"/>
              <w:rPr>
                <w:color w:val="auto"/>
              </w:rPr>
            </w:pPr>
            <w:r w:rsidRPr="004772A2">
              <w:rPr>
                <w:rStyle w:val="normaltextrun"/>
                <w:color w:val="auto"/>
              </w:rPr>
              <w:t>Average No. of ATC clients</w:t>
            </w:r>
          </w:p>
        </w:tc>
        <w:tc>
          <w:tcPr>
            <w:tcW w:w="1781" w:type="dxa"/>
          </w:tcPr>
          <w:p w14:paraId="6CE3945C" w14:textId="1E1BDB97" w:rsidR="00522B54" w:rsidRPr="004772A2" w:rsidRDefault="00522B54"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Client to Case</w:t>
            </w:r>
            <w:r w:rsidR="00694565" w:rsidRPr="004772A2">
              <w:rPr>
                <w:rStyle w:val="normaltextrun"/>
                <w:color w:val="auto"/>
              </w:rPr>
              <w:t xml:space="preserve"> W</w:t>
            </w:r>
            <w:r w:rsidRPr="004772A2">
              <w:rPr>
                <w:rStyle w:val="normaltextrun"/>
                <w:color w:val="auto"/>
              </w:rPr>
              <w:t>orker Ratio</w:t>
            </w:r>
          </w:p>
        </w:tc>
        <w:tc>
          <w:tcPr>
            <w:tcW w:w="1985" w:type="dxa"/>
            <w:vAlign w:val="center"/>
          </w:tcPr>
          <w:p w14:paraId="52AD7268" w14:textId="33EED80F" w:rsidR="00522B54" w:rsidRPr="004772A2" w:rsidRDefault="00522B54"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Average No. of YTC clients</w:t>
            </w:r>
          </w:p>
        </w:tc>
        <w:tc>
          <w:tcPr>
            <w:tcW w:w="1781" w:type="dxa"/>
          </w:tcPr>
          <w:p w14:paraId="7FC1A843" w14:textId="5A0694EC" w:rsidR="00522B54" w:rsidRPr="004772A2" w:rsidRDefault="00522B54" w:rsidP="004772A2">
            <w:pPr>
              <w:pStyle w:val="Heading7"/>
              <w:cnfStyle w:val="100000000000" w:firstRow="1" w:lastRow="0" w:firstColumn="0" w:lastColumn="0" w:oddVBand="0" w:evenVBand="0" w:oddHBand="0" w:evenHBand="0" w:firstRowFirstColumn="0" w:firstRowLastColumn="0" w:lastRowFirstColumn="0" w:lastRowLastColumn="0"/>
              <w:rPr>
                <w:rStyle w:val="normaltextrun"/>
                <w:color w:val="auto"/>
              </w:rPr>
            </w:pPr>
            <w:r w:rsidRPr="004772A2">
              <w:rPr>
                <w:rStyle w:val="normaltextrun"/>
                <w:color w:val="auto"/>
              </w:rPr>
              <w:t>Client to Case</w:t>
            </w:r>
            <w:r w:rsidR="00694565" w:rsidRPr="004772A2">
              <w:rPr>
                <w:rStyle w:val="normaltextrun"/>
                <w:color w:val="auto"/>
              </w:rPr>
              <w:t xml:space="preserve"> W</w:t>
            </w:r>
            <w:r w:rsidRPr="004772A2">
              <w:rPr>
                <w:rStyle w:val="normaltextrun"/>
                <w:color w:val="auto"/>
              </w:rPr>
              <w:t>orker Ratio</w:t>
            </w:r>
          </w:p>
        </w:tc>
      </w:tr>
      <w:tr w:rsidR="00522B54" w:rsidRPr="0077533B" w14:paraId="4A915CB1" w14:textId="436114F1" w:rsidTr="00DE090F">
        <w:trPr>
          <w:trHeight w:val="441"/>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33D268D9"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ALRM</w:t>
            </w:r>
          </w:p>
        </w:tc>
        <w:tc>
          <w:tcPr>
            <w:tcW w:w="2005" w:type="dxa"/>
            <w:vAlign w:val="center"/>
            <w:hideMark/>
          </w:tcPr>
          <w:p w14:paraId="2A0D0ED8"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6</w:t>
            </w:r>
            <w:r>
              <w:rPr>
                <w:rStyle w:val="normaltextrun"/>
                <w:rFonts w:ascii="Calibri" w:hAnsi="Calibri" w:cs="Calibri"/>
                <w:sz w:val="20"/>
                <w:szCs w:val="20"/>
              </w:rPr>
              <w:t>1</w:t>
            </w:r>
          </w:p>
        </w:tc>
        <w:tc>
          <w:tcPr>
            <w:tcW w:w="1781" w:type="dxa"/>
            <w:vAlign w:val="center"/>
          </w:tcPr>
          <w:p w14:paraId="58423791" w14:textId="0E3ADA8F"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12.2</w:t>
            </w:r>
          </w:p>
        </w:tc>
        <w:tc>
          <w:tcPr>
            <w:tcW w:w="1985" w:type="dxa"/>
            <w:vAlign w:val="center"/>
          </w:tcPr>
          <w:p w14:paraId="51FF4F48" w14:textId="71BF7040"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7E6D2C1A" w14:textId="5F5DB4AD"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3A1CDDED" w14:textId="3D41D762" w:rsidTr="00DE090F">
        <w:trPr>
          <w:trHeight w:val="409"/>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459DBC7B"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ATSILS</w:t>
            </w:r>
            <w:r>
              <w:rPr>
                <w:rStyle w:val="FootnoteReference"/>
                <w:rFonts w:ascii="Calibri" w:hAnsi="Calibri" w:cs="Calibri"/>
                <w:sz w:val="20"/>
                <w:szCs w:val="20"/>
              </w:rPr>
              <w:footnoteReference w:id="91"/>
            </w:r>
          </w:p>
        </w:tc>
        <w:tc>
          <w:tcPr>
            <w:tcW w:w="2005" w:type="dxa"/>
            <w:vAlign w:val="center"/>
            <w:hideMark/>
          </w:tcPr>
          <w:p w14:paraId="4F548DC7"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105</w:t>
            </w:r>
          </w:p>
        </w:tc>
        <w:tc>
          <w:tcPr>
            <w:tcW w:w="1781" w:type="dxa"/>
            <w:vAlign w:val="center"/>
          </w:tcPr>
          <w:p w14:paraId="51DE7A00" w14:textId="4B9BF943" w:rsidR="00522B54" w:rsidRDefault="00741A77"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10</w:t>
            </w:r>
            <w:r w:rsidR="00644A98">
              <w:rPr>
                <w:rStyle w:val="normaltextrun"/>
                <w:rFonts w:ascii="Calibri" w:hAnsi="Calibri" w:cs="Calibri"/>
                <w:sz w:val="20"/>
                <w:szCs w:val="20"/>
              </w:rPr>
              <w:t>.5</w:t>
            </w:r>
          </w:p>
        </w:tc>
        <w:tc>
          <w:tcPr>
            <w:tcW w:w="1985" w:type="dxa"/>
            <w:vAlign w:val="center"/>
          </w:tcPr>
          <w:p w14:paraId="79CFF5FD" w14:textId="7F5A9A4D"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62</w:t>
            </w:r>
          </w:p>
        </w:tc>
        <w:tc>
          <w:tcPr>
            <w:tcW w:w="1781" w:type="dxa"/>
            <w:vAlign w:val="center"/>
          </w:tcPr>
          <w:p w14:paraId="21F0A0B2" w14:textId="7F1DB7E4"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7.75</w:t>
            </w:r>
          </w:p>
        </w:tc>
      </w:tr>
      <w:tr w:rsidR="00522B54" w:rsidRPr="0077533B" w14:paraId="53613719" w14:textId="27519B31" w:rsidTr="00DE090F">
        <w:trPr>
          <w:trHeight w:val="417"/>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007AA00C"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CHAC</w:t>
            </w:r>
            <w:r>
              <w:rPr>
                <w:rStyle w:val="FootnoteReference"/>
                <w:rFonts w:ascii="Calibri" w:hAnsi="Calibri" w:cs="Calibri"/>
                <w:sz w:val="20"/>
                <w:szCs w:val="20"/>
              </w:rPr>
              <w:footnoteReference w:id="92"/>
            </w:r>
          </w:p>
        </w:tc>
        <w:tc>
          <w:tcPr>
            <w:tcW w:w="2005" w:type="dxa"/>
            <w:vAlign w:val="center"/>
            <w:hideMark/>
          </w:tcPr>
          <w:p w14:paraId="7B5AA2C1"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22</w:t>
            </w:r>
          </w:p>
        </w:tc>
        <w:tc>
          <w:tcPr>
            <w:tcW w:w="1781" w:type="dxa"/>
            <w:vAlign w:val="center"/>
          </w:tcPr>
          <w:p w14:paraId="67CA4660" w14:textId="7F633B9D"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11</w:t>
            </w:r>
          </w:p>
        </w:tc>
        <w:tc>
          <w:tcPr>
            <w:tcW w:w="1985" w:type="dxa"/>
            <w:vAlign w:val="center"/>
          </w:tcPr>
          <w:p w14:paraId="5F22C15F" w14:textId="5EFB3FC5"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00BB6811" w14:textId="434FEF16"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220281A0" w14:textId="30940FAC" w:rsidTr="00DE090F">
        <w:trPr>
          <w:trHeight w:val="423"/>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538B8EE6"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CRC</w:t>
            </w:r>
          </w:p>
        </w:tc>
        <w:tc>
          <w:tcPr>
            <w:tcW w:w="2005" w:type="dxa"/>
            <w:vAlign w:val="center"/>
            <w:hideMark/>
          </w:tcPr>
          <w:p w14:paraId="2BF5FF13"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51</w:t>
            </w:r>
          </w:p>
        </w:tc>
        <w:tc>
          <w:tcPr>
            <w:tcW w:w="1781" w:type="dxa"/>
            <w:vAlign w:val="center"/>
          </w:tcPr>
          <w:p w14:paraId="0ED564BD" w14:textId="79E4CB69"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12.75</w:t>
            </w:r>
          </w:p>
        </w:tc>
        <w:tc>
          <w:tcPr>
            <w:tcW w:w="1985" w:type="dxa"/>
            <w:vAlign w:val="center"/>
          </w:tcPr>
          <w:p w14:paraId="17473680" w14:textId="55FABA99"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3B29F581" w14:textId="043F2F3C"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63EEE1EA" w14:textId="53BC27CC" w:rsidTr="00DE090F">
        <w:trPr>
          <w:trHeight w:val="415"/>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5533A8A5"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Five Bridges</w:t>
            </w:r>
          </w:p>
        </w:tc>
        <w:tc>
          <w:tcPr>
            <w:tcW w:w="2005" w:type="dxa"/>
            <w:vAlign w:val="center"/>
            <w:hideMark/>
          </w:tcPr>
          <w:p w14:paraId="39D9B3C2"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7</w:t>
            </w:r>
          </w:p>
        </w:tc>
        <w:tc>
          <w:tcPr>
            <w:tcW w:w="1781" w:type="dxa"/>
            <w:vAlign w:val="center"/>
          </w:tcPr>
          <w:p w14:paraId="5D78F429" w14:textId="778F6100"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3.5</w:t>
            </w:r>
          </w:p>
        </w:tc>
        <w:tc>
          <w:tcPr>
            <w:tcW w:w="1985" w:type="dxa"/>
            <w:vAlign w:val="center"/>
          </w:tcPr>
          <w:p w14:paraId="6FD1EFF1" w14:textId="2B866261"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744F9BBE" w14:textId="377378C2"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4CCA4068" w14:textId="2D16B1AC" w:rsidTr="00DE090F">
        <w:trPr>
          <w:trHeight w:val="407"/>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5E5DC777"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NAAJA</w:t>
            </w:r>
          </w:p>
        </w:tc>
        <w:tc>
          <w:tcPr>
            <w:tcW w:w="2005" w:type="dxa"/>
            <w:vAlign w:val="center"/>
            <w:hideMark/>
          </w:tcPr>
          <w:p w14:paraId="4EBA0AEE"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6</w:t>
            </w:r>
            <w:r>
              <w:rPr>
                <w:rStyle w:val="normaltextrun"/>
                <w:rFonts w:ascii="Calibri" w:hAnsi="Calibri" w:cs="Calibri"/>
                <w:sz w:val="20"/>
                <w:szCs w:val="20"/>
              </w:rPr>
              <w:t>1</w:t>
            </w:r>
          </w:p>
        </w:tc>
        <w:tc>
          <w:tcPr>
            <w:tcW w:w="1781" w:type="dxa"/>
            <w:vAlign w:val="center"/>
          </w:tcPr>
          <w:p w14:paraId="7FDBCC96" w14:textId="56120608"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6.7</w:t>
            </w:r>
          </w:p>
        </w:tc>
        <w:tc>
          <w:tcPr>
            <w:tcW w:w="1985" w:type="dxa"/>
            <w:vAlign w:val="center"/>
          </w:tcPr>
          <w:p w14:paraId="5242191D" w14:textId="043BA955"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58</w:t>
            </w:r>
          </w:p>
        </w:tc>
        <w:tc>
          <w:tcPr>
            <w:tcW w:w="1781" w:type="dxa"/>
            <w:vAlign w:val="center"/>
          </w:tcPr>
          <w:p w14:paraId="5AAAF1AB" w14:textId="21842DD4"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7.25</w:t>
            </w:r>
          </w:p>
        </w:tc>
      </w:tr>
      <w:tr w:rsidR="00522B54" w:rsidRPr="0077533B" w14:paraId="67C1F6C1" w14:textId="6B061352" w:rsidTr="00DE090F">
        <w:trPr>
          <w:trHeight w:val="480"/>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0615AB94"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Nulse</w:t>
            </w:r>
            <w:r>
              <w:rPr>
                <w:rStyle w:val="normaltextrun"/>
                <w:rFonts w:ascii="Calibri" w:hAnsi="Calibri" w:cs="Calibri"/>
                <w:sz w:val="20"/>
                <w:szCs w:val="20"/>
              </w:rPr>
              <w:t>n (Outcare)</w:t>
            </w:r>
            <w:r>
              <w:rPr>
                <w:rStyle w:val="FootnoteReference"/>
                <w:rFonts w:ascii="Calibri" w:hAnsi="Calibri" w:cs="Calibri"/>
                <w:sz w:val="20"/>
                <w:szCs w:val="20"/>
              </w:rPr>
              <w:footnoteReference w:id="93"/>
            </w:r>
          </w:p>
        </w:tc>
        <w:tc>
          <w:tcPr>
            <w:tcW w:w="2005" w:type="dxa"/>
            <w:vAlign w:val="center"/>
            <w:hideMark/>
          </w:tcPr>
          <w:p w14:paraId="0863FF6C"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74</w:t>
            </w:r>
          </w:p>
        </w:tc>
        <w:tc>
          <w:tcPr>
            <w:tcW w:w="1781" w:type="dxa"/>
            <w:vAlign w:val="center"/>
          </w:tcPr>
          <w:p w14:paraId="15A9DB31" w14:textId="34172209"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8.2</w:t>
            </w:r>
          </w:p>
        </w:tc>
        <w:tc>
          <w:tcPr>
            <w:tcW w:w="1985" w:type="dxa"/>
            <w:vAlign w:val="center"/>
          </w:tcPr>
          <w:p w14:paraId="7F4A7D9D" w14:textId="2E4484DD"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632027B3" w14:textId="0D345F28"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7C1B2C99" w14:textId="639FE20E" w:rsidTr="00DE090F">
        <w:trPr>
          <w:trHeight w:val="491"/>
        </w:trPr>
        <w:tc>
          <w:tcPr>
            <w:cnfStyle w:val="001000000000" w:firstRow="0" w:lastRow="0" w:firstColumn="1" w:lastColumn="0" w:oddVBand="0" w:evenVBand="0" w:oddHBand="0" w:evenHBand="0" w:firstRowFirstColumn="0" w:firstRowLastColumn="0" w:lastRowFirstColumn="0" w:lastRowLastColumn="0"/>
            <w:tcW w:w="1508" w:type="dxa"/>
            <w:vAlign w:val="center"/>
            <w:hideMark/>
          </w:tcPr>
          <w:p w14:paraId="17243A95" w14:textId="77777777" w:rsidR="00522B54" w:rsidRPr="0077533B" w:rsidRDefault="00522B54"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RYSS</w:t>
            </w:r>
          </w:p>
        </w:tc>
        <w:tc>
          <w:tcPr>
            <w:tcW w:w="2005" w:type="dxa"/>
            <w:vAlign w:val="center"/>
            <w:hideMark/>
          </w:tcPr>
          <w:p w14:paraId="63E83241"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77533B">
              <w:rPr>
                <w:rStyle w:val="normaltextrun"/>
                <w:rFonts w:ascii="Calibri" w:hAnsi="Calibri" w:cs="Calibri"/>
                <w:sz w:val="20"/>
                <w:szCs w:val="20"/>
              </w:rPr>
              <w:t>16</w:t>
            </w:r>
          </w:p>
        </w:tc>
        <w:tc>
          <w:tcPr>
            <w:tcW w:w="1781" w:type="dxa"/>
            <w:vAlign w:val="center"/>
          </w:tcPr>
          <w:p w14:paraId="3D4916B6" w14:textId="5EA86F8A"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8</w:t>
            </w:r>
          </w:p>
        </w:tc>
        <w:tc>
          <w:tcPr>
            <w:tcW w:w="1985" w:type="dxa"/>
            <w:vAlign w:val="center"/>
          </w:tcPr>
          <w:p w14:paraId="5DDCD66E" w14:textId="304AB68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07B01FBC" w14:textId="2006E517"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r>
      <w:tr w:rsidR="00522B54" w:rsidRPr="0077533B" w14:paraId="6FC3D516" w14:textId="0ABE3150" w:rsidTr="00DE090F">
        <w:trPr>
          <w:trHeight w:val="413"/>
        </w:trPr>
        <w:tc>
          <w:tcPr>
            <w:cnfStyle w:val="001000000000" w:firstRow="0" w:lastRow="0" w:firstColumn="1" w:lastColumn="0" w:oddVBand="0" w:evenVBand="0" w:oddHBand="0" w:evenHBand="0" w:firstRowFirstColumn="0" w:firstRowLastColumn="0" w:lastRowFirstColumn="0" w:lastRowLastColumn="0"/>
            <w:tcW w:w="1508" w:type="dxa"/>
            <w:vAlign w:val="center"/>
          </w:tcPr>
          <w:p w14:paraId="398AE657" w14:textId="77777777" w:rsidR="00522B54" w:rsidRPr="0077533B" w:rsidRDefault="00522B54" w:rsidP="00877CCC">
            <w:pPr>
              <w:pStyle w:val="paragraph"/>
              <w:spacing w:before="0" w:beforeAutospacing="0" w:after="0" w:afterAutospacing="0"/>
              <w:jc w:val="center"/>
              <w:textAlignment w:val="baseline"/>
              <w:rPr>
                <w:rStyle w:val="normaltextrun"/>
                <w:rFonts w:ascii="Calibri" w:hAnsi="Calibri" w:cs="Calibri"/>
                <w:sz w:val="20"/>
                <w:szCs w:val="20"/>
              </w:rPr>
            </w:pPr>
            <w:r>
              <w:rPr>
                <w:rStyle w:val="normaltextrun"/>
                <w:rFonts w:ascii="Calibri" w:hAnsi="Calibri" w:cs="Calibri"/>
                <w:sz w:val="20"/>
                <w:szCs w:val="20"/>
              </w:rPr>
              <w:t>VACCA</w:t>
            </w:r>
          </w:p>
        </w:tc>
        <w:tc>
          <w:tcPr>
            <w:tcW w:w="2005" w:type="dxa"/>
            <w:vAlign w:val="center"/>
          </w:tcPr>
          <w:p w14:paraId="20B35BB8" w14:textId="77777777" w:rsidR="00522B54" w:rsidRPr="0077533B"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781" w:type="dxa"/>
            <w:vAlign w:val="center"/>
          </w:tcPr>
          <w:p w14:paraId="6810D36D" w14:textId="6E2C0DA9"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NA</w:t>
            </w:r>
          </w:p>
        </w:tc>
        <w:tc>
          <w:tcPr>
            <w:tcW w:w="1985" w:type="dxa"/>
            <w:vAlign w:val="center"/>
          </w:tcPr>
          <w:p w14:paraId="1BD25998" w14:textId="37F90A67" w:rsidR="00522B54"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37</w:t>
            </w:r>
          </w:p>
        </w:tc>
        <w:tc>
          <w:tcPr>
            <w:tcW w:w="1781" w:type="dxa"/>
            <w:vAlign w:val="center"/>
          </w:tcPr>
          <w:p w14:paraId="3D767E83" w14:textId="687A000C" w:rsidR="00522B54" w:rsidRDefault="00644A98"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6.2</w:t>
            </w:r>
          </w:p>
        </w:tc>
      </w:tr>
      <w:tr w:rsidR="00522B54" w:rsidRPr="0077533B" w14:paraId="0FC15E89" w14:textId="05E04721" w:rsidTr="00DE090F">
        <w:trPr>
          <w:trHeight w:val="413"/>
        </w:trPr>
        <w:tc>
          <w:tcPr>
            <w:cnfStyle w:val="001000000000" w:firstRow="0" w:lastRow="0" w:firstColumn="1" w:lastColumn="0" w:oddVBand="0" w:evenVBand="0" w:oddHBand="0" w:evenHBand="0" w:firstRowFirstColumn="0" w:firstRowLastColumn="0" w:lastRowFirstColumn="0" w:lastRowLastColumn="0"/>
            <w:tcW w:w="1508" w:type="dxa"/>
            <w:vAlign w:val="center"/>
          </w:tcPr>
          <w:p w14:paraId="4C6FF92D" w14:textId="77777777" w:rsidR="00522B54" w:rsidRDefault="00522B54" w:rsidP="00877CCC">
            <w:pPr>
              <w:pStyle w:val="paragraph"/>
              <w:spacing w:before="0" w:beforeAutospacing="0" w:after="0" w:afterAutospacing="0"/>
              <w:jc w:val="center"/>
              <w:textAlignment w:val="baseline"/>
              <w:rPr>
                <w:rStyle w:val="normaltextrun"/>
                <w:rFonts w:ascii="Calibri" w:hAnsi="Calibri" w:cs="Calibri"/>
                <w:sz w:val="20"/>
                <w:szCs w:val="20"/>
              </w:rPr>
            </w:pPr>
          </w:p>
        </w:tc>
        <w:tc>
          <w:tcPr>
            <w:tcW w:w="2005" w:type="dxa"/>
            <w:vAlign w:val="center"/>
          </w:tcPr>
          <w:p w14:paraId="7EB710A1" w14:textId="43827023" w:rsidR="00522B54" w:rsidRPr="0070139F"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70139F">
              <w:rPr>
                <w:rStyle w:val="normaltextrun"/>
                <w:rFonts w:ascii="Calibri" w:hAnsi="Calibri" w:cs="Calibri"/>
                <w:b/>
                <w:bCs/>
                <w:sz w:val="20"/>
                <w:szCs w:val="20"/>
              </w:rPr>
              <w:t>397</w:t>
            </w:r>
          </w:p>
        </w:tc>
        <w:tc>
          <w:tcPr>
            <w:tcW w:w="1781" w:type="dxa"/>
            <w:vAlign w:val="center"/>
          </w:tcPr>
          <w:p w14:paraId="5D937476" w14:textId="77777777" w:rsidR="00522B54" w:rsidRPr="0070139F"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p>
        </w:tc>
        <w:tc>
          <w:tcPr>
            <w:tcW w:w="1985" w:type="dxa"/>
            <w:vAlign w:val="center"/>
          </w:tcPr>
          <w:p w14:paraId="5005F629" w14:textId="688BFDC6" w:rsidR="00522B54" w:rsidRPr="0070139F"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70139F">
              <w:rPr>
                <w:rStyle w:val="normaltextrun"/>
                <w:rFonts w:ascii="Calibri" w:hAnsi="Calibri" w:cs="Calibri"/>
                <w:b/>
                <w:bCs/>
                <w:sz w:val="20"/>
                <w:szCs w:val="20"/>
              </w:rPr>
              <w:t>157</w:t>
            </w:r>
          </w:p>
        </w:tc>
        <w:tc>
          <w:tcPr>
            <w:tcW w:w="1781" w:type="dxa"/>
            <w:vAlign w:val="center"/>
          </w:tcPr>
          <w:p w14:paraId="081560CF" w14:textId="77777777" w:rsidR="00522B54" w:rsidRPr="0070139F" w:rsidRDefault="00522B54" w:rsidP="00DE090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p>
        </w:tc>
      </w:tr>
    </w:tbl>
    <w:p w14:paraId="46D2A806" w14:textId="77777777" w:rsidR="002A7494" w:rsidRDefault="002A7494" w:rsidP="002A7494">
      <w:pPr>
        <w:jc w:val="both"/>
        <w:rPr>
          <w:rFonts w:cstheme="minorHAnsi"/>
          <w:lang w:val="en-MY" w:eastAsia="en-AU"/>
        </w:rPr>
      </w:pPr>
    </w:p>
    <w:p w14:paraId="6E95FCAF" w14:textId="2DC3E4AE" w:rsidR="00522B54" w:rsidRPr="001A64BA" w:rsidRDefault="006709F0" w:rsidP="00522B54">
      <w:pPr>
        <w:jc w:val="both"/>
        <w:rPr>
          <w:rFonts w:cstheme="minorHAnsi"/>
          <w:lang w:val="en-MY" w:eastAsia="en-AU"/>
        </w:rPr>
      </w:pPr>
      <w:r>
        <w:rPr>
          <w:rFonts w:cstheme="minorHAnsi"/>
          <w:lang w:val="en-MY" w:eastAsia="en-AU"/>
        </w:rPr>
        <w:t>Given that the suggested case</w:t>
      </w:r>
      <w:r w:rsidR="00694565">
        <w:rPr>
          <w:rFonts w:cstheme="minorHAnsi"/>
          <w:lang w:val="en-MY" w:eastAsia="en-AU"/>
        </w:rPr>
        <w:t>-</w:t>
      </w:r>
      <w:r>
        <w:rPr>
          <w:rFonts w:cstheme="minorHAnsi"/>
          <w:lang w:val="en-MY" w:eastAsia="en-AU"/>
        </w:rPr>
        <w:t>load in</w:t>
      </w:r>
      <w:r w:rsidR="00C34C78">
        <w:rPr>
          <w:rFonts w:cstheme="minorHAnsi"/>
          <w:lang w:val="en-MY" w:eastAsia="en-AU"/>
        </w:rPr>
        <w:t xml:space="preserve"> ABT</w:t>
      </w:r>
      <w:r>
        <w:rPr>
          <w:rFonts w:cstheme="minorHAnsi"/>
          <w:lang w:val="en-MY" w:eastAsia="en-AU"/>
        </w:rPr>
        <w:t xml:space="preserve"> program guidelines is </w:t>
      </w:r>
      <w:r w:rsidR="00C34C78">
        <w:rPr>
          <w:rFonts w:cstheme="minorHAnsi"/>
          <w:lang w:val="en-MY" w:eastAsia="en-AU"/>
        </w:rPr>
        <w:t xml:space="preserve">8 to </w:t>
      </w:r>
      <w:r>
        <w:rPr>
          <w:rFonts w:cstheme="minorHAnsi"/>
          <w:lang w:val="en-MY" w:eastAsia="en-AU"/>
        </w:rPr>
        <w:t>1</w:t>
      </w:r>
      <w:r w:rsidR="00C34C78">
        <w:rPr>
          <w:rFonts w:cstheme="minorHAnsi"/>
          <w:lang w:val="en-MY" w:eastAsia="en-AU"/>
        </w:rPr>
        <w:t>5</w:t>
      </w:r>
      <w:r>
        <w:rPr>
          <w:rFonts w:cstheme="minorHAnsi"/>
          <w:lang w:val="en-MY" w:eastAsia="en-AU"/>
        </w:rPr>
        <w:t xml:space="preserve"> </w:t>
      </w:r>
      <w:r w:rsidR="00C34C78">
        <w:rPr>
          <w:rFonts w:cstheme="minorHAnsi"/>
          <w:lang w:val="en-MY" w:eastAsia="en-AU"/>
        </w:rPr>
        <w:t xml:space="preserve">(nominally 12) </w:t>
      </w:r>
      <w:r>
        <w:rPr>
          <w:rFonts w:cstheme="minorHAnsi"/>
          <w:lang w:val="en-MY" w:eastAsia="en-AU"/>
        </w:rPr>
        <w:t>for adults and 8 to 1</w:t>
      </w:r>
      <w:r w:rsidR="00C34C78">
        <w:rPr>
          <w:rFonts w:cstheme="minorHAnsi"/>
          <w:lang w:val="en-MY" w:eastAsia="en-AU"/>
        </w:rPr>
        <w:t>2</w:t>
      </w:r>
      <w:r>
        <w:rPr>
          <w:rFonts w:cstheme="minorHAnsi"/>
          <w:lang w:val="en-MY" w:eastAsia="en-AU"/>
        </w:rPr>
        <w:t xml:space="preserve"> </w:t>
      </w:r>
      <w:r w:rsidR="00C34C78">
        <w:rPr>
          <w:rFonts w:cstheme="minorHAnsi"/>
          <w:lang w:val="en-MY" w:eastAsia="en-AU"/>
        </w:rPr>
        <w:t xml:space="preserve">(nominally 10) </w:t>
      </w:r>
      <w:r>
        <w:rPr>
          <w:rFonts w:cstheme="minorHAnsi"/>
          <w:lang w:val="en-MY" w:eastAsia="en-AU"/>
        </w:rPr>
        <w:t xml:space="preserve">for youths, if accurate, </w:t>
      </w:r>
      <w:r w:rsidR="00FF033C">
        <w:rPr>
          <w:rFonts w:cstheme="minorHAnsi"/>
          <w:lang w:val="en-MY" w:eastAsia="en-AU"/>
        </w:rPr>
        <w:t xml:space="preserve">such ratios </w:t>
      </w:r>
      <w:r w:rsidR="00636EE8">
        <w:rPr>
          <w:rFonts w:cstheme="minorHAnsi"/>
          <w:lang w:val="en-MY" w:eastAsia="en-AU"/>
        </w:rPr>
        <w:t xml:space="preserve">somewhat </w:t>
      </w:r>
      <w:r w:rsidR="00FF033C">
        <w:rPr>
          <w:rFonts w:cstheme="minorHAnsi"/>
          <w:lang w:val="en-MY" w:eastAsia="en-AU"/>
        </w:rPr>
        <w:t>weaken the argument that more case</w:t>
      </w:r>
      <w:r w:rsidR="00694565">
        <w:rPr>
          <w:rFonts w:cstheme="minorHAnsi"/>
          <w:lang w:val="en-MY" w:eastAsia="en-AU"/>
        </w:rPr>
        <w:t xml:space="preserve"> </w:t>
      </w:r>
      <w:r w:rsidR="00FF033C">
        <w:rPr>
          <w:rFonts w:cstheme="minorHAnsi"/>
          <w:lang w:val="en-MY" w:eastAsia="en-AU"/>
        </w:rPr>
        <w:t xml:space="preserve">workers are necessary to meet </w:t>
      </w:r>
      <w:r w:rsidR="00BC60FA">
        <w:rPr>
          <w:rFonts w:cstheme="minorHAnsi"/>
          <w:lang w:val="en-MY" w:eastAsia="en-AU"/>
        </w:rPr>
        <w:t xml:space="preserve">client </w:t>
      </w:r>
      <w:r w:rsidR="00FF033C">
        <w:rPr>
          <w:rFonts w:cstheme="minorHAnsi"/>
          <w:lang w:val="en-MY" w:eastAsia="en-AU"/>
        </w:rPr>
        <w:t>demand</w:t>
      </w:r>
      <w:r w:rsidR="00F35BA6">
        <w:rPr>
          <w:rFonts w:cstheme="minorHAnsi"/>
          <w:lang w:val="en-MY" w:eastAsia="en-AU"/>
        </w:rPr>
        <w:t>, but do nevertheless correlate with the narrative from case workers that they are too stretched to increase case</w:t>
      </w:r>
      <w:r w:rsidR="00694565">
        <w:rPr>
          <w:rFonts w:cstheme="minorHAnsi"/>
          <w:lang w:val="en-MY" w:eastAsia="en-AU"/>
        </w:rPr>
        <w:t>-</w:t>
      </w:r>
      <w:r w:rsidR="00F35BA6">
        <w:rPr>
          <w:rFonts w:cstheme="minorHAnsi"/>
          <w:lang w:val="en-MY" w:eastAsia="en-AU"/>
        </w:rPr>
        <w:t>loads because of the intensi</w:t>
      </w:r>
      <w:r w:rsidR="00636EE8">
        <w:rPr>
          <w:rFonts w:cstheme="minorHAnsi"/>
          <w:lang w:val="en-MY" w:eastAsia="en-AU"/>
        </w:rPr>
        <w:t>ve</w:t>
      </w:r>
      <w:r w:rsidR="00F35BA6">
        <w:rPr>
          <w:rFonts w:cstheme="minorHAnsi"/>
          <w:lang w:val="en-MY" w:eastAsia="en-AU"/>
        </w:rPr>
        <w:t xml:space="preserve"> needs of existing clients</w:t>
      </w:r>
      <w:r w:rsidR="00FF033C" w:rsidRPr="001A64BA">
        <w:rPr>
          <w:rFonts w:cstheme="minorHAnsi"/>
          <w:lang w:val="en-MY" w:eastAsia="en-AU"/>
        </w:rPr>
        <w:t>.</w:t>
      </w:r>
      <w:r w:rsidR="00522B54" w:rsidRPr="00522B54">
        <w:rPr>
          <w:rFonts w:cstheme="minorHAnsi"/>
          <w:lang w:val="en-MY" w:eastAsia="en-AU"/>
        </w:rPr>
        <w:t xml:space="preserve"> </w:t>
      </w:r>
      <w:r w:rsidR="00522B54">
        <w:rPr>
          <w:rFonts w:cstheme="minorHAnsi"/>
          <w:lang w:val="en-MY" w:eastAsia="en-AU"/>
        </w:rPr>
        <w:t>While e</w:t>
      </w:r>
      <w:r w:rsidR="00522B54" w:rsidRPr="001A64BA">
        <w:rPr>
          <w:rFonts w:cstheme="minorHAnsi"/>
          <w:lang w:val="en-MY" w:eastAsia="en-AU"/>
        </w:rPr>
        <w:t>ach service considered a different level of contact to be appropriate or sufficient to constitute intensive case management</w:t>
      </w:r>
      <w:r w:rsidR="00522B54">
        <w:rPr>
          <w:rFonts w:cstheme="minorHAnsi"/>
          <w:lang w:val="en-MY" w:eastAsia="en-AU"/>
        </w:rPr>
        <w:t>, it</w:t>
      </w:r>
      <w:r w:rsidR="00522B54" w:rsidRPr="001A64BA">
        <w:rPr>
          <w:rFonts w:cstheme="minorHAnsi"/>
          <w:lang w:val="en-MY" w:eastAsia="en-AU"/>
        </w:rPr>
        <w:t xml:space="preserve"> was not uncommon for case </w:t>
      </w:r>
      <w:r w:rsidR="00522B54">
        <w:rPr>
          <w:rFonts w:cstheme="minorHAnsi"/>
          <w:lang w:val="en-MY" w:eastAsia="en-AU"/>
        </w:rPr>
        <w:t xml:space="preserve">workers </w:t>
      </w:r>
      <w:r w:rsidR="00522B54" w:rsidRPr="001A64BA">
        <w:rPr>
          <w:rFonts w:cstheme="minorHAnsi"/>
          <w:lang w:val="en-MY" w:eastAsia="en-AU"/>
        </w:rPr>
        <w:t>to estimate the optimum number of clients to be 10 individuals</w:t>
      </w:r>
      <w:r w:rsidR="00522B54">
        <w:rPr>
          <w:rFonts w:cstheme="minorHAnsi"/>
          <w:lang w:val="en-MY" w:eastAsia="en-AU"/>
        </w:rPr>
        <w:t xml:space="preserve"> for adults </w:t>
      </w:r>
      <w:r w:rsidR="00644A98">
        <w:rPr>
          <w:rFonts w:cstheme="minorHAnsi"/>
          <w:lang w:val="en-MY" w:eastAsia="en-AU"/>
        </w:rPr>
        <w:t>and 8 or less for youth</w:t>
      </w:r>
      <w:r>
        <w:rPr>
          <w:rFonts w:cstheme="minorHAnsi"/>
          <w:lang w:val="en-MY" w:eastAsia="en-AU"/>
        </w:rPr>
        <w:t>, therefore approximating the ratios calculated</w:t>
      </w:r>
      <w:r w:rsidR="00522B54">
        <w:rPr>
          <w:rFonts w:cstheme="minorHAnsi"/>
          <w:lang w:val="en-MY" w:eastAsia="en-AU"/>
        </w:rPr>
        <w:t>.</w:t>
      </w:r>
    </w:p>
    <w:p w14:paraId="02DA236B" w14:textId="77777777" w:rsidR="00522B54" w:rsidRDefault="00522B54" w:rsidP="00FF033C">
      <w:pPr>
        <w:jc w:val="both"/>
        <w:rPr>
          <w:rFonts w:cstheme="minorHAnsi"/>
          <w:lang w:val="en-MY" w:eastAsia="en-AU"/>
        </w:rPr>
      </w:pPr>
    </w:p>
    <w:p w14:paraId="77E7FB09" w14:textId="59B73B5F" w:rsidR="00F35BA6" w:rsidRDefault="00522B54" w:rsidP="00116F1D">
      <w:pPr>
        <w:jc w:val="both"/>
        <w:rPr>
          <w:rFonts w:cstheme="minorHAnsi"/>
          <w:lang w:val="en-MY" w:eastAsia="en-AU"/>
        </w:rPr>
      </w:pPr>
      <w:r>
        <w:rPr>
          <w:rFonts w:cstheme="minorHAnsi"/>
          <w:lang w:val="en-MY" w:eastAsia="en-AU"/>
        </w:rPr>
        <w:t>Based on the available data</w:t>
      </w:r>
      <w:r w:rsidR="00F35BA6">
        <w:rPr>
          <w:rFonts w:cstheme="minorHAnsi"/>
          <w:lang w:val="en-MY" w:eastAsia="en-AU"/>
        </w:rPr>
        <w:t xml:space="preserve"> </w:t>
      </w:r>
      <w:r>
        <w:rPr>
          <w:rFonts w:cstheme="minorHAnsi"/>
          <w:lang w:val="en-MY" w:eastAsia="en-AU"/>
        </w:rPr>
        <w:t>there are</w:t>
      </w:r>
      <w:r w:rsidR="00F35BA6">
        <w:rPr>
          <w:rFonts w:cstheme="minorHAnsi"/>
          <w:lang w:val="en-MY" w:eastAsia="en-AU"/>
        </w:rPr>
        <w:t>, how</w:t>
      </w:r>
      <w:r w:rsidR="00636EE8">
        <w:rPr>
          <w:rFonts w:cstheme="minorHAnsi"/>
          <w:lang w:val="en-MY" w:eastAsia="en-AU"/>
        </w:rPr>
        <w:t xml:space="preserve">ever, </w:t>
      </w:r>
      <w:r>
        <w:rPr>
          <w:rFonts w:cstheme="minorHAnsi"/>
          <w:lang w:val="en-MY" w:eastAsia="en-AU"/>
        </w:rPr>
        <w:t xml:space="preserve">large </w:t>
      </w:r>
      <w:r w:rsidRPr="001A64BA">
        <w:rPr>
          <w:rFonts w:cstheme="minorHAnsi"/>
          <w:lang w:val="en-MY" w:eastAsia="en-AU"/>
        </w:rPr>
        <w:t xml:space="preserve">variances between </w:t>
      </w:r>
      <w:r>
        <w:rPr>
          <w:rFonts w:cstheme="minorHAnsi"/>
          <w:lang w:val="en-MY" w:eastAsia="en-AU"/>
        </w:rPr>
        <w:t>case</w:t>
      </w:r>
      <w:r w:rsidR="00694565">
        <w:rPr>
          <w:rFonts w:cstheme="minorHAnsi"/>
          <w:lang w:val="en-MY" w:eastAsia="en-AU"/>
        </w:rPr>
        <w:t>-</w:t>
      </w:r>
      <w:r>
        <w:rPr>
          <w:rFonts w:cstheme="minorHAnsi"/>
          <w:lang w:val="en-MY" w:eastAsia="en-AU"/>
        </w:rPr>
        <w:t xml:space="preserve">loads by </w:t>
      </w:r>
      <w:r w:rsidRPr="001A64BA">
        <w:rPr>
          <w:rFonts w:cstheme="minorHAnsi"/>
          <w:lang w:val="en-MY" w:eastAsia="en-AU"/>
        </w:rPr>
        <w:t>service</w:t>
      </w:r>
      <w:r>
        <w:rPr>
          <w:rFonts w:cstheme="minorHAnsi"/>
          <w:lang w:val="en-MY" w:eastAsia="en-AU"/>
        </w:rPr>
        <w:t xml:space="preserve"> and the size of </w:t>
      </w:r>
      <w:r w:rsidR="009D2807">
        <w:rPr>
          <w:rFonts w:cstheme="minorHAnsi"/>
          <w:lang w:val="en-MY" w:eastAsia="en-AU"/>
        </w:rPr>
        <w:t>active case</w:t>
      </w:r>
      <w:r w:rsidR="00694565">
        <w:rPr>
          <w:rFonts w:cstheme="minorHAnsi"/>
          <w:lang w:val="en-MY" w:eastAsia="en-AU"/>
        </w:rPr>
        <w:t>-</w:t>
      </w:r>
      <w:r w:rsidR="009D2807">
        <w:rPr>
          <w:rFonts w:cstheme="minorHAnsi"/>
          <w:lang w:val="en-MY" w:eastAsia="en-AU"/>
        </w:rPr>
        <w:t xml:space="preserve">loads </w:t>
      </w:r>
      <w:r>
        <w:rPr>
          <w:rFonts w:cstheme="minorHAnsi"/>
          <w:lang w:val="en-MY" w:eastAsia="en-AU"/>
        </w:rPr>
        <w:t>anecdotally</w:t>
      </w:r>
      <w:r w:rsidR="009D2807">
        <w:rPr>
          <w:rFonts w:cstheme="minorHAnsi"/>
          <w:lang w:val="en-MY" w:eastAsia="en-AU"/>
        </w:rPr>
        <w:t xml:space="preserve"> reported </w:t>
      </w:r>
      <w:r w:rsidR="00636EE8">
        <w:rPr>
          <w:rFonts w:cstheme="minorHAnsi"/>
          <w:lang w:val="en-MY" w:eastAsia="en-AU"/>
        </w:rPr>
        <w:t xml:space="preserve">also </w:t>
      </w:r>
      <w:r w:rsidR="00FF033C" w:rsidRPr="001A64BA">
        <w:rPr>
          <w:rFonts w:cstheme="minorHAnsi"/>
          <w:lang w:val="en-MY" w:eastAsia="en-AU"/>
        </w:rPr>
        <w:t xml:space="preserve">varied widely, with some </w:t>
      </w:r>
      <w:r w:rsidR="009D2807">
        <w:rPr>
          <w:rFonts w:cstheme="minorHAnsi"/>
          <w:lang w:val="en-MY" w:eastAsia="en-AU"/>
        </w:rPr>
        <w:t xml:space="preserve">smaller </w:t>
      </w:r>
      <w:r w:rsidR="00FF033C" w:rsidRPr="001A64BA">
        <w:rPr>
          <w:rFonts w:cstheme="minorHAnsi"/>
          <w:lang w:val="en-MY" w:eastAsia="en-AU"/>
        </w:rPr>
        <w:t xml:space="preserve">services claiming up to 20 clients per case worker, </w:t>
      </w:r>
      <w:r w:rsidR="009D2807">
        <w:rPr>
          <w:rFonts w:cstheme="minorHAnsi"/>
          <w:lang w:val="en-MY" w:eastAsia="en-AU"/>
        </w:rPr>
        <w:t>and in other examples individual case</w:t>
      </w:r>
      <w:r w:rsidR="00694565">
        <w:rPr>
          <w:rFonts w:cstheme="minorHAnsi"/>
          <w:lang w:val="en-MY" w:eastAsia="en-AU"/>
        </w:rPr>
        <w:t xml:space="preserve"> </w:t>
      </w:r>
      <w:r w:rsidR="009D2807">
        <w:rPr>
          <w:rFonts w:cstheme="minorHAnsi"/>
          <w:lang w:val="en-MY" w:eastAsia="en-AU"/>
        </w:rPr>
        <w:t>workers reporting fewer than 8</w:t>
      </w:r>
      <w:r w:rsidR="00FF033C" w:rsidRPr="001A64BA">
        <w:rPr>
          <w:rFonts w:cstheme="minorHAnsi"/>
          <w:lang w:val="en-MY" w:eastAsia="en-AU"/>
        </w:rPr>
        <w:t xml:space="preserve"> clients.</w:t>
      </w:r>
      <w:r w:rsidR="00AB3E3A">
        <w:rPr>
          <w:rFonts w:cstheme="minorHAnsi"/>
          <w:lang w:val="en-MY" w:eastAsia="en-AU"/>
        </w:rPr>
        <w:t xml:space="preserve"> </w:t>
      </w:r>
      <w:r w:rsidR="00F35BA6">
        <w:rPr>
          <w:rFonts w:cstheme="minorHAnsi"/>
          <w:lang w:val="en-MY" w:eastAsia="en-AU"/>
        </w:rPr>
        <w:t>If ratios are calculated using the available data</w:t>
      </w:r>
      <w:r w:rsidR="007C4A1D">
        <w:rPr>
          <w:rFonts w:cstheme="minorHAnsi"/>
          <w:lang w:val="en-MY" w:eastAsia="en-AU"/>
        </w:rPr>
        <w:t xml:space="preserve">, </w:t>
      </w:r>
      <w:r w:rsidR="00F35BA6">
        <w:rPr>
          <w:rFonts w:cstheme="minorHAnsi"/>
          <w:lang w:val="en-MY" w:eastAsia="en-AU"/>
        </w:rPr>
        <w:t>the recommended case</w:t>
      </w:r>
      <w:r w:rsidR="00694565">
        <w:rPr>
          <w:rFonts w:cstheme="minorHAnsi"/>
          <w:lang w:val="en-MY" w:eastAsia="en-AU"/>
        </w:rPr>
        <w:t>-</w:t>
      </w:r>
      <w:r w:rsidR="00F35BA6">
        <w:rPr>
          <w:rFonts w:cstheme="minorHAnsi"/>
          <w:lang w:val="en-MY" w:eastAsia="en-AU"/>
        </w:rPr>
        <w:t>load of 12 adult clients is exceeded</w:t>
      </w:r>
      <w:r w:rsidR="00636EE8">
        <w:rPr>
          <w:rFonts w:cstheme="minorHAnsi"/>
          <w:lang w:val="en-MY" w:eastAsia="en-AU"/>
        </w:rPr>
        <w:t xml:space="preserve"> </w:t>
      </w:r>
      <w:r w:rsidR="00F35BA6">
        <w:rPr>
          <w:rFonts w:cstheme="minorHAnsi"/>
          <w:lang w:val="en-MY" w:eastAsia="en-AU"/>
        </w:rPr>
        <w:t>for only one service</w:t>
      </w:r>
      <w:r w:rsidR="00DA110D">
        <w:rPr>
          <w:rFonts w:cstheme="minorHAnsi"/>
          <w:lang w:val="en-MY" w:eastAsia="en-AU"/>
        </w:rPr>
        <w:t xml:space="preserve">, </w:t>
      </w:r>
      <w:r w:rsidR="00F35BA6">
        <w:rPr>
          <w:rFonts w:cstheme="minorHAnsi"/>
          <w:lang w:val="en-MY" w:eastAsia="en-AU"/>
        </w:rPr>
        <w:t>while the case</w:t>
      </w:r>
      <w:r w:rsidR="00694565">
        <w:rPr>
          <w:rFonts w:cstheme="minorHAnsi"/>
          <w:lang w:val="en-MY" w:eastAsia="en-AU"/>
        </w:rPr>
        <w:t>-</w:t>
      </w:r>
      <w:r w:rsidR="00F35BA6">
        <w:rPr>
          <w:rFonts w:cstheme="minorHAnsi"/>
          <w:lang w:val="en-MY" w:eastAsia="en-AU"/>
        </w:rPr>
        <w:t xml:space="preserve">loads for all YTC services approximate the recommended level. </w:t>
      </w:r>
    </w:p>
    <w:p w14:paraId="3B07A948" w14:textId="77777777" w:rsidR="00F35BA6" w:rsidRDefault="00F35BA6" w:rsidP="00116F1D">
      <w:pPr>
        <w:jc w:val="both"/>
        <w:rPr>
          <w:rFonts w:cstheme="minorHAnsi"/>
          <w:lang w:val="en-MY" w:eastAsia="en-AU"/>
        </w:rPr>
      </w:pPr>
    </w:p>
    <w:p w14:paraId="19A50BE3" w14:textId="4F28C339" w:rsidR="00A322A0" w:rsidRPr="00B21295" w:rsidRDefault="00F35BA6" w:rsidP="00116F1D">
      <w:pPr>
        <w:jc w:val="both"/>
        <w:rPr>
          <w:rFonts w:cstheme="minorHAnsi"/>
          <w:lang w:val="en-MY" w:eastAsia="en-AU"/>
        </w:rPr>
      </w:pPr>
      <w:r w:rsidRPr="00B21295">
        <w:rPr>
          <w:rFonts w:cstheme="minorHAnsi"/>
          <w:lang w:val="en-MY" w:eastAsia="en-AU"/>
        </w:rPr>
        <w:t>Without dismissing the claims of case</w:t>
      </w:r>
      <w:r w:rsidR="00694565">
        <w:rPr>
          <w:rFonts w:cstheme="minorHAnsi"/>
          <w:lang w:val="en-MY" w:eastAsia="en-AU"/>
        </w:rPr>
        <w:t xml:space="preserve"> </w:t>
      </w:r>
      <w:r w:rsidRPr="00B21295">
        <w:rPr>
          <w:rFonts w:cstheme="minorHAnsi"/>
          <w:lang w:val="en-MY" w:eastAsia="en-AU"/>
        </w:rPr>
        <w:t>workers, t</w:t>
      </w:r>
      <w:r w:rsidR="00AB3E3A" w:rsidRPr="00B21295">
        <w:rPr>
          <w:rFonts w:cstheme="minorHAnsi"/>
          <w:lang w:val="en-MY" w:eastAsia="en-AU"/>
        </w:rPr>
        <w:t>here are many reasons why these ratios might legitimately vary between and within services, including the number of new clients on active case</w:t>
      </w:r>
      <w:r w:rsidR="00694565">
        <w:rPr>
          <w:rFonts w:cstheme="minorHAnsi"/>
          <w:lang w:val="en-MY" w:eastAsia="en-AU"/>
        </w:rPr>
        <w:t>-</w:t>
      </w:r>
      <w:r w:rsidR="00AB3E3A" w:rsidRPr="00B21295">
        <w:rPr>
          <w:rFonts w:cstheme="minorHAnsi"/>
          <w:lang w:val="en-MY" w:eastAsia="en-AU"/>
        </w:rPr>
        <w:t>loads, the geography of a region, and the complexity of client needs (noting several ATC funded services also service youth clients, which may reduce client ratios).</w:t>
      </w:r>
      <w:r w:rsidRPr="00B21295">
        <w:rPr>
          <w:rFonts w:cstheme="minorHAnsi"/>
          <w:lang w:val="en-MY" w:eastAsia="en-AU"/>
        </w:rPr>
        <w:t xml:space="preserve"> </w:t>
      </w:r>
      <w:r w:rsidR="00116F1D" w:rsidRPr="00B21295">
        <w:rPr>
          <w:rFonts w:cstheme="minorHAnsi"/>
          <w:lang w:val="en-MY" w:eastAsia="en-AU"/>
        </w:rPr>
        <w:t>According to interviews with correctional services, this can be attributed to unbalanced case</w:t>
      </w:r>
      <w:r w:rsidR="00694565">
        <w:rPr>
          <w:rFonts w:cstheme="minorHAnsi"/>
          <w:lang w:val="en-MY" w:eastAsia="en-AU"/>
        </w:rPr>
        <w:t>-</w:t>
      </w:r>
      <w:r w:rsidR="00116F1D" w:rsidRPr="00B21295">
        <w:rPr>
          <w:rFonts w:cstheme="minorHAnsi"/>
          <w:lang w:val="en-MY" w:eastAsia="en-AU"/>
        </w:rPr>
        <w:t>loads, with too few active cases managed in prison</w:t>
      </w:r>
      <w:r w:rsidRPr="00B21295">
        <w:rPr>
          <w:rFonts w:cstheme="minorHAnsi"/>
          <w:lang w:val="en-MY" w:eastAsia="en-AU"/>
        </w:rPr>
        <w:t xml:space="preserve"> as well as </w:t>
      </w:r>
      <w:r w:rsidR="00116F1D" w:rsidRPr="00B21295">
        <w:rPr>
          <w:rFonts w:cstheme="minorHAnsi"/>
          <w:lang w:val="en-MY" w:eastAsia="en-AU"/>
        </w:rPr>
        <w:t>case</w:t>
      </w:r>
      <w:r w:rsidR="00694565">
        <w:rPr>
          <w:rFonts w:cstheme="minorHAnsi"/>
          <w:lang w:val="en-MY" w:eastAsia="en-AU"/>
        </w:rPr>
        <w:t xml:space="preserve"> </w:t>
      </w:r>
      <w:r w:rsidR="00116F1D" w:rsidRPr="00B21295">
        <w:rPr>
          <w:rFonts w:cstheme="minorHAnsi"/>
          <w:lang w:val="en-MY" w:eastAsia="en-AU"/>
        </w:rPr>
        <w:t>workers servicing too large a region.</w:t>
      </w:r>
      <w:r w:rsidR="00636EE8" w:rsidRPr="00B21295">
        <w:rPr>
          <w:rFonts w:cstheme="minorHAnsi"/>
          <w:lang w:val="en-MY" w:eastAsia="en-AU"/>
        </w:rPr>
        <w:t xml:space="preserve"> Whether a case worker felt they were managing a balanced case</w:t>
      </w:r>
      <w:r w:rsidR="00694565">
        <w:rPr>
          <w:rFonts w:cstheme="minorHAnsi"/>
          <w:lang w:val="en-MY" w:eastAsia="en-AU"/>
        </w:rPr>
        <w:t>-</w:t>
      </w:r>
      <w:r w:rsidR="00636EE8" w:rsidRPr="00B21295">
        <w:rPr>
          <w:rFonts w:cstheme="minorHAnsi"/>
          <w:lang w:val="en-MY" w:eastAsia="en-AU"/>
        </w:rPr>
        <w:t xml:space="preserve">load in terms of managing clients at various pre- and post-release stages and of varying individual complexity was mixed, noting not all providers deliver pre-release services or have the benefit of an in-depth client pre-assessment prior to accepting a referral. </w:t>
      </w:r>
    </w:p>
    <w:p w14:paraId="2F2619ED" w14:textId="77777777" w:rsidR="00BC60FA" w:rsidRPr="00B21295" w:rsidRDefault="00BC60FA" w:rsidP="00116F1D">
      <w:pPr>
        <w:jc w:val="both"/>
        <w:rPr>
          <w:rFonts w:cstheme="minorHAnsi"/>
          <w:lang w:val="en-MY" w:eastAsia="en-AU"/>
        </w:rPr>
      </w:pPr>
    </w:p>
    <w:p w14:paraId="5ADE1801" w14:textId="7064C484" w:rsidR="00DF29D3" w:rsidRDefault="007F6281" w:rsidP="007F6281">
      <w:pPr>
        <w:jc w:val="both"/>
        <w:rPr>
          <w:rFonts w:cstheme="minorHAnsi"/>
          <w:lang w:val="en-MY" w:eastAsia="en-AU"/>
        </w:rPr>
      </w:pPr>
      <w:r w:rsidRPr="00B21295">
        <w:rPr>
          <w:rFonts w:cstheme="minorHAnsi"/>
          <w:lang w:val="en-MY" w:eastAsia="en-AU"/>
        </w:rPr>
        <w:t>Case workers in regional and remote locations frequently commented on the time pressures placed on them</w:t>
      </w:r>
      <w:r w:rsidRPr="001A64BA">
        <w:rPr>
          <w:rFonts w:cstheme="minorHAnsi"/>
          <w:lang w:val="en-MY" w:eastAsia="en-AU"/>
        </w:rPr>
        <w:t xml:space="preserve"> when required to transport clients long distances to attend appointments as part of their parole requirements. While conscious of the potential for this use of time to be perceived as inefficient (given the long distances travelled for sometimes short appointments) such tasks were also regarded as an opportunity for client mentoring, as well as being essential support to ensure parole orders are met. Other time spent transporting clients or providing transactional services for arguably less critical requirements (for example, grocery or clothes shopping) was considered to be something of a grey area, with some case workers seeing this as an equally essential service (despite otherwise claiming to be under resourced) and others actively avoiding such favours to </w:t>
      </w:r>
      <w:r>
        <w:rPr>
          <w:rFonts w:cstheme="minorHAnsi"/>
          <w:lang w:val="en-MY" w:eastAsia="en-AU"/>
        </w:rPr>
        <w:t xml:space="preserve">prevent themselves </w:t>
      </w:r>
      <w:r w:rsidRPr="001A64BA">
        <w:rPr>
          <w:rFonts w:cstheme="minorHAnsi"/>
          <w:lang w:val="en-MY" w:eastAsia="en-AU"/>
        </w:rPr>
        <w:t xml:space="preserve">being labelled a “taxi service”. </w:t>
      </w:r>
    </w:p>
    <w:p w14:paraId="342134D5" w14:textId="77777777" w:rsidR="00852AC9" w:rsidRDefault="00852AC9" w:rsidP="007F6281">
      <w:pPr>
        <w:jc w:val="both"/>
        <w:rPr>
          <w:rFonts w:cstheme="minorHAnsi"/>
          <w:lang w:val="en-MY" w:eastAsia="en-AU"/>
        </w:rPr>
      </w:pPr>
    </w:p>
    <w:p w14:paraId="0EA93777" w14:textId="4D10969C" w:rsidR="00852AC9" w:rsidRDefault="00852AC9" w:rsidP="00852AC9">
      <w:pPr>
        <w:jc w:val="both"/>
        <w:rPr>
          <w:rFonts w:cstheme="minorHAnsi"/>
          <w:lang w:val="en-MY" w:eastAsia="en-AU"/>
        </w:rPr>
      </w:pPr>
      <w:r>
        <w:rPr>
          <w:rFonts w:cstheme="minorHAnsi"/>
          <w:lang w:val="en-MY" w:eastAsia="en-AU"/>
        </w:rPr>
        <w:t xml:space="preserve">Data regarding the number of </w:t>
      </w:r>
      <w:r w:rsidRPr="00B1490C">
        <w:rPr>
          <w:rFonts w:cstheme="minorHAnsi"/>
          <w:lang w:val="en-MY" w:eastAsia="en-AU"/>
        </w:rPr>
        <w:t>returning and new clients</w:t>
      </w:r>
      <w:r>
        <w:rPr>
          <w:rFonts w:cstheme="minorHAnsi"/>
          <w:lang w:val="en-MY" w:eastAsia="en-AU"/>
        </w:rPr>
        <w:t xml:space="preserve"> is also revealing (see table below). </w:t>
      </w:r>
      <w:r w:rsidRPr="00B1490C">
        <w:rPr>
          <w:rFonts w:cstheme="minorHAnsi"/>
          <w:lang w:val="en-MY" w:eastAsia="en-AU"/>
        </w:rPr>
        <w:t>According to the service data provided, in the period from July 20</w:t>
      </w:r>
      <w:r w:rsidR="002A68DB">
        <w:rPr>
          <w:rFonts w:cstheme="minorHAnsi"/>
          <w:lang w:val="en-MY" w:eastAsia="en-AU"/>
        </w:rPr>
        <w:t>19</w:t>
      </w:r>
      <w:r w:rsidRPr="00B1490C">
        <w:rPr>
          <w:rFonts w:cstheme="minorHAnsi"/>
          <w:lang w:val="en-MY" w:eastAsia="en-AU"/>
        </w:rPr>
        <w:t xml:space="preserve"> to December 2022, </w:t>
      </w:r>
      <w:r>
        <w:rPr>
          <w:rFonts w:cstheme="minorHAnsi"/>
          <w:lang w:val="en-MY" w:eastAsia="en-AU"/>
        </w:rPr>
        <w:t xml:space="preserve">the </w:t>
      </w:r>
      <w:r w:rsidRPr="00B1490C">
        <w:rPr>
          <w:rFonts w:cstheme="minorHAnsi"/>
          <w:lang w:val="en-MY" w:eastAsia="en-AU"/>
        </w:rPr>
        <w:t xml:space="preserve">ATC </w:t>
      </w:r>
      <w:r>
        <w:rPr>
          <w:rFonts w:cstheme="minorHAnsi"/>
          <w:lang w:val="en-MY" w:eastAsia="en-AU"/>
        </w:rPr>
        <w:t xml:space="preserve">program </w:t>
      </w:r>
      <w:r w:rsidRPr="00B1490C">
        <w:rPr>
          <w:rFonts w:cstheme="minorHAnsi"/>
          <w:lang w:val="en-MY" w:eastAsia="en-AU"/>
        </w:rPr>
        <w:t xml:space="preserve">supported a total of </w:t>
      </w:r>
      <w:r>
        <w:rPr>
          <w:rFonts w:cstheme="minorHAnsi"/>
          <w:lang w:val="en-MY" w:eastAsia="en-AU"/>
        </w:rPr>
        <w:t>744</w:t>
      </w:r>
      <w:r w:rsidRPr="00B1490C">
        <w:rPr>
          <w:rFonts w:cstheme="minorHAnsi"/>
          <w:lang w:val="en-MY" w:eastAsia="en-AU"/>
        </w:rPr>
        <w:t xml:space="preserve"> new clients and </w:t>
      </w:r>
      <w:r>
        <w:rPr>
          <w:rFonts w:cstheme="minorHAnsi"/>
          <w:lang w:val="en-MY" w:eastAsia="en-AU"/>
        </w:rPr>
        <w:t>649</w:t>
      </w:r>
      <w:r w:rsidRPr="00B1490C">
        <w:rPr>
          <w:rFonts w:cstheme="minorHAnsi"/>
          <w:lang w:val="en-MY" w:eastAsia="en-AU"/>
        </w:rPr>
        <w:t xml:space="preserve"> returning clients who had re-engaged with the</w:t>
      </w:r>
      <w:r>
        <w:rPr>
          <w:rFonts w:cstheme="minorHAnsi"/>
          <w:lang w:val="en-MY" w:eastAsia="en-AU"/>
        </w:rPr>
        <w:t xml:space="preserve"> program</w:t>
      </w:r>
      <w:r w:rsidRPr="00B1490C">
        <w:rPr>
          <w:rFonts w:cstheme="minorHAnsi"/>
          <w:lang w:val="en-MY" w:eastAsia="en-AU"/>
        </w:rPr>
        <w:t>.</w:t>
      </w:r>
      <w:r>
        <w:rPr>
          <w:rFonts w:cstheme="minorHAnsi"/>
          <w:lang w:val="en-MY" w:eastAsia="en-AU"/>
        </w:rPr>
        <w:t xml:space="preserve"> </w:t>
      </w:r>
      <w:r w:rsidRPr="00A8060A">
        <w:rPr>
          <w:rFonts w:cstheme="minorHAnsi"/>
          <w:lang w:val="en-MY" w:eastAsia="en-AU"/>
        </w:rPr>
        <w:t xml:space="preserve">The YTC supported a total of </w:t>
      </w:r>
      <w:r>
        <w:rPr>
          <w:rFonts w:cstheme="minorHAnsi"/>
          <w:lang w:val="en-MY" w:eastAsia="en-AU"/>
        </w:rPr>
        <w:t>79</w:t>
      </w:r>
      <w:r w:rsidRPr="00A8060A">
        <w:rPr>
          <w:rFonts w:cstheme="minorHAnsi"/>
          <w:lang w:val="en-MY" w:eastAsia="en-AU"/>
        </w:rPr>
        <w:t xml:space="preserve"> new clients and </w:t>
      </w:r>
      <w:r>
        <w:rPr>
          <w:rFonts w:cstheme="minorHAnsi"/>
          <w:lang w:val="en-MY" w:eastAsia="en-AU"/>
        </w:rPr>
        <w:t>15</w:t>
      </w:r>
      <w:r w:rsidRPr="00A8060A">
        <w:rPr>
          <w:rFonts w:cstheme="minorHAnsi"/>
          <w:lang w:val="en-MY" w:eastAsia="en-AU"/>
        </w:rPr>
        <w:t xml:space="preserve"> returning clients who had re-engaged with the program.</w:t>
      </w:r>
      <w:r w:rsidRPr="00A8060A">
        <w:rPr>
          <w:rFonts w:cstheme="minorHAnsi"/>
          <w:vertAlign w:val="superscript"/>
          <w:lang w:val="en-MY" w:eastAsia="en-AU"/>
        </w:rPr>
        <w:footnoteReference w:id="94"/>
      </w:r>
      <w:r w:rsidRPr="00A8060A">
        <w:rPr>
          <w:rFonts w:cstheme="minorHAnsi"/>
          <w:lang w:val="en-MY" w:eastAsia="en-AU"/>
        </w:rPr>
        <w:t xml:space="preserve"> </w:t>
      </w:r>
    </w:p>
    <w:p w14:paraId="286E9F73" w14:textId="77777777" w:rsidR="00852AC9" w:rsidRDefault="00852AC9" w:rsidP="00852AC9">
      <w:pPr>
        <w:jc w:val="both"/>
        <w:rPr>
          <w:rFonts w:cstheme="minorHAnsi"/>
          <w:lang w:val="en-MY" w:eastAsia="en-AU"/>
        </w:rPr>
      </w:pPr>
    </w:p>
    <w:p w14:paraId="0E8C9F7A" w14:textId="5B07B7E9" w:rsidR="00852AC9" w:rsidRDefault="00852AC9" w:rsidP="00852AC9">
      <w:pPr>
        <w:jc w:val="both"/>
        <w:rPr>
          <w:rFonts w:cstheme="minorHAnsi"/>
          <w:lang w:val="en-MY" w:eastAsia="en-AU"/>
        </w:rPr>
      </w:pPr>
      <w:r>
        <w:rPr>
          <w:rFonts w:cstheme="minorHAnsi"/>
          <w:lang w:val="en-MY" w:eastAsia="en-AU"/>
        </w:rPr>
        <w:t xml:space="preserve">While </w:t>
      </w:r>
      <w:r w:rsidR="007C4A1D">
        <w:rPr>
          <w:rFonts w:cstheme="minorHAnsi"/>
          <w:lang w:val="en-MY" w:eastAsia="en-AU"/>
        </w:rPr>
        <w:t xml:space="preserve">this </w:t>
      </w:r>
      <w:r>
        <w:rPr>
          <w:rFonts w:cstheme="minorHAnsi"/>
          <w:lang w:val="en-MY" w:eastAsia="en-AU"/>
        </w:rPr>
        <w:t>data is also limited in availability and quality, and must similarly be interpreted with caution,</w:t>
      </w:r>
      <w:r>
        <w:rPr>
          <w:rStyle w:val="FootnoteReference"/>
          <w:rFonts w:cstheme="minorHAnsi"/>
          <w:lang w:val="en-MY" w:eastAsia="en-AU"/>
        </w:rPr>
        <w:footnoteReference w:id="95"/>
      </w:r>
      <w:r>
        <w:rPr>
          <w:rFonts w:cstheme="minorHAnsi"/>
          <w:lang w:val="en-MY" w:eastAsia="en-AU"/>
        </w:rPr>
        <w:t xml:space="preserve"> the large variance in the numbers of new and returning clients reported – which exceeds </w:t>
      </w:r>
      <w:r w:rsidRPr="00B201D8">
        <w:rPr>
          <w:rFonts w:cstheme="minorHAnsi"/>
          <w:lang w:val="en-MY" w:eastAsia="en-AU"/>
        </w:rPr>
        <w:t xml:space="preserve">the total number of active clients </w:t>
      </w:r>
      <w:r>
        <w:rPr>
          <w:rFonts w:cstheme="minorHAnsi"/>
          <w:lang w:val="en-MY" w:eastAsia="en-AU"/>
        </w:rPr>
        <w:t xml:space="preserve">reported over the same period – </w:t>
      </w:r>
      <w:r w:rsidRPr="00A8060A">
        <w:rPr>
          <w:rFonts w:cstheme="minorHAnsi"/>
          <w:lang w:val="en-MY" w:eastAsia="en-AU"/>
        </w:rPr>
        <w:t>correlate</w:t>
      </w:r>
      <w:r>
        <w:rPr>
          <w:rFonts w:cstheme="minorHAnsi"/>
          <w:lang w:val="en-MY" w:eastAsia="en-AU"/>
        </w:rPr>
        <w:t>s broadly with evidence from interviews with case</w:t>
      </w:r>
      <w:r w:rsidR="00694565">
        <w:rPr>
          <w:rFonts w:cstheme="minorHAnsi"/>
          <w:lang w:val="en-MY" w:eastAsia="en-AU"/>
        </w:rPr>
        <w:t xml:space="preserve"> </w:t>
      </w:r>
      <w:r>
        <w:rPr>
          <w:rFonts w:cstheme="minorHAnsi"/>
          <w:lang w:val="en-MY" w:eastAsia="en-AU"/>
        </w:rPr>
        <w:t xml:space="preserve">workers and managers regarding the </w:t>
      </w:r>
      <w:r w:rsidR="00AD3818">
        <w:rPr>
          <w:rFonts w:cstheme="minorHAnsi"/>
          <w:lang w:val="en-MY" w:eastAsia="en-AU"/>
        </w:rPr>
        <w:t xml:space="preserve">extended </w:t>
      </w:r>
      <w:r>
        <w:rPr>
          <w:rFonts w:cstheme="minorHAnsi"/>
          <w:lang w:val="en-MY" w:eastAsia="en-AU"/>
        </w:rPr>
        <w:t>length of time an individual can often remain with a service over cycles of re-offending, and the frequent practice of re-logging an existing client as ‘new’ following the initial 18 month post-release period, or after a change in case</w:t>
      </w:r>
      <w:r w:rsidR="00694565">
        <w:rPr>
          <w:rFonts w:cstheme="minorHAnsi"/>
          <w:lang w:val="en-MY" w:eastAsia="en-AU"/>
        </w:rPr>
        <w:t xml:space="preserve"> </w:t>
      </w:r>
      <w:r>
        <w:rPr>
          <w:rFonts w:cstheme="minorHAnsi"/>
          <w:lang w:val="en-MY" w:eastAsia="en-AU"/>
        </w:rPr>
        <w:t xml:space="preserve">worker. </w:t>
      </w:r>
    </w:p>
    <w:p w14:paraId="2B31C6DF" w14:textId="77777777" w:rsidR="00024565" w:rsidRDefault="00024565" w:rsidP="00A322A0">
      <w:pPr>
        <w:rPr>
          <w:rFonts w:cstheme="minorHAnsi"/>
          <w:lang w:val="en-MY" w:eastAsia="en-AU"/>
        </w:rPr>
      </w:pPr>
    </w:p>
    <w:p w14:paraId="0EE40896" w14:textId="77777777" w:rsidR="00745F83" w:rsidRDefault="00745F83" w:rsidP="00A322A0">
      <w:pPr>
        <w:rPr>
          <w:rFonts w:cstheme="minorHAnsi"/>
          <w:lang w:val="en-MY" w:eastAsia="en-AU"/>
        </w:rPr>
      </w:pPr>
    </w:p>
    <w:p w14:paraId="30C231FA" w14:textId="77777777" w:rsidR="00745F83" w:rsidRDefault="00745F83" w:rsidP="00A322A0">
      <w:pPr>
        <w:rPr>
          <w:rFonts w:cstheme="minorHAnsi"/>
          <w:lang w:val="en-MY" w:eastAsia="en-AU"/>
        </w:rPr>
      </w:pPr>
    </w:p>
    <w:p w14:paraId="27AE0831" w14:textId="77777777" w:rsidR="00745F83" w:rsidRDefault="00745F83" w:rsidP="00A322A0">
      <w:pPr>
        <w:rPr>
          <w:rFonts w:cstheme="minorHAnsi"/>
          <w:lang w:val="en-MY" w:eastAsia="en-AU"/>
        </w:rPr>
      </w:pPr>
    </w:p>
    <w:p w14:paraId="0A818EF2" w14:textId="77777777" w:rsidR="00745F83" w:rsidRDefault="00745F83" w:rsidP="00A322A0">
      <w:pPr>
        <w:rPr>
          <w:rFonts w:cstheme="minorHAnsi"/>
          <w:lang w:val="en-MY" w:eastAsia="en-AU"/>
        </w:rPr>
      </w:pPr>
    </w:p>
    <w:p w14:paraId="1920BB5D" w14:textId="77777777" w:rsidR="00745F83" w:rsidRDefault="00745F83" w:rsidP="00A322A0">
      <w:pPr>
        <w:rPr>
          <w:rFonts w:cstheme="minorHAnsi"/>
          <w:lang w:val="en-MY" w:eastAsia="en-AU"/>
        </w:rPr>
      </w:pPr>
    </w:p>
    <w:p w14:paraId="538F50CD" w14:textId="77777777" w:rsidR="00745F83" w:rsidRDefault="00745F83" w:rsidP="00A322A0">
      <w:pPr>
        <w:rPr>
          <w:rFonts w:cstheme="minorHAnsi"/>
          <w:lang w:val="en-MY" w:eastAsia="en-AU"/>
        </w:rPr>
      </w:pPr>
    </w:p>
    <w:p w14:paraId="0D50D02A" w14:textId="77777777" w:rsidR="00745F83" w:rsidRDefault="00745F83" w:rsidP="00A322A0">
      <w:pPr>
        <w:rPr>
          <w:rFonts w:cstheme="minorHAnsi"/>
          <w:lang w:val="en-MY" w:eastAsia="en-AU"/>
        </w:rPr>
      </w:pPr>
    </w:p>
    <w:p w14:paraId="14196DB1" w14:textId="77777777" w:rsidR="00745F83" w:rsidRDefault="00745F83" w:rsidP="00A322A0">
      <w:pPr>
        <w:rPr>
          <w:rFonts w:cstheme="minorHAnsi"/>
          <w:lang w:val="en-MY" w:eastAsia="en-AU"/>
        </w:rPr>
      </w:pPr>
    </w:p>
    <w:p w14:paraId="2C69A14B" w14:textId="77777777" w:rsidR="00745F83" w:rsidRDefault="00745F83" w:rsidP="00A322A0">
      <w:pPr>
        <w:rPr>
          <w:rFonts w:cstheme="minorHAnsi"/>
          <w:lang w:val="en-MY" w:eastAsia="en-AU"/>
        </w:rPr>
      </w:pPr>
    </w:p>
    <w:p w14:paraId="7CED855B" w14:textId="77777777" w:rsidR="00745F83" w:rsidRDefault="00745F83" w:rsidP="00A322A0">
      <w:pPr>
        <w:rPr>
          <w:rFonts w:cstheme="minorHAnsi"/>
          <w:lang w:val="en-MY" w:eastAsia="en-AU"/>
        </w:rPr>
      </w:pPr>
    </w:p>
    <w:p w14:paraId="37E17A36" w14:textId="77777777" w:rsidR="00024565" w:rsidRDefault="00024565" w:rsidP="00A322A0">
      <w:pPr>
        <w:rPr>
          <w:rFonts w:cstheme="minorHAnsi"/>
          <w:lang w:val="en-MY" w:eastAsia="en-AU"/>
        </w:rPr>
      </w:pPr>
    </w:p>
    <w:p w14:paraId="4D468105" w14:textId="109769C4" w:rsidR="00A322A0" w:rsidRDefault="00A322A0" w:rsidP="00A322A0">
      <w:pPr>
        <w:rPr>
          <w:rStyle w:val="eop"/>
          <w:rFonts w:ascii="Calibri" w:hAnsi="Calibri" w:cs="Calibri"/>
          <w:i/>
          <w:iCs/>
          <w:color w:val="44546A"/>
          <w:sz w:val="18"/>
          <w:szCs w:val="18"/>
        </w:rPr>
      </w:pPr>
      <w:r w:rsidRPr="00537EC2">
        <w:rPr>
          <w:rFonts w:cstheme="minorHAnsi"/>
          <w:i/>
          <w:iCs/>
          <w:color w:val="1F497D" w:themeColor="text2"/>
          <w:sz w:val="20"/>
          <w:szCs w:val="20"/>
        </w:rPr>
        <w:t xml:space="preserve">Table </w:t>
      </w:r>
      <w:r w:rsidR="00691792">
        <w:rPr>
          <w:rFonts w:cstheme="minorHAnsi"/>
          <w:i/>
          <w:iCs/>
          <w:color w:val="1F497D" w:themeColor="text2"/>
          <w:sz w:val="20"/>
          <w:szCs w:val="20"/>
        </w:rPr>
        <w:t>6</w:t>
      </w:r>
      <w:r w:rsidRPr="00537EC2">
        <w:rPr>
          <w:rFonts w:cstheme="minorHAnsi"/>
          <w:i/>
          <w:iCs/>
          <w:color w:val="1F497D" w:themeColor="text2"/>
          <w:sz w:val="20"/>
          <w:szCs w:val="20"/>
        </w:rPr>
        <w:t xml:space="preserve"> –</w:t>
      </w:r>
      <w:r w:rsidR="00691792">
        <w:rPr>
          <w:rFonts w:cstheme="minorHAnsi"/>
          <w:i/>
          <w:iCs/>
          <w:color w:val="1F497D" w:themeColor="text2"/>
          <w:sz w:val="20"/>
          <w:szCs w:val="20"/>
        </w:rPr>
        <w:t xml:space="preserve"> </w:t>
      </w:r>
      <w:r>
        <w:rPr>
          <w:rFonts w:cstheme="minorHAnsi"/>
          <w:i/>
          <w:iCs/>
          <w:color w:val="1F497D" w:themeColor="text2"/>
          <w:sz w:val="20"/>
          <w:szCs w:val="20"/>
        </w:rPr>
        <w:t xml:space="preserve">Number of New and Returning Clients by </w:t>
      </w:r>
      <w:r w:rsidR="00691792">
        <w:rPr>
          <w:rFonts w:cstheme="minorHAnsi"/>
          <w:i/>
          <w:iCs/>
          <w:color w:val="1F497D" w:themeColor="text2"/>
          <w:sz w:val="20"/>
          <w:szCs w:val="20"/>
        </w:rPr>
        <w:t xml:space="preserve">Service </w:t>
      </w:r>
      <w:r>
        <w:rPr>
          <w:rFonts w:cstheme="minorHAnsi"/>
          <w:i/>
          <w:iCs/>
          <w:color w:val="1F497D" w:themeColor="text2"/>
          <w:sz w:val="20"/>
          <w:szCs w:val="20"/>
        </w:rPr>
        <w:t>Provider (July 20</w:t>
      </w:r>
      <w:r w:rsidR="002A68DB">
        <w:rPr>
          <w:rFonts w:cstheme="minorHAnsi"/>
          <w:i/>
          <w:iCs/>
          <w:color w:val="1F497D" w:themeColor="text2"/>
          <w:sz w:val="20"/>
          <w:szCs w:val="20"/>
        </w:rPr>
        <w:t>19</w:t>
      </w:r>
      <w:r>
        <w:rPr>
          <w:rFonts w:cstheme="minorHAnsi"/>
          <w:i/>
          <w:iCs/>
          <w:color w:val="1F497D" w:themeColor="text2"/>
          <w:sz w:val="20"/>
          <w:szCs w:val="20"/>
        </w:rPr>
        <w:t xml:space="preserve"> to December 2022)</w:t>
      </w:r>
    </w:p>
    <w:p w14:paraId="24D07875" w14:textId="77777777" w:rsidR="00A322A0" w:rsidRPr="0077533B" w:rsidRDefault="00A322A0" w:rsidP="00A322A0">
      <w:pPr>
        <w:rPr>
          <w:rFonts w:ascii="Calibri" w:hAnsi="Calibri" w:cs="Calibri"/>
          <w:i/>
          <w:iCs/>
          <w:color w:val="44546A"/>
          <w:sz w:val="14"/>
          <w:szCs w:val="14"/>
          <w:vertAlign w:val="superscript"/>
        </w:rPr>
      </w:pPr>
    </w:p>
    <w:tbl>
      <w:tblPr>
        <w:tblStyle w:val="GridTable1Light-Accent1"/>
        <w:tblW w:w="9060" w:type="dxa"/>
        <w:tblLook w:val="04A0" w:firstRow="1" w:lastRow="0" w:firstColumn="1" w:lastColumn="0" w:noHBand="0" w:noVBand="1"/>
        <w:tblCaption w:val="Table 6"/>
        <w:tblDescription w:val="Data on: number of new clients and numbers of returning clients for both adult and youth through care programs.  Data listed for each of the 9 providers."/>
      </w:tblPr>
      <w:tblGrid>
        <w:gridCol w:w="1510"/>
        <w:gridCol w:w="1962"/>
        <w:gridCol w:w="2026"/>
        <w:gridCol w:w="1781"/>
        <w:gridCol w:w="1781"/>
      </w:tblGrid>
      <w:tr w:rsidR="00A322A0" w:rsidRPr="0077533B" w14:paraId="371D7290" w14:textId="77777777" w:rsidTr="004772A2">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6CA9D999" w14:textId="77777777" w:rsidR="00A322A0" w:rsidRPr="00FA5D3E" w:rsidRDefault="00A322A0" w:rsidP="004772A2">
            <w:pPr>
              <w:pStyle w:val="Heading7"/>
            </w:pPr>
            <w:r w:rsidRPr="00FA5D3E">
              <w:rPr>
                <w:rStyle w:val="normaltextrun"/>
                <w:rFonts w:ascii="Calibri" w:hAnsi="Calibri" w:cs="Calibri"/>
                <w:color w:val="000000" w:themeColor="text1"/>
                <w:sz w:val="20"/>
                <w:szCs w:val="20"/>
              </w:rPr>
              <w:t>Provider</w:t>
            </w:r>
          </w:p>
        </w:tc>
        <w:tc>
          <w:tcPr>
            <w:tcW w:w="1962" w:type="dxa"/>
            <w:vAlign w:val="center"/>
            <w:hideMark/>
          </w:tcPr>
          <w:p w14:paraId="4B0DAC28" w14:textId="77777777" w:rsidR="00A322A0" w:rsidRPr="00FA5D3E" w:rsidRDefault="00A322A0" w:rsidP="004772A2">
            <w:pPr>
              <w:pStyle w:val="Heading7"/>
              <w:cnfStyle w:val="100000000000" w:firstRow="1" w:lastRow="0" w:firstColumn="0" w:lastColumn="0" w:oddVBand="0" w:evenVBand="0" w:oddHBand="0" w:evenHBand="0" w:firstRowFirstColumn="0" w:firstRowLastColumn="0" w:lastRowFirstColumn="0" w:lastRowLastColumn="0"/>
            </w:pPr>
            <w:r>
              <w:rPr>
                <w:rStyle w:val="normaltextrun"/>
                <w:rFonts w:ascii="Calibri" w:hAnsi="Calibri" w:cs="Calibri"/>
                <w:color w:val="000000" w:themeColor="text1"/>
                <w:sz w:val="20"/>
                <w:szCs w:val="20"/>
              </w:rPr>
              <w:t xml:space="preserve">No. </w:t>
            </w:r>
            <w:r w:rsidRPr="00FA5D3E">
              <w:rPr>
                <w:rStyle w:val="normaltextrun"/>
                <w:rFonts w:ascii="Calibri" w:hAnsi="Calibri" w:cs="Calibri"/>
                <w:color w:val="000000" w:themeColor="text1"/>
                <w:sz w:val="20"/>
                <w:szCs w:val="20"/>
              </w:rPr>
              <w:t>of</w:t>
            </w:r>
            <w:r>
              <w:rPr>
                <w:rStyle w:val="normaltextrun"/>
                <w:rFonts w:ascii="Calibri" w:hAnsi="Calibri" w:cs="Calibri"/>
                <w:color w:val="000000" w:themeColor="text1"/>
                <w:sz w:val="20"/>
                <w:szCs w:val="20"/>
              </w:rPr>
              <w:t xml:space="preserve"> New ATC </w:t>
            </w:r>
            <w:r w:rsidRPr="00FA5D3E">
              <w:rPr>
                <w:rStyle w:val="normaltextrun"/>
                <w:rFonts w:ascii="Calibri" w:hAnsi="Calibri" w:cs="Calibri"/>
                <w:color w:val="000000" w:themeColor="text1"/>
                <w:sz w:val="20"/>
                <w:szCs w:val="20"/>
              </w:rPr>
              <w:t xml:space="preserve">clients </w:t>
            </w:r>
          </w:p>
        </w:tc>
        <w:tc>
          <w:tcPr>
            <w:tcW w:w="2026" w:type="dxa"/>
          </w:tcPr>
          <w:p w14:paraId="669251D2" w14:textId="77777777" w:rsidR="00A322A0" w:rsidRPr="00FA5D3E" w:rsidRDefault="00A322A0" w:rsidP="004772A2">
            <w:pPr>
              <w:pStyle w:val="Heading7"/>
              <w:cnfStyle w:val="100000000000" w:firstRow="1"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Pr>
                <w:rStyle w:val="normaltextrun"/>
                <w:rFonts w:ascii="Calibri" w:hAnsi="Calibri" w:cs="Calibri"/>
                <w:color w:val="000000" w:themeColor="text1"/>
                <w:sz w:val="20"/>
                <w:szCs w:val="20"/>
              </w:rPr>
              <w:t xml:space="preserve">No. </w:t>
            </w:r>
            <w:r w:rsidRPr="00FA5D3E">
              <w:rPr>
                <w:rStyle w:val="normaltextrun"/>
                <w:rFonts w:ascii="Calibri" w:hAnsi="Calibri" w:cs="Calibri"/>
                <w:color w:val="000000" w:themeColor="text1"/>
                <w:sz w:val="20"/>
                <w:szCs w:val="20"/>
              </w:rPr>
              <w:t xml:space="preserve">of </w:t>
            </w:r>
            <w:r>
              <w:rPr>
                <w:rStyle w:val="normaltextrun"/>
                <w:rFonts w:ascii="Calibri" w:hAnsi="Calibri" w:cs="Calibri"/>
                <w:color w:val="000000" w:themeColor="text1"/>
                <w:sz w:val="20"/>
                <w:szCs w:val="20"/>
              </w:rPr>
              <w:t xml:space="preserve">Returning ATC </w:t>
            </w:r>
            <w:r w:rsidRPr="00FA5D3E">
              <w:rPr>
                <w:rStyle w:val="normaltextrun"/>
                <w:rFonts w:ascii="Calibri" w:hAnsi="Calibri" w:cs="Calibri"/>
                <w:color w:val="000000" w:themeColor="text1"/>
                <w:sz w:val="20"/>
                <w:szCs w:val="20"/>
              </w:rPr>
              <w:t>clients</w:t>
            </w:r>
          </w:p>
        </w:tc>
        <w:tc>
          <w:tcPr>
            <w:tcW w:w="1781" w:type="dxa"/>
            <w:vAlign w:val="center"/>
          </w:tcPr>
          <w:p w14:paraId="1659D695" w14:textId="77777777" w:rsidR="00A322A0" w:rsidRDefault="00A322A0" w:rsidP="004772A2">
            <w:pPr>
              <w:pStyle w:val="Heading7"/>
              <w:cnfStyle w:val="100000000000" w:firstRow="1"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Pr>
                <w:rStyle w:val="normaltextrun"/>
                <w:rFonts w:ascii="Calibri" w:hAnsi="Calibri" w:cs="Calibri"/>
                <w:color w:val="000000" w:themeColor="text1"/>
                <w:sz w:val="20"/>
                <w:szCs w:val="20"/>
              </w:rPr>
              <w:t xml:space="preserve">No. </w:t>
            </w:r>
            <w:r w:rsidRPr="00FA5D3E">
              <w:rPr>
                <w:rStyle w:val="normaltextrun"/>
                <w:rFonts w:ascii="Calibri" w:hAnsi="Calibri" w:cs="Calibri"/>
                <w:color w:val="000000" w:themeColor="text1"/>
                <w:sz w:val="20"/>
                <w:szCs w:val="20"/>
              </w:rPr>
              <w:t>of</w:t>
            </w:r>
            <w:r>
              <w:rPr>
                <w:rStyle w:val="normaltextrun"/>
                <w:rFonts w:ascii="Calibri" w:hAnsi="Calibri" w:cs="Calibri"/>
                <w:color w:val="000000" w:themeColor="text1"/>
                <w:sz w:val="20"/>
                <w:szCs w:val="20"/>
              </w:rPr>
              <w:t xml:space="preserve"> New YTC </w:t>
            </w:r>
            <w:r w:rsidRPr="00FA5D3E">
              <w:rPr>
                <w:rStyle w:val="normaltextrun"/>
                <w:rFonts w:ascii="Calibri" w:hAnsi="Calibri" w:cs="Calibri"/>
                <w:color w:val="000000" w:themeColor="text1"/>
                <w:sz w:val="20"/>
                <w:szCs w:val="20"/>
              </w:rPr>
              <w:t xml:space="preserve">clients </w:t>
            </w:r>
          </w:p>
        </w:tc>
        <w:tc>
          <w:tcPr>
            <w:tcW w:w="1781" w:type="dxa"/>
          </w:tcPr>
          <w:p w14:paraId="0F89DE2F" w14:textId="77777777" w:rsidR="00A322A0" w:rsidRDefault="00A322A0" w:rsidP="004772A2">
            <w:pPr>
              <w:pStyle w:val="Heading7"/>
              <w:cnfStyle w:val="100000000000" w:firstRow="1" w:lastRow="0" w:firstColumn="0" w:lastColumn="0" w:oddVBand="0" w:evenVBand="0" w:oddHBand="0" w:evenHBand="0" w:firstRowFirstColumn="0" w:firstRowLastColumn="0" w:lastRowFirstColumn="0" w:lastRowLastColumn="0"/>
              <w:rPr>
                <w:rStyle w:val="normaltextrun"/>
                <w:rFonts w:ascii="Calibri" w:hAnsi="Calibri" w:cs="Calibri"/>
                <w:color w:val="000000" w:themeColor="text1"/>
                <w:sz w:val="20"/>
                <w:szCs w:val="20"/>
              </w:rPr>
            </w:pPr>
            <w:r>
              <w:rPr>
                <w:rStyle w:val="normaltextrun"/>
                <w:rFonts w:ascii="Calibri" w:hAnsi="Calibri" w:cs="Calibri"/>
                <w:color w:val="000000" w:themeColor="text1"/>
                <w:sz w:val="20"/>
                <w:szCs w:val="20"/>
              </w:rPr>
              <w:t xml:space="preserve">No. </w:t>
            </w:r>
            <w:r w:rsidRPr="00FA5D3E">
              <w:rPr>
                <w:rStyle w:val="normaltextrun"/>
                <w:rFonts w:ascii="Calibri" w:hAnsi="Calibri" w:cs="Calibri"/>
                <w:color w:val="000000" w:themeColor="text1"/>
                <w:sz w:val="20"/>
                <w:szCs w:val="20"/>
              </w:rPr>
              <w:t xml:space="preserve">of </w:t>
            </w:r>
            <w:r>
              <w:rPr>
                <w:rStyle w:val="normaltextrun"/>
                <w:rFonts w:ascii="Calibri" w:hAnsi="Calibri" w:cs="Calibri"/>
                <w:color w:val="000000" w:themeColor="text1"/>
                <w:sz w:val="20"/>
                <w:szCs w:val="20"/>
              </w:rPr>
              <w:t xml:space="preserve">Returning YTC </w:t>
            </w:r>
            <w:r w:rsidRPr="00FA5D3E">
              <w:rPr>
                <w:rStyle w:val="normaltextrun"/>
                <w:rFonts w:ascii="Calibri" w:hAnsi="Calibri" w:cs="Calibri"/>
                <w:color w:val="000000" w:themeColor="text1"/>
                <w:sz w:val="20"/>
                <w:szCs w:val="20"/>
              </w:rPr>
              <w:t>clients</w:t>
            </w:r>
          </w:p>
        </w:tc>
      </w:tr>
      <w:tr w:rsidR="00A322A0" w:rsidRPr="0077533B" w14:paraId="70CDC6E5" w14:textId="77777777" w:rsidTr="00877CCC">
        <w:trPr>
          <w:trHeight w:val="391"/>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7FC0CEB5"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ALRM</w:t>
            </w:r>
          </w:p>
        </w:tc>
        <w:tc>
          <w:tcPr>
            <w:tcW w:w="1962" w:type="dxa"/>
            <w:vAlign w:val="center"/>
            <w:hideMark/>
          </w:tcPr>
          <w:p w14:paraId="22C6F223"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121</w:t>
            </w:r>
          </w:p>
        </w:tc>
        <w:tc>
          <w:tcPr>
            <w:tcW w:w="2026" w:type="dxa"/>
            <w:vAlign w:val="center"/>
          </w:tcPr>
          <w:p w14:paraId="4543F045"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4</w:t>
            </w:r>
            <w:r w:rsidRPr="00A8060A">
              <w:rPr>
                <w:rStyle w:val="normaltextrun"/>
                <w:rFonts w:ascii="Calibri" w:hAnsi="Calibri" w:cs="Calibri"/>
                <w:sz w:val="20"/>
                <w:szCs w:val="20"/>
              </w:rPr>
              <w:t>4</w:t>
            </w:r>
          </w:p>
        </w:tc>
        <w:tc>
          <w:tcPr>
            <w:tcW w:w="1781" w:type="dxa"/>
            <w:vAlign w:val="center"/>
          </w:tcPr>
          <w:p w14:paraId="5A6572D0"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00F2770C"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4F13B778" w14:textId="77777777" w:rsidTr="00877CCC">
        <w:trPr>
          <w:trHeight w:val="417"/>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21544099"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ATSILS</w:t>
            </w:r>
          </w:p>
        </w:tc>
        <w:tc>
          <w:tcPr>
            <w:tcW w:w="1962" w:type="dxa"/>
            <w:vAlign w:val="center"/>
            <w:hideMark/>
          </w:tcPr>
          <w:p w14:paraId="383EE0C2"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147</w:t>
            </w:r>
          </w:p>
        </w:tc>
        <w:tc>
          <w:tcPr>
            <w:tcW w:w="2026" w:type="dxa"/>
            <w:vAlign w:val="center"/>
          </w:tcPr>
          <w:p w14:paraId="5F414EA3"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w:t>
            </w:r>
            <w:r w:rsidRPr="00A8060A">
              <w:rPr>
                <w:rStyle w:val="normaltextrun"/>
                <w:rFonts w:ascii="Calibri" w:hAnsi="Calibri" w:cs="Calibri"/>
                <w:sz w:val="20"/>
                <w:szCs w:val="20"/>
              </w:rPr>
              <w:t>7</w:t>
            </w:r>
          </w:p>
        </w:tc>
        <w:tc>
          <w:tcPr>
            <w:tcW w:w="1781" w:type="dxa"/>
            <w:vAlign w:val="center"/>
          </w:tcPr>
          <w:p w14:paraId="6772AD16"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w:t>
            </w:r>
            <w:r w:rsidRPr="00A8060A">
              <w:rPr>
                <w:rStyle w:val="normaltextrun"/>
                <w:rFonts w:ascii="Calibri" w:hAnsi="Calibri" w:cs="Calibri"/>
                <w:sz w:val="20"/>
                <w:szCs w:val="20"/>
              </w:rPr>
              <w:t>3</w:t>
            </w:r>
          </w:p>
        </w:tc>
        <w:tc>
          <w:tcPr>
            <w:tcW w:w="1781" w:type="dxa"/>
            <w:vAlign w:val="center"/>
          </w:tcPr>
          <w:p w14:paraId="35671815"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7</w:t>
            </w:r>
          </w:p>
        </w:tc>
      </w:tr>
      <w:tr w:rsidR="00A322A0" w:rsidRPr="0077533B" w14:paraId="5B2972F7" w14:textId="77777777" w:rsidTr="00877CCC">
        <w:trPr>
          <w:trHeight w:val="423"/>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42724844"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CHAC</w:t>
            </w:r>
          </w:p>
        </w:tc>
        <w:tc>
          <w:tcPr>
            <w:tcW w:w="1962" w:type="dxa"/>
            <w:vAlign w:val="center"/>
            <w:hideMark/>
          </w:tcPr>
          <w:p w14:paraId="354B3218"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15</w:t>
            </w:r>
          </w:p>
        </w:tc>
        <w:tc>
          <w:tcPr>
            <w:tcW w:w="2026" w:type="dxa"/>
            <w:vAlign w:val="center"/>
          </w:tcPr>
          <w:p w14:paraId="20CD90F2"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w:t>
            </w:r>
            <w:r w:rsidRPr="00A8060A">
              <w:rPr>
                <w:rStyle w:val="normaltextrun"/>
                <w:rFonts w:ascii="Calibri" w:hAnsi="Calibri" w:cs="Calibri"/>
                <w:sz w:val="20"/>
                <w:szCs w:val="20"/>
              </w:rPr>
              <w:t>88</w:t>
            </w:r>
          </w:p>
        </w:tc>
        <w:tc>
          <w:tcPr>
            <w:tcW w:w="1781" w:type="dxa"/>
            <w:vAlign w:val="center"/>
          </w:tcPr>
          <w:p w14:paraId="093E5FAC"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38E8EF19"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0DC8E0D1" w14:textId="77777777" w:rsidTr="00877CCC">
        <w:trPr>
          <w:trHeight w:val="415"/>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602C423F"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CRC</w:t>
            </w:r>
          </w:p>
        </w:tc>
        <w:tc>
          <w:tcPr>
            <w:tcW w:w="1962" w:type="dxa"/>
            <w:vAlign w:val="center"/>
            <w:hideMark/>
          </w:tcPr>
          <w:p w14:paraId="1CF666E5"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33</w:t>
            </w:r>
          </w:p>
        </w:tc>
        <w:tc>
          <w:tcPr>
            <w:tcW w:w="2026" w:type="dxa"/>
            <w:vAlign w:val="center"/>
          </w:tcPr>
          <w:p w14:paraId="33D62A45"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2</w:t>
            </w:r>
            <w:r w:rsidRPr="00A8060A">
              <w:rPr>
                <w:rStyle w:val="normaltextrun"/>
                <w:rFonts w:ascii="Calibri" w:hAnsi="Calibri" w:cs="Calibri"/>
                <w:sz w:val="20"/>
                <w:szCs w:val="20"/>
              </w:rPr>
              <w:t>12</w:t>
            </w:r>
          </w:p>
        </w:tc>
        <w:tc>
          <w:tcPr>
            <w:tcW w:w="1781" w:type="dxa"/>
            <w:vAlign w:val="center"/>
          </w:tcPr>
          <w:p w14:paraId="3A20730E"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09EABFB3"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1C14E422" w14:textId="77777777" w:rsidTr="00877CCC">
        <w:trPr>
          <w:trHeight w:val="410"/>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6E655A89"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Five Bridges</w:t>
            </w:r>
            <w:r>
              <w:rPr>
                <w:rStyle w:val="FootnoteReference"/>
                <w:rFonts w:ascii="Calibri" w:hAnsi="Calibri" w:cs="Calibri"/>
                <w:sz w:val="20"/>
                <w:szCs w:val="20"/>
              </w:rPr>
              <w:footnoteReference w:id="96"/>
            </w:r>
          </w:p>
        </w:tc>
        <w:tc>
          <w:tcPr>
            <w:tcW w:w="1962" w:type="dxa"/>
            <w:vAlign w:val="center"/>
            <w:hideMark/>
          </w:tcPr>
          <w:p w14:paraId="414F24D8"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19</w:t>
            </w:r>
          </w:p>
        </w:tc>
        <w:tc>
          <w:tcPr>
            <w:tcW w:w="2026" w:type="dxa"/>
            <w:vAlign w:val="center"/>
          </w:tcPr>
          <w:p w14:paraId="14453BAD" w14:textId="22A3E178"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2</w:t>
            </w:r>
          </w:p>
        </w:tc>
        <w:tc>
          <w:tcPr>
            <w:tcW w:w="1781" w:type="dxa"/>
            <w:vAlign w:val="center"/>
          </w:tcPr>
          <w:p w14:paraId="3F0F2115"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4274F62D"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3A4D2DB6" w14:textId="77777777" w:rsidTr="00877CCC">
        <w:trPr>
          <w:trHeight w:val="418"/>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6880A046"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NAAJA</w:t>
            </w:r>
          </w:p>
        </w:tc>
        <w:tc>
          <w:tcPr>
            <w:tcW w:w="1962" w:type="dxa"/>
            <w:vAlign w:val="center"/>
            <w:hideMark/>
          </w:tcPr>
          <w:p w14:paraId="299198EA"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136</w:t>
            </w:r>
          </w:p>
        </w:tc>
        <w:tc>
          <w:tcPr>
            <w:tcW w:w="2026" w:type="dxa"/>
            <w:vAlign w:val="center"/>
          </w:tcPr>
          <w:p w14:paraId="51A409AC"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w:t>
            </w:r>
            <w:r w:rsidRPr="00A8060A">
              <w:rPr>
                <w:rStyle w:val="normaltextrun"/>
                <w:rFonts w:ascii="Calibri" w:hAnsi="Calibri" w:cs="Calibri"/>
                <w:sz w:val="20"/>
                <w:szCs w:val="20"/>
              </w:rPr>
              <w:t>4</w:t>
            </w:r>
          </w:p>
        </w:tc>
        <w:tc>
          <w:tcPr>
            <w:tcW w:w="1781" w:type="dxa"/>
            <w:vAlign w:val="center"/>
          </w:tcPr>
          <w:p w14:paraId="1D13DBF6"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3</w:t>
            </w:r>
            <w:r w:rsidRPr="00A8060A">
              <w:rPr>
                <w:rStyle w:val="normaltextrun"/>
                <w:rFonts w:ascii="Calibri" w:hAnsi="Calibri" w:cs="Calibri"/>
                <w:sz w:val="20"/>
                <w:szCs w:val="20"/>
              </w:rPr>
              <w:t>0</w:t>
            </w:r>
          </w:p>
        </w:tc>
        <w:tc>
          <w:tcPr>
            <w:tcW w:w="1781" w:type="dxa"/>
            <w:vAlign w:val="center"/>
          </w:tcPr>
          <w:p w14:paraId="1DEA22FE"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0</w:t>
            </w:r>
          </w:p>
        </w:tc>
      </w:tr>
      <w:tr w:rsidR="00A322A0" w:rsidRPr="0077533B" w14:paraId="628AD0E5" w14:textId="77777777" w:rsidTr="00877CCC">
        <w:trPr>
          <w:trHeight w:val="480"/>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3DDF64E0"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Nulse</w:t>
            </w:r>
            <w:r>
              <w:rPr>
                <w:rStyle w:val="normaltextrun"/>
                <w:rFonts w:ascii="Calibri" w:hAnsi="Calibri" w:cs="Calibri"/>
                <w:sz w:val="20"/>
                <w:szCs w:val="20"/>
              </w:rPr>
              <w:t>n (Outcare)</w:t>
            </w:r>
            <w:r>
              <w:rPr>
                <w:rStyle w:val="FootnoteReference"/>
                <w:rFonts w:ascii="Calibri" w:hAnsi="Calibri" w:cs="Calibri"/>
                <w:sz w:val="20"/>
                <w:szCs w:val="20"/>
              </w:rPr>
              <w:footnoteReference w:id="97"/>
            </w:r>
          </w:p>
        </w:tc>
        <w:tc>
          <w:tcPr>
            <w:tcW w:w="1962" w:type="dxa"/>
            <w:vAlign w:val="center"/>
            <w:hideMark/>
          </w:tcPr>
          <w:p w14:paraId="3E2DC356"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240</w:t>
            </w:r>
          </w:p>
        </w:tc>
        <w:tc>
          <w:tcPr>
            <w:tcW w:w="2026" w:type="dxa"/>
            <w:vAlign w:val="center"/>
          </w:tcPr>
          <w:p w14:paraId="7CAB8B89"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w:t>
            </w:r>
            <w:r w:rsidRPr="00A8060A">
              <w:rPr>
                <w:rStyle w:val="normaltextrun"/>
                <w:rFonts w:ascii="Calibri" w:hAnsi="Calibri" w:cs="Calibri"/>
                <w:sz w:val="20"/>
                <w:szCs w:val="20"/>
              </w:rPr>
              <w:t>30</w:t>
            </w:r>
          </w:p>
        </w:tc>
        <w:tc>
          <w:tcPr>
            <w:tcW w:w="1781" w:type="dxa"/>
            <w:vAlign w:val="center"/>
          </w:tcPr>
          <w:p w14:paraId="5C150A0B"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2E2F2AD4"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404097EA" w14:textId="77777777" w:rsidTr="00877CCC">
        <w:trPr>
          <w:trHeight w:val="345"/>
        </w:trPr>
        <w:tc>
          <w:tcPr>
            <w:cnfStyle w:val="001000000000" w:firstRow="0" w:lastRow="0" w:firstColumn="1" w:lastColumn="0" w:oddVBand="0" w:evenVBand="0" w:oddHBand="0" w:evenHBand="0" w:firstRowFirstColumn="0" w:firstRowLastColumn="0" w:lastRowFirstColumn="0" w:lastRowLastColumn="0"/>
            <w:tcW w:w="1510" w:type="dxa"/>
            <w:vAlign w:val="center"/>
            <w:hideMark/>
          </w:tcPr>
          <w:p w14:paraId="027CBEC8" w14:textId="77777777" w:rsidR="00A322A0" w:rsidRPr="0077533B" w:rsidRDefault="00A322A0" w:rsidP="00877CCC">
            <w:pPr>
              <w:pStyle w:val="paragraph"/>
              <w:spacing w:before="0" w:beforeAutospacing="0" w:after="0" w:afterAutospacing="0"/>
              <w:jc w:val="center"/>
              <w:textAlignment w:val="baseline"/>
            </w:pPr>
            <w:r w:rsidRPr="0077533B">
              <w:rPr>
                <w:rStyle w:val="normaltextrun"/>
                <w:rFonts w:ascii="Calibri" w:hAnsi="Calibri" w:cs="Calibri"/>
                <w:sz w:val="20"/>
                <w:szCs w:val="20"/>
              </w:rPr>
              <w:t>RYSS</w:t>
            </w:r>
            <w:r>
              <w:rPr>
                <w:rStyle w:val="FootnoteReference"/>
                <w:rFonts w:ascii="Calibri" w:hAnsi="Calibri" w:cs="Calibri"/>
                <w:sz w:val="20"/>
                <w:szCs w:val="20"/>
              </w:rPr>
              <w:footnoteReference w:id="98"/>
            </w:r>
          </w:p>
        </w:tc>
        <w:tc>
          <w:tcPr>
            <w:tcW w:w="1962" w:type="dxa"/>
            <w:vAlign w:val="center"/>
            <w:hideMark/>
          </w:tcPr>
          <w:p w14:paraId="06AFAD1E" w14:textId="77777777" w:rsidR="00A322A0" w:rsidRPr="00A8060A"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sidRPr="00A8060A">
              <w:rPr>
                <w:rStyle w:val="normaltextrun"/>
                <w:rFonts w:ascii="Calibri" w:hAnsi="Calibri" w:cs="Calibri"/>
                <w:sz w:val="20"/>
                <w:szCs w:val="20"/>
              </w:rPr>
              <w:t>33</w:t>
            </w:r>
          </w:p>
        </w:tc>
        <w:tc>
          <w:tcPr>
            <w:tcW w:w="2026" w:type="dxa"/>
            <w:vAlign w:val="center"/>
          </w:tcPr>
          <w:p w14:paraId="1C90FCB1" w14:textId="54EB3DBD"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2</w:t>
            </w:r>
          </w:p>
        </w:tc>
        <w:tc>
          <w:tcPr>
            <w:tcW w:w="1781" w:type="dxa"/>
            <w:vAlign w:val="center"/>
          </w:tcPr>
          <w:p w14:paraId="013AE3E4"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4B456500"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r>
      <w:tr w:rsidR="00A322A0" w:rsidRPr="0077533B" w14:paraId="27986056" w14:textId="77777777" w:rsidTr="00877CCC">
        <w:trPr>
          <w:trHeight w:val="417"/>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0910D0B7" w14:textId="77777777" w:rsidR="00A322A0" w:rsidRPr="0077533B" w:rsidRDefault="00A322A0" w:rsidP="00877CCC">
            <w:pPr>
              <w:pStyle w:val="paragraph"/>
              <w:spacing w:before="0" w:beforeAutospacing="0" w:after="0" w:afterAutospacing="0"/>
              <w:jc w:val="center"/>
              <w:textAlignment w:val="baseline"/>
              <w:rPr>
                <w:rStyle w:val="normaltextrun"/>
                <w:rFonts w:ascii="Calibri" w:hAnsi="Calibri" w:cs="Calibri"/>
                <w:sz w:val="20"/>
                <w:szCs w:val="20"/>
              </w:rPr>
            </w:pPr>
            <w:r>
              <w:rPr>
                <w:rStyle w:val="normaltextrun"/>
                <w:rFonts w:ascii="Calibri" w:hAnsi="Calibri" w:cs="Calibri"/>
                <w:sz w:val="20"/>
                <w:szCs w:val="20"/>
              </w:rPr>
              <w:t>VACCA</w:t>
            </w:r>
          </w:p>
        </w:tc>
        <w:tc>
          <w:tcPr>
            <w:tcW w:w="1962" w:type="dxa"/>
            <w:vAlign w:val="center"/>
          </w:tcPr>
          <w:p w14:paraId="6523B4C0" w14:textId="77777777" w:rsidR="00A322A0" w:rsidRPr="0077533B"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2026" w:type="dxa"/>
            <w:vAlign w:val="center"/>
          </w:tcPr>
          <w:p w14:paraId="25DA1367"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N</w:t>
            </w:r>
            <w:r w:rsidRPr="00A8060A">
              <w:rPr>
                <w:rStyle w:val="normaltextrun"/>
                <w:rFonts w:ascii="Calibri" w:hAnsi="Calibri" w:cs="Calibri"/>
                <w:sz w:val="20"/>
                <w:szCs w:val="20"/>
              </w:rPr>
              <w:t>A</w:t>
            </w:r>
          </w:p>
        </w:tc>
        <w:tc>
          <w:tcPr>
            <w:tcW w:w="1781" w:type="dxa"/>
            <w:vAlign w:val="center"/>
          </w:tcPr>
          <w:p w14:paraId="3A270E3D"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1</w:t>
            </w:r>
            <w:r w:rsidRPr="00A8060A">
              <w:rPr>
                <w:rStyle w:val="normaltextrun"/>
                <w:rFonts w:ascii="Calibri" w:hAnsi="Calibri" w:cs="Calibri"/>
                <w:sz w:val="20"/>
                <w:szCs w:val="20"/>
              </w:rPr>
              <w:t>6</w:t>
            </w:r>
          </w:p>
        </w:tc>
        <w:tc>
          <w:tcPr>
            <w:tcW w:w="1781" w:type="dxa"/>
            <w:vAlign w:val="center"/>
          </w:tcPr>
          <w:p w14:paraId="075A205E" w14:textId="77777777" w:rsidR="00A322A0" w:rsidRDefault="00A322A0"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sz w:val="20"/>
                <w:szCs w:val="20"/>
              </w:rPr>
            </w:pPr>
            <w:r>
              <w:rPr>
                <w:rStyle w:val="normaltextrun"/>
                <w:rFonts w:ascii="Calibri" w:hAnsi="Calibri" w:cs="Calibri"/>
                <w:sz w:val="20"/>
                <w:szCs w:val="20"/>
              </w:rPr>
              <w:t>8</w:t>
            </w:r>
          </w:p>
        </w:tc>
      </w:tr>
      <w:tr w:rsidR="00405FC5" w:rsidRPr="0077533B" w14:paraId="3A50F4A1" w14:textId="77777777" w:rsidTr="00877CCC">
        <w:trPr>
          <w:trHeight w:val="417"/>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5A4A5012" w14:textId="77777777" w:rsidR="00405FC5" w:rsidRDefault="00405FC5" w:rsidP="00877CCC">
            <w:pPr>
              <w:pStyle w:val="paragraph"/>
              <w:spacing w:before="0" w:beforeAutospacing="0" w:after="0" w:afterAutospacing="0"/>
              <w:jc w:val="center"/>
              <w:textAlignment w:val="baseline"/>
              <w:rPr>
                <w:rStyle w:val="normaltextrun"/>
                <w:rFonts w:ascii="Calibri" w:hAnsi="Calibri" w:cs="Calibri"/>
                <w:sz w:val="20"/>
                <w:szCs w:val="20"/>
              </w:rPr>
            </w:pPr>
          </w:p>
        </w:tc>
        <w:tc>
          <w:tcPr>
            <w:tcW w:w="1962" w:type="dxa"/>
            <w:vAlign w:val="center"/>
          </w:tcPr>
          <w:p w14:paraId="6FEE9675" w14:textId="02D4D659" w:rsidR="00405FC5" w:rsidRPr="00405FC5" w:rsidRDefault="00405FC5"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405FC5">
              <w:rPr>
                <w:rStyle w:val="normaltextrun"/>
                <w:rFonts w:ascii="Calibri" w:hAnsi="Calibri" w:cs="Calibri"/>
                <w:b/>
                <w:bCs/>
                <w:sz w:val="20"/>
                <w:szCs w:val="20"/>
              </w:rPr>
              <w:t>744</w:t>
            </w:r>
          </w:p>
        </w:tc>
        <w:tc>
          <w:tcPr>
            <w:tcW w:w="2026" w:type="dxa"/>
            <w:vAlign w:val="center"/>
          </w:tcPr>
          <w:p w14:paraId="2F0EF121" w14:textId="120CC0CA" w:rsidR="00405FC5" w:rsidRPr="00405FC5" w:rsidRDefault="00405FC5"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405FC5">
              <w:rPr>
                <w:rStyle w:val="normaltextrun"/>
                <w:rFonts w:ascii="Calibri" w:hAnsi="Calibri" w:cs="Calibri"/>
                <w:b/>
                <w:bCs/>
                <w:sz w:val="20"/>
                <w:szCs w:val="20"/>
              </w:rPr>
              <w:t>649</w:t>
            </w:r>
          </w:p>
        </w:tc>
        <w:tc>
          <w:tcPr>
            <w:tcW w:w="1781" w:type="dxa"/>
            <w:vAlign w:val="center"/>
          </w:tcPr>
          <w:p w14:paraId="6B4544BF" w14:textId="338FDCBD" w:rsidR="00405FC5" w:rsidRPr="00405FC5" w:rsidRDefault="00405FC5"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405FC5">
              <w:rPr>
                <w:rStyle w:val="normaltextrun"/>
                <w:rFonts w:ascii="Calibri" w:hAnsi="Calibri" w:cs="Calibri"/>
                <w:b/>
                <w:bCs/>
                <w:sz w:val="20"/>
                <w:szCs w:val="20"/>
              </w:rPr>
              <w:t>79</w:t>
            </w:r>
          </w:p>
        </w:tc>
        <w:tc>
          <w:tcPr>
            <w:tcW w:w="1781" w:type="dxa"/>
            <w:vAlign w:val="center"/>
          </w:tcPr>
          <w:p w14:paraId="5B6B3158" w14:textId="71B8A6F2" w:rsidR="00405FC5" w:rsidRPr="00405FC5" w:rsidRDefault="00405FC5"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
                <w:bCs/>
                <w:sz w:val="20"/>
                <w:szCs w:val="20"/>
              </w:rPr>
            </w:pPr>
            <w:r w:rsidRPr="00405FC5">
              <w:rPr>
                <w:rStyle w:val="normaltextrun"/>
                <w:rFonts w:ascii="Calibri" w:hAnsi="Calibri" w:cs="Calibri"/>
                <w:b/>
                <w:bCs/>
                <w:sz w:val="20"/>
                <w:szCs w:val="20"/>
              </w:rPr>
              <w:t>15</w:t>
            </w:r>
          </w:p>
        </w:tc>
      </w:tr>
    </w:tbl>
    <w:p w14:paraId="341063DB" w14:textId="77777777" w:rsidR="00B4485E" w:rsidRDefault="00B4485E" w:rsidP="001C7ACE">
      <w:pPr>
        <w:jc w:val="both"/>
        <w:rPr>
          <w:rFonts w:cstheme="minorHAnsi"/>
          <w:lang w:val="en-MY" w:eastAsia="en-AU"/>
        </w:rPr>
      </w:pPr>
    </w:p>
    <w:p w14:paraId="601DB874" w14:textId="48EAA13B" w:rsidR="00B4485E" w:rsidRDefault="00B4485E" w:rsidP="00B4485E">
      <w:pPr>
        <w:jc w:val="both"/>
        <w:rPr>
          <w:rFonts w:cstheme="minorHAnsi"/>
          <w:lang w:val="en-MY" w:eastAsia="en-AU"/>
        </w:rPr>
      </w:pPr>
      <w:r>
        <w:rPr>
          <w:rFonts w:cstheme="minorHAnsi"/>
          <w:lang w:val="en-MY" w:eastAsia="en-AU"/>
        </w:rPr>
        <w:t>Based on interviews with clients, it is not uncommon for active clients to have been with a service for several years and be regularly recorded in case</w:t>
      </w:r>
      <w:r w:rsidR="00694565">
        <w:rPr>
          <w:rFonts w:cstheme="minorHAnsi"/>
          <w:lang w:val="en-MY" w:eastAsia="en-AU"/>
        </w:rPr>
        <w:t>-</w:t>
      </w:r>
      <w:r>
        <w:rPr>
          <w:rFonts w:cstheme="minorHAnsi"/>
          <w:lang w:val="en-MY" w:eastAsia="en-AU"/>
        </w:rPr>
        <w:t>loads. The case studies below evidence the types of</w:t>
      </w:r>
      <w:r w:rsidR="00BC03C1">
        <w:rPr>
          <w:rFonts w:cstheme="minorHAnsi"/>
          <w:lang w:val="en-MY" w:eastAsia="en-AU"/>
        </w:rPr>
        <w:t xml:space="preserve"> </w:t>
      </w:r>
      <w:r>
        <w:rPr>
          <w:rFonts w:cstheme="minorHAnsi"/>
          <w:lang w:val="en-MY" w:eastAsia="en-AU"/>
        </w:rPr>
        <w:t>scenarios a case</w:t>
      </w:r>
      <w:r w:rsidR="00694565">
        <w:rPr>
          <w:rFonts w:cstheme="minorHAnsi"/>
          <w:lang w:val="en-MY" w:eastAsia="en-AU"/>
        </w:rPr>
        <w:t xml:space="preserve"> </w:t>
      </w:r>
      <w:r>
        <w:rPr>
          <w:rFonts w:cstheme="minorHAnsi"/>
          <w:lang w:val="en-MY" w:eastAsia="en-AU"/>
        </w:rPr>
        <w:t xml:space="preserve">worker might experience </w:t>
      </w:r>
      <w:r w:rsidR="00BC03C1">
        <w:rPr>
          <w:rFonts w:cstheme="minorHAnsi"/>
          <w:lang w:val="en-MY" w:eastAsia="en-AU"/>
        </w:rPr>
        <w:t xml:space="preserve">that </w:t>
      </w:r>
      <w:r>
        <w:rPr>
          <w:rFonts w:cstheme="minorHAnsi"/>
          <w:lang w:val="en-MY" w:eastAsia="en-AU"/>
        </w:rPr>
        <w:t xml:space="preserve">tend towards lengthy case-periods or repeat cases. </w:t>
      </w:r>
    </w:p>
    <w:p w14:paraId="24453D07" w14:textId="3A4F5F8F" w:rsidR="00B4485E" w:rsidRDefault="00BC03C1" w:rsidP="00B4485E">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89" behindDoc="0" locked="0" layoutInCell="1" allowOverlap="1" wp14:anchorId="5ECC53AC" wp14:editId="47D6CE2F">
                <wp:simplePos x="0" y="0"/>
                <wp:positionH relativeFrom="column">
                  <wp:posOffset>13417</wp:posOffset>
                </wp:positionH>
                <wp:positionV relativeFrom="paragraph">
                  <wp:posOffset>65626</wp:posOffset>
                </wp:positionV>
                <wp:extent cx="5776181" cy="1477010"/>
                <wp:effectExtent l="12700" t="12700" r="15240" b="14605"/>
                <wp:wrapNone/>
                <wp:docPr id="869587112" name="TextBox 5"/>
                <wp:cNvGraphicFramePr/>
                <a:graphic xmlns:a="http://schemas.openxmlformats.org/drawingml/2006/main">
                  <a:graphicData uri="http://schemas.microsoft.com/office/word/2010/wordprocessingShape">
                    <wps:wsp>
                      <wps:cNvSpPr txBox="1"/>
                      <wps:spPr>
                        <a:xfrm>
                          <a:off x="0" y="0"/>
                          <a:ext cx="5776181"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4B1603C" w14:textId="0B011B98" w:rsidR="009C42F3" w:rsidRPr="00A23205" w:rsidRDefault="009C42F3">
                            <w:pPr>
                              <w:rPr>
                                <w:rFonts w:hAnsi="Calibri" w:cs="Arial"/>
                                <w:color w:val="000000" w:themeColor="text1"/>
                                <w:kern w:val="24"/>
                                <w:sz w:val="20"/>
                                <w:szCs w:val="20"/>
                              </w:rPr>
                            </w:pPr>
                            <w:r>
                              <w:rPr>
                                <w:rFonts w:hAnsi="Calibri" w:cs="Arial"/>
                                <w:color w:val="000000" w:themeColor="text1"/>
                                <w:kern w:val="24"/>
                                <w:sz w:val="20"/>
                                <w:szCs w:val="20"/>
                              </w:rPr>
                              <w:t xml:space="preserve">Tia is an adult female living in small regional town. She has a history of drug and alcohol misuse, including periods relapsing as a </w:t>
                            </w:r>
                            <w:r w:rsidRPr="00371125">
                              <w:rPr>
                                <w:rFonts w:hAnsi="Calibri" w:cs="Arial"/>
                                <w:color w:val="000000" w:themeColor="text1"/>
                                <w:kern w:val="24"/>
                                <w:sz w:val="20"/>
                                <w:szCs w:val="20"/>
                              </w:rPr>
                              <w:t>crystal methamphetamine</w:t>
                            </w:r>
                            <w:r>
                              <w:rPr>
                                <w:rFonts w:hAnsi="Calibri" w:cs="Arial"/>
                                <w:color w:val="000000" w:themeColor="text1"/>
                                <w:kern w:val="24"/>
                                <w:sz w:val="20"/>
                                <w:szCs w:val="20"/>
                              </w:rPr>
                              <w:t xml:space="preserve"> (ice) user</w:t>
                            </w:r>
                            <w:r w:rsidRPr="00371125">
                              <w:rPr>
                                <w:rFonts w:hAnsi="Calibri" w:cs="Arial"/>
                                <w:color w:val="000000" w:themeColor="text1"/>
                                <w:kern w:val="24"/>
                                <w:sz w:val="20"/>
                                <w:szCs w:val="20"/>
                              </w:rPr>
                              <w:t>.</w:t>
                            </w:r>
                            <w:r>
                              <w:rPr>
                                <w:rFonts w:hAnsi="Calibri" w:cs="Arial"/>
                                <w:color w:val="000000" w:themeColor="text1"/>
                                <w:kern w:val="24"/>
                                <w:sz w:val="20"/>
                                <w:szCs w:val="20"/>
                              </w:rPr>
                              <w:t xml:space="preserve"> Tia has been a client of her through-care service on </w:t>
                            </w:r>
                            <w:r w:rsidRPr="00133121">
                              <w:rPr>
                                <w:rFonts w:hAnsi="Calibri" w:cs="Arial"/>
                                <w:color w:val="000000" w:themeColor="text1"/>
                                <w:kern w:val="24"/>
                                <w:sz w:val="20"/>
                                <w:szCs w:val="20"/>
                              </w:rPr>
                              <w:t>and off for 8 years and</w:t>
                            </w:r>
                            <w:r>
                              <w:rPr>
                                <w:rFonts w:hAnsi="Calibri" w:cs="Arial"/>
                                <w:color w:val="000000" w:themeColor="text1"/>
                                <w:kern w:val="24"/>
                                <w:sz w:val="20"/>
                                <w:szCs w:val="20"/>
                              </w:rPr>
                              <w:t xml:space="preserve"> has been with her current case worker for 3 years. Over this period, she has returned to prison four times, twice for theft and twice for failing drug and alcohol tests required as part of her parole conditions. Her case worker has been helping her work through this and takes her to </w:t>
                            </w:r>
                            <w:r w:rsidRPr="00371125">
                              <w:rPr>
                                <w:rFonts w:hAnsi="Calibri" w:cs="Arial"/>
                                <w:color w:val="000000" w:themeColor="text1"/>
                                <w:kern w:val="24"/>
                                <w:sz w:val="20"/>
                                <w:szCs w:val="20"/>
                              </w:rPr>
                              <w:t>appointments</w:t>
                            </w:r>
                            <w:r>
                              <w:rPr>
                                <w:rFonts w:hAnsi="Calibri" w:cs="Arial"/>
                                <w:color w:val="000000" w:themeColor="text1"/>
                                <w:kern w:val="24"/>
                                <w:sz w:val="20"/>
                                <w:szCs w:val="20"/>
                              </w:rPr>
                              <w:t>,</w:t>
                            </w:r>
                            <w:r w:rsidRPr="00371125">
                              <w:rPr>
                                <w:rFonts w:hAnsi="Calibri" w:cs="Arial"/>
                                <w:color w:val="000000" w:themeColor="text1"/>
                                <w:kern w:val="24"/>
                                <w:sz w:val="20"/>
                                <w:szCs w:val="20"/>
                              </w:rPr>
                              <w:t xml:space="preserve"> </w:t>
                            </w:r>
                            <w:r>
                              <w:rPr>
                                <w:rFonts w:hAnsi="Calibri" w:cs="Arial"/>
                                <w:color w:val="000000" w:themeColor="text1"/>
                                <w:kern w:val="24"/>
                                <w:sz w:val="20"/>
                                <w:szCs w:val="20"/>
                              </w:rPr>
                              <w:t xml:space="preserve">including drug and alcohol </w:t>
                            </w:r>
                            <w:r w:rsidRPr="00371125">
                              <w:rPr>
                                <w:rFonts w:hAnsi="Calibri" w:cs="Arial"/>
                                <w:color w:val="000000" w:themeColor="text1"/>
                                <w:kern w:val="24"/>
                                <w:sz w:val="20"/>
                                <w:szCs w:val="20"/>
                              </w:rPr>
                              <w:t>counselling</w:t>
                            </w:r>
                            <w:r>
                              <w:rPr>
                                <w:rFonts w:hAnsi="Calibri" w:cs="Arial"/>
                                <w:color w:val="000000" w:themeColor="text1"/>
                                <w:kern w:val="24"/>
                                <w:sz w:val="20"/>
                                <w:szCs w:val="20"/>
                              </w:rPr>
                              <w:t xml:space="preserve"> and has helped her find a house. Her case worker visits her in prison and has been a constant source of support – someone she can call when she’s depressed. Tia wants to stay out of prison this time, so that she can be reunited with her son.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CC53AC" id="_x0000_s1072" type="#_x0000_t202" style="position:absolute;left:0;text-align:left;margin-left:1.05pt;margin-top:5.15pt;width:454.8pt;height:116.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" fillcolor="white [3201]" strokecolor="#4bacc6 [3208]" strokeweight="2pt">
                <v:textbox style="mso-fit-shape-to-text:t">
                  <w:txbxContent>
                    <w:p w14:paraId="64B1603C" w14:textId="0B011B98" w:rsidR="009C42F3" w:rsidRPr="00A23205" w:rsidRDefault="009C42F3">
                      <w:pPr>
                        <w:rPr>
                          <w:rFonts w:hAnsi="Calibri" w:cs="Arial"/>
                          <w:color w:val="000000" w:themeColor="text1"/>
                          <w:kern w:val="24"/>
                          <w:sz w:val="20"/>
                          <w:szCs w:val="20"/>
                        </w:rPr>
                      </w:pPr>
                      <w:r>
                        <w:rPr>
                          <w:rFonts w:hAnsi="Calibri" w:cs="Arial"/>
                          <w:color w:val="000000" w:themeColor="text1"/>
                          <w:kern w:val="24"/>
                          <w:sz w:val="20"/>
                          <w:szCs w:val="20"/>
                        </w:rPr>
                        <w:t xml:space="preserve">Tia is an adult female living in small regional town. She has a history of drug and alcohol misuse, including periods relapsing as a </w:t>
                      </w:r>
                      <w:r w:rsidRPr="00371125">
                        <w:rPr>
                          <w:rFonts w:hAnsi="Calibri" w:cs="Arial"/>
                          <w:color w:val="000000" w:themeColor="text1"/>
                          <w:kern w:val="24"/>
                          <w:sz w:val="20"/>
                          <w:szCs w:val="20"/>
                        </w:rPr>
                        <w:t>crystal methamphetamine</w:t>
                      </w:r>
                      <w:r>
                        <w:rPr>
                          <w:rFonts w:hAnsi="Calibri" w:cs="Arial"/>
                          <w:color w:val="000000" w:themeColor="text1"/>
                          <w:kern w:val="24"/>
                          <w:sz w:val="20"/>
                          <w:szCs w:val="20"/>
                        </w:rPr>
                        <w:t xml:space="preserve"> (ice) user</w:t>
                      </w:r>
                      <w:r w:rsidRPr="00371125">
                        <w:rPr>
                          <w:rFonts w:hAnsi="Calibri" w:cs="Arial"/>
                          <w:color w:val="000000" w:themeColor="text1"/>
                          <w:kern w:val="24"/>
                          <w:sz w:val="20"/>
                          <w:szCs w:val="20"/>
                        </w:rPr>
                        <w:t>.</w:t>
                      </w:r>
                      <w:r>
                        <w:rPr>
                          <w:rFonts w:hAnsi="Calibri" w:cs="Arial"/>
                          <w:color w:val="000000" w:themeColor="text1"/>
                          <w:kern w:val="24"/>
                          <w:sz w:val="20"/>
                          <w:szCs w:val="20"/>
                        </w:rPr>
                        <w:t xml:space="preserve"> Tia has been a client of her through-care service on </w:t>
                      </w:r>
                      <w:r w:rsidRPr="00133121">
                        <w:rPr>
                          <w:rFonts w:hAnsi="Calibri" w:cs="Arial"/>
                          <w:color w:val="000000" w:themeColor="text1"/>
                          <w:kern w:val="24"/>
                          <w:sz w:val="20"/>
                          <w:szCs w:val="20"/>
                        </w:rPr>
                        <w:t>and off for 8 years and</w:t>
                      </w:r>
                      <w:r>
                        <w:rPr>
                          <w:rFonts w:hAnsi="Calibri" w:cs="Arial"/>
                          <w:color w:val="000000" w:themeColor="text1"/>
                          <w:kern w:val="24"/>
                          <w:sz w:val="20"/>
                          <w:szCs w:val="20"/>
                        </w:rPr>
                        <w:t xml:space="preserve"> has been with her current case worker for 3 years. Over this period, she has returned to prison four times, twice for theft and twice for failing drug and alcohol tests required as part of her parole conditions. Her case worker has been helping her work through this and takes her to </w:t>
                      </w:r>
                      <w:r w:rsidRPr="00371125">
                        <w:rPr>
                          <w:rFonts w:hAnsi="Calibri" w:cs="Arial"/>
                          <w:color w:val="000000" w:themeColor="text1"/>
                          <w:kern w:val="24"/>
                          <w:sz w:val="20"/>
                          <w:szCs w:val="20"/>
                        </w:rPr>
                        <w:t>appointments</w:t>
                      </w:r>
                      <w:r>
                        <w:rPr>
                          <w:rFonts w:hAnsi="Calibri" w:cs="Arial"/>
                          <w:color w:val="000000" w:themeColor="text1"/>
                          <w:kern w:val="24"/>
                          <w:sz w:val="20"/>
                          <w:szCs w:val="20"/>
                        </w:rPr>
                        <w:t>,</w:t>
                      </w:r>
                      <w:r w:rsidRPr="00371125">
                        <w:rPr>
                          <w:rFonts w:hAnsi="Calibri" w:cs="Arial"/>
                          <w:color w:val="000000" w:themeColor="text1"/>
                          <w:kern w:val="24"/>
                          <w:sz w:val="20"/>
                          <w:szCs w:val="20"/>
                        </w:rPr>
                        <w:t xml:space="preserve"> </w:t>
                      </w:r>
                      <w:r>
                        <w:rPr>
                          <w:rFonts w:hAnsi="Calibri" w:cs="Arial"/>
                          <w:color w:val="000000" w:themeColor="text1"/>
                          <w:kern w:val="24"/>
                          <w:sz w:val="20"/>
                          <w:szCs w:val="20"/>
                        </w:rPr>
                        <w:t xml:space="preserve">including drug and alcohol </w:t>
                      </w:r>
                      <w:r w:rsidRPr="00371125">
                        <w:rPr>
                          <w:rFonts w:hAnsi="Calibri" w:cs="Arial"/>
                          <w:color w:val="000000" w:themeColor="text1"/>
                          <w:kern w:val="24"/>
                          <w:sz w:val="20"/>
                          <w:szCs w:val="20"/>
                        </w:rPr>
                        <w:t>counselling</w:t>
                      </w:r>
                      <w:r>
                        <w:rPr>
                          <w:rFonts w:hAnsi="Calibri" w:cs="Arial"/>
                          <w:color w:val="000000" w:themeColor="text1"/>
                          <w:kern w:val="24"/>
                          <w:sz w:val="20"/>
                          <w:szCs w:val="20"/>
                        </w:rPr>
                        <w:t xml:space="preserve"> and has helped her find a house. Her case worker visits her in prison and has been a constant source of support – someone she can call when she’s depressed. Tia wants to stay out of prison this time, so that she can be reunited with her son.</w:t>
                      </w:r>
                    </w:p>
                  </w:txbxContent>
                </v:textbox>
              </v:shape>
            </w:pict>
          </mc:Fallback>
        </mc:AlternateContent>
      </w:r>
    </w:p>
    <w:p w14:paraId="164114CD" w14:textId="6D99A4AD" w:rsidR="00B4485E" w:rsidRDefault="00B4485E" w:rsidP="001C7ACE">
      <w:pPr>
        <w:jc w:val="both"/>
        <w:rPr>
          <w:rFonts w:cstheme="minorHAnsi"/>
          <w:lang w:val="en-MY" w:eastAsia="en-AU"/>
        </w:rPr>
      </w:pPr>
    </w:p>
    <w:p w14:paraId="69206726" w14:textId="45E41071" w:rsidR="001C7ACE" w:rsidRDefault="001C7ACE" w:rsidP="001C7ACE">
      <w:pPr>
        <w:jc w:val="both"/>
        <w:rPr>
          <w:rFonts w:cstheme="minorHAnsi"/>
          <w:lang w:val="en-MY" w:eastAsia="en-AU"/>
        </w:rPr>
      </w:pPr>
    </w:p>
    <w:p w14:paraId="1B2200D6" w14:textId="456FAF67" w:rsidR="001C7ACE" w:rsidRDefault="001C7ACE" w:rsidP="001C7ACE">
      <w:pPr>
        <w:jc w:val="both"/>
        <w:rPr>
          <w:rFonts w:cstheme="minorHAnsi"/>
          <w:lang w:val="en-MY" w:eastAsia="en-AU"/>
        </w:rPr>
      </w:pPr>
    </w:p>
    <w:p w14:paraId="0286D807" w14:textId="3D1B23D4" w:rsidR="001C7ACE" w:rsidRDefault="001C7ACE" w:rsidP="001C7ACE">
      <w:pPr>
        <w:jc w:val="both"/>
        <w:rPr>
          <w:rFonts w:cstheme="minorHAnsi"/>
          <w:lang w:val="en-MY" w:eastAsia="en-AU"/>
        </w:rPr>
      </w:pPr>
    </w:p>
    <w:p w14:paraId="2D119067" w14:textId="7084E3C3" w:rsidR="001C7ACE" w:rsidRDefault="001C7ACE" w:rsidP="001C7ACE">
      <w:pPr>
        <w:jc w:val="both"/>
        <w:rPr>
          <w:rFonts w:cstheme="minorHAnsi"/>
          <w:lang w:val="en-MY" w:eastAsia="en-AU"/>
        </w:rPr>
      </w:pPr>
    </w:p>
    <w:p w14:paraId="68145EF7" w14:textId="77777777" w:rsidR="00024565" w:rsidRDefault="00024565" w:rsidP="001C7ACE">
      <w:pPr>
        <w:jc w:val="both"/>
        <w:rPr>
          <w:rFonts w:cstheme="minorHAnsi"/>
          <w:lang w:val="en-MY" w:eastAsia="en-AU"/>
        </w:rPr>
      </w:pPr>
    </w:p>
    <w:p w14:paraId="15DD8F96" w14:textId="4793B36F" w:rsidR="001C7ACE" w:rsidRDefault="001C7ACE" w:rsidP="001C7ACE">
      <w:pPr>
        <w:jc w:val="both"/>
        <w:rPr>
          <w:rFonts w:cstheme="minorHAnsi"/>
          <w:lang w:val="en-MY" w:eastAsia="en-AU"/>
        </w:rPr>
      </w:pPr>
    </w:p>
    <w:p w14:paraId="6FDA1F5B" w14:textId="085782F1" w:rsidR="001C7ACE" w:rsidRDefault="00BC03C1" w:rsidP="001C7ACE">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60344" behindDoc="0" locked="0" layoutInCell="1" allowOverlap="1" wp14:anchorId="34234C93" wp14:editId="5104BB1D">
                <wp:simplePos x="0" y="0"/>
                <wp:positionH relativeFrom="column">
                  <wp:posOffset>13335</wp:posOffset>
                </wp:positionH>
                <wp:positionV relativeFrom="paragraph">
                  <wp:posOffset>175177</wp:posOffset>
                </wp:positionV>
                <wp:extent cx="5775960" cy="1477010"/>
                <wp:effectExtent l="12700" t="12700" r="15240" b="17145"/>
                <wp:wrapNone/>
                <wp:docPr id="94285092" name="TextBox 5"/>
                <wp:cNvGraphicFramePr/>
                <a:graphic xmlns:a="http://schemas.openxmlformats.org/drawingml/2006/main">
                  <a:graphicData uri="http://schemas.microsoft.com/office/word/2010/wordprocessingShape">
                    <wps:wsp>
                      <wps:cNvSpPr txBox="1"/>
                      <wps:spPr>
                        <a:xfrm>
                          <a:off x="0" y="0"/>
                          <a:ext cx="577596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C835620" w14:textId="4B47CE54" w:rsidR="009C42F3" w:rsidRDefault="009C42F3" w:rsidP="00187574">
                            <w:pPr>
                              <w:rPr>
                                <w:rFonts w:hAnsi="Calibri" w:cs="Arial"/>
                                <w:color w:val="000000" w:themeColor="text1"/>
                                <w:kern w:val="24"/>
                                <w:sz w:val="20"/>
                                <w:szCs w:val="20"/>
                              </w:rPr>
                            </w:pPr>
                            <w:r>
                              <w:rPr>
                                <w:rFonts w:hAnsi="Calibri" w:cs="Arial"/>
                                <w:color w:val="000000" w:themeColor="text1"/>
                                <w:kern w:val="24"/>
                                <w:sz w:val="20"/>
                                <w:szCs w:val="20"/>
                              </w:rPr>
                              <w:t xml:space="preserve">Alan is an adult male living in a large regional town. Alan was released from prison three years ago and was referred as a through-care client post-release by the men’s shelter accommodation service he stayed with upon release. He has spent several years in prison for a serious offence and has been placed on a special offender parole order that he wants to complete in his hometown where he has family. Alan has no car of his own and is supported by his through-care case worker to attend parole </w:t>
                            </w:r>
                            <w:r w:rsidRPr="003D08B2">
                              <w:rPr>
                                <w:rFonts w:hAnsi="Calibri" w:cs="Arial"/>
                                <w:color w:val="000000" w:themeColor="text1"/>
                                <w:kern w:val="24"/>
                                <w:sz w:val="20"/>
                                <w:szCs w:val="20"/>
                              </w:rPr>
                              <w:t xml:space="preserve">appointments </w:t>
                            </w:r>
                            <w:r>
                              <w:rPr>
                                <w:rFonts w:hAnsi="Calibri" w:cs="Arial"/>
                                <w:color w:val="000000" w:themeColor="text1"/>
                                <w:kern w:val="24"/>
                                <w:sz w:val="20"/>
                                <w:szCs w:val="20"/>
                              </w:rPr>
                              <w:t xml:space="preserve">and the clinic. He talks to his case worker </w:t>
                            </w:r>
                            <w:r w:rsidRPr="00133121">
                              <w:rPr>
                                <w:rFonts w:hAnsi="Calibri" w:cs="Arial"/>
                                <w:color w:val="000000" w:themeColor="text1"/>
                                <w:kern w:val="24"/>
                                <w:sz w:val="20"/>
                                <w:szCs w:val="20"/>
                              </w:rPr>
                              <w:t>like an uncle. Alan has four years left of his parole order and understands that he will remain with the through-care service for the remainder of the order.</w:t>
                            </w:r>
                            <w:r>
                              <w:rPr>
                                <w:rFonts w:hAnsi="Calibri" w:cs="Arial"/>
                                <w:color w:val="000000" w:themeColor="text1"/>
                                <w:kern w:val="24"/>
                                <w:sz w:val="20"/>
                                <w:szCs w:val="20"/>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234C93" id="_x0000_s1073" type="#_x0000_t202" style="position:absolute;left:0;text-align:left;margin-left:1.05pt;margin-top:13.8pt;width:454.8pt;height:116.3pt;z-index:251660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" fillcolor="white [3201]" strokecolor="#4bacc6 [3208]" strokeweight="2pt">
                <v:textbox style="mso-fit-shape-to-text:t">
                  <w:txbxContent>
                    <w:p w14:paraId="3C835620" w14:textId="4B47CE54" w:rsidR="009C42F3" w:rsidRDefault="009C42F3" w:rsidP="00187574">
                      <w:pPr>
                        <w:rPr>
                          <w:rFonts w:hAnsi="Calibri" w:cs="Arial"/>
                          <w:color w:val="000000" w:themeColor="text1"/>
                          <w:kern w:val="24"/>
                          <w:sz w:val="20"/>
                          <w:szCs w:val="20"/>
                        </w:rPr>
                      </w:pPr>
                      <w:r>
                        <w:rPr>
                          <w:rFonts w:hAnsi="Calibri" w:cs="Arial"/>
                          <w:color w:val="000000" w:themeColor="text1"/>
                          <w:kern w:val="24"/>
                          <w:sz w:val="20"/>
                          <w:szCs w:val="20"/>
                        </w:rPr>
                        <w:t xml:space="preserve">Alan is an adult male living in a large regional town. Alan was released from prison three years ago and was referred as a through-care client post-release by the men’s shelter accommodation service he stayed with upon release. He has spent several years in prison for a serious offence and has been placed on a special offender parole order that he wants to complete in his hometown where he has family. Alan has no car of his own and is supported by his through-care case worker to attend parole </w:t>
                      </w:r>
                      <w:r w:rsidRPr="003D08B2">
                        <w:rPr>
                          <w:rFonts w:hAnsi="Calibri" w:cs="Arial"/>
                          <w:color w:val="000000" w:themeColor="text1"/>
                          <w:kern w:val="24"/>
                          <w:sz w:val="20"/>
                          <w:szCs w:val="20"/>
                        </w:rPr>
                        <w:t xml:space="preserve">appointments </w:t>
                      </w:r>
                      <w:r>
                        <w:rPr>
                          <w:rFonts w:hAnsi="Calibri" w:cs="Arial"/>
                          <w:color w:val="000000" w:themeColor="text1"/>
                          <w:kern w:val="24"/>
                          <w:sz w:val="20"/>
                          <w:szCs w:val="20"/>
                        </w:rPr>
                        <w:t xml:space="preserve">and the clinic. He talks to his case worker </w:t>
                      </w:r>
                      <w:r w:rsidRPr="00133121">
                        <w:rPr>
                          <w:rFonts w:hAnsi="Calibri" w:cs="Arial"/>
                          <w:color w:val="000000" w:themeColor="text1"/>
                          <w:kern w:val="24"/>
                          <w:sz w:val="20"/>
                          <w:szCs w:val="20"/>
                        </w:rPr>
                        <w:t>like an uncle. Alan has four years left of his parole order and understands that he will remain with the through-care service for the remainder of the order.</w:t>
                      </w:r>
                      <w:r>
                        <w:rPr>
                          <w:rFonts w:hAnsi="Calibri" w:cs="Arial"/>
                          <w:color w:val="000000" w:themeColor="text1"/>
                          <w:kern w:val="24"/>
                          <w:sz w:val="20"/>
                          <w:szCs w:val="20"/>
                        </w:rPr>
                        <w:t xml:space="preserve"> </w:t>
                      </w:r>
                    </w:p>
                  </w:txbxContent>
                </v:textbox>
              </v:shape>
            </w:pict>
          </mc:Fallback>
        </mc:AlternateContent>
      </w:r>
    </w:p>
    <w:p w14:paraId="61F0635E" w14:textId="7CF4B8EC" w:rsidR="00B4485E" w:rsidRDefault="00B4485E" w:rsidP="001C7ACE">
      <w:pPr>
        <w:jc w:val="both"/>
        <w:rPr>
          <w:rFonts w:cstheme="minorHAnsi"/>
          <w:lang w:val="en-MY" w:eastAsia="en-AU"/>
        </w:rPr>
      </w:pPr>
    </w:p>
    <w:p w14:paraId="1DF1CE8C" w14:textId="35F82192" w:rsidR="001C7ACE" w:rsidRDefault="001C7ACE" w:rsidP="001C7ACE">
      <w:pPr>
        <w:jc w:val="both"/>
        <w:rPr>
          <w:rFonts w:cstheme="minorHAnsi"/>
          <w:lang w:val="en-MY" w:eastAsia="en-AU"/>
        </w:rPr>
      </w:pPr>
    </w:p>
    <w:p w14:paraId="4B0974D1" w14:textId="77777777" w:rsidR="00024565" w:rsidRDefault="00024565" w:rsidP="001C7ACE">
      <w:pPr>
        <w:jc w:val="both"/>
        <w:rPr>
          <w:rFonts w:cstheme="minorHAnsi"/>
          <w:lang w:val="en-MY" w:eastAsia="en-AU"/>
        </w:rPr>
      </w:pPr>
    </w:p>
    <w:p w14:paraId="79F86040" w14:textId="77777777" w:rsidR="00024565" w:rsidRDefault="00024565" w:rsidP="001C7ACE">
      <w:pPr>
        <w:jc w:val="both"/>
        <w:rPr>
          <w:rFonts w:cstheme="minorHAnsi"/>
          <w:lang w:val="en-MY" w:eastAsia="en-AU"/>
        </w:rPr>
      </w:pPr>
    </w:p>
    <w:p w14:paraId="704031F6" w14:textId="1A2AC38E" w:rsidR="00B4485E" w:rsidRDefault="00B4485E" w:rsidP="00BF0177">
      <w:pPr>
        <w:jc w:val="both"/>
        <w:rPr>
          <w:rFonts w:cstheme="minorHAnsi"/>
          <w:lang w:val="en-MY" w:eastAsia="en-AU"/>
        </w:rPr>
      </w:pPr>
    </w:p>
    <w:p w14:paraId="42766638" w14:textId="0D3F492B" w:rsidR="00B4485E" w:rsidRDefault="00B4485E" w:rsidP="00BF0177">
      <w:pPr>
        <w:jc w:val="both"/>
        <w:rPr>
          <w:rFonts w:cstheme="minorHAnsi"/>
          <w:lang w:val="en-MY" w:eastAsia="en-AU"/>
        </w:rPr>
      </w:pPr>
    </w:p>
    <w:p w14:paraId="33A1F0AC" w14:textId="3A4C65A1" w:rsidR="00B4485E" w:rsidRDefault="00B4485E" w:rsidP="00BF0177">
      <w:pPr>
        <w:jc w:val="both"/>
        <w:rPr>
          <w:rFonts w:cstheme="minorHAnsi"/>
          <w:lang w:val="en-MY" w:eastAsia="en-AU"/>
        </w:rPr>
      </w:pPr>
    </w:p>
    <w:p w14:paraId="1B647249" w14:textId="77777777" w:rsidR="00187574" w:rsidRDefault="00187574" w:rsidP="00BF0177">
      <w:pPr>
        <w:jc w:val="both"/>
        <w:rPr>
          <w:rFonts w:cstheme="minorHAnsi"/>
          <w:lang w:val="en-MY" w:eastAsia="en-AU"/>
        </w:rPr>
      </w:pPr>
    </w:p>
    <w:p w14:paraId="72443ECA" w14:textId="31F94A65" w:rsidR="00BF0177" w:rsidRPr="00B21295" w:rsidRDefault="007C4A1D" w:rsidP="00BF0177">
      <w:pPr>
        <w:jc w:val="both"/>
        <w:rPr>
          <w:rFonts w:cstheme="minorHAnsi"/>
          <w:lang w:val="en-MY" w:eastAsia="en-AU"/>
        </w:rPr>
      </w:pPr>
      <w:r>
        <w:rPr>
          <w:rFonts w:cstheme="minorHAnsi"/>
          <w:lang w:val="en-MY" w:eastAsia="en-AU"/>
        </w:rPr>
        <w:t>In o</w:t>
      </w:r>
      <w:r w:rsidR="00B4485E" w:rsidRPr="001A64BA">
        <w:rPr>
          <w:rFonts w:cstheme="minorHAnsi"/>
          <w:lang w:val="en-MY" w:eastAsia="en-AU"/>
        </w:rPr>
        <w:t xml:space="preserve">nly a small number of </w:t>
      </w:r>
      <w:r w:rsidR="00B4485E">
        <w:rPr>
          <w:rFonts w:cstheme="minorHAnsi"/>
          <w:lang w:val="en-MY" w:eastAsia="en-AU"/>
        </w:rPr>
        <w:t>instances</w:t>
      </w:r>
      <w:r w:rsidR="00EF78DB">
        <w:rPr>
          <w:rFonts w:cstheme="minorHAnsi"/>
          <w:lang w:val="en-MY" w:eastAsia="en-AU"/>
        </w:rPr>
        <w:t xml:space="preserve"> </w:t>
      </w:r>
      <w:r w:rsidR="00B4485E" w:rsidRPr="001A64BA">
        <w:rPr>
          <w:rFonts w:cstheme="minorHAnsi"/>
          <w:lang w:val="en-MY" w:eastAsia="en-AU"/>
        </w:rPr>
        <w:t xml:space="preserve">were clients </w:t>
      </w:r>
      <w:r w:rsidR="00B4485E">
        <w:rPr>
          <w:rFonts w:cstheme="minorHAnsi"/>
          <w:lang w:val="en-MY" w:eastAsia="en-AU"/>
        </w:rPr>
        <w:t xml:space="preserve">usually </w:t>
      </w:r>
      <w:r w:rsidR="00B4485E" w:rsidRPr="001A64BA">
        <w:rPr>
          <w:rFonts w:cstheme="minorHAnsi"/>
          <w:lang w:val="en-MY" w:eastAsia="en-AU"/>
        </w:rPr>
        <w:t>processed within a period of less than 18 months</w:t>
      </w:r>
      <w:r w:rsidR="00EF78DB">
        <w:rPr>
          <w:rFonts w:cstheme="minorHAnsi"/>
          <w:lang w:val="en-MY" w:eastAsia="en-AU"/>
        </w:rPr>
        <w:t xml:space="preserve"> (driven in this case by high rates of client recidivism and challenges continuing through-care services once a client returns to their home community)</w:t>
      </w:r>
      <w:r w:rsidR="00B4485E" w:rsidRPr="001A64BA">
        <w:rPr>
          <w:rFonts w:cstheme="minorHAnsi"/>
          <w:lang w:val="en-MY" w:eastAsia="en-AU"/>
        </w:rPr>
        <w:t xml:space="preserve">. In this case clients who re-offended were taken off the program, </w:t>
      </w:r>
      <w:r w:rsidR="00B4485E">
        <w:rPr>
          <w:rFonts w:cstheme="minorHAnsi"/>
          <w:lang w:val="en-MY" w:eastAsia="en-AU"/>
        </w:rPr>
        <w:t xml:space="preserve">to free up capacity for a new client, </w:t>
      </w:r>
      <w:r w:rsidR="00B4485E" w:rsidRPr="001A64BA">
        <w:rPr>
          <w:rFonts w:cstheme="minorHAnsi"/>
          <w:lang w:val="en-MY" w:eastAsia="en-AU"/>
        </w:rPr>
        <w:t xml:space="preserve">while others who </w:t>
      </w:r>
      <w:r w:rsidR="00B4485E" w:rsidRPr="00B21295">
        <w:rPr>
          <w:rFonts w:cstheme="minorHAnsi"/>
          <w:lang w:val="en-MY" w:eastAsia="en-AU"/>
        </w:rPr>
        <w:t>had completed their primary goals but re-contacted the service in crisis, were managed as a ‘brief intervention’ (without re-joining the active case</w:t>
      </w:r>
      <w:r w:rsidR="00694565">
        <w:rPr>
          <w:rFonts w:cstheme="minorHAnsi"/>
          <w:lang w:val="en-MY" w:eastAsia="en-AU"/>
        </w:rPr>
        <w:t>-</w:t>
      </w:r>
      <w:r w:rsidR="00B4485E" w:rsidRPr="00B21295">
        <w:rPr>
          <w:rFonts w:cstheme="minorHAnsi"/>
          <w:lang w:val="en-MY" w:eastAsia="en-AU"/>
        </w:rPr>
        <w:t>load).</w:t>
      </w:r>
      <w:r w:rsidR="00BE418D">
        <w:rPr>
          <w:rFonts w:cstheme="minorHAnsi"/>
          <w:lang w:val="en-MY" w:eastAsia="en-AU"/>
        </w:rPr>
        <w:t xml:space="preserve"> </w:t>
      </w:r>
      <w:r w:rsidR="00BF0177" w:rsidRPr="00B21295">
        <w:rPr>
          <w:rFonts w:cstheme="minorHAnsi"/>
          <w:lang w:val="en-MY" w:eastAsia="en-AU"/>
        </w:rPr>
        <w:t xml:space="preserve">The </w:t>
      </w:r>
      <w:r w:rsidR="00A23205" w:rsidRPr="00B21295">
        <w:rPr>
          <w:rFonts w:cstheme="minorHAnsi"/>
          <w:lang w:val="en-MY" w:eastAsia="en-AU"/>
        </w:rPr>
        <w:t>indication</w:t>
      </w:r>
      <w:r w:rsidR="00BF0177" w:rsidRPr="00B21295">
        <w:rPr>
          <w:rFonts w:cstheme="minorHAnsi"/>
          <w:lang w:val="en-MY" w:eastAsia="en-AU"/>
        </w:rPr>
        <w:t xml:space="preserve"> that this </w:t>
      </w:r>
      <w:r w:rsidR="00BE418D">
        <w:rPr>
          <w:rFonts w:cstheme="minorHAnsi"/>
          <w:lang w:val="en-MY" w:eastAsia="en-AU"/>
        </w:rPr>
        <w:t xml:space="preserve">practice </w:t>
      </w:r>
      <w:r w:rsidR="00BF0177" w:rsidRPr="00B21295">
        <w:rPr>
          <w:rFonts w:cstheme="minorHAnsi"/>
          <w:lang w:val="en-MY" w:eastAsia="en-AU"/>
        </w:rPr>
        <w:t xml:space="preserve">is rare, implies that despite undoubtedly high levels of latent demand from prisons or detention centres, case workers feel stretched not because of the high number of new clients, but because of the length of time </w:t>
      </w:r>
      <w:r w:rsidR="00A23205" w:rsidRPr="00B21295">
        <w:rPr>
          <w:rFonts w:cstheme="minorHAnsi"/>
          <w:lang w:val="en-MY" w:eastAsia="en-AU"/>
        </w:rPr>
        <w:t xml:space="preserve">high needs </w:t>
      </w:r>
      <w:r w:rsidR="00BF0177" w:rsidRPr="00B21295">
        <w:rPr>
          <w:rFonts w:cstheme="minorHAnsi"/>
          <w:lang w:val="en-MY" w:eastAsia="en-AU"/>
        </w:rPr>
        <w:t>individuals remain on their case</w:t>
      </w:r>
      <w:r w:rsidR="007E19B5">
        <w:rPr>
          <w:rFonts w:cstheme="minorHAnsi"/>
          <w:lang w:val="en-MY" w:eastAsia="en-AU"/>
        </w:rPr>
        <w:t>-</w:t>
      </w:r>
      <w:r w:rsidR="00BF0177" w:rsidRPr="00B21295">
        <w:rPr>
          <w:rFonts w:cstheme="minorHAnsi"/>
          <w:lang w:val="en-MY" w:eastAsia="en-AU"/>
        </w:rPr>
        <w:t>load.</w:t>
      </w:r>
      <w:r w:rsidR="00972BEC" w:rsidRPr="00B21295">
        <w:rPr>
          <w:rFonts w:cstheme="minorHAnsi"/>
          <w:lang w:val="en-MY" w:eastAsia="en-AU"/>
        </w:rPr>
        <w:t xml:space="preserve"> Notwithstanding the needs of these clients, where their cumulative length of time with a service exceeds 2 years, </w:t>
      </w:r>
      <w:r w:rsidR="00B61333">
        <w:rPr>
          <w:rFonts w:cstheme="minorHAnsi"/>
          <w:lang w:val="en-MY" w:eastAsia="en-AU"/>
        </w:rPr>
        <w:t>unless there is additional case</w:t>
      </w:r>
      <w:r w:rsidR="00694565">
        <w:rPr>
          <w:rFonts w:cstheme="minorHAnsi"/>
          <w:lang w:val="en-MY" w:eastAsia="en-AU"/>
        </w:rPr>
        <w:t xml:space="preserve"> </w:t>
      </w:r>
      <w:r w:rsidR="00B61333">
        <w:rPr>
          <w:rFonts w:cstheme="minorHAnsi"/>
          <w:lang w:val="en-MY" w:eastAsia="en-AU"/>
        </w:rPr>
        <w:t xml:space="preserve">worker capacity, </w:t>
      </w:r>
      <w:r w:rsidR="00972BEC" w:rsidRPr="00B21295">
        <w:rPr>
          <w:rFonts w:cstheme="minorHAnsi"/>
          <w:lang w:val="en-MY" w:eastAsia="en-AU"/>
        </w:rPr>
        <w:t xml:space="preserve">this </w:t>
      </w:r>
      <w:r w:rsidR="004239A7" w:rsidRPr="00B21295">
        <w:rPr>
          <w:rFonts w:cstheme="minorHAnsi"/>
          <w:lang w:val="en-MY" w:eastAsia="en-AU"/>
        </w:rPr>
        <w:t xml:space="preserve">may </w:t>
      </w:r>
      <w:r w:rsidR="00B61333">
        <w:rPr>
          <w:rFonts w:cstheme="minorHAnsi"/>
          <w:lang w:val="en-MY" w:eastAsia="en-AU"/>
        </w:rPr>
        <w:t xml:space="preserve">continue </w:t>
      </w:r>
      <w:r w:rsidR="004239A7" w:rsidRPr="00B21295">
        <w:rPr>
          <w:rFonts w:cstheme="minorHAnsi"/>
          <w:lang w:val="en-MY" w:eastAsia="en-AU"/>
        </w:rPr>
        <w:t>displace new entrants to the service.</w:t>
      </w:r>
    </w:p>
    <w:p w14:paraId="42F1F590" w14:textId="77777777" w:rsidR="00187574" w:rsidRDefault="00187574" w:rsidP="00507070">
      <w:pPr>
        <w:rPr>
          <w:rFonts w:cstheme="minorHAnsi"/>
          <w:i/>
          <w:iCs/>
          <w:color w:val="1F497D" w:themeColor="text2"/>
          <w:sz w:val="20"/>
          <w:szCs w:val="20"/>
        </w:rPr>
      </w:pPr>
    </w:p>
    <w:p w14:paraId="59C64B8F" w14:textId="4FB3E200" w:rsidR="00507070" w:rsidRDefault="00507070" w:rsidP="00507070">
      <w:pPr>
        <w:rPr>
          <w:rFonts w:cstheme="minorHAnsi"/>
          <w:i/>
          <w:iCs/>
          <w:color w:val="1F497D" w:themeColor="text2"/>
          <w:sz w:val="20"/>
          <w:szCs w:val="20"/>
        </w:rPr>
      </w:pPr>
      <w:r w:rsidRPr="0044232D">
        <w:rPr>
          <w:rFonts w:cstheme="minorHAnsi"/>
          <w:i/>
          <w:iCs/>
          <w:color w:val="1F497D" w:themeColor="text2"/>
          <w:sz w:val="20"/>
          <w:szCs w:val="20"/>
        </w:rPr>
        <w:t xml:space="preserve">Table </w:t>
      </w:r>
      <w:r w:rsidR="00691792">
        <w:rPr>
          <w:rFonts w:cstheme="minorHAnsi"/>
          <w:i/>
          <w:iCs/>
          <w:color w:val="1F497D" w:themeColor="text2"/>
          <w:sz w:val="20"/>
          <w:szCs w:val="20"/>
        </w:rPr>
        <w:t>7</w:t>
      </w:r>
      <w:r w:rsidRPr="0044232D">
        <w:rPr>
          <w:rFonts w:cstheme="minorHAnsi"/>
          <w:i/>
          <w:iCs/>
          <w:color w:val="1F497D" w:themeColor="text2"/>
          <w:sz w:val="20"/>
          <w:szCs w:val="20"/>
        </w:rPr>
        <w:t xml:space="preserve"> - Number and Proportion of Referred Youth Clients Not Supported by Reason Type</w:t>
      </w:r>
      <w:r w:rsidR="00973582">
        <w:rPr>
          <w:rFonts w:cstheme="minorHAnsi"/>
          <w:i/>
          <w:iCs/>
          <w:color w:val="1F497D" w:themeColor="text2"/>
          <w:sz w:val="20"/>
          <w:szCs w:val="20"/>
        </w:rPr>
        <w:t xml:space="preserve"> (</w:t>
      </w:r>
      <w:r w:rsidRPr="00973582">
        <w:rPr>
          <w:rFonts w:cstheme="minorHAnsi"/>
          <w:i/>
          <w:iCs/>
          <w:color w:val="1F497D" w:themeColor="text2"/>
          <w:sz w:val="20"/>
          <w:szCs w:val="20"/>
        </w:rPr>
        <w:t>1 January 20</w:t>
      </w:r>
      <w:r w:rsidR="002A68DB">
        <w:rPr>
          <w:rFonts w:cstheme="minorHAnsi"/>
          <w:i/>
          <w:iCs/>
          <w:color w:val="1F497D" w:themeColor="text2"/>
          <w:sz w:val="20"/>
          <w:szCs w:val="20"/>
        </w:rPr>
        <w:t>20</w:t>
      </w:r>
      <w:r w:rsidRPr="00973582">
        <w:rPr>
          <w:rFonts w:cstheme="minorHAnsi"/>
          <w:i/>
          <w:iCs/>
          <w:color w:val="1F497D" w:themeColor="text2"/>
          <w:sz w:val="20"/>
          <w:szCs w:val="20"/>
        </w:rPr>
        <w:t xml:space="preserve"> to 31 December 2022</w:t>
      </w:r>
      <w:r w:rsidR="00973582">
        <w:rPr>
          <w:rFonts w:cstheme="minorHAnsi"/>
          <w:i/>
          <w:iCs/>
          <w:color w:val="1F497D" w:themeColor="text2"/>
          <w:sz w:val="20"/>
          <w:szCs w:val="20"/>
        </w:rPr>
        <w:t>)</w:t>
      </w:r>
    </w:p>
    <w:p w14:paraId="1F292E2C" w14:textId="77777777" w:rsidR="00973582" w:rsidRPr="00973582" w:rsidRDefault="00973582" w:rsidP="00507070">
      <w:pPr>
        <w:rPr>
          <w:rFonts w:cstheme="minorHAnsi"/>
          <w:i/>
          <w:iCs/>
          <w:color w:val="1F497D" w:themeColor="text2"/>
          <w:sz w:val="20"/>
          <w:szCs w:val="20"/>
        </w:rPr>
      </w:pPr>
    </w:p>
    <w:tbl>
      <w:tblPr>
        <w:tblStyle w:val="GridTable1Light-Accent1"/>
        <w:tblW w:w="5000" w:type="pct"/>
        <w:tblLook w:val="04A0" w:firstRow="1" w:lastRow="0" w:firstColumn="1" w:lastColumn="0" w:noHBand="0" w:noVBand="1"/>
        <w:tblCaption w:val="Table 7 - number and proportion of referred youth clients not supported by reason type (1 January 2020 to 31 December 2022)"/>
        <w:tblDescription w:val="The table has 5 columns and 6 rows in total. The first column is labelled 'reason why client referral not support' and lists reasons underneath. Each column provides numbers of clients not supported by type, by provider (ATSILS, NAAJA and VACCA) and listed. Total numbers are provided."/>
      </w:tblPr>
      <w:tblGrid>
        <w:gridCol w:w="2367"/>
        <w:gridCol w:w="1674"/>
        <w:gridCol w:w="1674"/>
        <w:gridCol w:w="1674"/>
        <w:gridCol w:w="1671"/>
      </w:tblGrid>
      <w:tr w:rsidR="00507070" w:rsidRPr="00973582" w14:paraId="246275DE" w14:textId="77777777" w:rsidTr="004772A2">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274D8AE9" w14:textId="3A0E2E4C" w:rsidR="00507070" w:rsidRPr="00973582" w:rsidRDefault="00507070" w:rsidP="00793605">
            <w:pPr>
              <w:pStyle w:val="Heading4"/>
              <w:tabs>
                <w:tab w:val="clear" w:pos="1361"/>
              </w:tabs>
              <w:ind w:left="31" w:firstLine="0"/>
              <w:rPr>
                <w:b w:val="0"/>
                <w:bCs w:val="0"/>
              </w:rPr>
            </w:pPr>
            <w:r w:rsidRPr="00973582">
              <w:t xml:space="preserve">Reason </w:t>
            </w:r>
            <w:r w:rsidR="00973582">
              <w:t>W</w:t>
            </w:r>
            <w:r w:rsidRPr="00973582">
              <w:t xml:space="preserve">hy </w:t>
            </w:r>
            <w:r w:rsidR="00973582">
              <w:t>C</w:t>
            </w:r>
            <w:r w:rsidRPr="00973582">
              <w:t xml:space="preserve">lient </w:t>
            </w:r>
            <w:r w:rsidR="00973582">
              <w:t>R</w:t>
            </w:r>
            <w:r w:rsidRPr="00973582">
              <w:t xml:space="preserve">eferral </w:t>
            </w:r>
            <w:r w:rsidR="00973582">
              <w:t>N</w:t>
            </w:r>
            <w:r w:rsidRPr="00973582">
              <w:t xml:space="preserve">ot </w:t>
            </w:r>
            <w:r w:rsidR="00973582">
              <w:t>S</w:t>
            </w:r>
            <w:r w:rsidRPr="00973582">
              <w:t>upported</w:t>
            </w:r>
          </w:p>
        </w:tc>
        <w:tc>
          <w:tcPr>
            <w:tcW w:w="924" w:type="pct"/>
            <w:vAlign w:val="center"/>
            <w:hideMark/>
          </w:tcPr>
          <w:p w14:paraId="64D6DDF1" w14:textId="77777777" w:rsidR="00507070" w:rsidRPr="00973582" w:rsidRDefault="00507070" w:rsidP="00793605">
            <w:pPr>
              <w:pStyle w:val="Heading4"/>
              <w:tabs>
                <w:tab w:val="clear" w:pos="1361"/>
              </w:tabs>
              <w:ind w:left="31" w:firstLine="0"/>
              <w:cnfStyle w:val="100000000000" w:firstRow="1" w:lastRow="0" w:firstColumn="0" w:lastColumn="0" w:oddVBand="0" w:evenVBand="0" w:oddHBand="0" w:evenHBand="0" w:firstRowFirstColumn="0" w:firstRowLastColumn="0" w:lastRowFirstColumn="0" w:lastRowLastColumn="0"/>
            </w:pPr>
            <w:r w:rsidRPr="00973582">
              <w:t>ATSILS</w:t>
            </w:r>
          </w:p>
        </w:tc>
        <w:tc>
          <w:tcPr>
            <w:tcW w:w="924" w:type="pct"/>
            <w:vAlign w:val="center"/>
            <w:hideMark/>
          </w:tcPr>
          <w:p w14:paraId="220D4377" w14:textId="77777777" w:rsidR="00507070" w:rsidRPr="00973582" w:rsidRDefault="00507070" w:rsidP="00793605">
            <w:pPr>
              <w:pStyle w:val="Heading4"/>
              <w:tabs>
                <w:tab w:val="clear" w:pos="1361"/>
              </w:tabs>
              <w:ind w:left="31" w:firstLine="0"/>
              <w:cnfStyle w:val="100000000000" w:firstRow="1" w:lastRow="0" w:firstColumn="0" w:lastColumn="0" w:oddVBand="0" w:evenVBand="0" w:oddHBand="0" w:evenHBand="0" w:firstRowFirstColumn="0" w:firstRowLastColumn="0" w:lastRowFirstColumn="0" w:lastRowLastColumn="0"/>
            </w:pPr>
            <w:r w:rsidRPr="00973582">
              <w:t>NAAJA</w:t>
            </w:r>
          </w:p>
        </w:tc>
        <w:tc>
          <w:tcPr>
            <w:tcW w:w="924" w:type="pct"/>
            <w:vAlign w:val="center"/>
            <w:hideMark/>
          </w:tcPr>
          <w:p w14:paraId="71E1E8B2" w14:textId="77777777" w:rsidR="00507070" w:rsidRPr="00973582" w:rsidRDefault="00507070" w:rsidP="00793605">
            <w:pPr>
              <w:pStyle w:val="Heading4"/>
              <w:tabs>
                <w:tab w:val="clear" w:pos="1361"/>
              </w:tabs>
              <w:ind w:left="31" w:firstLine="0"/>
              <w:cnfStyle w:val="100000000000" w:firstRow="1" w:lastRow="0" w:firstColumn="0" w:lastColumn="0" w:oddVBand="0" w:evenVBand="0" w:oddHBand="0" w:evenHBand="0" w:firstRowFirstColumn="0" w:firstRowLastColumn="0" w:lastRowFirstColumn="0" w:lastRowLastColumn="0"/>
            </w:pPr>
            <w:r w:rsidRPr="00973582">
              <w:t>VAACA</w:t>
            </w:r>
          </w:p>
        </w:tc>
        <w:tc>
          <w:tcPr>
            <w:tcW w:w="923" w:type="pct"/>
            <w:vAlign w:val="center"/>
            <w:hideMark/>
          </w:tcPr>
          <w:p w14:paraId="02A8E4E9" w14:textId="77777777" w:rsidR="00507070" w:rsidRPr="00973582" w:rsidRDefault="00507070" w:rsidP="00793605">
            <w:pPr>
              <w:pStyle w:val="Heading4"/>
              <w:tabs>
                <w:tab w:val="clear" w:pos="1361"/>
              </w:tabs>
              <w:ind w:left="31" w:firstLine="0"/>
              <w:cnfStyle w:val="100000000000" w:firstRow="1" w:lastRow="0" w:firstColumn="0" w:lastColumn="0" w:oddVBand="0" w:evenVBand="0" w:oddHBand="0" w:evenHBand="0" w:firstRowFirstColumn="0" w:firstRowLastColumn="0" w:lastRowFirstColumn="0" w:lastRowLastColumn="0"/>
              <w:rPr>
                <w:b w:val="0"/>
                <w:bCs w:val="0"/>
              </w:rPr>
            </w:pPr>
            <w:r w:rsidRPr="00973582">
              <w:t>Total</w:t>
            </w:r>
          </w:p>
        </w:tc>
      </w:tr>
      <w:tr w:rsidR="00507070" w:rsidRPr="00973582" w14:paraId="31342B47" w14:textId="77777777" w:rsidTr="00187574">
        <w:trPr>
          <w:trHeight w:val="756"/>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70509A78" w14:textId="1859418E" w:rsidR="00507070" w:rsidRPr="00973582" w:rsidRDefault="00507070" w:rsidP="00973582">
            <w:pPr>
              <w:rPr>
                <w:rFonts w:cstheme="minorHAnsi"/>
                <w:sz w:val="20"/>
                <w:szCs w:val="20"/>
              </w:rPr>
            </w:pPr>
            <w:r w:rsidRPr="00973582">
              <w:rPr>
                <w:rFonts w:cstheme="minorHAnsi"/>
                <w:sz w:val="20"/>
                <w:szCs w:val="20"/>
              </w:rPr>
              <w:t xml:space="preserve">Client </w:t>
            </w:r>
            <w:r w:rsidR="00973582">
              <w:rPr>
                <w:rFonts w:cstheme="minorHAnsi"/>
                <w:sz w:val="20"/>
                <w:szCs w:val="20"/>
              </w:rPr>
              <w:t>In</w:t>
            </w:r>
            <w:r w:rsidRPr="00973582">
              <w:rPr>
                <w:rFonts w:cstheme="minorHAnsi"/>
                <w:sz w:val="20"/>
                <w:szCs w:val="20"/>
              </w:rPr>
              <w:t>eligible</w:t>
            </w:r>
            <w:r w:rsidR="00F93B2A">
              <w:rPr>
                <w:rStyle w:val="FootnoteReference"/>
                <w:rFonts w:cstheme="minorHAnsi"/>
                <w:sz w:val="20"/>
                <w:szCs w:val="20"/>
              </w:rPr>
              <w:footnoteReference w:id="99"/>
            </w:r>
          </w:p>
        </w:tc>
        <w:tc>
          <w:tcPr>
            <w:tcW w:w="924" w:type="pct"/>
            <w:vAlign w:val="center"/>
            <w:hideMark/>
          </w:tcPr>
          <w:p w14:paraId="5F42CFC0"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20 (56%)</w:t>
            </w:r>
          </w:p>
        </w:tc>
        <w:tc>
          <w:tcPr>
            <w:tcW w:w="924" w:type="pct"/>
            <w:vAlign w:val="center"/>
            <w:hideMark/>
          </w:tcPr>
          <w:p w14:paraId="2128D0A5"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41 (100%)</w:t>
            </w:r>
          </w:p>
        </w:tc>
        <w:tc>
          <w:tcPr>
            <w:tcW w:w="924" w:type="pct"/>
            <w:vAlign w:val="center"/>
            <w:hideMark/>
          </w:tcPr>
          <w:p w14:paraId="35D8FFE4"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17 (77%)</w:t>
            </w:r>
          </w:p>
        </w:tc>
        <w:tc>
          <w:tcPr>
            <w:tcW w:w="923" w:type="pct"/>
            <w:vAlign w:val="center"/>
            <w:hideMark/>
          </w:tcPr>
          <w:p w14:paraId="60DD9F46"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78</w:t>
            </w:r>
          </w:p>
        </w:tc>
      </w:tr>
      <w:tr w:rsidR="00507070" w:rsidRPr="00973582" w14:paraId="14810C0C" w14:textId="77777777" w:rsidTr="00187574">
        <w:trPr>
          <w:trHeight w:val="756"/>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396D1D62" w14:textId="5DCD3872" w:rsidR="00507070" w:rsidRPr="00973582" w:rsidRDefault="00507070" w:rsidP="00973582">
            <w:pPr>
              <w:rPr>
                <w:rFonts w:cstheme="minorHAnsi"/>
                <w:sz w:val="20"/>
                <w:szCs w:val="20"/>
              </w:rPr>
            </w:pPr>
            <w:r w:rsidRPr="00973582">
              <w:rPr>
                <w:rFonts w:cstheme="minorHAnsi"/>
                <w:sz w:val="20"/>
                <w:szCs w:val="20"/>
              </w:rPr>
              <w:t xml:space="preserve">Provider </w:t>
            </w:r>
            <w:r w:rsidR="00973582">
              <w:rPr>
                <w:rFonts w:cstheme="minorHAnsi"/>
                <w:sz w:val="20"/>
                <w:szCs w:val="20"/>
              </w:rPr>
              <w:t>H</w:t>
            </w:r>
            <w:r w:rsidRPr="00973582">
              <w:rPr>
                <w:rFonts w:cstheme="minorHAnsi"/>
                <w:sz w:val="20"/>
                <w:szCs w:val="20"/>
              </w:rPr>
              <w:t xml:space="preserve">ad </w:t>
            </w:r>
            <w:r w:rsidR="00973582">
              <w:rPr>
                <w:rFonts w:cstheme="minorHAnsi"/>
                <w:sz w:val="20"/>
                <w:szCs w:val="20"/>
              </w:rPr>
              <w:t>N</w:t>
            </w:r>
            <w:r w:rsidRPr="00973582">
              <w:rPr>
                <w:rFonts w:cstheme="minorHAnsi"/>
                <w:sz w:val="20"/>
                <w:szCs w:val="20"/>
              </w:rPr>
              <w:t xml:space="preserve">o </w:t>
            </w:r>
            <w:r w:rsidR="00973582">
              <w:rPr>
                <w:rFonts w:cstheme="minorHAnsi"/>
                <w:sz w:val="20"/>
                <w:szCs w:val="20"/>
              </w:rPr>
              <w:t>C</w:t>
            </w:r>
            <w:r w:rsidRPr="00973582">
              <w:rPr>
                <w:rFonts w:cstheme="minorHAnsi"/>
                <w:sz w:val="20"/>
                <w:szCs w:val="20"/>
              </w:rPr>
              <w:t xml:space="preserve">apacity to </w:t>
            </w:r>
            <w:r w:rsidR="00973582">
              <w:rPr>
                <w:rFonts w:cstheme="minorHAnsi"/>
                <w:sz w:val="20"/>
                <w:szCs w:val="20"/>
              </w:rPr>
              <w:t>S</w:t>
            </w:r>
            <w:r w:rsidRPr="00973582">
              <w:rPr>
                <w:rFonts w:cstheme="minorHAnsi"/>
                <w:sz w:val="20"/>
                <w:szCs w:val="20"/>
              </w:rPr>
              <w:t xml:space="preserve">upport </w:t>
            </w:r>
            <w:r w:rsidR="00973582">
              <w:rPr>
                <w:rFonts w:cstheme="minorHAnsi"/>
                <w:sz w:val="20"/>
                <w:szCs w:val="20"/>
              </w:rPr>
              <w:t>N</w:t>
            </w:r>
            <w:r w:rsidRPr="00973582">
              <w:rPr>
                <w:rFonts w:cstheme="minorHAnsi"/>
                <w:sz w:val="20"/>
                <w:szCs w:val="20"/>
              </w:rPr>
              <w:t xml:space="preserve">ew </w:t>
            </w:r>
            <w:r w:rsidR="00973582">
              <w:rPr>
                <w:rFonts w:cstheme="minorHAnsi"/>
                <w:sz w:val="20"/>
                <w:szCs w:val="20"/>
              </w:rPr>
              <w:t>C</w:t>
            </w:r>
            <w:r w:rsidRPr="00973582">
              <w:rPr>
                <w:rFonts w:cstheme="minorHAnsi"/>
                <w:sz w:val="20"/>
                <w:szCs w:val="20"/>
              </w:rPr>
              <w:t>lients</w:t>
            </w:r>
          </w:p>
        </w:tc>
        <w:tc>
          <w:tcPr>
            <w:tcW w:w="924" w:type="pct"/>
            <w:vAlign w:val="center"/>
            <w:hideMark/>
          </w:tcPr>
          <w:p w14:paraId="2A0D033B"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14 (39%)</w:t>
            </w:r>
          </w:p>
        </w:tc>
        <w:tc>
          <w:tcPr>
            <w:tcW w:w="924" w:type="pct"/>
            <w:vAlign w:val="center"/>
            <w:hideMark/>
          </w:tcPr>
          <w:p w14:paraId="5041C4FA"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4" w:type="pct"/>
            <w:vAlign w:val="center"/>
            <w:hideMark/>
          </w:tcPr>
          <w:p w14:paraId="062E7CCC"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3" w:type="pct"/>
            <w:vAlign w:val="center"/>
            <w:hideMark/>
          </w:tcPr>
          <w:p w14:paraId="407646A5"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14</w:t>
            </w:r>
          </w:p>
        </w:tc>
      </w:tr>
      <w:tr w:rsidR="00507070" w:rsidRPr="00973582" w14:paraId="1727F3D5" w14:textId="77777777" w:rsidTr="00187574">
        <w:trPr>
          <w:trHeight w:val="700"/>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35B7F59D" w14:textId="779C0446" w:rsidR="00507070" w:rsidRPr="00973582" w:rsidRDefault="00507070" w:rsidP="00973582">
            <w:pPr>
              <w:rPr>
                <w:rFonts w:cstheme="minorHAnsi"/>
                <w:sz w:val="20"/>
                <w:szCs w:val="20"/>
              </w:rPr>
            </w:pPr>
            <w:r w:rsidRPr="00973582">
              <w:rPr>
                <w:rFonts w:cstheme="minorHAnsi"/>
                <w:sz w:val="20"/>
                <w:szCs w:val="20"/>
              </w:rPr>
              <w:t xml:space="preserve">Referred </w:t>
            </w:r>
            <w:r w:rsidR="00973582">
              <w:rPr>
                <w:rFonts w:cstheme="minorHAnsi"/>
                <w:sz w:val="20"/>
                <w:szCs w:val="20"/>
              </w:rPr>
              <w:t>C</w:t>
            </w:r>
            <w:r w:rsidRPr="00973582">
              <w:rPr>
                <w:rFonts w:cstheme="minorHAnsi"/>
                <w:sz w:val="20"/>
                <w:szCs w:val="20"/>
              </w:rPr>
              <w:t xml:space="preserve">lient was </w:t>
            </w:r>
            <w:r w:rsidR="00973582">
              <w:rPr>
                <w:rFonts w:cstheme="minorHAnsi"/>
                <w:sz w:val="20"/>
                <w:szCs w:val="20"/>
              </w:rPr>
              <w:t>W</w:t>
            </w:r>
            <w:r w:rsidRPr="00973582">
              <w:rPr>
                <w:rFonts w:cstheme="minorHAnsi"/>
                <w:sz w:val="20"/>
                <w:szCs w:val="20"/>
              </w:rPr>
              <w:t>aitlisted</w:t>
            </w:r>
          </w:p>
        </w:tc>
        <w:tc>
          <w:tcPr>
            <w:tcW w:w="924" w:type="pct"/>
            <w:vAlign w:val="center"/>
            <w:hideMark/>
          </w:tcPr>
          <w:p w14:paraId="6D5645EC"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2 (6%)</w:t>
            </w:r>
          </w:p>
        </w:tc>
        <w:tc>
          <w:tcPr>
            <w:tcW w:w="924" w:type="pct"/>
            <w:vAlign w:val="center"/>
            <w:hideMark/>
          </w:tcPr>
          <w:p w14:paraId="21C5704A"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4" w:type="pct"/>
            <w:vAlign w:val="center"/>
            <w:hideMark/>
          </w:tcPr>
          <w:p w14:paraId="2E717C9C"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3" w:type="pct"/>
            <w:vAlign w:val="center"/>
            <w:hideMark/>
          </w:tcPr>
          <w:p w14:paraId="52C62937"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2</w:t>
            </w:r>
          </w:p>
        </w:tc>
      </w:tr>
      <w:tr w:rsidR="00507070" w:rsidRPr="00973582" w14:paraId="6ED1966B" w14:textId="77777777" w:rsidTr="00187574">
        <w:trPr>
          <w:trHeight w:val="708"/>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72C1E57A" w14:textId="00F9E4B2" w:rsidR="00507070" w:rsidRPr="00973582" w:rsidRDefault="00507070" w:rsidP="00973582">
            <w:pPr>
              <w:rPr>
                <w:rFonts w:cstheme="minorHAnsi"/>
                <w:sz w:val="20"/>
                <w:szCs w:val="20"/>
              </w:rPr>
            </w:pPr>
            <w:r w:rsidRPr="00973582">
              <w:rPr>
                <w:rFonts w:cstheme="minorHAnsi"/>
                <w:sz w:val="20"/>
                <w:szCs w:val="20"/>
              </w:rPr>
              <w:t xml:space="preserve">Other </w:t>
            </w:r>
            <w:r w:rsidR="00973582">
              <w:rPr>
                <w:rFonts w:cstheme="minorHAnsi"/>
                <w:sz w:val="20"/>
                <w:szCs w:val="20"/>
              </w:rPr>
              <w:t>R</w:t>
            </w:r>
            <w:r w:rsidRPr="00973582">
              <w:rPr>
                <w:rFonts w:cstheme="minorHAnsi"/>
                <w:sz w:val="20"/>
                <w:szCs w:val="20"/>
              </w:rPr>
              <w:t>easons</w:t>
            </w:r>
          </w:p>
        </w:tc>
        <w:tc>
          <w:tcPr>
            <w:tcW w:w="924" w:type="pct"/>
            <w:vAlign w:val="center"/>
            <w:hideMark/>
          </w:tcPr>
          <w:p w14:paraId="138D74E1"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4" w:type="pct"/>
            <w:vAlign w:val="center"/>
            <w:hideMark/>
          </w:tcPr>
          <w:p w14:paraId="34C9A372"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0 (0%)</w:t>
            </w:r>
          </w:p>
        </w:tc>
        <w:tc>
          <w:tcPr>
            <w:tcW w:w="924" w:type="pct"/>
            <w:vAlign w:val="center"/>
            <w:hideMark/>
          </w:tcPr>
          <w:p w14:paraId="36901FBC"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5 (23%)</w:t>
            </w:r>
          </w:p>
        </w:tc>
        <w:tc>
          <w:tcPr>
            <w:tcW w:w="923" w:type="pct"/>
            <w:vAlign w:val="center"/>
            <w:hideMark/>
          </w:tcPr>
          <w:p w14:paraId="521E4889"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582">
              <w:rPr>
                <w:rFonts w:cstheme="minorHAnsi"/>
                <w:sz w:val="20"/>
                <w:szCs w:val="20"/>
              </w:rPr>
              <w:t>5</w:t>
            </w:r>
          </w:p>
        </w:tc>
      </w:tr>
      <w:tr w:rsidR="00507070" w:rsidRPr="00973582" w14:paraId="3B34245B" w14:textId="77777777" w:rsidTr="00187574">
        <w:trPr>
          <w:trHeight w:val="958"/>
        </w:trPr>
        <w:tc>
          <w:tcPr>
            <w:cnfStyle w:val="001000000000" w:firstRow="0" w:lastRow="0" w:firstColumn="1" w:lastColumn="0" w:oddVBand="0" w:evenVBand="0" w:oddHBand="0" w:evenHBand="0" w:firstRowFirstColumn="0" w:firstRowLastColumn="0" w:lastRowFirstColumn="0" w:lastRowLastColumn="0"/>
            <w:tcW w:w="1306" w:type="pct"/>
            <w:vAlign w:val="center"/>
            <w:hideMark/>
          </w:tcPr>
          <w:p w14:paraId="7984813A" w14:textId="2D7AFF17" w:rsidR="00507070" w:rsidRPr="00973582" w:rsidRDefault="00507070" w:rsidP="00973582">
            <w:pPr>
              <w:rPr>
                <w:rFonts w:cstheme="minorHAnsi"/>
                <w:sz w:val="20"/>
                <w:szCs w:val="20"/>
              </w:rPr>
            </w:pPr>
            <w:r w:rsidRPr="00973582">
              <w:rPr>
                <w:rFonts w:cstheme="minorHAnsi"/>
                <w:sz w:val="20"/>
                <w:szCs w:val="20"/>
              </w:rPr>
              <w:t xml:space="preserve">Total </w:t>
            </w:r>
            <w:r w:rsidR="00973582">
              <w:rPr>
                <w:rFonts w:cstheme="minorHAnsi"/>
                <w:sz w:val="20"/>
                <w:szCs w:val="20"/>
              </w:rPr>
              <w:t>C</w:t>
            </w:r>
            <w:r w:rsidRPr="00973582">
              <w:rPr>
                <w:rFonts w:cstheme="minorHAnsi"/>
                <w:sz w:val="20"/>
                <w:szCs w:val="20"/>
              </w:rPr>
              <w:t xml:space="preserve">lients </w:t>
            </w:r>
            <w:r w:rsidR="00973582">
              <w:rPr>
                <w:rFonts w:cstheme="minorHAnsi"/>
                <w:sz w:val="20"/>
                <w:szCs w:val="20"/>
              </w:rPr>
              <w:t>R</w:t>
            </w:r>
            <w:r w:rsidRPr="00973582">
              <w:rPr>
                <w:rFonts w:cstheme="minorHAnsi"/>
                <w:sz w:val="20"/>
                <w:szCs w:val="20"/>
              </w:rPr>
              <w:t xml:space="preserve">eferred </w:t>
            </w:r>
            <w:r w:rsidR="00973582">
              <w:rPr>
                <w:rFonts w:cstheme="minorHAnsi"/>
                <w:sz w:val="20"/>
                <w:szCs w:val="20"/>
              </w:rPr>
              <w:t>W</w:t>
            </w:r>
            <w:r w:rsidRPr="00973582">
              <w:rPr>
                <w:rFonts w:cstheme="minorHAnsi"/>
                <w:sz w:val="20"/>
                <w:szCs w:val="20"/>
              </w:rPr>
              <w:t xml:space="preserve">ho </w:t>
            </w:r>
            <w:r w:rsidR="00973582">
              <w:rPr>
                <w:rFonts w:cstheme="minorHAnsi"/>
                <w:sz w:val="20"/>
                <w:szCs w:val="20"/>
              </w:rPr>
              <w:t>C</w:t>
            </w:r>
            <w:r w:rsidRPr="00973582">
              <w:rPr>
                <w:rFonts w:cstheme="minorHAnsi"/>
                <w:sz w:val="20"/>
                <w:szCs w:val="20"/>
              </w:rPr>
              <w:t xml:space="preserve">ould </w:t>
            </w:r>
            <w:r w:rsidR="00973582">
              <w:rPr>
                <w:rFonts w:cstheme="minorHAnsi"/>
                <w:sz w:val="20"/>
                <w:szCs w:val="20"/>
              </w:rPr>
              <w:t>N</w:t>
            </w:r>
            <w:r w:rsidRPr="00973582">
              <w:rPr>
                <w:rFonts w:cstheme="minorHAnsi"/>
                <w:sz w:val="20"/>
                <w:szCs w:val="20"/>
              </w:rPr>
              <w:t xml:space="preserve">ot be </w:t>
            </w:r>
            <w:r w:rsidR="00973582">
              <w:rPr>
                <w:rFonts w:cstheme="minorHAnsi"/>
                <w:sz w:val="20"/>
                <w:szCs w:val="20"/>
              </w:rPr>
              <w:t>S</w:t>
            </w:r>
            <w:r w:rsidRPr="00973582">
              <w:rPr>
                <w:rFonts w:cstheme="minorHAnsi"/>
                <w:sz w:val="20"/>
                <w:szCs w:val="20"/>
              </w:rPr>
              <w:t>upported</w:t>
            </w:r>
          </w:p>
        </w:tc>
        <w:tc>
          <w:tcPr>
            <w:tcW w:w="924" w:type="pct"/>
            <w:vAlign w:val="center"/>
            <w:hideMark/>
          </w:tcPr>
          <w:p w14:paraId="6B5E7FBC"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73582">
              <w:rPr>
                <w:rFonts w:cstheme="minorHAnsi"/>
                <w:b/>
                <w:bCs/>
                <w:sz w:val="20"/>
                <w:szCs w:val="20"/>
              </w:rPr>
              <w:t>36</w:t>
            </w:r>
          </w:p>
        </w:tc>
        <w:tc>
          <w:tcPr>
            <w:tcW w:w="924" w:type="pct"/>
            <w:vAlign w:val="center"/>
            <w:hideMark/>
          </w:tcPr>
          <w:p w14:paraId="23573E45"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73582">
              <w:rPr>
                <w:rFonts w:cstheme="minorHAnsi"/>
                <w:b/>
                <w:bCs/>
                <w:sz w:val="20"/>
                <w:szCs w:val="20"/>
              </w:rPr>
              <w:t>41</w:t>
            </w:r>
          </w:p>
        </w:tc>
        <w:tc>
          <w:tcPr>
            <w:tcW w:w="924" w:type="pct"/>
            <w:vAlign w:val="center"/>
            <w:hideMark/>
          </w:tcPr>
          <w:p w14:paraId="64FC90FD"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73582">
              <w:rPr>
                <w:rFonts w:cstheme="minorHAnsi"/>
                <w:b/>
                <w:bCs/>
                <w:sz w:val="20"/>
                <w:szCs w:val="20"/>
              </w:rPr>
              <w:t>22</w:t>
            </w:r>
          </w:p>
        </w:tc>
        <w:tc>
          <w:tcPr>
            <w:tcW w:w="923" w:type="pct"/>
            <w:vAlign w:val="center"/>
            <w:hideMark/>
          </w:tcPr>
          <w:p w14:paraId="48533564" w14:textId="77777777" w:rsidR="00507070" w:rsidRPr="00973582" w:rsidRDefault="00507070" w:rsidP="00973582">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73582">
              <w:rPr>
                <w:rFonts w:cstheme="minorHAnsi"/>
                <w:b/>
                <w:bCs/>
                <w:sz w:val="20"/>
                <w:szCs w:val="20"/>
              </w:rPr>
              <w:t>99</w:t>
            </w:r>
          </w:p>
        </w:tc>
      </w:tr>
    </w:tbl>
    <w:p w14:paraId="05D76456" w14:textId="77777777" w:rsidR="00187574" w:rsidRDefault="00187574" w:rsidP="00187574">
      <w:pPr>
        <w:jc w:val="both"/>
        <w:rPr>
          <w:rFonts w:cstheme="minorHAnsi"/>
          <w:lang w:val="en-MY" w:eastAsia="en-AU"/>
        </w:rPr>
      </w:pPr>
    </w:p>
    <w:p w14:paraId="6918197B" w14:textId="4AF003CE" w:rsidR="003D4746" w:rsidRPr="00024565" w:rsidRDefault="00187574" w:rsidP="00024565">
      <w:pPr>
        <w:jc w:val="both"/>
        <w:rPr>
          <w:rFonts w:cstheme="minorHAnsi"/>
          <w:lang w:val="en-MY" w:eastAsia="en-AU"/>
        </w:rPr>
      </w:pPr>
      <w:r w:rsidRPr="00B21295">
        <w:rPr>
          <w:rFonts w:cstheme="minorHAnsi"/>
          <w:lang w:val="en-MY" w:eastAsia="en-AU"/>
        </w:rPr>
        <w:t>With respect to the YTC program, this finding is confirmed by available data regarding the number of referred clients unable to be supported (see table below). It shows that those services which -</w:t>
      </w:r>
      <w:r>
        <w:rPr>
          <w:rFonts w:cstheme="minorHAnsi"/>
          <w:lang w:val="en-MY" w:eastAsia="en-AU"/>
        </w:rPr>
        <w:t xml:space="preserve"> on the basis of qualitative evidence from interviews with case workers and service managers - tend to restrict intakes according to eligibility criteria and who then limit the period of post-release support to 18 months, tend not to turn down a referral on the basis of having no capacity</w:t>
      </w:r>
      <w:r w:rsidRPr="00507070">
        <w:rPr>
          <w:rFonts w:cstheme="minorHAnsi"/>
          <w:lang w:val="en-MY" w:eastAsia="en-AU"/>
        </w:rPr>
        <w:t>.</w:t>
      </w:r>
      <w:r>
        <w:rPr>
          <w:rFonts w:cstheme="minorHAnsi"/>
          <w:lang w:val="en-MY" w:eastAsia="en-AU"/>
        </w:rPr>
        <w:t xml:space="preserve"> Comparable data for the ATC program was unfortunately not available</w:t>
      </w:r>
      <w:r w:rsidR="00024565">
        <w:rPr>
          <w:rFonts w:cstheme="minorHAnsi"/>
          <w:lang w:val="en-MY" w:eastAsia="en-AU"/>
        </w:rPr>
        <w:t>.</w:t>
      </w:r>
      <w:r w:rsidR="003D4746">
        <w:rPr>
          <w:rFonts w:cstheme="minorHAnsi"/>
          <w:lang w:val="en-MY" w:eastAsia="en-AU"/>
        </w:rPr>
        <w:br w:type="page"/>
      </w:r>
    </w:p>
    <w:p w14:paraId="72B567AF" w14:textId="2CDE5964" w:rsidR="00123BF2" w:rsidRPr="00124E6C" w:rsidRDefault="00421CD3" w:rsidP="00B77817">
      <w:pPr>
        <w:pStyle w:val="Heading2"/>
        <w:numPr>
          <w:ilvl w:val="0"/>
          <w:numId w:val="33"/>
        </w:numPr>
        <w:rPr>
          <w:rFonts w:cstheme="minorHAnsi"/>
          <w:lang w:val="en-MY" w:eastAsia="en-AU"/>
        </w:rPr>
      </w:pPr>
      <w:bookmarkStart w:id="31" w:name="_Toc150784205"/>
      <w:r w:rsidRPr="00124E6C">
        <w:rPr>
          <w:rFonts w:cstheme="minorHAnsi"/>
          <w:lang w:val="en-MY" w:eastAsia="en-AU"/>
        </w:rPr>
        <w:t>Making Improvements</w:t>
      </w:r>
      <w:bookmarkEnd w:id="31"/>
    </w:p>
    <w:p w14:paraId="562C8E37" w14:textId="54F33B3D" w:rsidR="007A2AE1" w:rsidRPr="00BC7517" w:rsidRDefault="00421CD3" w:rsidP="00BC7517">
      <w:pPr>
        <w:jc w:val="both"/>
        <w:rPr>
          <w:rFonts w:cstheme="minorHAnsi"/>
          <w:i/>
          <w:iCs/>
          <w:color w:val="4F81BD" w:themeColor="accent1"/>
          <w:lang w:val="en-MY" w:eastAsia="en-AU"/>
        </w:rPr>
      </w:pPr>
      <w:r w:rsidRPr="00124E6C">
        <w:rPr>
          <w:rFonts w:cstheme="minorHAnsi"/>
          <w:i/>
          <w:iCs/>
          <w:color w:val="4F81BD" w:themeColor="accent1"/>
          <w:lang w:val="en-MY" w:eastAsia="en-AU"/>
        </w:rPr>
        <w:t>How could the design and delivery of the ATC and YTC models be improved to better meet the needs of clients and stakeholders?</w:t>
      </w:r>
    </w:p>
    <w:p w14:paraId="48BA4463" w14:textId="77777777" w:rsidR="003D4746" w:rsidRDefault="00473742" w:rsidP="003D4746">
      <w:pPr>
        <w:pStyle w:val="SUBHEAD2"/>
        <w:rPr>
          <w:rFonts w:asciiTheme="minorHAnsi" w:hAnsiTheme="minorHAnsi" w:cstheme="minorHAnsi"/>
          <w:lang w:val="en-MY" w:eastAsia="en-AU"/>
        </w:rPr>
      </w:pPr>
      <w:r w:rsidRPr="00BC7517">
        <w:rPr>
          <w:rFonts w:asciiTheme="minorHAnsi" w:hAnsiTheme="minorHAnsi" w:cstheme="minorHAnsi"/>
          <w:lang w:val="en-MY" w:eastAsia="en-AU"/>
        </w:rPr>
        <w:t>Ways Service Models Could be Improved</w:t>
      </w:r>
    </w:p>
    <w:p w14:paraId="65464A68" w14:textId="489176B4" w:rsidR="00B43A32" w:rsidRPr="00024565" w:rsidRDefault="00B43A32" w:rsidP="00024565">
      <w:pPr>
        <w:spacing w:before="120" w:after="120"/>
        <w:jc w:val="both"/>
        <w:rPr>
          <w:b/>
          <w:smallCaps/>
          <w:lang w:val="en-MY" w:eastAsia="en-AU"/>
        </w:rPr>
      </w:pPr>
      <w:r w:rsidRPr="003D4746">
        <w:rPr>
          <w:lang w:val="en-MY" w:eastAsia="en-AU"/>
        </w:rPr>
        <w:t>A range of opportunities exist for through-care services to strengthen and build upon elements of existing practice to improve the effectiveness of service delivery. The extent to which gaps can be filled and opportunities for improvement taken, however, is dependent not just on access to additional resources, but on the capacity of services to take a systematic and strategic approach to areas of practice including the way services collaborate with service partners, and provide the tools and support for case workers to deliver an effective service.</w:t>
      </w:r>
    </w:p>
    <w:p w14:paraId="54A17549" w14:textId="77777777" w:rsidR="00B43A32" w:rsidRPr="003D4746" w:rsidRDefault="00B43A32" w:rsidP="00876893">
      <w:pPr>
        <w:pStyle w:val="Caption"/>
        <w:rPr>
          <w:rFonts w:cstheme="minorHAnsi"/>
          <w:b/>
          <w:color w:val="4F81BD" w:themeColor="accent1"/>
          <w:lang w:val="en-MY" w:eastAsia="en-AU"/>
        </w:rPr>
      </w:pPr>
      <w:r w:rsidRPr="003D4746">
        <w:rPr>
          <w:color w:val="4F81BD" w:themeColor="accent1"/>
          <w:sz w:val="22"/>
          <w:szCs w:val="22"/>
          <w:lang w:val="en-MY" w:eastAsia="en-AU"/>
        </w:rPr>
        <w:t>Integration of Complex Services</w:t>
      </w:r>
    </w:p>
    <w:p w14:paraId="511D54E0" w14:textId="7119D2CA" w:rsidR="00B43A32" w:rsidRPr="00B21295" w:rsidRDefault="00B43A32" w:rsidP="00B43A32">
      <w:pPr>
        <w:jc w:val="both"/>
        <w:rPr>
          <w:rFonts w:cstheme="minorHAnsi"/>
          <w:lang w:val="en-MY" w:eastAsia="en-AU"/>
        </w:rPr>
      </w:pPr>
      <w:r w:rsidRPr="00B21295">
        <w:rPr>
          <w:rFonts w:cstheme="minorHAnsi"/>
          <w:lang w:val="en-MY" w:eastAsia="en-AU"/>
        </w:rPr>
        <w:t>A systemic issue for all services is their role in managing parole orders</w:t>
      </w:r>
      <w:r w:rsidR="00621F07" w:rsidRPr="00B21295">
        <w:rPr>
          <w:rFonts w:cstheme="minorHAnsi"/>
          <w:lang w:val="en-MY" w:eastAsia="en-AU"/>
        </w:rPr>
        <w:t xml:space="preserve">. </w:t>
      </w:r>
      <w:r w:rsidRPr="00B21295">
        <w:rPr>
          <w:rFonts w:cstheme="minorHAnsi"/>
          <w:lang w:val="en-MY" w:eastAsia="en-AU"/>
        </w:rPr>
        <w:t xml:space="preserve">All service providers consulted were working with clients subject to parole, and would regularly assist clients with transport, communications and scheduling of appointments to ensure </w:t>
      </w:r>
      <w:r w:rsidR="00621F07" w:rsidRPr="00B21295">
        <w:rPr>
          <w:rFonts w:cstheme="minorHAnsi"/>
          <w:lang w:val="en-MY" w:eastAsia="en-AU"/>
        </w:rPr>
        <w:t xml:space="preserve">they </w:t>
      </w:r>
      <w:r w:rsidRPr="00B21295">
        <w:rPr>
          <w:rFonts w:cstheme="minorHAnsi"/>
          <w:lang w:val="en-MY" w:eastAsia="en-AU"/>
        </w:rPr>
        <w:t xml:space="preserve">were not put at risk of breaching their orders. While service providers have advocated for community corrections to play a greater role in managing parole orders, and for greater flexibility in the interpretation of orders, where expectations are not managed by the case worker, clients have become wholly reliant on the case worker to make and attend appointments or comply with their various orders as the focus of the through-care service. </w:t>
      </w:r>
    </w:p>
    <w:p w14:paraId="6D4DE9AB" w14:textId="77777777" w:rsidR="00B43A32" w:rsidRPr="00B21295" w:rsidRDefault="00B43A32" w:rsidP="00B43A32">
      <w:pPr>
        <w:jc w:val="both"/>
        <w:rPr>
          <w:rFonts w:cstheme="minorHAnsi"/>
          <w:lang w:val="en-MY" w:eastAsia="en-AU"/>
        </w:rPr>
      </w:pPr>
    </w:p>
    <w:p w14:paraId="610A2C39" w14:textId="160C3A28" w:rsidR="00B43A32" w:rsidRPr="00B21295" w:rsidRDefault="00B43A32" w:rsidP="00B43A32">
      <w:pPr>
        <w:jc w:val="both"/>
        <w:rPr>
          <w:rFonts w:cstheme="minorHAnsi"/>
          <w:lang w:val="en-MY" w:eastAsia="en-AU"/>
        </w:rPr>
      </w:pPr>
      <w:r w:rsidRPr="00B21295">
        <w:rPr>
          <w:rFonts w:cstheme="minorHAnsi"/>
          <w:lang w:val="en-MY" w:eastAsia="en-AU"/>
        </w:rPr>
        <w:t xml:space="preserve">Although factors such as cognitive capacity and access to transport are strong mitigating factors, </w:t>
      </w:r>
      <w:r w:rsidRPr="00B97712">
        <w:rPr>
          <w:rFonts w:cstheme="minorHAnsi"/>
          <w:lang w:val="en-MY" w:eastAsia="en-AU"/>
        </w:rPr>
        <w:t>managing parole orders has become the core activity of case workers at some services.</w:t>
      </w:r>
      <w:r w:rsidRPr="00B21295">
        <w:rPr>
          <w:rFonts w:cstheme="minorHAnsi"/>
          <w:lang w:val="en-MY" w:eastAsia="en-AU"/>
        </w:rPr>
        <w:t xml:space="preserve"> This arguably negates through-care’s voluntary principle, and depending on the length of parole or probation, can result in periods of extended support well beyond 18 months post-release. Parole conditions were regarded by case workers to be a barrier to various through-care activities where these restricted group or peer activities, prevented participation in overnight programs (because of curfews) or in cases where meeting probation and parole orders necessitated access to transport </w:t>
      </w:r>
      <w:r w:rsidR="0066734A" w:rsidRPr="00B21295">
        <w:rPr>
          <w:rFonts w:cstheme="minorHAnsi"/>
          <w:lang w:val="en-MY" w:eastAsia="en-AU"/>
        </w:rPr>
        <w:t>or</w:t>
      </w:r>
      <w:r w:rsidRPr="00B21295">
        <w:rPr>
          <w:rFonts w:cstheme="minorHAnsi"/>
          <w:lang w:val="en-MY" w:eastAsia="en-AU"/>
        </w:rPr>
        <w:t xml:space="preserve"> telecommunications that were simply not available to clients.</w:t>
      </w:r>
    </w:p>
    <w:p w14:paraId="5E4F5E26" w14:textId="77777777" w:rsidR="00B43A32" w:rsidRPr="00B21295" w:rsidRDefault="00B43A32" w:rsidP="00B43A32">
      <w:pPr>
        <w:jc w:val="both"/>
        <w:rPr>
          <w:rFonts w:cstheme="minorHAnsi"/>
          <w:lang w:val="en-MY" w:eastAsia="en-AU"/>
        </w:rPr>
      </w:pPr>
    </w:p>
    <w:p w14:paraId="25DBB0AC" w14:textId="23327D8A" w:rsidR="00B43A32" w:rsidRPr="00B21295" w:rsidRDefault="00B43A32" w:rsidP="00B43A32">
      <w:pPr>
        <w:jc w:val="both"/>
        <w:rPr>
          <w:rFonts w:cstheme="minorHAnsi"/>
          <w:lang w:val="en-MY" w:eastAsia="en-AU"/>
        </w:rPr>
      </w:pPr>
      <w:r w:rsidRPr="006E576F">
        <w:rPr>
          <w:rFonts w:cstheme="minorHAnsi"/>
          <w:lang w:val="en-MY" w:eastAsia="en-AU"/>
        </w:rPr>
        <w:t>Since a greater role for community corrections in supporting clients with their parole requirements is identified by through-care case workers as a need, the</w:t>
      </w:r>
      <w:r w:rsidRPr="00B21295">
        <w:rPr>
          <w:rFonts w:cstheme="minorHAnsi"/>
          <w:lang w:val="en-MY" w:eastAsia="en-AU"/>
        </w:rPr>
        <w:t xml:space="preserve"> opportunity exists for service providers to elevate their relationship with these agencies from being </w:t>
      </w:r>
      <w:r w:rsidRPr="00B21295">
        <w:rPr>
          <w:rFonts w:cstheme="minorHAnsi"/>
          <w:i/>
          <w:iCs/>
          <w:lang w:val="en-MY" w:eastAsia="en-AU"/>
        </w:rPr>
        <w:t>ad hoc</w:t>
      </w:r>
      <w:r w:rsidRPr="00B21295">
        <w:rPr>
          <w:rFonts w:cstheme="minorHAnsi"/>
          <w:lang w:val="en-MY" w:eastAsia="en-AU"/>
        </w:rPr>
        <w:t xml:space="preserve"> and responsive to a more structured relationship based on formal MoUs. While some </w:t>
      </w:r>
      <w:r w:rsidR="00ED5B5B">
        <w:rPr>
          <w:rFonts w:cstheme="minorHAnsi"/>
          <w:lang w:val="en-MY" w:eastAsia="en-AU"/>
        </w:rPr>
        <w:t xml:space="preserve">larger </w:t>
      </w:r>
      <w:r w:rsidRPr="00B21295">
        <w:rPr>
          <w:rFonts w:cstheme="minorHAnsi"/>
          <w:lang w:val="en-MY" w:eastAsia="en-AU"/>
        </w:rPr>
        <w:t>services do have these in place, other services do not, despite having identified various barriers to meeting client outcomes that are dependent on the discretionary decisions of probation and parole officers.</w:t>
      </w:r>
      <w:r w:rsidR="006E576F" w:rsidRPr="006E576F">
        <w:t xml:space="preserve"> </w:t>
      </w:r>
      <w:r w:rsidR="006E576F">
        <w:rPr>
          <w:rFonts w:cstheme="minorHAnsi"/>
          <w:lang w:val="en-MY" w:eastAsia="en-AU"/>
        </w:rPr>
        <w:t xml:space="preserve">It is anticipated that the presence of an </w:t>
      </w:r>
      <w:r w:rsidR="006E576F" w:rsidRPr="006E576F">
        <w:rPr>
          <w:rFonts w:cstheme="minorHAnsi"/>
          <w:lang w:val="en-MY" w:eastAsia="en-AU"/>
        </w:rPr>
        <w:t xml:space="preserve">MoU </w:t>
      </w:r>
      <w:r w:rsidR="006E576F">
        <w:rPr>
          <w:rFonts w:cstheme="minorHAnsi"/>
          <w:lang w:val="en-MY" w:eastAsia="en-AU"/>
        </w:rPr>
        <w:t xml:space="preserve">will ensure the </w:t>
      </w:r>
      <w:r w:rsidR="006E576F" w:rsidRPr="006E576F">
        <w:rPr>
          <w:rFonts w:cstheme="minorHAnsi"/>
          <w:lang w:val="en-MY" w:eastAsia="en-AU"/>
        </w:rPr>
        <w:t xml:space="preserve">commitment </w:t>
      </w:r>
      <w:r w:rsidR="006E576F">
        <w:rPr>
          <w:rFonts w:cstheme="minorHAnsi"/>
          <w:lang w:val="en-MY" w:eastAsia="en-AU"/>
        </w:rPr>
        <w:t xml:space="preserve">of parole services </w:t>
      </w:r>
      <w:r w:rsidR="006E576F" w:rsidRPr="006E576F">
        <w:rPr>
          <w:rFonts w:cstheme="minorHAnsi"/>
          <w:lang w:val="en-MY" w:eastAsia="en-AU"/>
        </w:rPr>
        <w:t xml:space="preserve">to taking a discretionary approach </w:t>
      </w:r>
      <w:r w:rsidR="006E576F">
        <w:rPr>
          <w:rFonts w:cstheme="minorHAnsi"/>
          <w:lang w:val="en-MY" w:eastAsia="en-AU"/>
        </w:rPr>
        <w:t xml:space="preserve">when needed, </w:t>
      </w:r>
      <w:r w:rsidR="006E576F" w:rsidRPr="006E576F">
        <w:rPr>
          <w:rFonts w:cstheme="minorHAnsi"/>
          <w:lang w:val="en-MY" w:eastAsia="en-AU"/>
        </w:rPr>
        <w:t xml:space="preserve">according to the circumstances of the client, </w:t>
      </w:r>
      <w:r w:rsidR="006E576F">
        <w:rPr>
          <w:rFonts w:cstheme="minorHAnsi"/>
          <w:lang w:val="en-MY" w:eastAsia="en-AU"/>
        </w:rPr>
        <w:t xml:space="preserve">and </w:t>
      </w:r>
      <w:r w:rsidR="006E576F" w:rsidRPr="006E576F">
        <w:rPr>
          <w:rFonts w:cstheme="minorHAnsi"/>
          <w:lang w:val="en-MY" w:eastAsia="en-AU"/>
        </w:rPr>
        <w:t>based on the advice of the through-care</w:t>
      </w:r>
      <w:r w:rsidR="006E576F">
        <w:rPr>
          <w:rFonts w:cstheme="minorHAnsi"/>
          <w:lang w:val="en-MY" w:eastAsia="en-AU"/>
        </w:rPr>
        <w:t xml:space="preserve"> case</w:t>
      </w:r>
      <w:r w:rsidR="00694565">
        <w:rPr>
          <w:rFonts w:cstheme="minorHAnsi"/>
          <w:lang w:val="en-MY" w:eastAsia="en-AU"/>
        </w:rPr>
        <w:t xml:space="preserve"> </w:t>
      </w:r>
      <w:r w:rsidR="006E576F">
        <w:rPr>
          <w:rFonts w:cstheme="minorHAnsi"/>
          <w:lang w:val="en-MY" w:eastAsia="en-AU"/>
        </w:rPr>
        <w:t>worker.</w:t>
      </w:r>
    </w:p>
    <w:p w14:paraId="78157A4B" w14:textId="77777777" w:rsidR="00B43A32" w:rsidRPr="00B21295" w:rsidRDefault="00B43A32" w:rsidP="00B43A32">
      <w:pPr>
        <w:jc w:val="both"/>
        <w:rPr>
          <w:rFonts w:cstheme="minorHAnsi"/>
          <w:lang w:val="en-MY" w:eastAsia="en-AU"/>
        </w:rPr>
      </w:pPr>
    </w:p>
    <w:p w14:paraId="0592E3C8" w14:textId="06E82C4E" w:rsidR="00123EF6" w:rsidRPr="00B21295" w:rsidRDefault="00B43A32" w:rsidP="00123EF6">
      <w:pPr>
        <w:jc w:val="both"/>
        <w:rPr>
          <w:rFonts w:cstheme="minorHAnsi"/>
          <w:lang w:val="en-MY" w:eastAsia="en-AU"/>
        </w:rPr>
      </w:pPr>
      <w:r w:rsidRPr="00B21295">
        <w:rPr>
          <w:rFonts w:cstheme="minorHAnsi"/>
          <w:lang w:val="en-MY" w:eastAsia="en-AU"/>
        </w:rPr>
        <w:t>A similarly strategic approach, including the negotiation of MoUs, is required with respect to the disability sector, in order for through-care services to support clients who may be eligible to benefit from the National Disability Insurance Scheme (NDIS). Services confirmed that a large proportion of through-care clients are people with a disability, yet few through-care service providers employ case workers with a suitable specialisation or background in therapeutic services or with</w:t>
      </w:r>
      <w:r>
        <w:rPr>
          <w:rFonts w:cstheme="minorHAnsi"/>
          <w:lang w:val="en-MY" w:eastAsia="en-AU"/>
        </w:rPr>
        <w:t xml:space="preserve"> knowledge of the NDIS</w:t>
      </w:r>
      <w:r w:rsidRPr="00A63DBC">
        <w:rPr>
          <w:rFonts w:cstheme="minorHAnsi"/>
          <w:lang w:val="en-MY" w:eastAsia="en-AU"/>
        </w:rPr>
        <w:t xml:space="preserve">. Since NDIS assessments are not untaken in most prisons the opportunity exists for MoUs to be developed that ensure an NDIS assessment is undertaken immediately after release, with case workers playing a role in integrating NDIS plans into more holistic case plans, and then in advocating for, or otherwise </w:t>
      </w:r>
      <w:r w:rsidRPr="00B21295">
        <w:rPr>
          <w:rFonts w:cstheme="minorHAnsi"/>
          <w:lang w:val="en-MY" w:eastAsia="en-AU"/>
        </w:rPr>
        <w:t xml:space="preserve">monitoring, NDIS package implementation. A similar gap in service exists </w:t>
      </w:r>
      <w:r w:rsidR="00123EF6">
        <w:rPr>
          <w:rFonts w:cstheme="minorHAnsi"/>
          <w:lang w:val="en-MY" w:eastAsia="en-AU"/>
        </w:rPr>
        <w:t xml:space="preserve">for </w:t>
      </w:r>
      <w:r w:rsidR="00215926">
        <w:rPr>
          <w:rFonts w:cstheme="minorHAnsi"/>
          <w:lang w:val="en-MY" w:eastAsia="en-AU"/>
        </w:rPr>
        <w:t xml:space="preserve">those </w:t>
      </w:r>
      <w:r w:rsidR="00123EF6">
        <w:rPr>
          <w:rFonts w:cstheme="minorHAnsi"/>
          <w:lang w:val="en-MY" w:eastAsia="en-AU"/>
        </w:rPr>
        <w:t>services</w:t>
      </w:r>
      <w:r w:rsidR="00215926">
        <w:rPr>
          <w:rFonts w:cstheme="minorHAnsi"/>
          <w:lang w:val="en-MY" w:eastAsia="en-AU"/>
        </w:rPr>
        <w:t xml:space="preserve"> who may be </w:t>
      </w:r>
      <w:r w:rsidR="00123EF6">
        <w:rPr>
          <w:rFonts w:cstheme="minorHAnsi"/>
          <w:lang w:val="en-MY" w:eastAsia="en-AU"/>
        </w:rPr>
        <w:t xml:space="preserve">working with </w:t>
      </w:r>
      <w:r w:rsidRPr="00B21295">
        <w:rPr>
          <w:rFonts w:cstheme="minorHAnsi"/>
          <w:lang w:val="en-MY" w:eastAsia="en-AU"/>
        </w:rPr>
        <w:t xml:space="preserve">young </w:t>
      </w:r>
      <w:r w:rsidR="00123EF6">
        <w:rPr>
          <w:rFonts w:cstheme="minorHAnsi"/>
          <w:lang w:val="en-MY" w:eastAsia="en-AU"/>
        </w:rPr>
        <w:t xml:space="preserve">people </w:t>
      </w:r>
      <w:r w:rsidRPr="00B21295">
        <w:rPr>
          <w:rFonts w:cstheme="minorHAnsi"/>
          <w:lang w:val="en-MY" w:eastAsia="en-AU"/>
        </w:rPr>
        <w:t>at risk of offending and detention</w:t>
      </w:r>
      <w:r w:rsidR="00123EF6">
        <w:rPr>
          <w:rFonts w:cstheme="minorHAnsi"/>
          <w:lang w:val="en-MY" w:eastAsia="en-AU"/>
        </w:rPr>
        <w:t xml:space="preserve"> (referred from juvenile justice) </w:t>
      </w:r>
      <w:r w:rsidRPr="00B21295">
        <w:rPr>
          <w:rFonts w:cstheme="minorHAnsi"/>
          <w:lang w:val="en-MY" w:eastAsia="en-AU"/>
        </w:rPr>
        <w:t>for whom Foetal Alcohol Spectrum Disorder (FASD) is common and an associated therapeutic care model required.</w:t>
      </w:r>
    </w:p>
    <w:p w14:paraId="325F8930" w14:textId="77777777" w:rsidR="00B43A32" w:rsidRPr="00B21295" w:rsidRDefault="00B43A32" w:rsidP="00B43A32">
      <w:pPr>
        <w:jc w:val="both"/>
        <w:rPr>
          <w:rFonts w:cstheme="minorHAnsi"/>
          <w:lang w:val="en-MY" w:eastAsia="en-AU"/>
        </w:rPr>
      </w:pPr>
    </w:p>
    <w:p w14:paraId="161EC9B0" w14:textId="77777777" w:rsidR="00B43A32" w:rsidRPr="00B21295" w:rsidRDefault="00B43A32" w:rsidP="00B43A32">
      <w:pPr>
        <w:jc w:val="both"/>
        <w:rPr>
          <w:rFonts w:cstheme="minorHAnsi"/>
          <w:lang w:val="en-MY" w:eastAsia="en-AU"/>
        </w:rPr>
      </w:pPr>
      <w:r w:rsidRPr="00B21295">
        <w:rPr>
          <w:rFonts w:cstheme="minorHAnsi"/>
          <w:lang w:val="en-MY" w:eastAsia="en-AU"/>
        </w:rPr>
        <w:t xml:space="preserve">In locations where there is a gap in locally available services, particularly those providing the opportunity for cultural strengthening, the opportunity exists for through-care services to fill this gap through delivery of low intensity peer support services. These would augment existing individualised case management and would bring similar cohorts of clients together around a group activity or program. While various barriers exist to the delivery of group activities these are usually not insurmountable when prior arrangements are made with the relevant authority and comprehensive planning is undertaken. Examples of services and activities that bring client-peers together already exist within the through-care landscape but are rarely funded or otherwise supported. As one Indigenous case worker commented: </w:t>
      </w:r>
    </w:p>
    <w:p w14:paraId="362C10D9" w14:textId="77777777" w:rsidR="00B43A32" w:rsidRPr="00B21295" w:rsidRDefault="00B43A32" w:rsidP="00B43A32">
      <w:pPr>
        <w:jc w:val="both"/>
        <w:rPr>
          <w:rFonts w:cstheme="minorHAnsi"/>
          <w:lang w:val="en-MY" w:eastAsia="en-AU"/>
        </w:rPr>
      </w:pPr>
    </w:p>
    <w:p w14:paraId="538F193E" w14:textId="77777777" w:rsidR="00B43A32" w:rsidRPr="00B21295" w:rsidRDefault="00B43A32" w:rsidP="00B43A32">
      <w:pPr>
        <w:jc w:val="both"/>
        <w:rPr>
          <w:rFonts w:cstheme="minorHAnsi"/>
          <w:i/>
          <w:iCs/>
          <w:lang w:val="en-MY" w:eastAsia="en-AU"/>
        </w:rPr>
      </w:pPr>
      <w:r w:rsidRPr="00B21295">
        <w:rPr>
          <w:rFonts w:cstheme="minorHAnsi"/>
          <w:i/>
          <w:iCs/>
          <w:lang w:val="en-MY" w:eastAsia="en-AU"/>
        </w:rPr>
        <w:t xml:space="preserve">“Lived experience is very powerful, its evidence, it gives hope to someone that has no hope. If I’m in prison I want to see someone that is Aboriginal has been there and has gone on to do something different. That is what will motivate me. That is very motivating for my people”. </w:t>
      </w:r>
    </w:p>
    <w:p w14:paraId="33C83325" w14:textId="77777777" w:rsidR="00B43A32" w:rsidRPr="00B21295" w:rsidRDefault="00B43A32" w:rsidP="00B43A32">
      <w:pPr>
        <w:jc w:val="both"/>
        <w:rPr>
          <w:rFonts w:cstheme="minorHAnsi"/>
          <w:lang w:val="en-MY" w:eastAsia="en-AU"/>
        </w:rPr>
      </w:pPr>
    </w:p>
    <w:p w14:paraId="55144A19" w14:textId="546DADD9" w:rsidR="00B43A32" w:rsidRPr="00B21295" w:rsidRDefault="00B43A32" w:rsidP="00B43A32">
      <w:pPr>
        <w:jc w:val="both"/>
        <w:rPr>
          <w:rFonts w:cstheme="minorHAnsi"/>
          <w:lang w:val="en-MY" w:eastAsia="en-AU"/>
        </w:rPr>
      </w:pPr>
      <w:r w:rsidRPr="00B21295">
        <w:rPr>
          <w:rFonts w:cstheme="minorHAnsi"/>
          <w:lang w:val="en-MY" w:eastAsia="en-AU"/>
        </w:rPr>
        <w:t>Additional gaps in service delivery were also identified for those th</w:t>
      </w:r>
      <w:r w:rsidR="005F5DFC">
        <w:rPr>
          <w:rFonts w:cstheme="minorHAnsi"/>
          <w:lang w:val="en-MY" w:eastAsia="en-AU"/>
        </w:rPr>
        <w:t>r</w:t>
      </w:r>
      <w:r w:rsidRPr="00B21295">
        <w:rPr>
          <w:rFonts w:cstheme="minorHAnsi"/>
          <w:lang w:val="en-MY" w:eastAsia="en-AU"/>
        </w:rPr>
        <w:t>ough-care services not currently using brokerage funding effectively and for whom discretionary funds are limited. Case workers at these services frequently cited a lack of brokerage monies as a major barrier to meeting the material needs of clients, and either lacked the authorisation to buy necessary items (such as a phone, toiletries, or minor home furnishings) or would use their own income. Additional funding for this component of service delivery was regarded as a necessary but not sufficient factor, with further guidance required regarding policies and procedures or recourse to</w:t>
      </w:r>
      <w:r w:rsidR="006E576F">
        <w:rPr>
          <w:rFonts w:cstheme="minorHAnsi"/>
          <w:lang w:val="en-MY" w:eastAsia="en-AU"/>
        </w:rPr>
        <w:t xml:space="preserve"> third-party </w:t>
      </w:r>
      <w:r w:rsidRPr="00B21295">
        <w:rPr>
          <w:rFonts w:cstheme="minorHAnsi"/>
          <w:lang w:val="en-MY" w:eastAsia="en-AU"/>
        </w:rPr>
        <w:t>service partners.</w:t>
      </w:r>
    </w:p>
    <w:p w14:paraId="0EDB7994" w14:textId="01424C95" w:rsidR="00B43A32" w:rsidRPr="003D4746" w:rsidRDefault="00B43A32" w:rsidP="003D4746">
      <w:pPr>
        <w:pStyle w:val="SUBHEAD2"/>
        <w:rPr>
          <w:rFonts w:asciiTheme="minorHAnsi" w:hAnsiTheme="minorHAnsi" w:cstheme="minorHAnsi"/>
          <w:lang w:val="en-MY" w:eastAsia="en-AU"/>
        </w:rPr>
      </w:pPr>
      <w:r w:rsidRPr="003D4746">
        <w:rPr>
          <w:rFonts w:asciiTheme="minorHAnsi" w:hAnsiTheme="minorHAnsi" w:cstheme="minorHAnsi"/>
          <w:lang w:val="en-MY" w:eastAsia="en-AU"/>
        </w:rPr>
        <w:t>Feedback on Ways Services Can Improve</w:t>
      </w:r>
    </w:p>
    <w:p w14:paraId="0B859D81" w14:textId="77777777" w:rsidR="003D4746" w:rsidRDefault="003D4746" w:rsidP="00B43A32">
      <w:pPr>
        <w:jc w:val="both"/>
        <w:rPr>
          <w:rFonts w:cstheme="minorHAnsi"/>
          <w:lang w:val="en-MY" w:eastAsia="en-AU"/>
        </w:rPr>
      </w:pPr>
    </w:p>
    <w:p w14:paraId="6A5CEDA1" w14:textId="0EB331AE" w:rsidR="00B43A32" w:rsidRPr="00B21295" w:rsidRDefault="00B43A32" w:rsidP="00B43A32">
      <w:pPr>
        <w:jc w:val="both"/>
        <w:rPr>
          <w:rFonts w:cstheme="minorHAnsi"/>
          <w:lang w:val="en-MY" w:eastAsia="en-AU"/>
        </w:rPr>
      </w:pPr>
      <w:r w:rsidRPr="00B21295">
        <w:rPr>
          <w:rFonts w:cstheme="minorHAnsi"/>
          <w:lang w:val="en-MY" w:eastAsia="en-AU"/>
        </w:rPr>
        <w:t>Further ways in which the ATC and YTC models</w:t>
      </w:r>
      <w:r w:rsidR="006E576F">
        <w:rPr>
          <w:rFonts w:cstheme="minorHAnsi"/>
          <w:lang w:val="en-MY" w:eastAsia="en-AU"/>
        </w:rPr>
        <w:t>, as implemented, c</w:t>
      </w:r>
      <w:r w:rsidRPr="00B21295">
        <w:rPr>
          <w:rFonts w:cstheme="minorHAnsi"/>
          <w:lang w:val="en-MY" w:eastAsia="en-AU"/>
        </w:rPr>
        <w:t>ould be improved are taken from</w:t>
      </w:r>
      <w:r w:rsidR="006E576F">
        <w:rPr>
          <w:rFonts w:cstheme="minorHAnsi"/>
          <w:lang w:val="en-MY" w:eastAsia="en-AU"/>
        </w:rPr>
        <w:t xml:space="preserve"> </w:t>
      </w:r>
      <w:r w:rsidRPr="00B21295">
        <w:rPr>
          <w:rFonts w:cstheme="minorHAnsi"/>
          <w:lang w:val="en-MY" w:eastAsia="en-AU"/>
        </w:rPr>
        <w:t>direct stakeholders</w:t>
      </w:r>
      <w:r w:rsidR="006E576F">
        <w:rPr>
          <w:rFonts w:cstheme="minorHAnsi"/>
          <w:lang w:val="en-MY" w:eastAsia="en-AU"/>
        </w:rPr>
        <w:t xml:space="preserve"> </w:t>
      </w:r>
      <w:r w:rsidR="006E576F" w:rsidRPr="00B21295">
        <w:rPr>
          <w:rFonts w:cstheme="minorHAnsi"/>
          <w:lang w:val="en-MY" w:eastAsia="en-AU"/>
        </w:rPr>
        <w:t>feedback</w:t>
      </w:r>
      <w:r w:rsidRPr="00B21295">
        <w:rPr>
          <w:rFonts w:cstheme="minorHAnsi"/>
          <w:lang w:val="en-MY" w:eastAsia="en-AU"/>
        </w:rPr>
        <w:t xml:space="preserve">, including </w:t>
      </w:r>
      <w:r w:rsidR="006E576F">
        <w:rPr>
          <w:rFonts w:cstheme="minorHAnsi"/>
          <w:lang w:val="en-MY" w:eastAsia="en-AU"/>
        </w:rPr>
        <w:t xml:space="preserve">from </w:t>
      </w:r>
      <w:r w:rsidRPr="00B21295">
        <w:rPr>
          <w:rFonts w:cstheme="minorHAnsi"/>
          <w:lang w:val="en-MY" w:eastAsia="en-AU"/>
        </w:rPr>
        <w:t>service managers, case workers, clients and staff at correctional services.</w:t>
      </w:r>
    </w:p>
    <w:p w14:paraId="3A9DF198" w14:textId="77777777" w:rsidR="00242B6A" w:rsidRPr="00B21295" w:rsidRDefault="00242B6A" w:rsidP="00242B6A">
      <w:pPr>
        <w:jc w:val="both"/>
        <w:rPr>
          <w:rFonts w:cstheme="minorHAnsi"/>
          <w:lang w:val="en-MY" w:eastAsia="en-AU"/>
        </w:rPr>
      </w:pPr>
    </w:p>
    <w:p w14:paraId="375D3D95" w14:textId="6AE9E1D0" w:rsidR="00242B6A" w:rsidRPr="003D4746" w:rsidRDefault="00762A38" w:rsidP="00876893">
      <w:pPr>
        <w:pStyle w:val="Caption"/>
        <w:rPr>
          <w:color w:val="4F81BD" w:themeColor="accent1"/>
          <w:sz w:val="22"/>
          <w:szCs w:val="22"/>
          <w:lang w:val="en-MY" w:eastAsia="en-AU"/>
        </w:rPr>
      </w:pPr>
      <w:r w:rsidRPr="003D4746">
        <w:rPr>
          <w:color w:val="4F81BD" w:themeColor="accent1"/>
          <w:sz w:val="22"/>
          <w:szCs w:val="22"/>
          <w:lang w:val="en-MY" w:eastAsia="en-AU"/>
        </w:rPr>
        <w:t>Program Design</w:t>
      </w:r>
    </w:p>
    <w:p w14:paraId="14EB0E16" w14:textId="7089EDBE" w:rsidR="00242B6A" w:rsidRDefault="002B36C7" w:rsidP="00242B6A">
      <w:pPr>
        <w:jc w:val="both"/>
        <w:rPr>
          <w:rFonts w:cstheme="minorHAnsi"/>
          <w:lang w:val="en-MY" w:eastAsia="en-AU"/>
        </w:rPr>
      </w:pPr>
      <w:r w:rsidRPr="00B21295">
        <w:rPr>
          <w:rFonts w:cstheme="minorHAnsi"/>
          <w:lang w:val="en-MY" w:eastAsia="en-AU"/>
        </w:rPr>
        <w:t xml:space="preserve">Case workers across both small and large services suggested that program guidelines should be evolved to offer greater clarity and certainty for managers and case workers regarding </w:t>
      </w:r>
      <w:r w:rsidR="00DC25C6" w:rsidRPr="00B21295">
        <w:rPr>
          <w:rFonts w:cstheme="minorHAnsi"/>
          <w:lang w:val="en-MY" w:eastAsia="en-AU"/>
        </w:rPr>
        <w:t>expectations for engagement with family</w:t>
      </w:r>
      <w:r w:rsidRPr="00B21295">
        <w:rPr>
          <w:rFonts w:cstheme="minorHAnsi"/>
          <w:lang w:val="en-MY" w:eastAsia="en-AU"/>
        </w:rPr>
        <w:t xml:space="preserve">. While the practice of </w:t>
      </w:r>
      <w:r w:rsidR="00DC25C6" w:rsidRPr="00B21295">
        <w:rPr>
          <w:rFonts w:cstheme="minorHAnsi"/>
          <w:lang w:val="en-MY" w:eastAsia="en-AU"/>
        </w:rPr>
        <w:t xml:space="preserve">supporting a ‘client with family’ </w:t>
      </w:r>
      <w:r w:rsidR="00CB046C" w:rsidRPr="00B21295">
        <w:rPr>
          <w:rFonts w:cstheme="minorHAnsi"/>
          <w:lang w:val="en-MY" w:eastAsia="en-AU"/>
        </w:rPr>
        <w:t xml:space="preserve">was currently supported it was suggested that guidelines and practices be reframed, where appropriate, to </w:t>
      </w:r>
      <w:r w:rsidR="00DC25C6" w:rsidRPr="00B21295">
        <w:rPr>
          <w:rFonts w:cstheme="minorHAnsi"/>
          <w:lang w:val="en-MY" w:eastAsia="en-AU"/>
        </w:rPr>
        <w:t>support ‘family as the client’.</w:t>
      </w:r>
      <w:r w:rsidR="00CB046C" w:rsidRPr="00B21295">
        <w:rPr>
          <w:rFonts w:cstheme="minorHAnsi"/>
          <w:lang w:val="en-MY" w:eastAsia="en-AU"/>
        </w:rPr>
        <w:t xml:space="preserve"> This was especially felt to be appropriate in the case of females, who have maintained close family relationships and youth still living with parents. Similar suggestions were also made by case workers with regards to group working, including formal and informal therapeutic interventions delivered collectively, if appropriate, for an active</w:t>
      </w:r>
      <w:r w:rsidR="00CB046C" w:rsidRPr="00242B6A">
        <w:rPr>
          <w:rFonts w:cstheme="minorHAnsi"/>
          <w:lang w:val="en-MY" w:eastAsia="en-AU"/>
        </w:rPr>
        <w:t xml:space="preserve"> case</w:t>
      </w:r>
      <w:r w:rsidR="00694565">
        <w:rPr>
          <w:rFonts w:cstheme="minorHAnsi"/>
          <w:lang w:val="en-MY" w:eastAsia="en-AU"/>
        </w:rPr>
        <w:t>-</w:t>
      </w:r>
      <w:r w:rsidR="00CB046C" w:rsidRPr="00242B6A">
        <w:rPr>
          <w:rFonts w:cstheme="minorHAnsi"/>
          <w:lang w:val="en-MY" w:eastAsia="en-AU"/>
        </w:rPr>
        <w:t>load.</w:t>
      </w:r>
    </w:p>
    <w:p w14:paraId="38BAA21C" w14:textId="77777777" w:rsidR="00242B6A" w:rsidRDefault="00242B6A" w:rsidP="00242B6A">
      <w:pPr>
        <w:jc w:val="both"/>
        <w:rPr>
          <w:rFonts w:cstheme="minorHAnsi"/>
          <w:lang w:val="en-MY" w:eastAsia="en-AU"/>
        </w:rPr>
      </w:pPr>
    </w:p>
    <w:p w14:paraId="3AFDAA4D" w14:textId="18881C84" w:rsidR="00507B44" w:rsidRPr="00B21295" w:rsidRDefault="00D01831" w:rsidP="00242B6A">
      <w:pPr>
        <w:jc w:val="both"/>
        <w:rPr>
          <w:rFonts w:cstheme="minorHAnsi"/>
          <w:lang w:val="en-MY" w:eastAsia="en-AU"/>
        </w:rPr>
      </w:pPr>
      <w:r w:rsidRPr="00F06C6C">
        <w:rPr>
          <w:rFonts w:cstheme="minorHAnsi"/>
          <w:lang w:val="en-MY" w:eastAsia="en-AU"/>
        </w:rPr>
        <w:t xml:space="preserve">A further </w:t>
      </w:r>
      <w:r w:rsidR="00CB046C" w:rsidRPr="00F06C6C">
        <w:rPr>
          <w:rFonts w:cstheme="minorHAnsi"/>
          <w:lang w:val="en-MY" w:eastAsia="en-AU"/>
        </w:rPr>
        <w:t>suggestion made specifically with regards to the YTC program included</w:t>
      </w:r>
      <w:r w:rsidRPr="00F06C6C">
        <w:rPr>
          <w:rFonts w:cstheme="minorHAnsi"/>
          <w:lang w:val="en-MY" w:eastAsia="en-AU"/>
        </w:rPr>
        <w:t xml:space="preserve"> the need to </w:t>
      </w:r>
      <w:r w:rsidR="00CB046C" w:rsidRPr="00F06C6C">
        <w:rPr>
          <w:rFonts w:cstheme="minorHAnsi"/>
          <w:lang w:val="en-MY" w:eastAsia="en-AU"/>
        </w:rPr>
        <w:t>expan</w:t>
      </w:r>
      <w:r w:rsidRPr="00F06C6C">
        <w:rPr>
          <w:rFonts w:cstheme="minorHAnsi"/>
          <w:lang w:val="en-MY" w:eastAsia="en-AU"/>
        </w:rPr>
        <w:t>d</w:t>
      </w:r>
      <w:r w:rsidR="00CB046C" w:rsidRPr="00F06C6C">
        <w:rPr>
          <w:rFonts w:cstheme="minorHAnsi"/>
          <w:lang w:val="en-MY" w:eastAsia="en-AU"/>
        </w:rPr>
        <w:t xml:space="preserve"> the definition of youth from </w:t>
      </w:r>
      <w:r w:rsidRPr="00F06C6C">
        <w:rPr>
          <w:rFonts w:cstheme="minorHAnsi"/>
          <w:lang w:val="en-MY" w:eastAsia="en-AU"/>
        </w:rPr>
        <w:t xml:space="preserve">under </w:t>
      </w:r>
      <w:r w:rsidR="00CB046C" w:rsidRPr="00F06C6C">
        <w:rPr>
          <w:rFonts w:cstheme="minorHAnsi"/>
          <w:lang w:val="en-MY" w:eastAsia="en-AU"/>
        </w:rPr>
        <w:t xml:space="preserve">18 to </w:t>
      </w:r>
      <w:r w:rsidRPr="00F06C6C">
        <w:rPr>
          <w:rFonts w:cstheme="minorHAnsi"/>
          <w:lang w:val="en-MY" w:eastAsia="en-AU"/>
        </w:rPr>
        <w:t xml:space="preserve">under </w:t>
      </w:r>
      <w:r w:rsidR="00CB046C" w:rsidRPr="00F06C6C">
        <w:rPr>
          <w:rFonts w:cstheme="minorHAnsi"/>
          <w:lang w:val="en-MY" w:eastAsia="en-AU"/>
        </w:rPr>
        <w:t>2</w:t>
      </w:r>
      <w:r w:rsidRPr="00F06C6C">
        <w:rPr>
          <w:rFonts w:cstheme="minorHAnsi"/>
          <w:lang w:val="en-MY" w:eastAsia="en-AU"/>
        </w:rPr>
        <w:t>5</w:t>
      </w:r>
      <w:r w:rsidR="00CB046C" w:rsidRPr="00F06C6C">
        <w:rPr>
          <w:rFonts w:cstheme="minorHAnsi"/>
          <w:lang w:val="en-MY" w:eastAsia="en-AU"/>
        </w:rPr>
        <w:t xml:space="preserve"> years – in line with World Health Organisation (WHO) guidelines -</w:t>
      </w:r>
      <w:r w:rsidR="00CB046C" w:rsidRPr="00242B6A">
        <w:rPr>
          <w:rFonts w:cstheme="minorHAnsi"/>
          <w:lang w:val="en-MY" w:eastAsia="en-AU"/>
        </w:rPr>
        <w:t xml:space="preserve"> given the prevalence of social and developmental delay and the </w:t>
      </w:r>
      <w:r w:rsidR="00CB046C" w:rsidRPr="00B21295">
        <w:rPr>
          <w:rFonts w:cstheme="minorHAnsi"/>
          <w:lang w:val="en-MY" w:eastAsia="en-AU"/>
        </w:rPr>
        <w:t xml:space="preserve">need (in the State of Victoria) </w:t>
      </w:r>
      <w:r w:rsidRPr="00B21295">
        <w:rPr>
          <w:rFonts w:cstheme="minorHAnsi"/>
          <w:lang w:val="en-MY" w:eastAsia="en-AU"/>
        </w:rPr>
        <w:t xml:space="preserve">to better align youth through-care with state-based </w:t>
      </w:r>
      <w:r w:rsidR="00CB046C" w:rsidRPr="00B21295">
        <w:rPr>
          <w:rFonts w:cstheme="minorHAnsi"/>
          <w:lang w:val="en-MY" w:eastAsia="en-AU"/>
        </w:rPr>
        <w:t xml:space="preserve">youth justice </w:t>
      </w:r>
      <w:r w:rsidRPr="00B21295">
        <w:rPr>
          <w:rFonts w:cstheme="minorHAnsi"/>
          <w:lang w:val="en-MY" w:eastAsia="en-AU"/>
        </w:rPr>
        <w:t xml:space="preserve">systems (to ensure </w:t>
      </w:r>
      <w:r w:rsidR="00CB046C" w:rsidRPr="00B21295">
        <w:rPr>
          <w:rFonts w:cstheme="minorHAnsi"/>
          <w:lang w:val="en-MY" w:eastAsia="en-AU"/>
        </w:rPr>
        <w:t>continuity</w:t>
      </w:r>
      <w:r w:rsidRPr="00B21295">
        <w:rPr>
          <w:rFonts w:cstheme="minorHAnsi"/>
          <w:lang w:val="en-MY" w:eastAsia="en-AU"/>
        </w:rPr>
        <w:t xml:space="preserve"> of care for youths held in custody beyond their eighteenth birthday). The suggestion was also made by providers </w:t>
      </w:r>
      <w:r w:rsidR="00507B44" w:rsidRPr="00B21295">
        <w:rPr>
          <w:rFonts w:cstheme="minorHAnsi"/>
          <w:lang w:val="en-MY" w:eastAsia="en-AU"/>
        </w:rPr>
        <w:t>of</w:t>
      </w:r>
      <w:r w:rsidRPr="00B21295">
        <w:rPr>
          <w:rFonts w:cstheme="minorHAnsi"/>
          <w:lang w:val="en-MY" w:eastAsia="en-AU"/>
        </w:rPr>
        <w:t xml:space="preserve"> through-care services to youth</w:t>
      </w:r>
      <w:r w:rsidR="00507B44" w:rsidRPr="00B21295">
        <w:rPr>
          <w:rFonts w:cstheme="minorHAnsi"/>
          <w:lang w:val="en-MY" w:eastAsia="en-AU"/>
        </w:rPr>
        <w:t xml:space="preserve"> </w:t>
      </w:r>
      <w:r w:rsidRPr="00B21295">
        <w:rPr>
          <w:rFonts w:cstheme="minorHAnsi"/>
          <w:lang w:val="en-MY" w:eastAsia="en-AU"/>
        </w:rPr>
        <w:t xml:space="preserve">that </w:t>
      </w:r>
      <w:r w:rsidR="00762A38" w:rsidRPr="00B21295">
        <w:rPr>
          <w:rFonts w:cstheme="minorHAnsi"/>
          <w:lang w:val="en-MY" w:eastAsia="en-AU"/>
        </w:rPr>
        <w:t xml:space="preserve">expectations </w:t>
      </w:r>
      <w:r w:rsidRPr="00B21295">
        <w:rPr>
          <w:rFonts w:cstheme="minorHAnsi"/>
          <w:lang w:val="en-MY" w:eastAsia="en-AU"/>
        </w:rPr>
        <w:t xml:space="preserve">regarding </w:t>
      </w:r>
      <w:r w:rsidR="00762A38" w:rsidRPr="00B21295">
        <w:rPr>
          <w:rFonts w:cstheme="minorHAnsi"/>
          <w:lang w:val="en-MY" w:eastAsia="en-AU"/>
        </w:rPr>
        <w:t>youth who interact with the youth justice system but have not entered custody</w:t>
      </w:r>
      <w:r w:rsidR="00507B44" w:rsidRPr="00B21295">
        <w:rPr>
          <w:rFonts w:cstheme="minorHAnsi"/>
          <w:lang w:val="en-MY" w:eastAsia="en-AU"/>
        </w:rPr>
        <w:t xml:space="preserve"> should be improved, to allow for this cohort to be serviced within existing program frameworks.</w:t>
      </w:r>
    </w:p>
    <w:p w14:paraId="00F31C64" w14:textId="77777777" w:rsidR="00507B44" w:rsidRPr="00B21295" w:rsidRDefault="00507B44" w:rsidP="0078531A">
      <w:pPr>
        <w:jc w:val="both"/>
        <w:rPr>
          <w:rFonts w:cstheme="minorHAnsi"/>
          <w:lang w:val="en-MY" w:eastAsia="en-AU"/>
        </w:rPr>
      </w:pPr>
    </w:p>
    <w:p w14:paraId="73D4B3C0" w14:textId="77777777" w:rsidR="00242B6A" w:rsidRPr="003D4746" w:rsidRDefault="00E752C1" w:rsidP="00876893">
      <w:pPr>
        <w:pStyle w:val="Caption"/>
        <w:rPr>
          <w:color w:val="4F81BD" w:themeColor="accent1"/>
          <w:sz w:val="22"/>
          <w:szCs w:val="22"/>
          <w:lang w:val="en-MY" w:eastAsia="en-AU"/>
        </w:rPr>
      </w:pPr>
      <w:r w:rsidRPr="003D4746">
        <w:rPr>
          <w:color w:val="4F81BD" w:themeColor="accent1"/>
          <w:sz w:val="22"/>
          <w:szCs w:val="22"/>
          <w:lang w:val="en-MY" w:eastAsia="en-AU"/>
        </w:rPr>
        <w:t>Program Implementation</w:t>
      </w:r>
    </w:p>
    <w:p w14:paraId="1D63B173" w14:textId="6306CFA0" w:rsidR="00D70222" w:rsidRPr="00B21295" w:rsidRDefault="002D3376" w:rsidP="00242B6A">
      <w:pPr>
        <w:jc w:val="both"/>
        <w:rPr>
          <w:rFonts w:cstheme="minorHAnsi"/>
          <w:lang w:val="en-MY" w:eastAsia="en-AU"/>
        </w:rPr>
      </w:pPr>
      <w:r w:rsidRPr="00B21295">
        <w:rPr>
          <w:rFonts w:cstheme="minorHAnsi"/>
          <w:lang w:val="en-MY" w:eastAsia="en-AU"/>
        </w:rPr>
        <w:t>Although a feature of management and team structures at some larger services, at sites of ATC and YTC services with more than one case</w:t>
      </w:r>
      <w:r w:rsidR="00694565">
        <w:rPr>
          <w:rFonts w:cstheme="minorHAnsi"/>
          <w:lang w:val="en-MY" w:eastAsia="en-AU"/>
        </w:rPr>
        <w:t xml:space="preserve"> </w:t>
      </w:r>
      <w:r w:rsidRPr="00B21295">
        <w:rPr>
          <w:rFonts w:cstheme="minorHAnsi"/>
          <w:lang w:val="en-MY" w:eastAsia="en-AU"/>
        </w:rPr>
        <w:t xml:space="preserve">worker it was suggested that </w:t>
      </w:r>
      <w:r w:rsidR="00E752C1" w:rsidRPr="00B21295">
        <w:rPr>
          <w:rFonts w:cstheme="minorHAnsi"/>
          <w:lang w:val="en-MY" w:eastAsia="en-AU"/>
        </w:rPr>
        <w:t xml:space="preserve">the </w:t>
      </w:r>
      <w:r w:rsidRPr="00B21295">
        <w:rPr>
          <w:rFonts w:cstheme="minorHAnsi"/>
          <w:lang w:val="en-MY" w:eastAsia="en-AU"/>
        </w:rPr>
        <w:t xml:space="preserve">role of </w:t>
      </w:r>
      <w:r w:rsidR="00E752C1" w:rsidRPr="00B21295">
        <w:rPr>
          <w:rFonts w:cstheme="minorHAnsi"/>
          <w:lang w:val="en-MY" w:eastAsia="en-AU"/>
        </w:rPr>
        <w:t>team leader or coordinator</w:t>
      </w:r>
      <w:r w:rsidRPr="00B21295">
        <w:rPr>
          <w:rFonts w:cstheme="minorHAnsi"/>
          <w:lang w:val="en-MY" w:eastAsia="en-AU"/>
        </w:rPr>
        <w:t xml:space="preserve"> be consistently introduced to improve site level accountability and streamline internal reporting processes. The need to </w:t>
      </w:r>
      <w:r w:rsidR="00E752C1" w:rsidRPr="00B21295">
        <w:rPr>
          <w:rFonts w:cstheme="minorHAnsi"/>
          <w:lang w:val="en-MY" w:eastAsia="en-AU"/>
        </w:rPr>
        <w:t>introduc</w:t>
      </w:r>
      <w:r w:rsidR="00D70222" w:rsidRPr="00B21295">
        <w:rPr>
          <w:rFonts w:cstheme="minorHAnsi"/>
          <w:lang w:val="en-MY" w:eastAsia="en-AU"/>
        </w:rPr>
        <w:t xml:space="preserve">e the role of a through-care </w:t>
      </w:r>
      <w:r w:rsidR="00E752C1" w:rsidRPr="00B21295">
        <w:rPr>
          <w:rFonts w:cstheme="minorHAnsi"/>
          <w:lang w:val="en-MY" w:eastAsia="en-AU"/>
        </w:rPr>
        <w:t xml:space="preserve">support worker to assist case managers with some transactional aspects of the service </w:t>
      </w:r>
      <w:r w:rsidR="00D70222" w:rsidRPr="00B21295">
        <w:rPr>
          <w:rFonts w:cstheme="minorHAnsi"/>
          <w:lang w:val="en-MY" w:eastAsia="en-AU"/>
        </w:rPr>
        <w:t>(</w:t>
      </w:r>
      <w:r w:rsidR="00E752C1" w:rsidRPr="00B21295">
        <w:rPr>
          <w:rFonts w:cstheme="minorHAnsi"/>
          <w:lang w:val="en-MY" w:eastAsia="en-AU"/>
        </w:rPr>
        <w:t xml:space="preserve">such as obtaining social identification or </w:t>
      </w:r>
      <w:r w:rsidR="00D70222" w:rsidRPr="00B21295">
        <w:rPr>
          <w:rFonts w:cstheme="minorHAnsi"/>
          <w:lang w:val="en-MY" w:eastAsia="en-AU"/>
        </w:rPr>
        <w:t>other forms of desk-based client advocacy) was also raised in the context of high case</w:t>
      </w:r>
      <w:r w:rsidR="00694565">
        <w:rPr>
          <w:rFonts w:cstheme="minorHAnsi"/>
          <w:lang w:val="en-MY" w:eastAsia="en-AU"/>
        </w:rPr>
        <w:t>-</w:t>
      </w:r>
      <w:r w:rsidR="00D70222" w:rsidRPr="00B21295">
        <w:rPr>
          <w:rFonts w:cstheme="minorHAnsi"/>
          <w:lang w:val="en-MY" w:eastAsia="en-AU"/>
        </w:rPr>
        <w:t xml:space="preserve">loads and the need to dedicate more </w:t>
      </w:r>
      <w:r w:rsidR="001C5D7D" w:rsidRPr="00B21295">
        <w:rPr>
          <w:rFonts w:cstheme="minorHAnsi"/>
          <w:lang w:val="en-MY" w:eastAsia="en-AU"/>
        </w:rPr>
        <w:t xml:space="preserve">‘one-to-one’ </w:t>
      </w:r>
      <w:r w:rsidR="00D70222" w:rsidRPr="00B21295">
        <w:rPr>
          <w:rFonts w:cstheme="minorHAnsi"/>
          <w:lang w:val="en-MY" w:eastAsia="en-AU"/>
        </w:rPr>
        <w:t>time to mentor</w:t>
      </w:r>
      <w:r w:rsidR="001C5D7D" w:rsidRPr="00B21295">
        <w:rPr>
          <w:rFonts w:cstheme="minorHAnsi"/>
          <w:lang w:val="en-MY" w:eastAsia="en-AU"/>
        </w:rPr>
        <w:t>ing</w:t>
      </w:r>
      <w:r w:rsidR="00D70222" w:rsidRPr="00B21295">
        <w:rPr>
          <w:rFonts w:cstheme="minorHAnsi"/>
          <w:lang w:val="en-MY" w:eastAsia="en-AU"/>
        </w:rPr>
        <w:t xml:space="preserve"> and counselling support for clients with complex needs</w:t>
      </w:r>
      <w:r w:rsidR="00E752C1" w:rsidRPr="00B21295">
        <w:rPr>
          <w:rFonts w:cstheme="minorHAnsi"/>
          <w:lang w:val="en-MY" w:eastAsia="en-AU"/>
        </w:rPr>
        <w:t>.</w:t>
      </w:r>
    </w:p>
    <w:p w14:paraId="262EEF93" w14:textId="77777777" w:rsidR="00D70222" w:rsidRPr="00B21295" w:rsidRDefault="00D70222" w:rsidP="00D70222">
      <w:pPr>
        <w:pStyle w:val="ListParagraph"/>
        <w:jc w:val="both"/>
        <w:rPr>
          <w:rFonts w:cstheme="minorHAnsi"/>
          <w:lang w:val="en-MY" w:eastAsia="en-AU"/>
        </w:rPr>
      </w:pPr>
    </w:p>
    <w:p w14:paraId="5718771E" w14:textId="5ED283A2" w:rsidR="00242B6A" w:rsidRDefault="001C5D7D" w:rsidP="00242B6A">
      <w:pPr>
        <w:jc w:val="both"/>
        <w:rPr>
          <w:rFonts w:cstheme="minorHAnsi"/>
          <w:lang w:val="en-MY" w:eastAsia="en-AU"/>
        </w:rPr>
      </w:pPr>
      <w:r w:rsidRPr="00B21295">
        <w:rPr>
          <w:rFonts w:cstheme="minorHAnsi"/>
          <w:lang w:val="en-MY" w:eastAsia="en-AU"/>
        </w:rPr>
        <w:t xml:space="preserve">All service managers, of course, </w:t>
      </w:r>
      <w:r w:rsidR="00D70222" w:rsidRPr="00B21295">
        <w:rPr>
          <w:rFonts w:cstheme="minorHAnsi"/>
          <w:lang w:val="en-MY" w:eastAsia="en-AU"/>
        </w:rPr>
        <w:t xml:space="preserve">stated that </w:t>
      </w:r>
      <w:r w:rsidRPr="00B21295">
        <w:rPr>
          <w:rFonts w:cstheme="minorHAnsi"/>
          <w:lang w:val="en-MY" w:eastAsia="en-AU"/>
        </w:rPr>
        <w:t xml:space="preserve">their services could be improved with additional funding to employ more </w:t>
      </w:r>
      <w:r w:rsidR="00D70222" w:rsidRPr="00B21295">
        <w:rPr>
          <w:rFonts w:cstheme="minorHAnsi"/>
          <w:lang w:val="en-MY" w:eastAsia="en-AU"/>
        </w:rPr>
        <w:t>case workers to deliver the program.</w:t>
      </w:r>
      <w:r w:rsidRPr="00B21295">
        <w:rPr>
          <w:rFonts w:cstheme="minorHAnsi"/>
          <w:lang w:val="en-MY" w:eastAsia="en-AU"/>
        </w:rPr>
        <w:t xml:space="preserve"> Managers stated that a</w:t>
      </w:r>
      <w:r w:rsidR="00762A38" w:rsidRPr="00B21295">
        <w:rPr>
          <w:rFonts w:cstheme="minorHAnsi"/>
          <w:lang w:val="en-MY" w:eastAsia="en-AU"/>
        </w:rPr>
        <w:t xml:space="preserve">dditional funding </w:t>
      </w:r>
      <w:r w:rsidRPr="00B21295">
        <w:rPr>
          <w:rFonts w:cstheme="minorHAnsi"/>
          <w:lang w:val="en-MY" w:eastAsia="en-AU"/>
        </w:rPr>
        <w:t xml:space="preserve">could also be used </w:t>
      </w:r>
      <w:r w:rsidR="00762A38" w:rsidRPr="00B21295">
        <w:rPr>
          <w:rFonts w:cstheme="minorHAnsi"/>
          <w:lang w:val="en-MY" w:eastAsia="en-AU"/>
        </w:rPr>
        <w:t xml:space="preserve">to </w:t>
      </w:r>
      <w:r w:rsidRPr="00B21295">
        <w:rPr>
          <w:rFonts w:cstheme="minorHAnsi"/>
          <w:lang w:val="en-MY" w:eastAsia="en-AU"/>
        </w:rPr>
        <w:t xml:space="preserve">deliver selected secondary services such as alcohol and other drug counselling, or mental health counselling, </w:t>
      </w:r>
      <w:r w:rsidR="00762A38" w:rsidRPr="00B21295">
        <w:rPr>
          <w:rFonts w:cstheme="minorHAnsi"/>
          <w:lang w:val="en-MY" w:eastAsia="en-AU"/>
        </w:rPr>
        <w:t xml:space="preserve">in circumstances where there is evidence of demand but </w:t>
      </w:r>
      <w:r w:rsidRPr="00B21295">
        <w:rPr>
          <w:rFonts w:cstheme="minorHAnsi"/>
          <w:lang w:val="en-MY" w:eastAsia="en-AU"/>
        </w:rPr>
        <w:t xml:space="preserve">these </w:t>
      </w:r>
      <w:r w:rsidR="00762A38" w:rsidRPr="00B21295">
        <w:rPr>
          <w:rFonts w:cstheme="minorHAnsi"/>
          <w:lang w:val="en-MY" w:eastAsia="en-AU"/>
        </w:rPr>
        <w:t>services are not available locally.</w:t>
      </w:r>
      <w:r w:rsidRPr="00B21295">
        <w:rPr>
          <w:rFonts w:cstheme="minorHAnsi"/>
          <w:lang w:val="en-MY" w:eastAsia="en-AU"/>
        </w:rPr>
        <w:t xml:space="preserve"> According to ATC managers, if the funds were available, the most significant expenditure would be made on accessing supported a</w:t>
      </w:r>
      <w:r w:rsidR="00E752C1" w:rsidRPr="00B21295">
        <w:rPr>
          <w:rFonts w:cstheme="minorHAnsi"/>
          <w:lang w:val="en-MY" w:eastAsia="en-AU"/>
        </w:rPr>
        <w:t>ccommodation</w:t>
      </w:r>
      <w:r w:rsidR="007C614D">
        <w:rPr>
          <w:rFonts w:cstheme="minorHAnsi"/>
          <w:lang w:val="en-MY" w:eastAsia="en-AU"/>
        </w:rPr>
        <w:t xml:space="preserve"> through a third-party not-for-profit provider, </w:t>
      </w:r>
      <w:r w:rsidRPr="00B21295">
        <w:rPr>
          <w:rFonts w:cstheme="minorHAnsi"/>
          <w:lang w:val="en-MY" w:eastAsia="en-AU"/>
        </w:rPr>
        <w:t>and for this to be made available for clients immediately upon prison release</w:t>
      </w:r>
      <w:r w:rsidR="007C614D">
        <w:rPr>
          <w:rFonts w:cstheme="minorHAnsi"/>
          <w:lang w:val="en-MY" w:eastAsia="en-AU"/>
        </w:rPr>
        <w:t xml:space="preserve">, and </w:t>
      </w:r>
      <w:r w:rsidRPr="00B21295">
        <w:rPr>
          <w:rFonts w:cstheme="minorHAnsi"/>
          <w:lang w:val="en-MY" w:eastAsia="en-AU"/>
        </w:rPr>
        <w:t>for the duration of their time as an active client</w:t>
      </w:r>
      <w:r w:rsidR="007C614D">
        <w:rPr>
          <w:rFonts w:cstheme="minorHAnsi"/>
          <w:lang w:val="en-MY" w:eastAsia="en-AU"/>
        </w:rPr>
        <w:t xml:space="preserve"> should housing in their community or with family not be available</w:t>
      </w:r>
      <w:r w:rsidR="00E752C1" w:rsidRPr="00B21295">
        <w:rPr>
          <w:rFonts w:cstheme="minorHAnsi"/>
          <w:lang w:val="en-MY" w:eastAsia="en-AU"/>
        </w:rPr>
        <w:t>.</w:t>
      </w:r>
      <w:r w:rsidRPr="00B21295">
        <w:rPr>
          <w:rFonts w:cstheme="minorHAnsi"/>
          <w:lang w:val="en-MY" w:eastAsia="en-AU"/>
        </w:rPr>
        <w:t xml:space="preserve"> </w:t>
      </w:r>
    </w:p>
    <w:p w14:paraId="3F4B2FEB" w14:textId="77777777" w:rsidR="00EA6270" w:rsidRDefault="00EA6270" w:rsidP="00242B6A">
      <w:pPr>
        <w:jc w:val="both"/>
        <w:rPr>
          <w:rFonts w:cstheme="minorHAnsi"/>
          <w:lang w:val="en-MY" w:eastAsia="en-AU"/>
        </w:rPr>
      </w:pPr>
    </w:p>
    <w:p w14:paraId="522ABBD4" w14:textId="31AE8C8F" w:rsidR="00EA6270" w:rsidRPr="00B21295" w:rsidRDefault="00EA6270" w:rsidP="00242B6A">
      <w:pPr>
        <w:jc w:val="both"/>
        <w:rPr>
          <w:rFonts w:cstheme="minorHAnsi"/>
          <w:lang w:val="en-MY" w:eastAsia="en-AU"/>
        </w:rPr>
      </w:pPr>
      <w:r>
        <w:rPr>
          <w:rFonts w:cstheme="minorHAnsi"/>
          <w:lang w:val="en-MY" w:eastAsia="en-AU"/>
        </w:rPr>
        <w:t xml:space="preserve">The need for additional resourcing of through-care was also raised by correctional services staff, who felt </w:t>
      </w:r>
      <w:r w:rsidR="00830B04">
        <w:rPr>
          <w:rFonts w:cstheme="minorHAnsi"/>
          <w:lang w:val="en-MY" w:eastAsia="en-AU"/>
        </w:rPr>
        <w:t xml:space="preserve">funding for additional staff </w:t>
      </w:r>
      <w:r>
        <w:rPr>
          <w:rFonts w:cstheme="minorHAnsi"/>
          <w:lang w:val="en-MY" w:eastAsia="en-AU"/>
        </w:rPr>
        <w:t xml:space="preserve">might improve </w:t>
      </w:r>
      <w:r w:rsidR="00830B04">
        <w:rPr>
          <w:rFonts w:cstheme="minorHAnsi"/>
          <w:lang w:val="en-MY" w:eastAsia="en-AU"/>
        </w:rPr>
        <w:t>the capacity of through-care services to coordinate with them more effectively, including efforts to obtain any available medical information from prison clinics prior to a prisoners release.</w:t>
      </w:r>
    </w:p>
    <w:p w14:paraId="7B5DC269" w14:textId="77777777" w:rsidR="00F3309B" w:rsidRPr="00B21295" w:rsidRDefault="00F3309B" w:rsidP="00F3309B">
      <w:pPr>
        <w:jc w:val="both"/>
        <w:rPr>
          <w:rFonts w:cstheme="minorHAnsi"/>
          <w:lang w:val="en-MY" w:eastAsia="en-AU"/>
        </w:rPr>
      </w:pPr>
    </w:p>
    <w:p w14:paraId="76704EBD" w14:textId="77777777" w:rsidR="00242B6A" w:rsidRPr="003D4746" w:rsidRDefault="00F3309B" w:rsidP="00876893">
      <w:pPr>
        <w:pStyle w:val="Caption"/>
        <w:rPr>
          <w:color w:val="4F81BD" w:themeColor="accent1"/>
          <w:sz w:val="22"/>
          <w:szCs w:val="22"/>
          <w:lang w:val="en-MY" w:eastAsia="en-AU"/>
        </w:rPr>
      </w:pPr>
      <w:r w:rsidRPr="003D4746">
        <w:rPr>
          <w:color w:val="4F81BD" w:themeColor="accent1"/>
          <w:sz w:val="22"/>
          <w:szCs w:val="22"/>
          <w:lang w:val="en-MY" w:eastAsia="en-AU"/>
        </w:rPr>
        <w:t>Data Requirements</w:t>
      </w:r>
    </w:p>
    <w:p w14:paraId="500BE696" w14:textId="5B480EE5" w:rsidR="00F3309B" w:rsidRPr="00B21295" w:rsidRDefault="00F3309B" w:rsidP="00242B6A">
      <w:pPr>
        <w:jc w:val="both"/>
        <w:rPr>
          <w:rFonts w:cstheme="minorHAnsi"/>
          <w:lang w:val="en-MY" w:eastAsia="en-AU"/>
        </w:rPr>
      </w:pPr>
      <w:r w:rsidRPr="00B21295">
        <w:rPr>
          <w:rFonts w:cstheme="minorHAnsi"/>
          <w:lang w:val="en-MY" w:eastAsia="en-AU"/>
        </w:rPr>
        <w:t xml:space="preserve">Related to the suggestions made regarding improvements to program design is the need, expressed by managers of both ATC and YTC services, for clarified and improved data and outcome definitions in program guidelines and data glossaries. This issue is further explored within this proceeding sections of this chapter and includes the need to address fundamental design requirements such as the definition of a client, a returning client, and recidivism. </w:t>
      </w:r>
    </w:p>
    <w:p w14:paraId="7399E567" w14:textId="77777777" w:rsidR="00F3309B" w:rsidRPr="00B21295" w:rsidRDefault="00F3309B" w:rsidP="00F3309B">
      <w:pPr>
        <w:pStyle w:val="ListParagraph"/>
        <w:jc w:val="both"/>
        <w:rPr>
          <w:rFonts w:cstheme="minorHAnsi"/>
          <w:lang w:val="en-MY" w:eastAsia="en-AU"/>
        </w:rPr>
      </w:pPr>
    </w:p>
    <w:p w14:paraId="7202833F" w14:textId="47DA8BFA" w:rsidR="00F3309B" w:rsidRDefault="00F3309B" w:rsidP="00242B6A">
      <w:pPr>
        <w:jc w:val="both"/>
        <w:rPr>
          <w:rFonts w:cstheme="minorHAnsi"/>
          <w:lang w:val="en-MY" w:eastAsia="en-AU"/>
        </w:rPr>
      </w:pPr>
      <w:r w:rsidRPr="00B21295">
        <w:rPr>
          <w:rFonts w:cstheme="minorHAnsi"/>
          <w:lang w:val="en-MY" w:eastAsia="en-AU"/>
        </w:rPr>
        <w:t xml:space="preserve">Furthermore, as </w:t>
      </w:r>
      <w:r w:rsidR="0088520F">
        <w:rPr>
          <w:rFonts w:cstheme="minorHAnsi"/>
          <w:lang w:val="en-MY" w:eastAsia="en-AU"/>
        </w:rPr>
        <w:t xml:space="preserve">a </w:t>
      </w:r>
      <w:r w:rsidRPr="00B21295">
        <w:rPr>
          <w:rFonts w:cstheme="minorHAnsi"/>
          <w:lang w:val="en-MY" w:eastAsia="en-AU"/>
        </w:rPr>
        <w:t>mechanism to inform the continuous improvement of practice, the suggestion was made by service managers and data administrators to establish a through-care community of practice (including both ATC and YTC programs) so managers and case workers across providers can share and discuss challenges and areas of good practice.</w:t>
      </w:r>
    </w:p>
    <w:p w14:paraId="354C0D3D" w14:textId="77777777" w:rsidR="00BC03C1" w:rsidRPr="00242B6A" w:rsidRDefault="00BC03C1" w:rsidP="00242B6A">
      <w:pPr>
        <w:jc w:val="both"/>
        <w:rPr>
          <w:rFonts w:cstheme="minorHAnsi"/>
          <w:lang w:val="en-MY" w:eastAsia="en-AU"/>
        </w:rPr>
      </w:pPr>
    </w:p>
    <w:p w14:paraId="0E16A1BE" w14:textId="77777777" w:rsidR="003D4746" w:rsidRDefault="003D4746">
      <w:pPr>
        <w:spacing w:after="200" w:line="276" w:lineRule="auto"/>
        <w:jc w:val="both"/>
        <w:rPr>
          <w:rFonts w:cstheme="minorHAnsi"/>
          <w:b/>
          <w:smallCaps/>
          <w:spacing w:val="5"/>
          <w:sz w:val="28"/>
          <w:szCs w:val="28"/>
          <w:lang w:val="en-MY" w:eastAsia="en-AU"/>
        </w:rPr>
      </w:pPr>
      <w:r>
        <w:rPr>
          <w:rFonts w:cstheme="minorHAnsi"/>
          <w:lang w:val="en-MY" w:eastAsia="en-AU"/>
        </w:rPr>
        <w:br w:type="page"/>
      </w:r>
    </w:p>
    <w:p w14:paraId="28E50428" w14:textId="1FF827AC" w:rsidR="00123BF2" w:rsidRPr="00124E6C" w:rsidRDefault="00421CD3" w:rsidP="00B77817">
      <w:pPr>
        <w:pStyle w:val="Heading2"/>
        <w:numPr>
          <w:ilvl w:val="0"/>
          <w:numId w:val="33"/>
        </w:numPr>
        <w:rPr>
          <w:rFonts w:cstheme="minorHAnsi"/>
          <w:lang w:val="en-MY" w:eastAsia="en-AU"/>
        </w:rPr>
      </w:pPr>
      <w:bookmarkStart w:id="32" w:name="_Toc150784206"/>
      <w:r w:rsidRPr="00124E6C">
        <w:rPr>
          <w:rFonts w:cstheme="minorHAnsi"/>
          <w:lang w:val="en-MY" w:eastAsia="en-AU"/>
        </w:rPr>
        <w:t>Achieving Outcomes</w:t>
      </w:r>
      <w:bookmarkEnd w:id="32"/>
    </w:p>
    <w:p w14:paraId="7C616899" w14:textId="3C164C6B" w:rsidR="004650AE" w:rsidRPr="00124E6C" w:rsidRDefault="00421CD3" w:rsidP="00124E6C">
      <w:pPr>
        <w:jc w:val="both"/>
        <w:rPr>
          <w:rFonts w:cstheme="minorHAnsi"/>
          <w:i/>
          <w:iCs/>
          <w:color w:val="4F81BD" w:themeColor="accent1"/>
          <w:lang w:val="en-MY" w:eastAsia="en-AU"/>
        </w:rPr>
      </w:pPr>
      <w:r w:rsidRPr="00124E6C">
        <w:rPr>
          <w:rFonts w:cstheme="minorHAnsi"/>
          <w:i/>
          <w:iCs/>
          <w:color w:val="4F81BD" w:themeColor="accent1"/>
          <w:lang w:val="en-MY" w:eastAsia="en-AU"/>
        </w:rPr>
        <w:t>Are there any early indications of ATC and YTC models achieving medium and longer term outcomes i.e. reduced recidivism, reduced severity of offending, or improved outcomes in protective factors (such as secure housing, engagement in education or employment, reduced substance abuse, engagement in meaningful activities, strengthening cultural and family connections, etc)?</w:t>
      </w:r>
    </w:p>
    <w:p w14:paraId="59FB927F" w14:textId="77777777" w:rsidR="00473742" w:rsidRPr="003D4746" w:rsidRDefault="00473742" w:rsidP="003D4746">
      <w:pPr>
        <w:pStyle w:val="SUBHEAD2"/>
        <w:rPr>
          <w:rFonts w:asciiTheme="minorHAnsi" w:hAnsiTheme="minorHAnsi" w:cstheme="minorHAnsi"/>
          <w:lang w:val="en-MY" w:eastAsia="en-AU"/>
        </w:rPr>
      </w:pPr>
      <w:r w:rsidRPr="003D4746">
        <w:rPr>
          <w:rFonts w:asciiTheme="minorHAnsi" w:hAnsiTheme="minorHAnsi" w:cstheme="minorHAnsi"/>
          <w:lang w:val="en-MY" w:eastAsia="en-AU"/>
        </w:rPr>
        <w:t>Whether Medium and Longer Term Outcomes are Being Achieved</w:t>
      </w:r>
    </w:p>
    <w:p w14:paraId="121B4878" w14:textId="77777777" w:rsidR="003D4746" w:rsidRDefault="003D4746" w:rsidP="00B6383C">
      <w:pPr>
        <w:jc w:val="both"/>
        <w:rPr>
          <w:rFonts w:cstheme="minorHAnsi"/>
          <w:lang w:val="en-MY" w:eastAsia="en-AU"/>
        </w:rPr>
      </w:pPr>
    </w:p>
    <w:p w14:paraId="6EB1A6D0" w14:textId="3E7E65FC" w:rsidR="009D451E" w:rsidRDefault="00E07D47" w:rsidP="00B6383C">
      <w:pPr>
        <w:jc w:val="both"/>
        <w:rPr>
          <w:rFonts w:cstheme="minorHAnsi"/>
          <w:lang w:val="en-MY" w:eastAsia="en-AU"/>
        </w:rPr>
      </w:pPr>
      <w:r w:rsidRPr="004650AE">
        <w:rPr>
          <w:rFonts w:cstheme="minorHAnsi"/>
          <w:lang w:val="en-MY" w:eastAsia="en-AU"/>
        </w:rPr>
        <w:t xml:space="preserve">Through-care clients at all services </w:t>
      </w:r>
      <w:r w:rsidR="0083388C" w:rsidRPr="004650AE">
        <w:rPr>
          <w:rFonts w:cstheme="minorHAnsi"/>
          <w:lang w:val="en-MY" w:eastAsia="en-AU"/>
        </w:rPr>
        <w:t xml:space="preserve">reported a high degree of satisfaction with </w:t>
      </w:r>
      <w:r w:rsidRPr="004650AE">
        <w:rPr>
          <w:rFonts w:cstheme="minorHAnsi"/>
          <w:lang w:val="en-MY" w:eastAsia="en-AU"/>
        </w:rPr>
        <w:t xml:space="preserve">the </w:t>
      </w:r>
      <w:r w:rsidR="0083388C" w:rsidRPr="004650AE">
        <w:rPr>
          <w:rFonts w:cstheme="minorHAnsi"/>
          <w:lang w:val="en-MY" w:eastAsia="en-AU"/>
        </w:rPr>
        <w:t>services provided</w:t>
      </w:r>
      <w:r w:rsidRPr="004650AE">
        <w:rPr>
          <w:rFonts w:cstheme="minorHAnsi"/>
          <w:lang w:val="en-MY" w:eastAsia="en-AU"/>
        </w:rPr>
        <w:t xml:space="preserve">, </w:t>
      </w:r>
      <w:r w:rsidR="002A3F53">
        <w:rPr>
          <w:rFonts w:cstheme="minorHAnsi"/>
          <w:lang w:val="en-MY" w:eastAsia="en-AU"/>
        </w:rPr>
        <w:t xml:space="preserve">grounded in </w:t>
      </w:r>
      <w:r w:rsidRPr="004650AE">
        <w:rPr>
          <w:rFonts w:cstheme="minorHAnsi"/>
          <w:lang w:val="en-MY" w:eastAsia="en-AU"/>
        </w:rPr>
        <w:t>strong relationships with case workers and satisfaction with the secondary services they had been referred to</w:t>
      </w:r>
      <w:r w:rsidR="0083388C" w:rsidRPr="004650AE">
        <w:rPr>
          <w:rFonts w:cstheme="minorHAnsi"/>
          <w:lang w:val="en-MY" w:eastAsia="en-AU"/>
        </w:rPr>
        <w:t>.</w:t>
      </w:r>
      <w:r w:rsidR="00B6383C">
        <w:rPr>
          <w:rStyle w:val="FootnoteReference"/>
          <w:rFonts w:cstheme="minorHAnsi"/>
          <w:lang w:val="en-MY" w:eastAsia="en-AU"/>
        </w:rPr>
        <w:footnoteReference w:id="100"/>
      </w:r>
      <w:r w:rsidRPr="004650AE">
        <w:rPr>
          <w:rFonts w:cstheme="minorHAnsi"/>
          <w:lang w:val="en-MY" w:eastAsia="en-AU"/>
        </w:rPr>
        <w:t xml:space="preserve"> </w:t>
      </w:r>
      <w:r w:rsidR="008856A3" w:rsidRPr="004650AE">
        <w:rPr>
          <w:rFonts w:cstheme="minorHAnsi"/>
          <w:lang w:val="en-MY" w:eastAsia="en-AU"/>
        </w:rPr>
        <w:t xml:space="preserve">Based on client feedback, in nearly all cases </w:t>
      </w:r>
      <w:r w:rsidR="006E53CA">
        <w:rPr>
          <w:rFonts w:cstheme="minorHAnsi"/>
          <w:lang w:val="en-MY" w:eastAsia="en-AU"/>
        </w:rPr>
        <w:t xml:space="preserve">clients </w:t>
      </w:r>
      <w:r w:rsidR="008856A3" w:rsidRPr="004650AE">
        <w:rPr>
          <w:rFonts w:cstheme="minorHAnsi"/>
          <w:lang w:val="en-MY" w:eastAsia="en-AU"/>
        </w:rPr>
        <w:t>felt more confident and better able to meet their goals with the support of their case workers.</w:t>
      </w:r>
      <w:r w:rsidR="009D451E">
        <w:rPr>
          <w:rFonts w:cstheme="minorHAnsi"/>
          <w:lang w:val="en-MY" w:eastAsia="en-AU"/>
        </w:rPr>
        <w:t xml:space="preserve"> </w:t>
      </w:r>
      <w:r w:rsidR="009D451E" w:rsidRPr="004650AE">
        <w:rPr>
          <w:rFonts w:cstheme="minorHAnsi"/>
          <w:lang w:val="en-MY" w:eastAsia="en-AU"/>
        </w:rPr>
        <w:t xml:space="preserve">For many clients, </w:t>
      </w:r>
      <w:r w:rsidR="009D451E">
        <w:rPr>
          <w:rFonts w:cstheme="minorHAnsi"/>
          <w:lang w:val="en-MY" w:eastAsia="en-AU"/>
        </w:rPr>
        <w:t xml:space="preserve">as described by them, working with their case worker was one of the few times in their lives </w:t>
      </w:r>
      <w:r w:rsidR="009D451E" w:rsidRPr="004650AE">
        <w:rPr>
          <w:rFonts w:cstheme="minorHAnsi"/>
          <w:lang w:val="en-MY" w:eastAsia="en-AU"/>
        </w:rPr>
        <w:t>that they</w:t>
      </w:r>
      <w:r w:rsidR="009D451E">
        <w:rPr>
          <w:rFonts w:cstheme="minorHAnsi"/>
          <w:lang w:val="en-MY" w:eastAsia="en-AU"/>
        </w:rPr>
        <w:t xml:space="preserve"> believed</w:t>
      </w:r>
      <w:r w:rsidR="009D451E" w:rsidRPr="004650AE">
        <w:rPr>
          <w:rFonts w:cstheme="minorHAnsi"/>
          <w:lang w:val="en-MY" w:eastAsia="en-AU"/>
        </w:rPr>
        <w:t xml:space="preserve"> </w:t>
      </w:r>
      <w:r w:rsidR="009D451E">
        <w:rPr>
          <w:rFonts w:cstheme="minorHAnsi"/>
          <w:lang w:val="en-MY" w:eastAsia="en-AU"/>
        </w:rPr>
        <w:t>someone was genuinely looking out for them, and that this made them feel more optimistic about their future.</w:t>
      </w:r>
      <w:r w:rsidR="00B4485E">
        <w:rPr>
          <w:rFonts w:cstheme="minorHAnsi"/>
          <w:lang w:val="en-MY" w:eastAsia="en-AU"/>
        </w:rPr>
        <w:t xml:space="preserve"> </w:t>
      </w:r>
      <w:r w:rsidR="00830B04">
        <w:rPr>
          <w:rFonts w:cstheme="minorHAnsi"/>
          <w:lang w:val="en-MY" w:eastAsia="en-AU"/>
        </w:rPr>
        <w:t>As one client reported, ”</w:t>
      </w:r>
      <w:r w:rsidR="004961B0" w:rsidRPr="004961B0">
        <w:rPr>
          <w:rFonts w:cstheme="minorHAnsi"/>
          <w:lang w:val="en-MY" w:eastAsia="en-AU"/>
        </w:rPr>
        <w:t xml:space="preserve"> </w:t>
      </w:r>
      <w:r w:rsidR="004961B0">
        <w:rPr>
          <w:rFonts w:cstheme="minorHAnsi"/>
          <w:lang w:val="en-MY" w:eastAsia="en-AU"/>
        </w:rPr>
        <w:t xml:space="preserve">It’s my birthday soon and I’m looking forward to it. For the first time, I can start to think ahead.” </w:t>
      </w:r>
    </w:p>
    <w:p w14:paraId="70BB91A3" w14:textId="77777777" w:rsidR="00997540" w:rsidRDefault="00997540" w:rsidP="00B6383C">
      <w:pPr>
        <w:jc w:val="both"/>
        <w:rPr>
          <w:rFonts w:cstheme="minorHAnsi"/>
          <w:lang w:val="en-MY" w:eastAsia="en-AU"/>
        </w:rPr>
      </w:pPr>
    </w:p>
    <w:p w14:paraId="22086B6E" w14:textId="2C908409" w:rsidR="00405FC5" w:rsidRDefault="009D451E" w:rsidP="00B4485E">
      <w:pPr>
        <w:jc w:val="both"/>
        <w:rPr>
          <w:rFonts w:cstheme="minorHAnsi"/>
          <w:lang w:val="en-MY" w:eastAsia="en-AU"/>
        </w:rPr>
      </w:pPr>
      <w:r>
        <w:rPr>
          <w:rFonts w:cstheme="minorHAnsi"/>
          <w:lang w:val="en-MY" w:eastAsia="en-AU"/>
        </w:rPr>
        <w:t xml:space="preserve">Irrespective of the location or service type, clients </w:t>
      </w:r>
      <w:r w:rsidR="00C10C9F">
        <w:rPr>
          <w:rFonts w:cstheme="minorHAnsi"/>
          <w:lang w:val="en-MY" w:eastAsia="en-AU"/>
        </w:rPr>
        <w:t xml:space="preserve">frequently </w:t>
      </w:r>
      <w:r>
        <w:rPr>
          <w:rFonts w:cstheme="minorHAnsi"/>
          <w:lang w:val="en-MY" w:eastAsia="en-AU"/>
        </w:rPr>
        <w:t>state</w:t>
      </w:r>
      <w:r w:rsidR="00C10C9F">
        <w:rPr>
          <w:rFonts w:cstheme="minorHAnsi"/>
          <w:lang w:val="en-MY" w:eastAsia="en-AU"/>
        </w:rPr>
        <w:t>d</w:t>
      </w:r>
      <w:r>
        <w:rPr>
          <w:rFonts w:cstheme="minorHAnsi"/>
          <w:lang w:val="en-MY" w:eastAsia="en-AU"/>
        </w:rPr>
        <w:t xml:space="preserve"> that </w:t>
      </w:r>
      <w:r w:rsidRPr="004650AE">
        <w:rPr>
          <w:rFonts w:cstheme="minorHAnsi"/>
          <w:lang w:val="en-MY" w:eastAsia="en-AU"/>
        </w:rPr>
        <w:t>they felt like</w:t>
      </w:r>
      <w:r w:rsidR="007C614D">
        <w:rPr>
          <w:rFonts w:cstheme="minorHAnsi"/>
          <w:lang w:val="en-MY" w:eastAsia="en-AU"/>
        </w:rPr>
        <w:t xml:space="preserve"> changed</w:t>
      </w:r>
      <w:r w:rsidRPr="004650AE">
        <w:rPr>
          <w:rFonts w:cstheme="minorHAnsi"/>
          <w:lang w:val="en-MY" w:eastAsia="en-AU"/>
        </w:rPr>
        <w:t xml:space="preserve"> people </w:t>
      </w:r>
      <w:r>
        <w:rPr>
          <w:rFonts w:cstheme="minorHAnsi"/>
          <w:lang w:val="en-MY" w:eastAsia="en-AU"/>
        </w:rPr>
        <w:t xml:space="preserve">with the support of the program, </w:t>
      </w:r>
      <w:r w:rsidRPr="004650AE">
        <w:rPr>
          <w:rFonts w:cstheme="minorHAnsi"/>
          <w:lang w:val="en-MY" w:eastAsia="en-AU"/>
        </w:rPr>
        <w:t xml:space="preserve">and </w:t>
      </w:r>
      <w:r>
        <w:rPr>
          <w:rFonts w:cstheme="minorHAnsi"/>
          <w:lang w:val="en-MY" w:eastAsia="en-AU"/>
        </w:rPr>
        <w:t>were able to envisage a</w:t>
      </w:r>
      <w:r w:rsidRPr="004650AE">
        <w:rPr>
          <w:rFonts w:cstheme="minorHAnsi"/>
          <w:lang w:val="en-MY" w:eastAsia="en-AU"/>
        </w:rPr>
        <w:t xml:space="preserve"> positive </w:t>
      </w:r>
      <w:r w:rsidR="001127C0">
        <w:rPr>
          <w:rFonts w:cstheme="minorHAnsi"/>
          <w:lang w:val="en-MY" w:eastAsia="en-AU"/>
        </w:rPr>
        <w:t xml:space="preserve">and more independent </w:t>
      </w:r>
      <w:r w:rsidRPr="004650AE">
        <w:rPr>
          <w:rFonts w:cstheme="minorHAnsi"/>
          <w:lang w:val="en-MY" w:eastAsia="en-AU"/>
        </w:rPr>
        <w:t>future</w:t>
      </w:r>
      <w:r>
        <w:rPr>
          <w:rFonts w:cstheme="minorHAnsi"/>
          <w:lang w:val="en-MY" w:eastAsia="en-AU"/>
        </w:rPr>
        <w:t>. The satisfaction of g</w:t>
      </w:r>
      <w:r w:rsidRPr="004650AE">
        <w:rPr>
          <w:rFonts w:cstheme="minorHAnsi"/>
          <w:lang w:val="en-MY" w:eastAsia="en-AU"/>
        </w:rPr>
        <w:t xml:space="preserve">oals such as sobriety, and “staying out of trouble” were </w:t>
      </w:r>
      <w:r>
        <w:rPr>
          <w:rFonts w:cstheme="minorHAnsi"/>
          <w:lang w:val="en-MY" w:eastAsia="en-AU"/>
        </w:rPr>
        <w:t>frequently described by clients, and attributed by them to changes within themselves that could only have been realised with the help of their case</w:t>
      </w:r>
      <w:r w:rsidR="00694565">
        <w:rPr>
          <w:rFonts w:cstheme="minorHAnsi"/>
          <w:lang w:val="en-MY" w:eastAsia="en-AU"/>
        </w:rPr>
        <w:t xml:space="preserve"> </w:t>
      </w:r>
      <w:r>
        <w:rPr>
          <w:rFonts w:cstheme="minorHAnsi"/>
          <w:lang w:val="en-MY" w:eastAsia="en-AU"/>
        </w:rPr>
        <w:t>worker</w:t>
      </w:r>
      <w:r w:rsidRPr="004650AE">
        <w:rPr>
          <w:rFonts w:cstheme="minorHAnsi"/>
          <w:lang w:val="en-MY" w:eastAsia="en-AU"/>
        </w:rPr>
        <w:t>.</w:t>
      </w:r>
      <w:r>
        <w:rPr>
          <w:rFonts w:cstheme="minorHAnsi"/>
          <w:lang w:val="en-MY" w:eastAsia="en-AU"/>
        </w:rPr>
        <w:t xml:space="preserve"> </w:t>
      </w:r>
      <w:r w:rsidR="004961B0">
        <w:rPr>
          <w:rFonts w:cstheme="minorHAnsi"/>
          <w:lang w:val="en-MY" w:eastAsia="en-AU"/>
        </w:rPr>
        <w:t>As one youth client commented, “She [my case</w:t>
      </w:r>
      <w:r w:rsidR="00694565">
        <w:rPr>
          <w:rFonts w:cstheme="minorHAnsi"/>
          <w:lang w:val="en-MY" w:eastAsia="en-AU"/>
        </w:rPr>
        <w:t xml:space="preserve"> </w:t>
      </w:r>
      <w:r w:rsidR="004961B0">
        <w:rPr>
          <w:rFonts w:cstheme="minorHAnsi"/>
          <w:lang w:val="en-MY" w:eastAsia="en-AU"/>
        </w:rPr>
        <w:t>worker] has kept me from messing up. I’d be going to the ‘big house’ if it wasn’t for her being with me.”</w:t>
      </w:r>
    </w:p>
    <w:p w14:paraId="126E80C5" w14:textId="77777777" w:rsidR="00405FC5" w:rsidRDefault="00405FC5" w:rsidP="00B4485E">
      <w:pPr>
        <w:jc w:val="both"/>
        <w:rPr>
          <w:rFonts w:cstheme="minorHAnsi"/>
          <w:lang w:val="en-MY" w:eastAsia="en-AU"/>
        </w:rPr>
      </w:pPr>
    </w:p>
    <w:p w14:paraId="550EB7B1" w14:textId="3689F103" w:rsidR="00B4485E" w:rsidRDefault="009F33ED" w:rsidP="00B4485E">
      <w:pPr>
        <w:jc w:val="both"/>
        <w:rPr>
          <w:rFonts w:cstheme="minorHAnsi"/>
          <w:lang w:val="en-MY" w:eastAsia="en-AU"/>
        </w:rPr>
      </w:pPr>
      <w:r>
        <w:rPr>
          <w:rFonts w:cstheme="minorHAnsi"/>
          <w:lang w:val="en-MY" w:eastAsia="en-AU"/>
        </w:rPr>
        <w:t xml:space="preserve">Commonly experienced changes in the lives and circumstances of clients, as reported by them, </w:t>
      </w:r>
      <w:r w:rsidR="00B6383C" w:rsidRPr="004650AE">
        <w:rPr>
          <w:rFonts w:cstheme="minorHAnsi"/>
          <w:lang w:val="en-MY" w:eastAsia="en-AU"/>
        </w:rPr>
        <w:t>include</w:t>
      </w:r>
      <w:r>
        <w:rPr>
          <w:rFonts w:cstheme="minorHAnsi"/>
          <w:lang w:val="en-MY" w:eastAsia="en-AU"/>
        </w:rPr>
        <w:t>d i</w:t>
      </w:r>
      <w:r w:rsidR="00B6383C" w:rsidRPr="004650AE">
        <w:rPr>
          <w:rFonts w:cstheme="minorHAnsi"/>
          <w:lang w:val="en-MY" w:eastAsia="en-AU"/>
        </w:rPr>
        <w:t>ncreased confidence</w:t>
      </w:r>
      <w:r>
        <w:rPr>
          <w:rFonts w:cstheme="minorHAnsi"/>
          <w:lang w:val="en-MY" w:eastAsia="en-AU"/>
        </w:rPr>
        <w:t xml:space="preserve">, the ability to make better decisions, being free </w:t>
      </w:r>
      <w:r w:rsidRPr="004650AE">
        <w:rPr>
          <w:rFonts w:cstheme="minorHAnsi"/>
          <w:lang w:val="en-MY" w:eastAsia="en-AU"/>
        </w:rPr>
        <w:t>from drugs and alcohol</w:t>
      </w:r>
      <w:r>
        <w:rPr>
          <w:rFonts w:cstheme="minorHAnsi"/>
          <w:lang w:val="en-MY" w:eastAsia="en-AU"/>
        </w:rPr>
        <w:t xml:space="preserve">, staying away from friends who pressured them into committing crime, and feeling like a part of society by having access to a bank account, </w:t>
      </w:r>
      <w:r w:rsidR="009D451E">
        <w:rPr>
          <w:rFonts w:cstheme="minorHAnsi"/>
          <w:lang w:val="en-MY" w:eastAsia="en-AU"/>
        </w:rPr>
        <w:t>Medicare</w:t>
      </w:r>
      <w:r>
        <w:rPr>
          <w:rFonts w:cstheme="minorHAnsi"/>
          <w:lang w:val="en-MY" w:eastAsia="en-AU"/>
        </w:rPr>
        <w:t xml:space="preserve"> and other forms of social identification</w:t>
      </w:r>
      <w:r w:rsidR="004961B0">
        <w:rPr>
          <w:rFonts w:cstheme="minorHAnsi"/>
          <w:lang w:val="en-MY" w:eastAsia="en-AU"/>
        </w:rPr>
        <w:t xml:space="preserve">: “I feel like a person, not a prisoner”, was how one client put it. </w:t>
      </w:r>
      <w:r w:rsidR="00B4485E">
        <w:rPr>
          <w:rFonts w:cstheme="minorHAnsi"/>
          <w:lang w:val="en-MY" w:eastAsia="en-AU"/>
        </w:rPr>
        <w:t>The case study below evidences the impact for clients as a consequence of seemingly small achievements.</w:t>
      </w:r>
    </w:p>
    <w:p w14:paraId="5E9F4738" w14:textId="6A1942EE" w:rsidR="00B742C7" w:rsidRDefault="00B4485E" w:rsidP="00B6383C">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90" behindDoc="0" locked="0" layoutInCell="1" allowOverlap="1" wp14:anchorId="1389ABD3" wp14:editId="0A50B6E5">
                <wp:simplePos x="0" y="0"/>
                <wp:positionH relativeFrom="column">
                  <wp:posOffset>166</wp:posOffset>
                </wp:positionH>
                <wp:positionV relativeFrom="paragraph">
                  <wp:posOffset>133184</wp:posOffset>
                </wp:positionV>
                <wp:extent cx="5778500" cy="1477010"/>
                <wp:effectExtent l="12700" t="12700" r="12700" b="12065"/>
                <wp:wrapNone/>
                <wp:docPr id="1934303567" name="TextBox 5"/>
                <wp:cNvGraphicFramePr/>
                <a:graphic xmlns:a="http://schemas.openxmlformats.org/drawingml/2006/main">
                  <a:graphicData uri="http://schemas.microsoft.com/office/word/2010/wordprocessingShape">
                    <wps:wsp>
                      <wps:cNvSpPr txBox="1"/>
                      <wps:spPr>
                        <a:xfrm>
                          <a:off x="0" y="0"/>
                          <a:ext cx="5778500"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8188BFB" w14:textId="3F260E3C" w:rsidR="009C42F3" w:rsidRPr="00A23205" w:rsidRDefault="009C42F3" w:rsidP="00B742C7">
                            <w:pPr>
                              <w:rPr>
                                <w:rFonts w:hAnsi="Calibri" w:cs="Arial"/>
                                <w:color w:val="000000" w:themeColor="text1"/>
                                <w:kern w:val="24"/>
                                <w:sz w:val="20"/>
                                <w:szCs w:val="20"/>
                              </w:rPr>
                            </w:pPr>
                            <w:r>
                              <w:rPr>
                                <w:rFonts w:hAnsi="Calibri" w:cs="Arial"/>
                                <w:color w:val="000000" w:themeColor="text1"/>
                                <w:kern w:val="24"/>
                                <w:sz w:val="20"/>
                                <w:szCs w:val="20"/>
                              </w:rPr>
                              <w:t>Chace has only recently been released from prison and was introduced to the program by a Cultural Liaison Officer there. He has a history of drug and alcohol misuse and poor mental health. Since leaving prison Chace has worked with his case worker on finding accommodation, g</w:t>
                            </w:r>
                            <w:r w:rsidRPr="0013414F">
                              <w:rPr>
                                <w:rFonts w:hAnsi="Calibri" w:cs="Arial"/>
                                <w:color w:val="000000" w:themeColor="text1"/>
                                <w:kern w:val="24"/>
                                <w:sz w:val="20"/>
                                <w:szCs w:val="20"/>
                              </w:rPr>
                              <w:t xml:space="preserve">etting his social identity </w:t>
                            </w:r>
                            <w:r>
                              <w:rPr>
                                <w:rFonts w:hAnsi="Calibri" w:cs="Arial"/>
                                <w:color w:val="000000" w:themeColor="text1"/>
                                <w:kern w:val="24"/>
                                <w:sz w:val="20"/>
                                <w:szCs w:val="20"/>
                              </w:rPr>
                              <w:t>so he can “</w:t>
                            </w:r>
                            <w:r w:rsidRPr="0013414F">
                              <w:rPr>
                                <w:rFonts w:hAnsi="Calibri" w:cs="Arial"/>
                                <w:color w:val="000000" w:themeColor="text1"/>
                                <w:kern w:val="24"/>
                                <w:sz w:val="20"/>
                                <w:szCs w:val="20"/>
                              </w:rPr>
                              <w:t>feel like part of the community again</w:t>
                            </w:r>
                            <w:r>
                              <w:rPr>
                                <w:rFonts w:hAnsi="Calibri" w:cs="Arial"/>
                                <w:color w:val="000000" w:themeColor="text1"/>
                                <w:kern w:val="24"/>
                                <w:sz w:val="20"/>
                                <w:szCs w:val="20"/>
                              </w:rPr>
                              <w:t>”, getting to appointments at the clinic, and on opening a bank account so he can receive his disability pension. Chace has only recently started to open-up to his case worker about his long-term goals, but he already believes he can call on his case worker any time, and as a mentor the case worker has already provided, “…more support than my Dad.” Most of all Chace wants his independence and will try to achieve as many goals as he can with his case workers’ help. Chace said that “w</w:t>
                            </w:r>
                            <w:r w:rsidRPr="009F33ED">
                              <w:rPr>
                                <w:rFonts w:hAnsi="Calibri" w:cs="Arial"/>
                                <w:color w:val="000000" w:themeColor="text1"/>
                                <w:kern w:val="24"/>
                                <w:sz w:val="20"/>
                                <w:szCs w:val="20"/>
                              </w:rPr>
                              <w:t xml:space="preserve">ithout </w:t>
                            </w:r>
                            <w:r>
                              <w:rPr>
                                <w:rFonts w:hAnsi="Calibri" w:cs="Arial"/>
                                <w:color w:val="000000" w:themeColor="text1"/>
                                <w:kern w:val="24"/>
                                <w:sz w:val="20"/>
                                <w:szCs w:val="20"/>
                              </w:rPr>
                              <w:t xml:space="preserve">this </w:t>
                            </w:r>
                            <w:r w:rsidRPr="009F33ED">
                              <w:rPr>
                                <w:rFonts w:hAnsi="Calibri" w:cs="Arial"/>
                                <w:color w:val="000000" w:themeColor="text1"/>
                                <w:kern w:val="24"/>
                                <w:sz w:val="20"/>
                                <w:szCs w:val="20"/>
                              </w:rPr>
                              <w:t>support I would’ve been unstable</w:t>
                            </w:r>
                            <w:r>
                              <w:rPr>
                                <w:rFonts w:hAnsi="Calibri" w:cs="Arial"/>
                                <w:color w:val="000000" w:themeColor="text1"/>
                                <w:kern w:val="24"/>
                                <w:sz w:val="20"/>
                                <w:szCs w:val="20"/>
                              </w:rPr>
                              <w:t xml:space="preserve">; </w:t>
                            </w:r>
                            <w:r w:rsidRPr="009F33ED">
                              <w:rPr>
                                <w:rFonts w:hAnsi="Calibri" w:cs="Arial"/>
                                <w:color w:val="000000" w:themeColor="text1"/>
                                <w:kern w:val="24"/>
                                <w:sz w:val="20"/>
                                <w:szCs w:val="20"/>
                              </w:rPr>
                              <w:t>I would’ve ended up back in prison.</w:t>
                            </w:r>
                            <w:r>
                              <w:rPr>
                                <w:rFonts w:hAnsi="Calibri" w:cs="Arial"/>
                                <w:color w:val="000000" w:themeColor="text1"/>
                                <w:kern w:val="24"/>
                                <w:sz w:val="20"/>
                                <w:szCs w:val="20"/>
                              </w:rPr>
                              <w:t>”</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1389ABD3" id="_x0000_s1074" type="#_x0000_t202" style="position:absolute;left:0;text-align:left;margin-left:0;margin-top:10.5pt;width:455pt;height:116.3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" fillcolor="white [3201]" strokecolor="#4bacc6 [3208]" strokeweight="2pt">
                <v:textbox style="mso-fit-shape-to-text:t">
                  <w:txbxContent>
                    <w:p w14:paraId="68188BFB" w14:textId="3F260E3C" w:rsidR="009C42F3" w:rsidRPr="00A23205" w:rsidRDefault="009C42F3" w:rsidP="00B742C7">
                      <w:pPr>
                        <w:rPr>
                          <w:rFonts w:hAnsi="Calibri" w:cs="Arial"/>
                          <w:color w:val="000000" w:themeColor="text1"/>
                          <w:kern w:val="24"/>
                          <w:sz w:val="20"/>
                          <w:szCs w:val="20"/>
                        </w:rPr>
                      </w:pPr>
                      <w:r>
                        <w:rPr>
                          <w:rFonts w:hAnsi="Calibri" w:cs="Arial"/>
                          <w:color w:val="000000" w:themeColor="text1"/>
                          <w:kern w:val="24"/>
                          <w:sz w:val="20"/>
                          <w:szCs w:val="20"/>
                        </w:rPr>
                        <w:t>Chace has only recently been released from prison and was introduced to the program by a Cultural Liaison Officer there. He has a history of drug and alcohol misuse and poor mental health. Since leaving prison Chace has worked with his case worker on finding accommodation, g</w:t>
                      </w:r>
                      <w:r w:rsidRPr="0013414F">
                        <w:rPr>
                          <w:rFonts w:hAnsi="Calibri" w:cs="Arial"/>
                          <w:color w:val="000000" w:themeColor="text1"/>
                          <w:kern w:val="24"/>
                          <w:sz w:val="20"/>
                          <w:szCs w:val="20"/>
                        </w:rPr>
                        <w:t xml:space="preserve">etting his social identity </w:t>
                      </w:r>
                      <w:r>
                        <w:rPr>
                          <w:rFonts w:hAnsi="Calibri" w:cs="Arial"/>
                          <w:color w:val="000000" w:themeColor="text1"/>
                          <w:kern w:val="24"/>
                          <w:sz w:val="20"/>
                          <w:szCs w:val="20"/>
                        </w:rPr>
                        <w:t>so he can “</w:t>
                      </w:r>
                      <w:r w:rsidRPr="0013414F">
                        <w:rPr>
                          <w:rFonts w:hAnsi="Calibri" w:cs="Arial"/>
                          <w:color w:val="000000" w:themeColor="text1"/>
                          <w:kern w:val="24"/>
                          <w:sz w:val="20"/>
                          <w:szCs w:val="20"/>
                        </w:rPr>
                        <w:t>feel like part of the community again</w:t>
                      </w:r>
                      <w:r>
                        <w:rPr>
                          <w:rFonts w:hAnsi="Calibri" w:cs="Arial"/>
                          <w:color w:val="000000" w:themeColor="text1"/>
                          <w:kern w:val="24"/>
                          <w:sz w:val="20"/>
                          <w:szCs w:val="20"/>
                        </w:rPr>
                        <w:t xml:space="preserve">”, getting to appointments at the clinic, and on opening a bank account so he can receive his disability pension. Chace has only recently started to open-up to his case worker about his long-term goals, but he already believes he can call on his case worker any time, and as a mentor the case worker has already provided, “…more support than my </w:t>
                      </w:r>
                      <w:proofErr w:type="gramStart"/>
                      <w:r>
                        <w:rPr>
                          <w:rFonts w:hAnsi="Calibri" w:cs="Arial"/>
                          <w:color w:val="000000" w:themeColor="text1"/>
                          <w:kern w:val="24"/>
                          <w:sz w:val="20"/>
                          <w:szCs w:val="20"/>
                        </w:rPr>
                        <w:t>Dad</w:t>
                      </w:r>
                      <w:proofErr w:type="gramEnd"/>
                      <w:r>
                        <w:rPr>
                          <w:rFonts w:hAnsi="Calibri" w:cs="Arial"/>
                          <w:color w:val="000000" w:themeColor="text1"/>
                          <w:kern w:val="24"/>
                          <w:sz w:val="20"/>
                          <w:szCs w:val="20"/>
                        </w:rPr>
                        <w:t>.” Most of all Chace wants his independence and will try to achieve as many goals as he can with his case workers’ help. Chace said that “w</w:t>
                      </w:r>
                      <w:r w:rsidRPr="009F33ED">
                        <w:rPr>
                          <w:rFonts w:hAnsi="Calibri" w:cs="Arial"/>
                          <w:color w:val="000000" w:themeColor="text1"/>
                          <w:kern w:val="24"/>
                          <w:sz w:val="20"/>
                          <w:szCs w:val="20"/>
                        </w:rPr>
                        <w:t xml:space="preserve">ithout </w:t>
                      </w:r>
                      <w:r>
                        <w:rPr>
                          <w:rFonts w:hAnsi="Calibri" w:cs="Arial"/>
                          <w:color w:val="000000" w:themeColor="text1"/>
                          <w:kern w:val="24"/>
                          <w:sz w:val="20"/>
                          <w:szCs w:val="20"/>
                        </w:rPr>
                        <w:t xml:space="preserve">this </w:t>
                      </w:r>
                      <w:r w:rsidRPr="009F33ED">
                        <w:rPr>
                          <w:rFonts w:hAnsi="Calibri" w:cs="Arial"/>
                          <w:color w:val="000000" w:themeColor="text1"/>
                          <w:kern w:val="24"/>
                          <w:sz w:val="20"/>
                          <w:szCs w:val="20"/>
                        </w:rPr>
                        <w:t>support I would’ve been unstable</w:t>
                      </w:r>
                      <w:r>
                        <w:rPr>
                          <w:rFonts w:hAnsi="Calibri" w:cs="Arial"/>
                          <w:color w:val="000000" w:themeColor="text1"/>
                          <w:kern w:val="24"/>
                          <w:sz w:val="20"/>
                          <w:szCs w:val="20"/>
                        </w:rPr>
                        <w:t xml:space="preserve">; </w:t>
                      </w:r>
                      <w:r w:rsidRPr="009F33ED">
                        <w:rPr>
                          <w:rFonts w:hAnsi="Calibri" w:cs="Arial"/>
                          <w:color w:val="000000" w:themeColor="text1"/>
                          <w:kern w:val="24"/>
                          <w:sz w:val="20"/>
                          <w:szCs w:val="20"/>
                        </w:rPr>
                        <w:t>I would’ve ended up back in prison.</w:t>
                      </w:r>
                      <w:r>
                        <w:rPr>
                          <w:rFonts w:hAnsi="Calibri" w:cs="Arial"/>
                          <w:color w:val="000000" w:themeColor="text1"/>
                          <w:kern w:val="24"/>
                          <w:sz w:val="20"/>
                          <w:szCs w:val="20"/>
                        </w:rPr>
                        <w:t>”</w:t>
                      </w:r>
                    </w:p>
                  </w:txbxContent>
                </v:textbox>
              </v:shape>
            </w:pict>
          </mc:Fallback>
        </mc:AlternateContent>
      </w:r>
    </w:p>
    <w:p w14:paraId="4792DAC7" w14:textId="0DA4107D" w:rsidR="00B742C7" w:rsidRDefault="00B742C7" w:rsidP="00B6383C">
      <w:pPr>
        <w:jc w:val="both"/>
        <w:rPr>
          <w:rFonts w:cstheme="minorHAnsi"/>
          <w:lang w:val="en-MY" w:eastAsia="en-AU"/>
        </w:rPr>
      </w:pPr>
    </w:p>
    <w:p w14:paraId="70836E24" w14:textId="0B0A3B12" w:rsidR="00B742C7" w:rsidRDefault="00B742C7" w:rsidP="00B6383C">
      <w:pPr>
        <w:jc w:val="both"/>
        <w:rPr>
          <w:rFonts w:cstheme="minorHAnsi"/>
          <w:lang w:val="en-MY" w:eastAsia="en-AU"/>
        </w:rPr>
      </w:pPr>
    </w:p>
    <w:p w14:paraId="1B7C7E4E" w14:textId="1E6B4F99" w:rsidR="00B742C7" w:rsidRDefault="00B742C7" w:rsidP="00B6383C">
      <w:pPr>
        <w:jc w:val="both"/>
        <w:rPr>
          <w:rFonts w:cstheme="minorHAnsi"/>
          <w:lang w:val="en-MY" w:eastAsia="en-AU"/>
        </w:rPr>
      </w:pPr>
    </w:p>
    <w:p w14:paraId="13228F5B" w14:textId="77777777" w:rsidR="00B742C7" w:rsidRDefault="00B742C7" w:rsidP="00B6383C">
      <w:pPr>
        <w:jc w:val="both"/>
        <w:rPr>
          <w:rFonts w:cstheme="minorHAnsi"/>
          <w:lang w:val="en-MY" w:eastAsia="en-AU"/>
        </w:rPr>
      </w:pPr>
    </w:p>
    <w:p w14:paraId="18EC4A45" w14:textId="77777777" w:rsidR="00B742C7" w:rsidRDefault="00B742C7" w:rsidP="00B6383C">
      <w:pPr>
        <w:jc w:val="both"/>
        <w:rPr>
          <w:rFonts w:cstheme="minorHAnsi"/>
          <w:lang w:val="en-MY" w:eastAsia="en-AU"/>
        </w:rPr>
      </w:pPr>
    </w:p>
    <w:p w14:paraId="4CAAA6AD" w14:textId="6D17A47A" w:rsidR="00B742C7" w:rsidRDefault="00B742C7" w:rsidP="00B6383C">
      <w:pPr>
        <w:jc w:val="both"/>
        <w:rPr>
          <w:rFonts w:cstheme="minorHAnsi"/>
          <w:lang w:val="en-MY" w:eastAsia="en-AU"/>
        </w:rPr>
      </w:pPr>
    </w:p>
    <w:p w14:paraId="4014CDAA" w14:textId="1781D56A" w:rsidR="00B742C7" w:rsidRDefault="00B742C7" w:rsidP="00B6383C">
      <w:pPr>
        <w:jc w:val="both"/>
        <w:rPr>
          <w:rFonts w:cstheme="minorHAnsi"/>
          <w:lang w:val="en-MY" w:eastAsia="en-AU"/>
        </w:rPr>
      </w:pPr>
    </w:p>
    <w:p w14:paraId="46E1DD53" w14:textId="6949602C" w:rsidR="00B742C7" w:rsidRDefault="00B742C7" w:rsidP="00B6383C">
      <w:pPr>
        <w:jc w:val="both"/>
        <w:rPr>
          <w:rFonts w:cstheme="minorHAnsi"/>
          <w:lang w:val="en-MY" w:eastAsia="en-AU"/>
        </w:rPr>
      </w:pPr>
    </w:p>
    <w:p w14:paraId="7D08BF57" w14:textId="55F10B32" w:rsidR="00B742C7" w:rsidRDefault="00B742C7" w:rsidP="00B6383C">
      <w:pPr>
        <w:jc w:val="both"/>
        <w:rPr>
          <w:rFonts w:cstheme="minorHAnsi"/>
          <w:lang w:val="en-MY" w:eastAsia="en-AU"/>
        </w:rPr>
      </w:pPr>
    </w:p>
    <w:p w14:paraId="265619C1" w14:textId="77777777" w:rsidR="00876893" w:rsidRDefault="00876893" w:rsidP="004650AE">
      <w:pPr>
        <w:jc w:val="both"/>
        <w:rPr>
          <w:rFonts w:cstheme="minorHAnsi"/>
          <w:lang w:val="en-MY" w:eastAsia="en-AU"/>
        </w:rPr>
      </w:pPr>
    </w:p>
    <w:p w14:paraId="4E916EC9" w14:textId="4C3B9A28" w:rsidR="006B6D84" w:rsidRDefault="00E07D47" w:rsidP="004650AE">
      <w:pPr>
        <w:jc w:val="both"/>
        <w:rPr>
          <w:rFonts w:cstheme="minorHAnsi"/>
          <w:lang w:val="en-MY" w:eastAsia="en-AU"/>
        </w:rPr>
      </w:pPr>
      <w:r w:rsidRPr="004650AE">
        <w:rPr>
          <w:rFonts w:cstheme="minorHAnsi"/>
          <w:lang w:val="en-MY" w:eastAsia="en-AU"/>
        </w:rPr>
        <w:t xml:space="preserve">While </w:t>
      </w:r>
      <w:r w:rsidR="001F3424">
        <w:rPr>
          <w:rFonts w:cstheme="minorHAnsi"/>
          <w:lang w:val="en-MY" w:eastAsia="en-AU"/>
        </w:rPr>
        <w:t xml:space="preserve">stories of remarkable client achievements exist, and </w:t>
      </w:r>
      <w:r w:rsidRPr="004650AE">
        <w:rPr>
          <w:rFonts w:cstheme="minorHAnsi"/>
          <w:lang w:val="en-MY" w:eastAsia="en-AU"/>
        </w:rPr>
        <w:t xml:space="preserve">services </w:t>
      </w:r>
      <w:r w:rsidR="001F3424">
        <w:rPr>
          <w:rFonts w:cstheme="minorHAnsi"/>
          <w:lang w:val="en-MY" w:eastAsia="en-AU"/>
        </w:rPr>
        <w:t xml:space="preserve">strongly </w:t>
      </w:r>
      <w:r w:rsidRPr="004650AE">
        <w:rPr>
          <w:rFonts w:cstheme="minorHAnsi"/>
          <w:lang w:val="en-MY" w:eastAsia="en-AU"/>
        </w:rPr>
        <w:t xml:space="preserve">believe </w:t>
      </w:r>
      <w:r w:rsidR="001F3424">
        <w:rPr>
          <w:rFonts w:cstheme="minorHAnsi"/>
          <w:lang w:val="en-MY" w:eastAsia="en-AU"/>
        </w:rPr>
        <w:t xml:space="preserve">that overall </w:t>
      </w:r>
      <w:r w:rsidRPr="004650AE">
        <w:rPr>
          <w:rFonts w:cstheme="minorHAnsi"/>
          <w:lang w:val="en-MY" w:eastAsia="en-AU"/>
        </w:rPr>
        <w:t xml:space="preserve">they </w:t>
      </w:r>
      <w:r w:rsidR="001F3424">
        <w:rPr>
          <w:rFonts w:cstheme="minorHAnsi"/>
          <w:lang w:val="en-MY" w:eastAsia="en-AU"/>
        </w:rPr>
        <w:t xml:space="preserve">are </w:t>
      </w:r>
      <w:r w:rsidRPr="004650AE">
        <w:rPr>
          <w:rFonts w:cstheme="minorHAnsi"/>
          <w:lang w:val="en-MY" w:eastAsia="en-AU"/>
        </w:rPr>
        <w:t xml:space="preserve">making a positive difference, most </w:t>
      </w:r>
      <w:r w:rsidR="001F3424">
        <w:rPr>
          <w:rFonts w:cstheme="minorHAnsi"/>
          <w:lang w:val="en-MY" w:eastAsia="en-AU"/>
        </w:rPr>
        <w:t>case</w:t>
      </w:r>
      <w:r w:rsidR="00694565">
        <w:rPr>
          <w:rFonts w:cstheme="minorHAnsi"/>
          <w:lang w:val="en-MY" w:eastAsia="en-AU"/>
        </w:rPr>
        <w:t xml:space="preserve"> </w:t>
      </w:r>
      <w:r w:rsidR="001F3424">
        <w:rPr>
          <w:rFonts w:cstheme="minorHAnsi"/>
          <w:lang w:val="en-MY" w:eastAsia="en-AU"/>
        </w:rPr>
        <w:t xml:space="preserve">workers </w:t>
      </w:r>
      <w:r w:rsidR="008856A3" w:rsidRPr="004650AE">
        <w:rPr>
          <w:rFonts w:cstheme="minorHAnsi"/>
          <w:lang w:val="en-MY" w:eastAsia="en-AU"/>
        </w:rPr>
        <w:t>acknowledged</w:t>
      </w:r>
      <w:r w:rsidR="001F3424">
        <w:rPr>
          <w:rFonts w:cstheme="minorHAnsi"/>
          <w:lang w:val="en-MY" w:eastAsia="en-AU"/>
        </w:rPr>
        <w:t xml:space="preserve">, however, that examples of clients successfully exiting the program with strong outcomes (i.e. employment, housing, reunified relationships and no re-offending) was </w:t>
      </w:r>
      <w:r w:rsidR="005C5F07">
        <w:rPr>
          <w:rFonts w:cstheme="minorHAnsi"/>
          <w:lang w:val="en-MY" w:eastAsia="en-AU"/>
        </w:rPr>
        <w:t xml:space="preserve">the </w:t>
      </w:r>
      <w:r w:rsidR="001F3424">
        <w:rPr>
          <w:rFonts w:cstheme="minorHAnsi"/>
          <w:lang w:val="en-MY" w:eastAsia="en-AU"/>
        </w:rPr>
        <w:t>exception</w:t>
      </w:r>
      <w:r w:rsidR="005C5F07">
        <w:rPr>
          <w:rFonts w:cstheme="minorHAnsi"/>
          <w:lang w:val="en-MY" w:eastAsia="en-AU"/>
        </w:rPr>
        <w:t xml:space="preserve">. </w:t>
      </w:r>
      <w:r w:rsidR="00423F72">
        <w:rPr>
          <w:rFonts w:cstheme="minorHAnsi"/>
          <w:lang w:val="en-MY" w:eastAsia="en-AU"/>
        </w:rPr>
        <w:t>Case</w:t>
      </w:r>
      <w:r w:rsidR="00694565">
        <w:rPr>
          <w:rFonts w:cstheme="minorHAnsi"/>
          <w:lang w:val="en-MY" w:eastAsia="en-AU"/>
        </w:rPr>
        <w:t xml:space="preserve"> </w:t>
      </w:r>
      <w:r w:rsidR="00423F72">
        <w:rPr>
          <w:rFonts w:cstheme="minorHAnsi"/>
          <w:lang w:val="en-MY" w:eastAsia="en-AU"/>
        </w:rPr>
        <w:t xml:space="preserve">workers acknowledged </w:t>
      </w:r>
      <w:r w:rsidR="001F3424">
        <w:rPr>
          <w:rFonts w:cstheme="minorHAnsi"/>
          <w:lang w:val="en-MY" w:eastAsia="en-AU"/>
        </w:rPr>
        <w:t>significant</w:t>
      </w:r>
      <w:r w:rsidR="008856A3" w:rsidRPr="004650AE">
        <w:rPr>
          <w:rFonts w:cstheme="minorHAnsi"/>
          <w:lang w:val="en-MY" w:eastAsia="en-AU"/>
        </w:rPr>
        <w:t xml:space="preserve"> environmental and mitigating factors </w:t>
      </w:r>
      <w:r w:rsidR="001F3424">
        <w:rPr>
          <w:rFonts w:cstheme="minorHAnsi"/>
          <w:lang w:val="en-MY" w:eastAsia="en-AU"/>
        </w:rPr>
        <w:t xml:space="preserve">repeatedly </w:t>
      </w:r>
      <w:r w:rsidR="006B6D84">
        <w:rPr>
          <w:rFonts w:cstheme="minorHAnsi"/>
          <w:lang w:val="en-MY" w:eastAsia="en-AU"/>
        </w:rPr>
        <w:t>impact</w:t>
      </w:r>
      <w:r w:rsidR="0066734A">
        <w:rPr>
          <w:rFonts w:cstheme="minorHAnsi"/>
          <w:lang w:val="en-MY" w:eastAsia="en-AU"/>
        </w:rPr>
        <w:t xml:space="preserve">ing </w:t>
      </w:r>
      <w:r w:rsidR="008856A3" w:rsidRPr="004650AE">
        <w:rPr>
          <w:rFonts w:cstheme="minorHAnsi"/>
          <w:lang w:val="en-MY" w:eastAsia="en-AU"/>
        </w:rPr>
        <w:t>client outcomes</w:t>
      </w:r>
      <w:r w:rsidR="001F3424">
        <w:rPr>
          <w:rFonts w:cstheme="minorHAnsi"/>
          <w:lang w:val="en-MY" w:eastAsia="en-AU"/>
        </w:rPr>
        <w:t>.</w:t>
      </w:r>
      <w:r w:rsidR="006B6D84">
        <w:rPr>
          <w:rFonts w:cstheme="minorHAnsi"/>
          <w:lang w:val="en-MY" w:eastAsia="en-AU"/>
        </w:rPr>
        <w:t xml:space="preserve"> </w:t>
      </w:r>
      <w:r w:rsidR="001F3424">
        <w:rPr>
          <w:rFonts w:cstheme="minorHAnsi"/>
          <w:lang w:val="en-MY" w:eastAsia="en-AU"/>
        </w:rPr>
        <w:t>Th</w:t>
      </w:r>
      <w:r w:rsidR="006B6D84">
        <w:rPr>
          <w:rFonts w:cstheme="minorHAnsi"/>
          <w:lang w:val="en-MY" w:eastAsia="en-AU"/>
        </w:rPr>
        <w:t>ese factors included underlying ‘human capital’ issues such as cognitive disabilities and poor mental health, addiction to alcohol and drugs</w:t>
      </w:r>
      <w:r w:rsidR="008856A3" w:rsidRPr="004650AE">
        <w:rPr>
          <w:rFonts w:cstheme="minorHAnsi"/>
          <w:lang w:val="en-MY" w:eastAsia="en-AU"/>
        </w:rPr>
        <w:t xml:space="preserve">, </w:t>
      </w:r>
      <w:r w:rsidR="006B6D84">
        <w:rPr>
          <w:rFonts w:cstheme="minorHAnsi"/>
          <w:lang w:val="en-MY" w:eastAsia="en-AU"/>
        </w:rPr>
        <w:t xml:space="preserve">and </w:t>
      </w:r>
      <w:r w:rsidR="006B6D84" w:rsidRPr="004650AE">
        <w:rPr>
          <w:rFonts w:cstheme="minorHAnsi"/>
          <w:lang w:val="en-MY" w:eastAsia="en-AU"/>
        </w:rPr>
        <w:t>ongoing trauma and the impacts of colonisation</w:t>
      </w:r>
      <w:r w:rsidR="006B6D84">
        <w:rPr>
          <w:rFonts w:cstheme="minorHAnsi"/>
          <w:lang w:val="en-MY" w:eastAsia="en-AU"/>
        </w:rPr>
        <w:t>, in addition to deficiencies in ‘social capital’</w:t>
      </w:r>
      <w:r w:rsidR="00423F72">
        <w:rPr>
          <w:rFonts w:cstheme="minorHAnsi"/>
          <w:lang w:val="en-MY" w:eastAsia="en-AU"/>
        </w:rPr>
        <w:t xml:space="preserve">, </w:t>
      </w:r>
      <w:r w:rsidR="006B6D84">
        <w:rPr>
          <w:rFonts w:cstheme="minorHAnsi"/>
          <w:lang w:val="en-MY" w:eastAsia="en-AU"/>
        </w:rPr>
        <w:t xml:space="preserve">like </w:t>
      </w:r>
      <w:r w:rsidR="006B6D84" w:rsidRPr="004650AE">
        <w:rPr>
          <w:rFonts w:cstheme="minorHAnsi"/>
          <w:lang w:val="en-MY" w:eastAsia="en-AU"/>
        </w:rPr>
        <w:t>the influence of peers</w:t>
      </w:r>
      <w:r w:rsidR="006B6D84">
        <w:rPr>
          <w:rFonts w:cstheme="minorHAnsi"/>
          <w:lang w:val="en-MY" w:eastAsia="en-AU"/>
        </w:rPr>
        <w:t xml:space="preserve">, a </w:t>
      </w:r>
      <w:r w:rsidR="008856A3" w:rsidRPr="004650AE">
        <w:rPr>
          <w:rFonts w:cstheme="minorHAnsi"/>
          <w:lang w:val="en-MY" w:eastAsia="en-AU"/>
        </w:rPr>
        <w:t xml:space="preserve">lack of affordable housing, </w:t>
      </w:r>
      <w:r w:rsidR="006B6D84">
        <w:rPr>
          <w:rFonts w:cstheme="minorHAnsi"/>
          <w:lang w:val="en-MY" w:eastAsia="en-AU"/>
        </w:rPr>
        <w:t xml:space="preserve">and </w:t>
      </w:r>
      <w:r w:rsidR="00423F72">
        <w:rPr>
          <w:rFonts w:cstheme="minorHAnsi"/>
          <w:lang w:val="en-MY" w:eastAsia="en-AU"/>
        </w:rPr>
        <w:t xml:space="preserve">- </w:t>
      </w:r>
      <w:r w:rsidR="006B6D84">
        <w:rPr>
          <w:rFonts w:cstheme="minorHAnsi"/>
          <w:lang w:val="en-MY" w:eastAsia="en-AU"/>
        </w:rPr>
        <w:t>particularly in remote areas</w:t>
      </w:r>
      <w:r w:rsidR="00423F72">
        <w:rPr>
          <w:rFonts w:cstheme="minorHAnsi"/>
          <w:lang w:val="en-MY" w:eastAsia="en-AU"/>
        </w:rPr>
        <w:t xml:space="preserve"> - </w:t>
      </w:r>
      <w:r w:rsidR="006B6D84">
        <w:rPr>
          <w:rFonts w:cstheme="minorHAnsi"/>
          <w:lang w:val="en-MY" w:eastAsia="en-AU"/>
        </w:rPr>
        <w:t>the absence of secondary support services and employment opportunities to e</w:t>
      </w:r>
      <w:r w:rsidR="0066734A">
        <w:rPr>
          <w:rFonts w:cstheme="minorHAnsi"/>
          <w:lang w:val="en-MY" w:eastAsia="en-AU"/>
        </w:rPr>
        <w:t xml:space="preserve">nable </w:t>
      </w:r>
      <w:r w:rsidR="006B6D84">
        <w:rPr>
          <w:rFonts w:cstheme="minorHAnsi"/>
          <w:lang w:val="en-MY" w:eastAsia="en-AU"/>
        </w:rPr>
        <w:t>long-term independence.</w:t>
      </w:r>
    </w:p>
    <w:p w14:paraId="7A4467FF" w14:textId="77777777" w:rsidR="006B6D84" w:rsidRDefault="006B6D84" w:rsidP="004650AE">
      <w:pPr>
        <w:jc w:val="both"/>
        <w:rPr>
          <w:rFonts w:cstheme="minorHAnsi"/>
          <w:lang w:val="en-MY" w:eastAsia="en-AU"/>
        </w:rPr>
      </w:pPr>
    </w:p>
    <w:p w14:paraId="0EA34774" w14:textId="69DF5F45" w:rsidR="00640E6F" w:rsidRDefault="008856A3" w:rsidP="004650AE">
      <w:pPr>
        <w:jc w:val="both"/>
        <w:rPr>
          <w:rFonts w:cstheme="minorHAnsi"/>
          <w:lang w:val="en-MY" w:eastAsia="en-AU"/>
        </w:rPr>
      </w:pPr>
      <w:r w:rsidRPr="00B21295">
        <w:rPr>
          <w:rFonts w:cstheme="minorHAnsi"/>
          <w:lang w:val="en-MY" w:eastAsia="en-AU"/>
        </w:rPr>
        <w:t xml:space="preserve">Indeed case workers at some services claimed they no longer saw lower rates of recidivism as a meaningful objective, </w:t>
      </w:r>
      <w:r w:rsidR="00446F50" w:rsidRPr="00B21295">
        <w:rPr>
          <w:rFonts w:cstheme="minorHAnsi"/>
          <w:lang w:val="en-MY" w:eastAsia="en-AU"/>
        </w:rPr>
        <w:t>suggesting that since the</w:t>
      </w:r>
      <w:r w:rsidRPr="00B21295">
        <w:rPr>
          <w:rFonts w:cstheme="minorHAnsi"/>
          <w:lang w:val="en-MY" w:eastAsia="en-AU"/>
        </w:rPr>
        <w:t xml:space="preserve"> return to prison </w:t>
      </w:r>
      <w:r w:rsidR="00446F50" w:rsidRPr="00B21295">
        <w:rPr>
          <w:rFonts w:cstheme="minorHAnsi"/>
          <w:lang w:val="en-MY" w:eastAsia="en-AU"/>
        </w:rPr>
        <w:t xml:space="preserve">for the many clients </w:t>
      </w:r>
      <w:r w:rsidRPr="00B21295">
        <w:rPr>
          <w:rFonts w:cstheme="minorHAnsi"/>
          <w:lang w:val="en-MY" w:eastAsia="en-AU"/>
        </w:rPr>
        <w:t xml:space="preserve">was </w:t>
      </w:r>
      <w:r w:rsidR="00446F50" w:rsidRPr="00B21295">
        <w:rPr>
          <w:rFonts w:cstheme="minorHAnsi"/>
          <w:lang w:val="en-MY" w:eastAsia="en-AU"/>
        </w:rPr>
        <w:t>inevitable, they should focus on more realistic and incremental outcomes, such as less sever</w:t>
      </w:r>
      <w:r w:rsidR="002C0629">
        <w:rPr>
          <w:rFonts w:cstheme="minorHAnsi"/>
          <w:lang w:val="en-MY" w:eastAsia="en-AU"/>
        </w:rPr>
        <w:t>e</w:t>
      </w:r>
      <w:r w:rsidR="00446F50" w:rsidRPr="00B21295">
        <w:rPr>
          <w:rFonts w:cstheme="minorHAnsi"/>
          <w:lang w:val="en-MY" w:eastAsia="en-AU"/>
        </w:rPr>
        <w:t xml:space="preserve"> offending or longer periods between detention. Other types of outcomes (not currently included in service reporting) were also suggested, including longer periods of abstinence from alcohol, other drugs, or gambling; longer periods in contact with family; self-reported improvements in social and emotional well-being; or the simple fact of actually reaching out</w:t>
      </w:r>
      <w:r w:rsidR="00780347" w:rsidRPr="00B21295">
        <w:rPr>
          <w:rFonts w:cstheme="minorHAnsi"/>
          <w:lang w:val="en-MY" w:eastAsia="en-AU"/>
        </w:rPr>
        <w:t xml:space="preserve"> and acknowledging the need</w:t>
      </w:r>
      <w:r w:rsidR="00446F50" w:rsidRPr="00B21295">
        <w:rPr>
          <w:rFonts w:cstheme="minorHAnsi"/>
          <w:lang w:val="en-MY" w:eastAsia="en-AU"/>
        </w:rPr>
        <w:t xml:space="preserve"> for support</w:t>
      </w:r>
      <w:r w:rsidR="0065469C" w:rsidRPr="00B21295">
        <w:rPr>
          <w:rFonts w:cstheme="minorHAnsi"/>
          <w:lang w:val="en-MY" w:eastAsia="en-AU"/>
        </w:rPr>
        <w:t>.</w:t>
      </w:r>
    </w:p>
    <w:p w14:paraId="390170FF" w14:textId="77777777" w:rsidR="006B6D84" w:rsidRDefault="006B6D84" w:rsidP="00B6383C">
      <w:pPr>
        <w:jc w:val="both"/>
        <w:rPr>
          <w:rFonts w:cstheme="minorHAnsi"/>
          <w:lang w:val="en-MY" w:eastAsia="en-AU"/>
        </w:rPr>
      </w:pPr>
    </w:p>
    <w:p w14:paraId="5814804B" w14:textId="155A7A8F" w:rsidR="00405FC5" w:rsidRDefault="0070767B" w:rsidP="00B6383C">
      <w:pPr>
        <w:jc w:val="both"/>
        <w:rPr>
          <w:rFonts w:cstheme="minorHAnsi"/>
          <w:lang w:val="en-MY" w:eastAsia="en-AU"/>
        </w:rPr>
      </w:pPr>
      <w:r>
        <w:rPr>
          <w:rFonts w:cstheme="minorHAnsi"/>
          <w:lang w:val="en-MY" w:eastAsia="en-AU"/>
        </w:rPr>
        <w:t>As reported by clients, t</w:t>
      </w:r>
      <w:r w:rsidR="00B6383C" w:rsidRPr="004650AE">
        <w:rPr>
          <w:rFonts w:cstheme="minorHAnsi"/>
          <w:lang w:val="en-MY" w:eastAsia="en-AU"/>
        </w:rPr>
        <w:t>he most common goals</w:t>
      </w:r>
      <w:r>
        <w:rPr>
          <w:rFonts w:cstheme="minorHAnsi"/>
          <w:lang w:val="en-MY" w:eastAsia="en-AU"/>
        </w:rPr>
        <w:t xml:space="preserve"> aspired to </w:t>
      </w:r>
      <w:r w:rsidR="00DF4138">
        <w:rPr>
          <w:rFonts w:cstheme="minorHAnsi"/>
          <w:lang w:val="en-MY" w:eastAsia="en-AU"/>
        </w:rPr>
        <w:t xml:space="preserve">and achieved were </w:t>
      </w:r>
      <w:r w:rsidR="00B11A09">
        <w:rPr>
          <w:rFonts w:cstheme="minorHAnsi"/>
          <w:lang w:val="en-MY" w:eastAsia="en-AU"/>
        </w:rPr>
        <w:t xml:space="preserve">largely </w:t>
      </w:r>
      <w:r>
        <w:rPr>
          <w:rFonts w:cstheme="minorHAnsi"/>
          <w:lang w:val="en-MY" w:eastAsia="en-AU"/>
        </w:rPr>
        <w:t xml:space="preserve">modest and short-term, </w:t>
      </w:r>
      <w:r w:rsidR="00DF4138">
        <w:rPr>
          <w:rFonts w:cstheme="minorHAnsi"/>
          <w:lang w:val="en-MY" w:eastAsia="en-AU"/>
        </w:rPr>
        <w:t xml:space="preserve">yet </w:t>
      </w:r>
      <w:r w:rsidR="006413E5">
        <w:rPr>
          <w:rFonts w:cstheme="minorHAnsi"/>
          <w:lang w:val="en-MY" w:eastAsia="en-AU"/>
        </w:rPr>
        <w:t xml:space="preserve">their </w:t>
      </w:r>
      <w:r>
        <w:rPr>
          <w:rFonts w:cstheme="minorHAnsi"/>
          <w:lang w:val="en-MY" w:eastAsia="en-AU"/>
        </w:rPr>
        <w:t>importance to the individual</w:t>
      </w:r>
      <w:r w:rsidR="00DF4138">
        <w:rPr>
          <w:rFonts w:cstheme="minorHAnsi"/>
          <w:lang w:val="en-MY" w:eastAsia="en-AU"/>
        </w:rPr>
        <w:t>s</w:t>
      </w:r>
      <w:r>
        <w:rPr>
          <w:rFonts w:cstheme="minorHAnsi"/>
          <w:lang w:val="en-MY" w:eastAsia="en-AU"/>
        </w:rPr>
        <w:t xml:space="preserve"> concerned cannot be under-estimated. </w:t>
      </w:r>
      <w:r w:rsidR="00DF4138">
        <w:rPr>
          <w:rFonts w:cstheme="minorHAnsi"/>
          <w:lang w:val="en-MY" w:eastAsia="en-AU"/>
        </w:rPr>
        <w:t xml:space="preserve">This has included support to sober-up and stabilise emotionally </w:t>
      </w:r>
      <w:r w:rsidR="00B11A09">
        <w:rPr>
          <w:rFonts w:cstheme="minorHAnsi"/>
          <w:lang w:val="en-MY" w:eastAsia="en-AU"/>
        </w:rPr>
        <w:t>(</w:t>
      </w:r>
      <w:r w:rsidR="00DF4138">
        <w:rPr>
          <w:rFonts w:cstheme="minorHAnsi"/>
          <w:lang w:val="en-MY" w:eastAsia="en-AU"/>
        </w:rPr>
        <w:t>before thinking through bigger decisions</w:t>
      </w:r>
      <w:r w:rsidR="00B11A09">
        <w:rPr>
          <w:rFonts w:cstheme="minorHAnsi"/>
          <w:lang w:val="en-MY" w:eastAsia="en-AU"/>
        </w:rPr>
        <w:t>)</w:t>
      </w:r>
      <w:r w:rsidR="00DF4138">
        <w:rPr>
          <w:rFonts w:cstheme="minorHAnsi"/>
          <w:lang w:val="en-MY" w:eastAsia="en-AU"/>
        </w:rPr>
        <w:t xml:space="preserve">, </w:t>
      </w:r>
      <w:r w:rsidR="00B11A09">
        <w:rPr>
          <w:rFonts w:cstheme="minorHAnsi"/>
          <w:lang w:val="en-MY" w:eastAsia="en-AU"/>
        </w:rPr>
        <w:t xml:space="preserve">having </w:t>
      </w:r>
      <w:r w:rsidR="00DF4138">
        <w:rPr>
          <w:rFonts w:cstheme="minorHAnsi"/>
          <w:lang w:val="en-MY" w:eastAsia="en-AU"/>
        </w:rPr>
        <w:t xml:space="preserve">access to food and clothes, access to a mobile phone, and the need for bank accounts and social identification. </w:t>
      </w:r>
      <w:r w:rsidR="004961B0">
        <w:rPr>
          <w:rFonts w:cstheme="minorHAnsi"/>
          <w:lang w:val="en-MY" w:eastAsia="en-AU"/>
        </w:rPr>
        <w:t xml:space="preserve">As one client stated, “with ID I can get a [bank] account, with that I can </w:t>
      </w:r>
      <w:r w:rsidR="00EB3C73">
        <w:rPr>
          <w:rFonts w:cstheme="minorHAnsi"/>
          <w:lang w:val="en-MY" w:eastAsia="en-AU"/>
        </w:rPr>
        <w:t xml:space="preserve">have </w:t>
      </w:r>
      <w:r w:rsidR="004961B0">
        <w:rPr>
          <w:rFonts w:cstheme="minorHAnsi"/>
          <w:lang w:val="en-MY" w:eastAsia="en-AU"/>
        </w:rPr>
        <w:t>my money, so th</w:t>
      </w:r>
      <w:r w:rsidR="00EB3C73">
        <w:rPr>
          <w:rFonts w:cstheme="minorHAnsi"/>
          <w:lang w:val="en-MY" w:eastAsia="en-AU"/>
        </w:rPr>
        <w:t>en</w:t>
      </w:r>
      <w:r w:rsidR="004961B0">
        <w:rPr>
          <w:rFonts w:cstheme="minorHAnsi"/>
          <w:lang w:val="en-MY" w:eastAsia="en-AU"/>
        </w:rPr>
        <w:t xml:space="preserve"> I can </w:t>
      </w:r>
      <w:r w:rsidR="00EB3C73">
        <w:rPr>
          <w:rFonts w:cstheme="minorHAnsi"/>
          <w:lang w:val="en-MY" w:eastAsia="en-AU"/>
        </w:rPr>
        <w:t>look after things for myself.”</w:t>
      </w:r>
      <w:r w:rsidR="004961B0">
        <w:rPr>
          <w:rFonts w:cstheme="minorHAnsi"/>
          <w:lang w:val="en-MY" w:eastAsia="en-AU"/>
        </w:rPr>
        <w:t xml:space="preserve"> </w:t>
      </w:r>
    </w:p>
    <w:p w14:paraId="5453D050" w14:textId="77777777" w:rsidR="00405FC5" w:rsidRDefault="00405FC5" w:rsidP="00B6383C">
      <w:pPr>
        <w:jc w:val="both"/>
        <w:rPr>
          <w:rFonts w:cstheme="minorHAnsi"/>
          <w:lang w:val="en-MY" w:eastAsia="en-AU"/>
        </w:rPr>
      </w:pPr>
    </w:p>
    <w:p w14:paraId="733D6FCA" w14:textId="59D6B8AB" w:rsidR="008C2C6A" w:rsidRDefault="00B11A09" w:rsidP="005E078F">
      <w:pPr>
        <w:jc w:val="both"/>
        <w:rPr>
          <w:rFonts w:cstheme="minorHAnsi"/>
          <w:lang w:val="en-MY" w:eastAsia="en-AU"/>
        </w:rPr>
      </w:pPr>
      <w:r>
        <w:rPr>
          <w:rFonts w:cstheme="minorHAnsi"/>
          <w:lang w:val="en-MY" w:eastAsia="en-AU"/>
        </w:rPr>
        <w:t>M</w:t>
      </w:r>
      <w:r w:rsidR="00DF4138">
        <w:rPr>
          <w:rFonts w:cstheme="minorHAnsi"/>
          <w:lang w:val="en-MY" w:eastAsia="en-AU"/>
        </w:rPr>
        <w:t xml:space="preserve">ore complex and longer-term goals </w:t>
      </w:r>
      <w:r>
        <w:rPr>
          <w:rFonts w:cstheme="minorHAnsi"/>
          <w:lang w:val="en-MY" w:eastAsia="en-AU"/>
        </w:rPr>
        <w:t xml:space="preserve">around housing and family reunification were also frequently cited but less often achieved, while </w:t>
      </w:r>
      <w:r w:rsidR="00DF4138">
        <w:rPr>
          <w:rFonts w:cstheme="minorHAnsi"/>
          <w:lang w:val="en-MY" w:eastAsia="en-AU"/>
        </w:rPr>
        <w:t xml:space="preserve">stable employment </w:t>
      </w:r>
      <w:r>
        <w:rPr>
          <w:rFonts w:cstheme="minorHAnsi"/>
          <w:lang w:val="en-MY" w:eastAsia="en-AU"/>
        </w:rPr>
        <w:t>in particular</w:t>
      </w:r>
      <w:r w:rsidR="00DF4138">
        <w:rPr>
          <w:rFonts w:cstheme="minorHAnsi"/>
          <w:lang w:val="en-MY" w:eastAsia="en-AU"/>
        </w:rPr>
        <w:t xml:space="preserve"> was </w:t>
      </w:r>
      <w:r>
        <w:rPr>
          <w:rFonts w:cstheme="minorHAnsi"/>
          <w:lang w:val="en-MY" w:eastAsia="en-AU"/>
        </w:rPr>
        <w:t xml:space="preserve">spoken of in predominantly </w:t>
      </w:r>
      <w:r w:rsidR="00DF4138">
        <w:rPr>
          <w:rFonts w:cstheme="minorHAnsi"/>
          <w:lang w:val="en-MY" w:eastAsia="en-AU"/>
        </w:rPr>
        <w:t xml:space="preserve">aspirational or future-oriented terms, with very few examples </w:t>
      </w:r>
      <w:r>
        <w:rPr>
          <w:rFonts w:cstheme="minorHAnsi"/>
          <w:lang w:val="en-MY" w:eastAsia="en-AU"/>
        </w:rPr>
        <w:t xml:space="preserve">from client interviews </w:t>
      </w:r>
      <w:r w:rsidR="00DF4138">
        <w:rPr>
          <w:rFonts w:cstheme="minorHAnsi"/>
          <w:lang w:val="en-MY" w:eastAsia="en-AU"/>
        </w:rPr>
        <w:t xml:space="preserve">of this </w:t>
      </w:r>
      <w:r>
        <w:rPr>
          <w:rFonts w:cstheme="minorHAnsi"/>
          <w:lang w:val="en-MY" w:eastAsia="en-AU"/>
        </w:rPr>
        <w:t xml:space="preserve">goal </w:t>
      </w:r>
      <w:r w:rsidR="00DF4138">
        <w:rPr>
          <w:rFonts w:cstheme="minorHAnsi"/>
          <w:lang w:val="en-MY" w:eastAsia="en-AU"/>
        </w:rPr>
        <w:t xml:space="preserve">having </w:t>
      </w:r>
      <w:r>
        <w:rPr>
          <w:rFonts w:cstheme="minorHAnsi"/>
          <w:lang w:val="en-MY" w:eastAsia="en-AU"/>
        </w:rPr>
        <w:t xml:space="preserve">actually </w:t>
      </w:r>
      <w:r w:rsidR="00DF4138">
        <w:rPr>
          <w:rFonts w:cstheme="minorHAnsi"/>
          <w:lang w:val="en-MY" w:eastAsia="en-AU"/>
        </w:rPr>
        <w:t>been achieved</w:t>
      </w:r>
      <w:r>
        <w:rPr>
          <w:rFonts w:cstheme="minorHAnsi"/>
          <w:lang w:val="en-MY" w:eastAsia="en-AU"/>
        </w:rPr>
        <w:t>. This was the case even for long-term clients who raised employment as a goal, and who had attended various employment and training programs and courses.</w:t>
      </w:r>
      <w:r w:rsidR="00DF29D3">
        <w:rPr>
          <w:rFonts w:cstheme="minorHAnsi"/>
          <w:lang w:val="en-MY" w:eastAsia="en-AU"/>
        </w:rPr>
        <w:t xml:space="preserve"> </w:t>
      </w:r>
      <w:r w:rsidR="001C5A32">
        <w:rPr>
          <w:rFonts w:cstheme="minorHAnsi"/>
          <w:lang w:val="en-MY" w:eastAsia="en-AU"/>
        </w:rPr>
        <w:t>According to</w:t>
      </w:r>
      <w:r w:rsidR="008C2C6A">
        <w:rPr>
          <w:rFonts w:cstheme="minorHAnsi"/>
          <w:lang w:val="en-MY" w:eastAsia="en-AU"/>
        </w:rPr>
        <w:t xml:space="preserve"> those </w:t>
      </w:r>
      <w:r w:rsidR="00423F72">
        <w:rPr>
          <w:rFonts w:cstheme="minorHAnsi"/>
          <w:lang w:val="en-MY" w:eastAsia="en-AU"/>
        </w:rPr>
        <w:t xml:space="preserve">interviewed from </w:t>
      </w:r>
      <w:r w:rsidR="008C2C6A">
        <w:rPr>
          <w:rFonts w:cstheme="minorHAnsi"/>
          <w:lang w:val="en-MY" w:eastAsia="en-AU"/>
        </w:rPr>
        <w:t>corrective services, although through-care is regarded as necessary and to have enormous potential for those clients motivated to change</w:t>
      </w:r>
      <w:r w:rsidR="006C492A">
        <w:rPr>
          <w:rFonts w:cstheme="minorHAnsi"/>
          <w:lang w:val="en-MY" w:eastAsia="en-AU"/>
        </w:rPr>
        <w:t>,</w:t>
      </w:r>
      <w:r w:rsidR="008F65C5">
        <w:rPr>
          <w:rFonts w:cstheme="minorHAnsi"/>
          <w:lang w:val="en-MY" w:eastAsia="en-AU"/>
        </w:rPr>
        <w:t xml:space="preserve"> </w:t>
      </w:r>
      <w:r w:rsidR="008C2C6A">
        <w:rPr>
          <w:rFonts w:cstheme="minorHAnsi"/>
          <w:lang w:val="en-MY" w:eastAsia="en-AU"/>
        </w:rPr>
        <w:t xml:space="preserve">they remain concerned about the sustainability of outcomes. In the words of one </w:t>
      </w:r>
      <w:r w:rsidR="00423F72">
        <w:rPr>
          <w:rFonts w:cstheme="minorHAnsi"/>
          <w:lang w:val="en-MY" w:eastAsia="en-AU"/>
        </w:rPr>
        <w:t>corrective services employee</w:t>
      </w:r>
      <w:r w:rsidR="008C2C6A">
        <w:rPr>
          <w:rFonts w:cstheme="minorHAnsi"/>
          <w:lang w:val="en-MY" w:eastAsia="en-AU"/>
        </w:rPr>
        <w:t xml:space="preserve">: </w:t>
      </w:r>
    </w:p>
    <w:p w14:paraId="0A37C779" w14:textId="77777777" w:rsidR="008C2C6A" w:rsidRDefault="008C2C6A" w:rsidP="005E078F">
      <w:pPr>
        <w:jc w:val="both"/>
        <w:rPr>
          <w:rFonts w:cstheme="minorHAnsi"/>
          <w:lang w:val="en-MY" w:eastAsia="en-AU"/>
        </w:rPr>
      </w:pPr>
    </w:p>
    <w:p w14:paraId="2C09D6DE" w14:textId="06F1AC23" w:rsidR="005E078F" w:rsidRPr="008C2C6A" w:rsidRDefault="008C2C6A" w:rsidP="005E078F">
      <w:pPr>
        <w:jc w:val="both"/>
        <w:rPr>
          <w:rFonts w:cstheme="minorHAnsi"/>
          <w:lang w:val="en-MY" w:eastAsia="en-AU"/>
        </w:rPr>
      </w:pPr>
      <w:r w:rsidRPr="008C2C6A">
        <w:rPr>
          <w:rFonts w:cstheme="minorHAnsi"/>
          <w:i/>
          <w:iCs/>
          <w:lang w:val="en-MY" w:eastAsia="en-AU"/>
        </w:rPr>
        <w:t>“</w:t>
      </w:r>
      <w:r w:rsidR="0003409C" w:rsidRPr="008C2C6A">
        <w:rPr>
          <w:rFonts w:cstheme="minorHAnsi"/>
          <w:i/>
          <w:iCs/>
          <w:lang w:val="en-MY" w:eastAsia="en-AU"/>
        </w:rPr>
        <w:t xml:space="preserve">It has the potential to be such a transformative program but I have rarely seen successful outcomes for the participants. </w:t>
      </w:r>
      <w:r w:rsidRPr="008C2C6A">
        <w:rPr>
          <w:rFonts w:cstheme="minorHAnsi"/>
          <w:i/>
          <w:iCs/>
          <w:lang w:val="en-MY" w:eastAsia="en-AU"/>
        </w:rPr>
        <w:t xml:space="preserve">People </w:t>
      </w:r>
      <w:r w:rsidR="0003409C" w:rsidRPr="008C2C6A">
        <w:rPr>
          <w:rFonts w:cstheme="minorHAnsi"/>
          <w:i/>
          <w:iCs/>
          <w:lang w:val="en-MY" w:eastAsia="en-AU"/>
        </w:rPr>
        <w:t>that have worked in the program have done some fabulous advocacy work</w:t>
      </w:r>
      <w:r w:rsidRPr="008C2C6A">
        <w:rPr>
          <w:rFonts w:cstheme="minorHAnsi"/>
          <w:i/>
          <w:iCs/>
          <w:lang w:val="en-MY" w:eastAsia="en-AU"/>
        </w:rPr>
        <w:t>,</w:t>
      </w:r>
      <w:r w:rsidR="0003409C" w:rsidRPr="008C2C6A">
        <w:rPr>
          <w:rFonts w:cstheme="minorHAnsi"/>
          <w:i/>
          <w:iCs/>
          <w:lang w:val="en-MY" w:eastAsia="en-AU"/>
        </w:rPr>
        <w:t xml:space="preserve"> but this is a case by case basis and hinges on the capability of the professional</w:t>
      </w:r>
      <w:r w:rsidR="00AB5191">
        <w:rPr>
          <w:rFonts w:cstheme="minorHAnsi"/>
          <w:i/>
          <w:iCs/>
          <w:lang w:val="en-MY" w:eastAsia="en-AU"/>
        </w:rPr>
        <w:t xml:space="preserve"> and the motivation of the client</w:t>
      </w:r>
      <w:r w:rsidR="005E078F" w:rsidRPr="008C2C6A">
        <w:rPr>
          <w:rFonts w:cstheme="minorHAnsi"/>
          <w:i/>
          <w:iCs/>
          <w:lang w:val="en-MY" w:eastAsia="en-AU"/>
        </w:rPr>
        <w:t>.</w:t>
      </w:r>
      <w:r w:rsidRPr="008C2C6A">
        <w:rPr>
          <w:rFonts w:cstheme="minorHAnsi"/>
          <w:i/>
          <w:iCs/>
          <w:lang w:val="en-MY" w:eastAsia="en-AU"/>
        </w:rPr>
        <w:t>”</w:t>
      </w:r>
    </w:p>
    <w:p w14:paraId="34E505D6" w14:textId="77777777" w:rsidR="005E078F" w:rsidRDefault="005E078F" w:rsidP="005E078F">
      <w:pPr>
        <w:jc w:val="both"/>
        <w:rPr>
          <w:rFonts w:cstheme="minorHAnsi"/>
          <w:lang w:val="en-MY" w:eastAsia="en-AU"/>
        </w:rPr>
      </w:pPr>
    </w:p>
    <w:p w14:paraId="18890FD4" w14:textId="2595DBD5" w:rsidR="0059616B" w:rsidRDefault="00423F72" w:rsidP="00AB5191">
      <w:pPr>
        <w:jc w:val="both"/>
        <w:rPr>
          <w:rFonts w:cstheme="minorHAnsi"/>
          <w:lang w:val="en-MY" w:eastAsia="en-AU"/>
        </w:rPr>
      </w:pPr>
      <w:r>
        <w:rPr>
          <w:rFonts w:cstheme="minorHAnsi"/>
          <w:lang w:val="en-MY" w:eastAsia="en-AU"/>
        </w:rPr>
        <w:t>The is view was supported by some case</w:t>
      </w:r>
      <w:r w:rsidR="00694565">
        <w:rPr>
          <w:rFonts w:cstheme="minorHAnsi"/>
          <w:lang w:val="en-MY" w:eastAsia="en-AU"/>
        </w:rPr>
        <w:t xml:space="preserve"> </w:t>
      </w:r>
      <w:r>
        <w:rPr>
          <w:rFonts w:cstheme="minorHAnsi"/>
          <w:lang w:val="en-MY" w:eastAsia="en-AU"/>
        </w:rPr>
        <w:t xml:space="preserve">workers who perceived that, for adult clients at least, through-care may be less effective in producing outcomes for repeat offenders in their 20s or 30s, </w:t>
      </w:r>
      <w:r w:rsidR="0059616B">
        <w:rPr>
          <w:rFonts w:cstheme="minorHAnsi"/>
          <w:lang w:val="en-MY" w:eastAsia="en-AU"/>
        </w:rPr>
        <w:t xml:space="preserve">when compared to </w:t>
      </w:r>
      <w:r>
        <w:rPr>
          <w:rFonts w:cstheme="minorHAnsi"/>
          <w:lang w:val="en-MY" w:eastAsia="en-AU"/>
        </w:rPr>
        <w:t xml:space="preserve">older clients </w:t>
      </w:r>
      <w:r w:rsidR="0059616B">
        <w:rPr>
          <w:rFonts w:cstheme="minorHAnsi"/>
          <w:lang w:val="en-MY" w:eastAsia="en-AU"/>
        </w:rPr>
        <w:t xml:space="preserve">in their 40s and 50s, </w:t>
      </w:r>
      <w:r>
        <w:rPr>
          <w:rFonts w:cstheme="minorHAnsi"/>
          <w:lang w:val="en-MY" w:eastAsia="en-AU"/>
        </w:rPr>
        <w:t>who may</w:t>
      </w:r>
      <w:r w:rsidR="0059616B">
        <w:rPr>
          <w:rFonts w:cstheme="minorHAnsi"/>
          <w:lang w:val="en-MY" w:eastAsia="en-AU"/>
        </w:rPr>
        <w:t xml:space="preserve"> be more jaded by the experience of prison and therefore more open to changing their outlook</w:t>
      </w:r>
      <w:r>
        <w:rPr>
          <w:rFonts w:cstheme="minorHAnsi"/>
          <w:lang w:val="en-MY" w:eastAsia="en-AU"/>
        </w:rPr>
        <w:t xml:space="preserve">. </w:t>
      </w:r>
      <w:r w:rsidR="00B6383C" w:rsidRPr="004650AE">
        <w:rPr>
          <w:rFonts w:cstheme="minorHAnsi"/>
          <w:lang w:val="en-MY" w:eastAsia="en-AU"/>
        </w:rPr>
        <w:t xml:space="preserve">Service partners </w:t>
      </w:r>
      <w:r w:rsidR="00A24D54">
        <w:rPr>
          <w:rFonts w:cstheme="minorHAnsi"/>
          <w:lang w:val="en-MY" w:eastAsia="en-AU"/>
        </w:rPr>
        <w:t xml:space="preserve">delivering secondary support services who </w:t>
      </w:r>
      <w:r w:rsidR="00B6383C" w:rsidRPr="004650AE">
        <w:rPr>
          <w:rFonts w:cstheme="minorHAnsi"/>
          <w:lang w:val="en-MY" w:eastAsia="en-AU"/>
        </w:rPr>
        <w:t>respond</w:t>
      </w:r>
      <w:r w:rsidR="00A24D54">
        <w:rPr>
          <w:rFonts w:cstheme="minorHAnsi"/>
          <w:lang w:val="en-MY" w:eastAsia="en-AU"/>
        </w:rPr>
        <w:t xml:space="preserve">ed </w:t>
      </w:r>
      <w:r w:rsidR="00B6383C" w:rsidRPr="004650AE">
        <w:rPr>
          <w:rFonts w:cstheme="minorHAnsi"/>
          <w:lang w:val="en-MY" w:eastAsia="en-AU"/>
        </w:rPr>
        <w:t xml:space="preserve">to the online survey were </w:t>
      </w:r>
      <w:r w:rsidR="00A24D54">
        <w:rPr>
          <w:rFonts w:cstheme="minorHAnsi"/>
          <w:lang w:val="en-MY" w:eastAsia="en-AU"/>
        </w:rPr>
        <w:t xml:space="preserve">also somewhat </w:t>
      </w:r>
      <w:r w:rsidR="00B6383C" w:rsidRPr="004650AE">
        <w:rPr>
          <w:rFonts w:cstheme="minorHAnsi"/>
          <w:lang w:val="en-MY" w:eastAsia="en-AU"/>
        </w:rPr>
        <w:t>less confident</w:t>
      </w:r>
      <w:r w:rsidR="00A24D54">
        <w:rPr>
          <w:rFonts w:cstheme="minorHAnsi"/>
          <w:lang w:val="en-MY" w:eastAsia="en-AU"/>
        </w:rPr>
        <w:t xml:space="preserve"> </w:t>
      </w:r>
      <w:r w:rsidR="00B6383C" w:rsidRPr="004650AE">
        <w:rPr>
          <w:rFonts w:cstheme="minorHAnsi"/>
          <w:lang w:val="en-MY" w:eastAsia="en-AU"/>
        </w:rPr>
        <w:t xml:space="preserve">regarding the extent to which through-care services are effective in decreasing the likelihood of a client reoffending, with </w:t>
      </w:r>
      <w:r w:rsidR="00A24D54">
        <w:rPr>
          <w:rFonts w:cstheme="minorHAnsi"/>
          <w:lang w:val="en-MY" w:eastAsia="en-AU"/>
        </w:rPr>
        <w:t xml:space="preserve">just </w:t>
      </w:r>
      <w:r w:rsidR="00B6383C" w:rsidRPr="004650AE">
        <w:rPr>
          <w:rFonts w:cstheme="minorHAnsi"/>
          <w:lang w:val="en-MY" w:eastAsia="en-AU"/>
        </w:rPr>
        <w:t>4</w:t>
      </w:r>
      <w:r w:rsidR="00A24D54">
        <w:rPr>
          <w:rFonts w:cstheme="minorHAnsi"/>
          <w:lang w:val="en-MY" w:eastAsia="en-AU"/>
        </w:rPr>
        <w:t>0</w:t>
      </w:r>
      <w:r w:rsidR="00B6383C" w:rsidRPr="004650AE">
        <w:rPr>
          <w:rFonts w:cstheme="minorHAnsi"/>
          <w:lang w:val="en-MY" w:eastAsia="en-AU"/>
        </w:rPr>
        <w:t xml:space="preserve"> percent considering this outcome to be ‘always’ or ‘usually’ the case, compared to </w:t>
      </w:r>
      <w:r w:rsidR="00A24D54">
        <w:rPr>
          <w:rFonts w:cstheme="minorHAnsi"/>
          <w:lang w:val="en-MY" w:eastAsia="en-AU"/>
        </w:rPr>
        <w:t xml:space="preserve">38 </w:t>
      </w:r>
      <w:r w:rsidR="00B6383C" w:rsidRPr="004650AE">
        <w:rPr>
          <w:rFonts w:cstheme="minorHAnsi"/>
          <w:lang w:val="en-MY" w:eastAsia="en-AU"/>
        </w:rPr>
        <w:t xml:space="preserve">percent ‘rarely’ or ‘never’ and </w:t>
      </w:r>
      <w:r w:rsidR="00A24D54">
        <w:rPr>
          <w:rFonts w:cstheme="minorHAnsi"/>
          <w:lang w:val="en-MY" w:eastAsia="en-AU"/>
        </w:rPr>
        <w:t>22</w:t>
      </w:r>
      <w:r w:rsidR="00B6383C" w:rsidRPr="004650AE">
        <w:rPr>
          <w:rFonts w:cstheme="minorHAnsi"/>
          <w:lang w:val="en-MY" w:eastAsia="en-AU"/>
        </w:rPr>
        <w:t xml:space="preserve"> percent </w:t>
      </w:r>
      <w:r w:rsidR="00A24D54">
        <w:rPr>
          <w:rFonts w:cstheme="minorHAnsi"/>
          <w:lang w:val="en-MY" w:eastAsia="en-AU"/>
        </w:rPr>
        <w:t xml:space="preserve">only </w:t>
      </w:r>
      <w:r w:rsidR="00B6383C" w:rsidRPr="004650AE">
        <w:rPr>
          <w:rFonts w:cstheme="minorHAnsi"/>
          <w:lang w:val="en-MY" w:eastAsia="en-AU"/>
        </w:rPr>
        <w:t>‘sometimes’.</w:t>
      </w:r>
      <w:r w:rsidR="00A24D54">
        <w:rPr>
          <w:rFonts w:cstheme="minorHAnsi"/>
          <w:lang w:val="en-MY" w:eastAsia="en-AU"/>
        </w:rPr>
        <w:t xml:space="preserve"> </w:t>
      </w:r>
    </w:p>
    <w:p w14:paraId="7D9D504B" w14:textId="77777777" w:rsidR="0059616B" w:rsidRDefault="0059616B" w:rsidP="00AB5191">
      <w:pPr>
        <w:jc w:val="both"/>
        <w:rPr>
          <w:rFonts w:cstheme="minorHAnsi"/>
          <w:lang w:val="en-MY" w:eastAsia="en-AU"/>
        </w:rPr>
      </w:pPr>
    </w:p>
    <w:p w14:paraId="03497272" w14:textId="24CFF4FD" w:rsidR="006A5058" w:rsidRDefault="0059616B" w:rsidP="007349AC">
      <w:pPr>
        <w:jc w:val="both"/>
        <w:rPr>
          <w:rFonts w:cstheme="minorHAnsi"/>
          <w:lang w:val="en-MY" w:eastAsia="en-AU"/>
        </w:rPr>
      </w:pPr>
      <w:r>
        <w:rPr>
          <w:rFonts w:cstheme="minorHAnsi"/>
          <w:lang w:val="en-MY" w:eastAsia="en-AU"/>
        </w:rPr>
        <w:t>Furthermore, i</w:t>
      </w:r>
      <w:r w:rsidR="00A24D54">
        <w:rPr>
          <w:rFonts w:cstheme="minorHAnsi"/>
          <w:lang w:val="en-MY" w:eastAsia="en-AU"/>
        </w:rPr>
        <w:t xml:space="preserve">n free-text comments submitted for the survey it was </w:t>
      </w:r>
      <w:r w:rsidR="00E943FE">
        <w:rPr>
          <w:rFonts w:cstheme="minorHAnsi"/>
          <w:lang w:val="en-MY" w:eastAsia="en-AU"/>
        </w:rPr>
        <w:t xml:space="preserve">remarked </w:t>
      </w:r>
      <w:r w:rsidR="00A24D54">
        <w:rPr>
          <w:rFonts w:cstheme="minorHAnsi"/>
          <w:lang w:val="en-MY" w:eastAsia="en-AU"/>
        </w:rPr>
        <w:t xml:space="preserve">that clients will usually only attend a counselling session or therapeutic course </w:t>
      </w:r>
      <w:r w:rsidR="00E943FE">
        <w:rPr>
          <w:rFonts w:cstheme="minorHAnsi"/>
          <w:lang w:val="en-MY" w:eastAsia="en-AU"/>
        </w:rPr>
        <w:t xml:space="preserve">as part of their goals </w:t>
      </w:r>
      <w:r w:rsidR="00A24D54">
        <w:rPr>
          <w:rFonts w:cstheme="minorHAnsi"/>
          <w:lang w:val="en-MY" w:eastAsia="en-AU"/>
        </w:rPr>
        <w:t xml:space="preserve">when this is mandated as a parole order, as opposed to </w:t>
      </w:r>
      <w:r w:rsidR="006C492A">
        <w:rPr>
          <w:rFonts w:cstheme="minorHAnsi"/>
          <w:lang w:val="en-MY" w:eastAsia="en-AU"/>
        </w:rPr>
        <w:t xml:space="preserve">voluntarily </w:t>
      </w:r>
      <w:r w:rsidR="00E943FE">
        <w:rPr>
          <w:rFonts w:cstheme="minorHAnsi"/>
          <w:lang w:val="en-MY" w:eastAsia="en-AU"/>
        </w:rPr>
        <w:t>attending</w:t>
      </w:r>
      <w:r w:rsidR="00A24D54">
        <w:rPr>
          <w:rFonts w:cstheme="minorHAnsi"/>
          <w:lang w:val="en-MY" w:eastAsia="en-AU"/>
        </w:rPr>
        <w:t>.</w:t>
      </w:r>
      <w:r w:rsidR="00E466DE">
        <w:rPr>
          <w:rFonts w:cstheme="minorHAnsi"/>
          <w:lang w:val="en-MY" w:eastAsia="en-AU"/>
        </w:rPr>
        <w:t xml:space="preserve"> </w:t>
      </w:r>
      <w:r w:rsidR="00E943FE">
        <w:rPr>
          <w:rFonts w:cstheme="minorHAnsi"/>
          <w:lang w:val="en-MY" w:eastAsia="en-AU"/>
        </w:rPr>
        <w:t>While consistent</w:t>
      </w:r>
      <w:r w:rsidR="00E466DE">
        <w:rPr>
          <w:rFonts w:cstheme="minorHAnsi"/>
          <w:lang w:val="en-MY" w:eastAsia="en-AU"/>
        </w:rPr>
        <w:t xml:space="preserve"> </w:t>
      </w:r>
      <w:r w:rsidR="00E943FE">
        <w:rPr>
          <w:rFonts w:cstheme="minorHAnsi"/>
          <w:lang w:val="en-MY" w:eastAsia="en-AU"/>
        </w:rPr>
        <w:t>with views expressed by some case</w:t>
      </w:r>
      <w:r w:rsidR="00694565">
        <w:rPr>
          <w:rFonts w:cstheme="minorHAnsi"/>
          <w:lang w:val="en-MY" w:eastAsia="en-AU"/>
        </w:rPr>
        <w:t xml:space="preserve"> </w:t>
      </w:r>
      <w:r w:rsidR="00E943FE">
        <w:rPr>
          <w:rFonts w:cstheme="minorHAnsi"/>
          <w:lang w:val="en-MY" w:eastAsia="en-AU"/>
        </w:rPr>
        <w:t xml:space="preserve">workers, this claim is not consistent, however, with the views expressed by most clients, for whom attendance at </w:t>
      </w:r>
      <w:r w:rsidR="00E466DE">
        <w:rPr>
          <w:rFonts w:cstheme="minorHAnsi"/>
          <w:lang w:val="en-MY" w:eastAsia="en-AU"/>
        </w:rPr>
        <w:t xml:space="preserve">such </w:t>
      </w:r>
      <w:r w:rsidR="00E943FE">
        <w:rPr>
          <w:rFonts w:cstheme="minorHAnsi"/>
          <w:lang w:val="en-MY" w:eastAsia="en-AU"/>
        </w:rPr>
        <w:t>sessions</w:t>
      </w:r>
      <w:r w:rsidR="00E466DE">
        <w:rPr>
          <w:rFonts w:cstheme="minorHAnsi"/>
          <w:lang w:val="en-MY" w:eastAsia="en-AU"/>
        </w:rPr>
        <w:t>, their level of engagement,</w:t>
      </w:r>
      <w:r w:rsidR="00E943FE">
        <w:rPr>
          <w:rFonts w:cstheme="minorHAnsi"/>
          <w:lang w:val="en-MY" w:eastAsia="en-AU"/>
        </w:rPr>
        <w:t xml:space="preserve"> </w:t>
      </w:r>
      <w:r w:rsidR="00E466DE">
        <w:rPr>
          <w:rFonts w:cstheme="minorHAnsi"/>
          <w:lang w:val="en-MY" w:eastAsia="en-AU"/>
        </w:rPr>
        <w:t>a</w:t>
      </w:r>
      <w:r w:rsidR="00E943FE">
        <w:rPr>
          <w:rFonts w:cstheme="minorHAnsi"/>
          <w:lang w:val="en-MY" w:eastAsia="en-AU"/>
        </w:rPr>
        <w:t xml:space="preserve">nd the outcomes </w:t>
      </w:r>
      <w:r w:rsidR="00E466DE">
        <w:rPr>
          <w:rFonts w:cstheme="minorHAnsi"/>
          <w:lang w:val="en-MY" w:eastAsia="en-AU"/>
        </w:rPr>
        <w:t xml:space="preserve">they were able to </w:t>
      </w:r>
      <w:r w:rsidR="00E943FE">
        <w:rPr>
          <w:rFonts w:cstheme="minorHAnsi"/>
          <w:lang w:val="en-MY" w:eastAsia="en-AU"/>
        </w:rPr>
        <w:t>achieve</w:t>
      </w:r>
      <w:r w:rsidR="00E466DE">
        <w:rPr>
          <w:rFonts w:cstheme="minorHAnsi"/>
          <w:lang w:val="en-MY" w:eastAsia="en-AU"/>
        </w:rPr>
        <w:t>,</w:t>
      </w:r>
      <w:r w:rsidR="00E943FE">
        <w:rPr>
          <w:rFonts w:cstheme="minorHAnsi"/>
          <w:lang w:val="en-MY" w:eastAsia="en-AU"/>
        </w:rPr>
        <w:t xml:space="preserve"> was dependent on the relevance and quality of the program</w:t>
      </w:r>
      <w:r w:rsidR="007349AC">
        <w:rPr>
          <w:rFonts w:cstheme="minorHAnsi"/>
          <w:lang w:val="en-MY" w:eastAsia="en-AU"/>
        </w:rPr>
        <w:t>.</w:t>
      </w:r>
      <w:r w:rsidR="006A5058">
        <w:rPr>
          <w:rFonts w:cstheme="minorHAnsi"/>
          <w:lang w:val="en-MY" w:eastAsia="en-AU"/>
        </w:rPr>
        <w:t xml:space="preserve"> </w:t>
      </w:r>
      <w:r w:rsidR="00E31AAE">
        <w:rPr>
          <w:rFonts w:cstheme="minorHAnsi"/>
          <w:lang w:val="en-MY" w:eastAsia="en-AU"/>
        </w:rPr>
        <w:t>Client s</w:t>
      </w:r>
      <w:r w:rsidR="006A5058" w:rsidRPr="00A63DBC">
        <w:rPr>
          <w:rFonts w:cstheme="minorHAnsi"/>
          <w:lang w:val="en-MY" w:eastAsia="en-AU"/>
        </w:rPr>
        <w:t xml:space="preserve">hame associated with accessing </w:t>
      </w:r>
      <w:r w:rsidR="006A5058">
        <w:rPr>
          <w:rFonts w:cstheme="minorHAnsi"/>
          <w:lang w:val="en-MY" w:eastAsia="en-AU"/>
        </w:rPr>
        <w:t xml:space="preserve">some services </w:t>
      </w:r>
      <w:r w:rsidR="00E466DE">
        <w:rPr>
          <w:rFonts w:cstheme="minorHAnsi"/>
          <w:lang w:val="en-MY" w:eastAsia="en-AU"/>
        </w:rPr>
        <w:t xml:space="preserve">– rather than a blanket refusal to attend - </w:t>
      </w:r>
      <w:r w:rsidR="006A5058">
        <w:rPr>
          <w:rFonts w:cstheme="minorHAnsi"/>
          <w:lang w:val="en-MY" w:eastAsia="en-AU"/>
        </w:rPr>
        <w:t xml:space="preserve">was also </w:t>
      </w:r>
      <w:r w:rsidR="00E31AAE">
        <w:rPr>
          <w:rFonts w:cstheme="minorHAnsi"/>
          <w:lang w:val="en-MY" w:eastAsia="en-AU"/>
        </w:rPr>
        <w:t>raised by case</w:t>
      </w:r>
      <w:r w:rsidR="00694565">
        <w:rPr>
          <w:rFonts w:cstheme="minorHAnsi"/>
          <w:lang w:val="en-MY" w:eastAsia="en-AU"/>
        </w:rPr>
        <w:t xml:space="preserve"> </w:t>
      </w:r>
      <w:r w:rsidR="00E31AAE">
        <w:rPr>
          <w:rFonts w:cstheme="minorHAnsi"/>
          <w:lang w:val="en-MY" w:eastAsia="en-AU"/>
        </w:rPr>
        <w:t xml:space="preserve">workers as an issue for many clients, with males in particular often refusing to access </w:t>
      </w:r>
      <w:r w:rsidR="006A5058" w:rsidRPr="00A63DBC">
        <w:rPr>
          <w:rFonts w:cstheme="minorHAnsi"/>
          <w:lang w:val="en-MY" w:eastAsia="en-AU"/>
        </w:rPr>
        <w:t>A</w:t>
      </w:r>
      <w:r w:rsidR="00E31AAE">
        <w:rPr>
          <w:rFonts w:cstheme="minorHAnsi"/>
          <w:lang w:val="en-MY" w:eastAsia="en-AU"/>
        </w:rPr>
        <w:t>o</w:t>
      </w:r>
      <w:r w:rsidR="006A5058" w:rsidRPr="00A63DBC">
        <w:rPr>
          <w:rFonts w:cstheme="minorHAnsi"/>
          <w:lang w:val="en-MY" w:eastAsia="en-AU"/>
        </w:rPr>
        <w:t>D programs</w:t>
      </w:r>
      <w:r w:rsidR="00E31AAE">
        <w:rPr>
          <w:rFonts w:cstheme="minorHAnsi"/>
          <w:lang w:val="en-MY" w:eastAsia="en-AU"/>
        </w:rPr>
        <w:t xml:space="preserve"> voluntar</w:t>
      </w:r>
      <w:r w:rsidR="006C492A">
        <w:rPr>
          <w:rFonts w:cstheme="minorHAnsi"/>
          <w:lang w:val="en-MY" w:eastAsia="en-AU"/>
        </w:rPr>
        <w:t>ily</w:t>
      </w:r>
      <w:r w:rsidR="00E31AAE">
        <w:rPr>
          <w:rFonts w:cstheme="minorHAnsi"/>
          <w:lang w:val="en-MY" w:eastAsia="en-AU"/>
        </w:rPr>
        <w:t>,</w:t>
      </w:r>
      <w:r w:rsidR="006A5058" w:rsidRPr="00A63DBC">
        <w:rPr>
          <w:rFonts w:cstheme="minorHAnsi"/>
          <w:lang w:val="en-MY" w:eastAsia="en-AU"/>
        </w:rPr>
        <w:t xml:space="preserve"> </w:t>
      </w:r>
      <w:r w:rsidR="00E31AAE">
        <w:rPr>
          <w:rFonts w:cstheme="minorHAnsi"/>
          <w:lang w:val="en-MY" w:eastAsia="en-AU"/>
        </w:rPr>
        <w:t xml:space="preserve">for fear of </w:t>
      </w:r>
      <w:r w:rsidR="006A5058" w:rsidRPr="00A63DBC">
        <w:rPr>
          <w:rFonts w:cstheme="minorHAnsi"/>
          <w:lang w:val="en-MY" w:eastAsia="en-AU"/>
        </w:rPr>
        <w:t>admit</w:t>
      </w:r>
      <w:r w:rsidR="00E31AAE">
        <w:rPr>
          <w:rFonts w:cstheme="minorHAnsi"/>
          <w:lang w:val="en-MY" w:eastAsia="en-AU"/>
        </w:rPr>
        <w:t xml:space="preserve">ting to misuse or </w:t>
      </w:r>
      <w:r w:rsidR="006A5058" w:rsidRPr="00A63DBC">
        <w:rPr>
          <w:rFonts w:cstheme="minorHAnsi"/>
          <w:lang w:val="en-MY" w:eastAsia="en-AU"/>
        </w:rPr>
        <w:t xml:space="preserve">having to divulge where they obtain </w:t>
      </w:r>
      <w:r w:rsidR="00E31AAE">
        <w:rPr>
          <w:rFonts w:cstheme="minorHAnsi"/>
          <w:lang w:val="en-MY" w:eastAsia="en-AU"/>
        </w:rPr>
        <w:t>the</w:t>
      </w:r>
      <w:r w:rsidR="00E466DE">
        <w:rPr>
          <w:rFonts w:cstheme="minorHAnsi"/>
          <w:lang w:val="en-MY" w:eastAsia="en-AU"/>
        </w:rPr>
        <w:t>ir</w:t>
      </w:r>
      <w:r w:rsidR="00E31AAE">
        <w:rPr>
          <w:rFonts w:cstheme="minorHAnsi"/>
          <w:lang w:val="en-MY" w:eastAsia="en-AU"/>
        </w:rPr>
        <w:t xml:space="preserve"> alcohol or </w:t>
      </w:r>
      <w:r w:rsidR="006A5058" w:rsidRPr="00A63DBC">
        <w:rPr>
          <w:rFonts w:cstheme="minorHAnsi"/>
          <w:lang w:val="en-MY" w:eastAsia="en-AU"/>
        </w:rPr>
        <w:t>drugs from.</w:t>
      </w:r>
    </w:p>
    <w:p w14:paraId="7C8C3159" w14:textId="77777777" w:rsidR="00DF29D3" w:rsidRDefault="00DF29D3" w:rsidP="00946BFB">
      <w:pPr>
        <w:pStyle w:val="Subhead3"/>
        <w:rPr>
          <w:rFonts w:asciiTheme="minorHAnsi" w:hAnsiTheme="minorHAnsi" w:cstheme="minorHAnsi"/>
          <w:sz w:val="24"/>
          <w:lang w:val="en-MY" w:eastAsia="en-AU"/>
        </w:rPr>
      </w:pPr>
    </w:p>
    <w:p w14:paraId="2C2D427C" w14:textId="504830FD" w:rsidR="00150A34" w:rsidRPr="003D4746" w:rsidRDefault="00946BFB" w:rsidP="00876893">
      <w:pPr>
        <w:pStyle w:val="Caption"/>
        <w:rPr>
          <w:color w:val="4F81BD" w:themeColor="accent1"/>
          <w:sz w:val="22"/>
          <w:szCs w:val="22"/>
          <w:lang w:val="en-MY" w:eastAsia="en-AU"/>
        </w:rPr>
      </w:pPr>
      <w:r w:rsidRPr="003D4746">
        <w:rPr>
          <w:color w:val="4F81BD" w:themeColor="accent1"/>
          <w:sz w:val="22"/>
          <w:szCs w:val="22"/>
          <w:lang w:val="en-MY" w:eastAsia="en-AU"/>
        </w:rPr>
        <w:t>Reported Service Outcomes and Effectiveness</w:t>
      </w:r>
    </w:p>
    <w:p w14:paraId="702B2376" w14:textId="77777777" w:rsidR="00405FC5" w:rsidRDefault="00B60B2A" w:rsidP="008A3496">
      <w:pPr>
        <w:jc w:val="both"/>
        <w:rPr>
          <w:rStyle w:val="eop"/>
          <w:rFonts w:ascii="Calibri" w:hAnsi="Calibri" w:cs="Calibri"/>
        </w:rPr>
      </w:pPr>
      <w:r>
        <w:rPr>
          <w:rFonts w:cstheme="minorHAnsi"/>
          <w:lang w:val="en-MY" w:eastAsia="en-AU"/>
        </w:rPr>
        <w:t>Analysis of available service performance data</w:t>
      </w:r>
      <w:r w:rsidR="003F6232">
        <w:rPr>
          <w:rFonts w:cstheme="minorHAnsi"/>
          <w:lang w:val="en-MY" w:eastAsia="en-AU"/>
        </w:rPr>
        <w:t xml:space="preserve"> (</w:t>
      </w:r>
      <w:r>
        <w:rPr>
          <w:rFonts w:cstheme="minorHAnsi"/>
          <w:lang w:val="en-MY" w:eastAsia="en-AU"/>
        </w:rPr>
        <w:t>notwithstanding issues with availability and the quality of recorded data</w:t>
      </w:r>
      <w:r w:rsidR="003F6232">
        <w:rPr>
          <w:rFonts w:cstheme="minorHAnsi"/>
          <w:lang w:val="en-MY" w:eastAsia="en-AU"/>
        </w:rPr>
        <w:t>)</w:t>
      </w:r>
      <w:r w:rsidRPr="00EE14F7">
        <w:rPr>
          <w:rFonts w:cstheme="minorHAnsi"/>
          <w:color w:val="000000" w:themeColor="text1"/>
          <w:vertAlign w:val="superscript"/>
          <w:lang w:val="en-MY" w:eastAsia="en-AU"/>
        </w:rPr>
        <w:t xml:space="preserve"> </w:t>
      </w:r>
      <w:r>
        <w:rPr>
          <w:rFonts w:cstheme="minorHAnsi"/>
          <w:lang w:val="en-MY" w:eastAsia="en-AU"/>
        </w:rPr>
        <w:t xml:space="preserve">is consistent with the qualitative finding that long-term client outcomes have been achieved but not systematically across the program. </w:t>
      </w:r>
      <w:r w:rsidR="008A3496">
        <w:rPr>
          <w:rFonts w:cstheme="minorHAnsi"/>
          <w:lang w:val="en-MY" w:eastAsia="en-AU"/>
        </w:rPr>
        <w:t>The table below shows available</w:t>
      </w:r>
      <w:r w:rsidR="008A3496" w:rsidRPr="005D3430">
        <w:rPr>
          <w:rFonts w:cstheme="minorHAnsi"/>
          <w:lang w:val="en-MY" w:eastAsia="en-AU"/>
        </w:rPr>
        <w:t xml:space="preserve"> data</w:t>
      </w:r>
      <w:r w:rsidR="008A3496">
        <w:rPr>
          <w:rFonts w:cstheme="minorHAnsi"/>
          <w:lang w:val="en-MY" w:eastAsia="en-AU"/>
        </w:rPr>
        <w:t xml:space="preserve"> (</w:t>
      </w:r>
      <w:r>
        <w:rPr>
          <w:rFonts w:cstheme="minorHAnsi"/>
          <w:lang w:val="en-MY" w:eastAsia="en-AU"/>
        </w:rPr>
        <w:t xml:space="preserve">available </w:t>
      </w:r>
      <w:r w:rsidR="008A3496">
        <w:rPr>
          <w:rFonts w:cstheme="minorHAnsi"/>
          <w:lang w:val="en-MY" w:eastAsia="en-AU"/>
        </w:rPr>
        <w:t>for the ATC program only)</w:t>
      </w:r>
      <w:r w:rsidR="008A3496" w:rsidRPr="005D3430">
        <w:rPr>
          <w:rFonts w:cstheme="minorHAnsi"/>
          <w:lang w:val="en-MY" w:eastAsia="en-AU"/>
        </w:rPr>
        <w:t xml:space="preserve"> with respect to education, employment and housing outcomes, </w:t>
      </w:r>
      <w:r>
        <w:rPr>
          <w:rFonts w:cstheme="minorHAnsi"/>
          <w:lang w:val="en-MY" w:eastAsia="en-AU"/>
        </w:rPr>
        <w:t xml:space="preserve">and </w:t>
      </w:r>
      <w:r w:rsidR="008A3496" w:rsidRPr="005D3430">
        <w:rPr>
          <w:rFonts w:cstheme="minorHAnsi"/>
          <w:lang w:val="en-MY" w:eastAsia="en-AU"/>
        </w:rPr>
        <w:t>show</w:t>
      </w:r>
      <w:r>
        <w:rPr>
          <w:rFonts w:cstheme="minorHAnsi"/>
          <w:lang w:val="en-MY" w:eastAsia="en-AU"/>
        </w:rPr>
        <w:t xml:space="preserve">s </w:t>
      </w:r>
      <w:r w:rsidR="008A3496" w:rsidRPr="005D3430">
        <w:rPr>
          <w:rFonts w:cstheme="minorHAnsi"/>
          <w:lang w:val="en-MY" w:eastAsia="en-AU"/>
        </w:rPr>
        <w:t xml:space="preserve">the </w:t>
      </w:r>
      <w:r w:rsidR="008A3496">
        <w:rPr>
          <w:rFonts w:cstheme="minorHAnsi"/>
          <w:lang w:val="en-MY" w:eastAsia="en-AU"/>
        </w:rPr>
        <w:t xml:space="preserve">proportion </w:t>
      </w:r>
      <w:r w:rsidR="008A3496" w:rsidRPr="008A3496">
        <w:rPr>
          <w:rFonts w:cstheme="minorHAnsi"/>
          <w:lang w:val="en-MY" w:eastAsia="en-AU"/>
        </w:rPr>
        <w:t>of active clients achieving these outcomes.</w:t>
      </w:r>
      <w:r w:rsidR="008A3496" w:rsidRPr="005D3430">
        <w:rPr>
          <w:rStyle w:val="eop"/>
          <w:rFonts w:ascii="Calibri" w:hAnsi="Calibri" w:cs="Calibri"/>
        </w:rPr>
        <w:t> </w:t>
      </w:r>
    </w:p>
    <w:p w14:paraId="3C0DE057" w14:textId="77777777" w:rsidR="00405FC5" w:rsidRDefault="00405FC5" w:rsidP="008A3496">
      <w:pPr>
        <w:jc w:val="both"/>
        <w:rPr>
          <w:rStyle w:val="eop"/>
          <w:rFonts w:ascii="Calibri" w:hAnsi="Calibri" w:cs="Calibri"/>
        </w:rPr>
      </w:pPr>
    </w:p>
    <w:p w14:paraId="2C82B080" w14:textId="51C2AD90" w:rsidR="00405FC5" w:rsidRDefault="00405FC5" w:rsidP="00405FC5">
      <w:pPr>
        <w:jc w:val="both"/>
        <w:rPr>
          <w:rFonts w:cstheme="minorHAnsi"/>
          <w:lang w:val="en-MY" w:eastAsia="en-AU"/>
        </w:rPr>
      </w:pPr>
      <w:r w:rsidRPr="001571AA">
        <w:rPr>
          <w:rFonts w:cstheme="minorHAnsi"/>
          <w:lang w:val="en-MY" w:eastAsia="en-AU"/>
        </w:rPr>
        <w:t>Based on this data</w:t>
      </w:r>
      <w:r>
        <w:rPr>
          <w:rFonts w:cstheme="minorHAnsi"/>
          <w:lang w:val="en-MY" w:eastAsia="en-AU"/>
        </w:rPr>
        <w:t xml:space="preserve"> the average proportion of clients who become employed whilst participating in the program is low, at just 18 percent (and with 4 percent of this cohort subsequently becoming unemployed). Moreover, approximately 40 percent of this result is attributable to a single provider</w:t>
      </w:r>
      <w:r w:rsidR="00D94E4E">
        <w:rPr>
          <w:rFonts w:cstheme="minorHAnsi"/>
          <w:lang w:val="en-MY" w:eastAsia="en-AU"/>
        </w:rPr>
        <w:t xml:space="preserve">, </w:t>
      </w:r>
      <w:r>
        <w:rPr>
          <w:rFonts w:cstheme="minorHAnsi"/>
          <w:lang w:val="en-MY" w:eastAsia="en-AU"/>
        </w:rPr>
        <w:t>for whom issues with the quality of reported data, including double counting of clients, are identified. The proportion of clients attending adult education or training is similarly low at 12 percent.</w:t>
      </w:r>
    </w:p>
    <w:p w14:paraId="06134675" w14:textId="77777777" w:rsidR="00405FC5" w:rsidRDefault="00405FC5" w:rsidP="008A3496">
      <w:pPr>
        <w:jc w:val="both"/>
        <w:rPr>
          <w:rStyle w:val="eop"/>
          <w:rFonts w:ascii="Calibri" w:hAnsi="Calibri" w:cs="Calibri"/>
        </w:rPr>
      </w:pPr>
    </w:p>
    <w:p w14:paraId="5071ACCA" w14:textId="74C5167C" w:rsidR="00405FC5" w:rsidRPr="00405FC5" w:rsidRDefault="00405FC5" w:rsidP="008A3496">
      <w:pPr>
        <w:jc w:val="both"/>
        <w:rPr>
          <w:rStyle w:val="eop"/>
          <w:rFonts w:cstheme="minorHAnsi"/>
          <w:lang w:val="en-MY" w:eastAsia="en-AU"/>
        </w:rPr>
      </w:pPr>
      <w:r>
        <w:rPr>
          <w:rFonts w:cstheme="minorHAnsi"/>
          <w:lang w:val="en-MY" w:eastAsia="en-AU"/>
        </w:rPr>
        <w:t xml:space="preserve">More optimistically, the proportion of clients participating in ‘regular and meaningful activity’ such as community events, while averaging just 18 percent across all services, is greater than 25 percent for three services, but understandably low for </w:t>
      </w:r>
      <w:r w:rsidR="00D94E4E">
        <w:rPr>
          <w:rFonts w:cstheme="minorHAnsi"/>
          <w:lang w:val="en-MY" w:eastAsia="en-AU"/>
        </w:rPr>
        <w:t xml:space="preserve">those </w:t>
      </w:r>
      <w:r>
        <w:rPr>
          <w:rFonts w:cstheme="minorHAnsi"/>
          <w:lang w:val="en-MY" w:eastAsia="en-AU"/>
        </w:rPr>
        <w:t xml:space="preserve">services </w:t>
      </w:r>
      <w:r w:rsidR="00D94E4E">
        <w:rPr>
          <w:rFonts w:cstheme="minorHAnsi"/>
          <w:lang w:val="en-MY" w:eastAsia="en-AU"/>
        </w:rPr>
        <w:t xml:space="preserve">who reported service delivery </w:t>
      </w:r>
      <w:r>
        <w:rPr>
          <w:rFonts w:cstheme="minorHAnsi"/>
          <w:lang w:val="en-MY" w:eastAsia="en-AU"/>
        </w:rPr>
        <w:t>challenge</w:t>
      </w:r>
      <w:r w:rsidR="00D94E4E">
        <w:rPr>
          <w:rFonts w:cstheme="minorHAnsi"/>
          <w:lang w:val="en-MY" w:eastAsia="en-AU"/>
        </w:rPr>
        <w:t xml:space="preserve">s as a consequence of their remoteness. </w:t>
      </w:r>
      <w:r>
        <w:rPr>
          <w:rFonts w:cstheme="minorHAnsi"/>
          <w:lang w:val="en-MY" w:eastAsia="en-AU"/>
        </w:rPr>
        <w:t>Furthermore, albeit contrary to evidence of poor housing outcomes in the literature,</w:t>
      </w:r>
      <w:r>
        <w:rPr>
          <w:rStyle w:val="FootnoteReference"/>
          <w:rFonts w:cstheme="minorHAnsi"/>
          <w:lang w:val="en-MY" w:eastAsia="en-AU"/>
        </w:rPr>
        <w:footnoteReference w:id="101"/>
      </w:r>
      <w:r>
        <w:rPr>
          <w:rFonts w:cstheme="minorHAnsi"/>
          <w:lang w:val="en-MY" w:eastAsia="en-AU"/>
        </w:rPr>
        <w:t xml:space="preserve"> the proportion of clients achieving stable and secure accommodation is pleasingly high at 70 percent, and below this level for just one service. This data may, however, include double entries for clients who have moved home, and since undefined, may also include forms of temporary accommodation or tertiary homelessness (as reported at client interviews).</w:t>
      </w:r>
      <w:r>
        <w:rPr>
          <w:rStyle w:val="FootnoteReference"/>
          <w:rFonts w:cstheme="minorHAnsi"/>
          <w:lang w:val="en-MY" w:eastAsia="en-AU"/>
        </w:rPr>
        <w:footnoteReference w:id="102"/>
      </w:r>
      <w:r>
        <w:rPr>
          <w:rFonts w:cstheme="minorHAnsi"/>
          <w:lang w:val="en-MY" w:eastAsia="en-AU"/>
        </w:rPr>
        <w:t xml:space="preserve">    </w:t>
      </w:r>
    </w:p>
    <w:p w14:paraId="24054AB2" w14:textId="72E848C2" w:rsidR="008A3496" w:rsidRDefault="008A3496" w:rsidP="00C6342C">
      <w:pPr>
        <w:jc w:val="both"/>
        <w:rPr>
          <w:rFonts w:cstheme="minorHAnsi"/>
          <w:lang w:val="en-MY" w:eastAsia="en-AU"/>
        </w:rPr>
      </w:pPr>
    </w:p>
    <w:p w14:paraId="360F6878" w14:textId="77777777" w:rsidR="003D4746" w:rsidRDefault="003D4746">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0BCCFB16" w14:textId="30E0AB11" w:rsidR="007349AC" w:rsidRDefault="007349AC" w:rsidP="007349AC">
      <w:pPr>
        <w:rPr>
          <w:rFonts w:cstheme="minorHAnsi"/>
          <w:i/>
          <w:iCs/>
          <w:color w:val="1F497D" w:themeColor="text2"/>
          <w:sz w:val="20"/>
          <w:szCs w:val="20"/>
        </w:rPr>
      </w:pPr>
      <w:r w:rsidRPr="008A3496">
        <w:rPr>
          <w:rFonts w:cstheme="minorHAnsi"/>
          <w:i/>
          <w:iCs/>
          <w:color w:val="1F497D" w:themeColor="text2"/>
          <w:sz w:val="20"/>
          <w:szCs w:val="20"/>
        </w:rPr>
        <w:t xml:space="preserve">Table </w:t>
      </w:r>
      <w:r w:rsidR="00691792">
        <w:rPr>
          <w:rFonts w:cstheme="minorHAnsi"/>
          <w:i/>
          <w:iCs/>
          <w:color w:val="1F497D" w:themeColor="text2"/>
          <w:sz w:val="20"/>
          <w:szCs w:val="20"/>
        </w:rPr>
        <w:t>8</w:t>
      </w:r>
      <w:r w:rsidRPr="008A3496">
        <w:rPr>
          <w:rFonts w:cstheme="minorHAnsi"/>
          <w:i/>
          <w:iCs/>
          <w:color w:val="1F497D" w:themeColor="text2"/>
          <w:sz w:val="20"/>
          <w:szCs w:val="20"/>
        </w:rPr>
        <w:t xml:space="preserve"> –</w:t>
      </w:r>
      <w:r w:rsidR="00FF2A6B">
        <w:rPr>
          <w:rFonts w:cstheme="minorHAnsi"/>
          <w:i/>
          <w:iCs/>
          <w:color w:val="1F497D" w:themeColor="text2"/>
          <w:sz w:val="20"/>
          <w:szCs w:val="20"/>
        </w:rPr>
        <w:t xml:space="preserve"> </w:t>
      </w:r>
      <w:r w:rsidRPr="008A3496">
        <w:rPr>
          <w:rFonts w:cstheme="minorHAnsi"/>
          <w:i/>
          <w:iCs/>
          <w:color w:val="1F497D" w:themeColor="text2"/>
          <w:sz w:val="20"/>
          <w:szCs w:val="20"/>
        </w:rPr>
        <w:t xml:space="preserve">Proportion of </w:t>
      </w:r>
      <w:r>
        <w:rPr>
          <w:rFonts w:cstheme="minorHAnsi"/>
          <w:i/>
          <w:iCs/>
          <w:color w:val="1F497D" w:themeColor="text2"/>
          <w:sz w:val="20"/>
          <w:szCs w:val="20"/>
        </w:rPr>
        <w:t xml:space="preserve">Post-release </w:t>
      </w:r>
      <w:r w:rsidRPr="008A3496">
        <w:rPr>
          <w:rFonts w:cstheme="minorHAnsi"/>
          <w:i/>
          <w:iCs/>
          <w:color w:val="1F497D" w:themeColor="text2"/>
          <w:sz w:val="20"/>
          <w:szCs w:val="20"/>
        </w:rPr>
        <w:t>Clients Achieving Outcomes (1 July 20</w:t>
      </w:r>
      <w:r w:rsidR="002A68DB">
        <w:rPr>
          <w:rFonts w:cstheme="minorHAnsi"/>
          <w:i/>
          <w:iCs/>
          <w:color w:val="1F497D" w:themeColor="text2"/>
          <w:sz w:val="20"/>
          <w:szCs w:val="20"/>
        </w:rPr>
        <w:t>19</w:t>
      </w:r>
      <w:r w:rsidRPr="008A3496">
        <w:rPr>
          <w:rFonts w:cstheme="minorHAnsi"/>
          <w:i/>
          <w:iCs/>
          <w:color w:val="1F497D" w:themeColor="text2"/>
          <w:sz w:val="20"/>
          <w:szCs w:val="20"/>
        </w:rPr>
        <w:t xml:space="preserve"> to 31 December 2022)</w:t>
      </w:r>
    </w:p>
    <w:p w14:paraId="51C93F67" w14:textId="77777777" w:rsidR="007349AC" w:rsidRPr="008A3496" w:rsidRDefault="007349AC" w:rsidP="007349AC">
      <w:pPr>
        <w:rPr>
          <w:rFonts w:cstheme="minorHAnsi"/>
          <w:i/>
          <w:iCs/>
          <w:color w:val="1F497D" w:themeColor="text2"/>
          <w:sz w:val="20"/>
          <w:szCs w:val="20"/>
        </w:rPr>
      </w:pPr>
    </w:p>
    <w:tbl>
      <w:tblPr>
        <w:tblStyle w:val="GridTable1Light-Accent1"/>
        <w:tblW w:w="9050" w:type="dxa"/>
        <w:tblLayout w:type="fixed"/>
        <w:tblLook w:val="04A0" w:firstRow="1" w:lastRow="0" w:firstColumn="1" w:lastColumn="0" w:noHBand="0" w:noVBand="1"/>
        <w:tblCaption w:val="Table 8 - proportion of post-release clients achieving outcomes"/>
        <w:tblDescription w:val="The table provides by detail on outcomes achieved by clients (employed, employed longer, attending education or training, engaging in regular and meangful activity, or achieved stable and secure accommodation). The information is displayed by provider and as a percentage. The table has 10 columns and 7 rows in total.  "/>
      </w:tblPr>
      <w:tblGrid>
        <w:gridCol w:w="1937"/>
        <w:gridCol w:w="776"/>
        <w:gridCol w:w="776"/>
        <w:gridCol w:w="776"/>
        <w:gridCol w:w="776"/>
        <w:gridCol w:w="908"/>
        <w:gridCol w:w="850"/>
        <w:gridCol w:w="993"/>
        <w:gridCol w:w="708"/>
        <w:gridCol w:w="550"/>
      </w:tblGrid>
      <w:tr w:rsidR="001571AA" w:rsidRPr="008A3496" w14:paraId="28DEEFB8" w14:textId="53BEABFD" w:rsidTr="004772A2">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1937" w:type="dxa"/>
            <w:hideMark/>
          </w:tcPr>
          <w:p w14:paraId="0AC46CE6" w14:textId="77777777" w:rsidR="001571AA" w:rsidRDefault="001571AA" w:rsidP="00877CCC">
            <w:pPr>
              <w:pStyle w:val="paragraph"/>
              <w:spacing w:before="0" w:beforeAutospacing="0" w:after="0" w:afterAutospacing="0"/>
              <w:textAlignment w:val="baseline"/>
              <w:rPr>
                <w:rStyle w:val="eop"/>
                <w:rFonts w:cstheme="minorHAnsi"/>
                <w:b w:val="0"/>
                <w:bCs w:val="0"/>
                <w:color w:val="000000" w:themeColor="text1"/>
                <w:sz w:val="20"/>
                <w:szCs w:val="20"/>
              </w:rPr>
            </w:pPr>
            <w:r w:rsidRPr="008A3496">
              <w:rPr>
                <w:rStyle w:val="normaltextrun"/>
                <w:rFonts w:cstheme="minorHAnsi"/>
                <w:color w:val="000000" w:themeColor="text1"/>
                <w:sz w:val="20"/>
                <w:szCs w:val="20"/>
              </w:rPr>
              <w:t>Outcomes</w:t>
            </w:r>
            <w:r w:rsidRPr="008A3496">
              <w:rPr>
                <w:rStyle w:val="eop"/>
                <w:rFonts w:cstheme="minorHAnsi"/>
                <w:color w:val="000000" w:themeColor="text1"/>
                <w:sz w:val="20"/>
                <w:szCs w:val="20"/>
              </w:rPr>
              <w:t> </w:t>
            </w:r>
          </w:p>
          <w:p w14:paraId="3092260A" w14:textId="43DD8F1A" w:rsidR="001571AA" w:rsidRPr="008A3496" w:rsidRDefault="001571AA" w:rsidP="00877CCC">
            <w:pPr>
              <w:pStyle w:val="paragraph"/>
              <w:spacing w:before="0" w:beforeAutospacing="0" w:after="0" w:afterAutospacing="0"/>
              <w:textAlignment w:val="baseline"/>
              <w:rPr>
                <w:rFonts w:cstheme="minorHAnsi"/>
                <w:color w:val="000000" w:themeColor="text1"/>
                <w:sz w:val="20"/>
                <w:szCs w:val="20"/>
              </w:rPr>
            </w:pPr>
            <w:r>
              <w:rPr>
                <w:rStyle w:val="eop"/>
                <w:rFonts w:cstheme="minorHAnsi"/>
                <w:color w:val="000000" w:themeColor="text1"/>
                <w:sz w:val="20"/>
                <w:szCs w:val="20"/>
              </w:rPr>
              <w:t>(in %)</w:t>
            </w:r>
          </w:p>
        </w:tc>
        <w:tc>
          <w:tcPr>
            <w:tcW w:w="776" w:type="dxa"/>
            <w:hideMark/>
          </w:tcPr>
          <w:p w14:paraId="71CA1C61"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ALRM</w:t>
            </w:r>
            <w:r w:rsidRPr="008A3496">
              <w:rPr>
                <w:rStyle w:val="eop"/>
                <w:rFonts w:cstheme="minorHAnsi"/>
                <w:color w:val="000000" w:themeColor="text1"/>
                <w:sz w:val="20"/>
                <w:szCs w:val="20"/>
              </w:rPr>
              <w:t> </w:t>
            </w:r>
          </w:p>
        </w:tc>
        <w:tc>
          <w:tcPr>
            <w:tcW w:w="776" w:type="dxa"/>
            <w:hideMark/>
          </w:tcPr>
          <w:p w14:paraId="71AFB1C4"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ATSILS</w:t>
            </w:r>
            <w:r w:rsidRPr="008A3496">
              <w:rPr>
                <w:rStyle w:val="eop"/>
                <w:rFonts w:cstheme="minorHAnsi"/>
                <w:color w:val="000000" w:themeColor="text1"/>
                <w:sz w:val="20"/>
                <w:szCs w:val="20"/>
              </w:rPr>
              <w:t> </w:t>
            </w:r>
          </w:p>
        </w:tc>
        <w:tc>
          <w:tcPr>
            <w:tcW w:w="776" w:type="dxa"/>
            <w:hideMark/>
          </w:tcPr>
          <w:p w14:paraId="7C43A80E"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CHAC</w:t>
            </w:r>
            <w:r w:rsidRPr="008A3496">
              <w:rPr>
                <w:rStyle w:val="eop"/>
                <w:rFonts w:cstheme="minorHAnsi"/>
                <w:color w:val="000000" w:themeColor="text1"/>
                <w:sz w:val="20"/>
                <w:szCs w:val="20"/>
              </w:rPr>
              <w:t> </w:t>
            </w:r>
          </w:p>
        </w:tc>
        <w:tc>
          <w:tcPr>
            <w:tcW w:w="776" w:type="dxa"/>
            <w:hideMark/>
          </w:tcPr>
          <w:p w14:paraId="4A932B07"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CRC</w:t>
            </w:r>
            <w:r w:rsidRPr="008A3496">
              <w:rPr>
                <w:rStyle w:val="eop"/>
                <w:rFonts w:cstheme="minorHAnsi"/>
                <w:color w:val="000000" w:themeColor="text1"/>
                <w:sz w:val="20"/>
                <w:szCs w:val="20"/>
              </w:rPr>
              <w:t> </w:t>
            </w:r>
          </w:p>
        </w:tc>
        <w:tc>
          <w:tcPr>
            <w:tcW w:w="908" w:type="dxa"/>
            <w:hideMark/>
          </w:tcPr>
          <w:p w14:paraId="0AE694D2"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Five Bridges</w:t>
            </w:r>
            <w:r w:rsidRPr="008A3496">
              <w:rPr>
                <w:rStyle w:val="eop"/>
                <w:rFonts w:cstheme="minorHAnsi"/>
                <w:color w:val="000000" w:themeColor="text1"/>
                <w:sz w:val="20"/>
                <w:szCs w:val="20"/>
              </w:rPr>
              <w:t> </w:t>
            </w:r>
          </w:p>
        </w:tc>
        <w:tc>
          <w:tcPr>
            <w:tcW w:w="850" w:type="dxa"/>
            <w:hideMark/>
          </w:tcPr>
          <w:p w14:paraId="4AE7F7A2"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NAAJA</w:t>
            </w:r>
            <w:r w:rsidRPr="008A3496">
              <w:rPr>
                <w:rStyle w:val="eop"/>
                <w:rFonts w:cstheme="minorHAnsi"/>
                <w:color w:val="000000" w:themeColor="text1"/>
                <w:sz w:val="20"/>
                <w:szCs w:val="20"/>
              </w:rPr>
              <w:t> </w:t>
            </w:r>
          </w:p>
        </w:tc>
        <w:tc>
          <w:tcPr>
            <w:tcW w:w="993" w:type="dxa"/>
            <w:hideMark/>
          </w:tcPr>
          <w:p w14:paraId="4013D64C" w14:textId="6B404D5F"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 xml:space="preserve">Nulsen </w:t>
            </w:r>
            <w:r w:rsidRPr="00154043">
              <w:rPr>
                <w:rStyle w:val="normaltextrun"/>
                <w:rFonts w:cstheme="minorHAnsi"/>
                <w:color w:val="000000" w:themeColor="text1"/>
                <w:sz w:val="18"/>
                <w:szCs w:val="18"/>
              </w:rPr>
              <w:t>(Outcare)</w:t>
            </w:r>
          </w:p>
        </w:tc>
        <w:tc>
          <w:tcPr>
            <w:tcW w:w="708" w:type="dxa"/>
            <w:hideMark/>
          </w:tcPr>
          <w:p w14:paraId="5410F048" w14:textId="77777777"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8A3496">
              <w:rPr>
                <w:rStyle w:val="normaltextrun"/>
                <w:rFonts w:cstheme="minorHAnsi"/>
                <w:color w:val="000000" w:themeColor="text1"/>
                <w:sz w:val="20"/>
                <w:szCs w:val="20"/>
              </w:rPr>
              <w:t>RYSS</w:t>
            </w:r>
            <w:r w:rsidRPr="008A3496">
              <w:rPr>
                <w:rStyle w:val="eop"/>
                <w:rFonts w:cstheme="minorHAnsi"/>
                <w:color w:val="000000" w:themeColor="text1"/>
                <w:sz w:val="20"/>
                <w:szCs w:val="20"/>
              </w:rPr>
              <w:t> </w:t>
            </w:r>
          </w:p>
        </w:tc>
        <w:tc>
          <w:tcPr>
            <w:tcW w:w="550" w:type="dxa"/>
          </w:tcPr>
          <w:p w14:paraId="54D8FB40" w14:textId="61B8F5DD" w:rsidR="001571AA" w:rsidRPr="008A3496" w:rsidRDefault="001571AA" w:rsidP="00877CCC">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Style w:val="normaltextrun"/>
                <w:rFonts w:cstheme="minorHAnsi"/>
                <w:color w:val="000000" w:themeColor="text1"/>
                <w:sz w:val="20"/>
                <w:szCs w:val="20"/>
              </w:rPr>
            </w:pPr>
            <w:r>
              <w:rPr>
                <w:rStyle w:val="normaltextrun"/>
                <w:rFonts w:cstheme="minorHAnsi"/>
                <w:color w:val="000000" w:themeColor="text1"/>
                <w:sz w:val="20"/>
                <w:szCs w:val="20"/>
              </w:rPr>
              <w:t>Av. %</w:t>
            </w:r>
          </w:p>
        </w:tc>
      </w:tr>
      <w:tr w:rsidR="001571AA" w:rsidRPr="008A3496" w14:paraId="73E1EFB2" w14:textId="232BA722" w:rsidTr="00B30844">
        <w:trPr>
          <w:trHeight w:val="442"/>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0B9F3F76" w14:textId="42640FF6" w:rsidR="001571AA" w:rsidRPr="008A3496" w:rsidRDefault="001571AA" w:rsidP="00877CCC">
            <w:pPr>
              <w:pStyle w:val="paragraph"/>
              <w:spacing w:before="0" w:beforeAutospacing="0" w:after="0" w:afterAutospacing="0"/>
              <w:textAlignment w:val="baseline"/>
              <w:rPr>
                <w:rFonts w:cstheme="minorHAnsi"/>
                <w:sz w:val="20"/>
                <w:szCs w:val="20"/>
              </w:rPr>
            </w:pPr>
            <w:r w:rsidRPr="008A3496">
              <w:rPr>
                <w:rStyle w:val="normaltextrun"/>
                <w:rFonts w:cstheme="minorHAnsi"/>
                <w:sz w:val="20"/>
                <w:szCs w:val="20"/>
              </w:rPr>
              <w:t>Are employed</w:t>
            </w:r>
          </w:p>
        </w:tc>
        <w:tc>
          <w:tcPr>
            <w:tcW w:w="776" w:type="dxa"/>
            <w:vAlign w:val="center"/>
            <w:hideMark/>
          </w:tcPr>
          <w:p w14:paraId="77524EA2" w14:textId="6753D6D6"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10</w:t>
            </w:r>
          </w:p>
        </w:tc>
        <w:tc>
          <w:tcPr>
            <w:tcW w:w="776" w:type="dxa"/>
            <w:vAlign w:val="center"/>
            <w:hideMark/>
          </w:tcPr>
          <w:p w14:paraId="2B9F829B" w14:textId="4F7E4B38"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11</w:t>
            </w:r>
          </w:p>
        </w:tc>
        <w:tc>
          <w:tcPr>
            <w:tcW w:w="776" w:type="dxa"/>
            <w:vAlign w:val="center"/>
            <w:hideMark/>
          </w:tcPr>
          <w:p w14:paraId="21624169" w14:textId="0D7582BB"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38</w:t>
            </w:r>
          </w:p>
        </w:tc>
        <w:tc>
          <w:tcPr>
            <w:tcW w:w="776" w:type="dxa"/>
            <w:vAlign w:val="center"/>
            <w:hideMark/>
          </w:tcPr>
          <w:p w14:paraId="51742F76" w14:textId="5AA51CE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3</w:t>
            </w:r>
          </w:p>
        </w:tc>
        <w:tc>
          <w:tcPr>
            <w:tcW w:w="908" w:type="dxa"/>
            <w:vAlign w:val="center"/>
            <w:hideMark/>
          </w:tcPr>
          <w:p w14:paraId="714DA54B" w14:textId="50D04CA1"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7</w:t>
            </w:r>
          </w:p>
        </w:tc>
        <w:tc>
          <w:tcPr>
            <w:tcW w:w="850" w:type="dxa"/>
            <w:vAlign w:val="center"/>
            <w:hideMark/>
          </w:tcPr>
          <w:p w14:paraId="4ACB2FDF"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NA</w:t>
            </w:r>
          </w:p>
        </w:tc>
        <w:tc>
          <w:tcPr>
            <w:tcW w:w="993" w:type="dxa"/>
            <w:vAlign w:val="center"/>
            <w:hideMark/>
          </w:tcPr>
          <w:p w14:paraId="6FF860FD" w14:textId="38B89EDB"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14</w:t>
            </w:r>
          </w:p>
        </w:tc>
        <w:tc>
          <w:tcPr>
            <w:tcW w:w="708" w:type="dxa"/>
            <w:vAlign w:val="center"/>
            <w:hideMark/>
          </w:tcPr>
          <w:p w14:paraId="26ADC817" w14:textId="696428E4"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12</w:t>
            </w:r>
          </w:p>
        </w:tc>
        <w:tc>
          <w:tcPr>
            <w:tcW w:w="550" w:type="dxa"/>
            <w:vAlign w:val="center"/>
          </w:tcPr>
          <w:p w14:paraId="5CB797DF" w14:textId="636E271A" w:rsidR="001571AA" w:rsidRPr="00FF2A6B" w:rsidRDefault="001571AA" w:rsidP="00BE7E8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Pr>
                <w:rStyle w:val="normaltextrun"/>
                <w:rFonts w:cstheme="minorHAnsi"/>
                <w:sz w:val="20"/>
                <w:szCs w:val="20"/>
              </w:rPr>
              <w:t>14</w:t>
            </w:r>
          </w:p>
        </w:tc>
      </w:tr>
      <w:tr w:rsidR="001571AA" w:rsidRPr="008A3496" w14:paraId="216FB9C6" w14:textId="0A4A1BA9" w:rsidTr="00B30844">
        <w:trPr>
          <w:trHeight w:val="568"/>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3DB57B99" w14:textId="1E09CCF2" w:rsidR="001571AA" w:rsidRPr="008A3496" w:rsidRDefault="001571AA" w:rsidP="00877CCC">
            <w:pPr>
              <w:pStyle w:val="paragraph"/>
              <w:spacing w:before="0" w:beforeAutospacing="0" w:after="0" w:afterAutospacing="0"/>
              <w:textAlignment w:val="baseline"/>
              <w:rPr>
                <w:rFonts w:cstheme="minorHAnsi"/>
                <w:sz w:val="20"/>
                <w:szCs w:val="20"/>
              </w:rPr>
            </w:pPr>
            <w:r w:rsidRPr="008A3496">
              <w:rPr>
                <w:rStyle w:val="normaltextrun"/>
                <w:rFonts w:cstheme="minorHAnsi"/>
                <w:sz w:val="20"/>
                <w:szCs w:val="20"/>
              </w:rPr>
              <w:t xml:space="preserve">Were employed </w:t>
            </w:r>
            <w:r>
              <w:rPr>
                <w:rStyle w:val="normaltextrun"/>
                <w:rFonts w:cstheme="minorHAnsi"/>
                <w:sz w:val="20"/>
                <w:szCs w:val="20"/>
              </w:rPr>
              <w:t xml:space="preserve">but </w:t>
            </w:r>
            <w:r w:rsidRPr="008A3496">
              <w:rPr>
                <w:rStyle w:val="normaltextrun"/>
                <w:rFonts w:cstheme="minorHAnsi"/>
                <w:sz w:val="20"/>
                <w:szCs w:val="20"/>
              </w:rPr>
              <w:t>no longer</w:t>
            </w:r>
          </w:p>
        </w:tc>
        <w:tc>
          <w:tcPr>
            <w:tcW w:w="776" w:type="dxa"/>
            <w:vAlign w:val="center"/>
            <w:hideMark/>
          </w:tcPr>
          <w:p w14:paraId="765360B0" w14:textId="68E596C1"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11</w:t>
            </w:r>
          </w:p>
        </w:tc>
        <w:tc>
          <w:tcPr>
            <w:tcW w:w="776" w:type="dxa"/>
            <w:vAlign w:val="center"/>
            <w:hideMark/>
          </w:tcPr>
          <w:p w14:paraId="77B14468" w14:textId="37C34C03"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2</w:t>
            </w:r>
          </w:p>
        </w:tc>
        <w:tc>
          <w:tcPr>
            <w:tcW w:w="776" w:type="dxa"/>
            <w:vAlign w:val="center"/>
            <w:hideMark/>
          </w:tcPr>
          <w:p w14:paraId="669A4F60" w14:textId="53EE5C93"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w:t>
            </w:r>
          </w:p>
        </w:tc>
        <w:tc>
          <w:tcPr>
            <w:tcW w:w="776" w:type="dxa"/>
            <w:vAlign w:val="center"/>
            <w:hideMark/>
          </w:tcPr>
          <w:p w14:paraId="48E410FB" w14:textId="0071AC56"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w:t>
            </w:r>
          </w:p>
        </w:tc>
        <w:tc>
          <w:tcPr>
            <w:tcW w:w="908" w:type="dxa"/>
            <w:vAlign w:val="center"/>
            <w:hideMark/>
          </w:tcPr>
          <w:p w14:paraId="706C57BB"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0</w:t>
            </w:r>
          </w:p>
        </w:tc>
        <w:tc>
          <w:tcPr>
            <w:tcW w:w="850" w:type="dxa"/>
            <w:vAlign w:val="center"/>
            <w:hideMark/>
          </w:tcPr>
          <w:p w14:paraId="076E8604"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NA</w:t>
            </w:r>
          </w:p>
        </w:tc>
        <w:tc>
          <w:tcPr>
            <w:tcW w:w="993" w:type="dxa"/>
            <w:vAlign w:val="center"/>
            <w:hideMark/>
          </w:tcPr>
          <w:p w14:paraId="3617FC47" w14:textId="5CCCD144"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10</w:t>
            </w:r>
          </w:p>
        </w:tc>
        <w:tc>
          <w:tcPr>
            <w:tcW w:w="708" w:type="dxa"/>
            <w:vAlign w:val="center"/>
            <w:hideMark/>
          </w:tcPr>
          <w:p w14:paraId="51360BCE" w14:textId="7FA2266B"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4</w:t>
            </w:r>
          </w:p>
        </w:tc>
        <w:tc>
          <w:tcPr>
            <w:tcW w:w="550" w:type="dxa"/>
            <w:vAlign w:val="center"/>
          </w:tcPr>
          <w:p w14:paraId="5813C71C" w14:textId="7908261E" w:rsidR="001571AA" w:rsidRPr="00FF2A6B" w:rsidRDefault="001571AA" w:rsidP="00BE7E8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Pr>
                <w:rStyle w:val="normaltextrun"/>
                <w:rFonts w:cstheme="minorHAnsi"/>
                <w:sz w:val="20"/>
                <w:szCs w:val="20"/>
              </w:rPr>
              <w:t>4</w:t>
            </w:r>
          </w:p>
        </w:tc>
      </w:tr>
      <w:tr w:rsidR="001571AA" w:rsidRPr="008A3496" w14:paraId="222493F8" w14:textId="09CA572A" w:rsidTr="00B30844">
        <w:trPr>
          <w:trHeight w:val="593"/>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5636B5E6" w14:textId="77777777" w:rsidR="001571AA" w:rsidRPr="008A3496" w:rsidRDefault="001571AA" w:rsidP="00877CCC">
            <w:pPr>
              <w:pStyle w:val="paragraph"/>
              <w:spacing w:before="0" w:beforeAutospacing="0" w:after="0" w:afterAutospacing="0"/>
              <w:textAlignment w:val="baseline"/>
              <w:rPr>
                <w:rFonts w:cstheme="minorHAnsi"/>
                <w:sz w:val="20"/>
                <w:szCs w:val="20"/>
              </w:rPr>
            </w:pPr>
            <w:r w:rsidRPr="008A3496">
              <w:rPr>
                <w:rStyle w:val="normaltextrun"/>
                <w:rFonts w:cstheme="minorHAnsi"/>
                <w:sz w:val="20"/>
                <w:szCs w:val="20"/>
              </w:rPr>
              <w:t>Attend</w:t>
            </w:r>
            <w:r>
              <w:rPr>
                <w:rStyle w:val="normaltextrun"/>
                <w:rFonts w:cstheme="minorHAnsi"/>
                <w:sz w:val="20"/>
                <w:szCs w:val="20"/>
              </w:rPr>
              <w:t>ing</w:t>
            </w:r>
            <w:r w:rsidRPr="008A3496">
              <w:rPr>
                <w:rStyle w:val="normaltextrun"/>
                <w:rFonts w:cstheme="minorHAnsi"/>
                <w:sz w:val="20"/>
                <w:szCs w:val="20"/>
              </w:rPr>
              <w:t xml:space="preserve"> </w:t>
            </w:r>
            <w:r>
              <w:rPr>
                <w:rStyle w:val="normaltextrun"/>
                <w:rFonts w:cstheme="minorHAnsi"/>
                <w:sz w:val="20"/>
                <w:szCs w:val="20"/>
              </w:rPr>
              <w:t xml:space="preserve">education or </w:t>
            </w:r>
            <w:r w:rsidRPr="008A3496">
              <w:rPr>
                <w:rStyle w:val="normaltextrun"/>
                <w:rFonts w:cstheme="minorHAnsi"/>
                <w:sz w:val="20"/>
                <w:szCs w:val="20"/>
              </w:rPr>
              <w:t>training</w:t>
            </w:r>
          </w:p>
        </w:tc>
        <w:tc>
          <w:tcPr>
            <w:tcW w:w="776" w:type="dxa"/>
            <w:vAlign w:val="center"/>
            <w:hideMark/>
          </w:tcPr>
          <w:p w14:paraId="0BED11A6" w14:textId="0C3771EA"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17</w:t>
            </w:r>
          </w:p>
        </w:tc>
        <w:tc>
          <w:tcPr>
            <w:tcW w:w="776" w:type="dxa"/>
            <w:vAlign w:val="center"/>
            <w:hideMark/>
          </w:tcPr>
          <w:p w14:paraId="20CABFA9" w14:textId="0617D581"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7</w:t>
            </w:r>
          </w:p>
        </w:tc>
        <w:tc>
          <w:tcPr>
            <w:tcW w:w="776" w:type="dxa"/>
            <w:vAlign w:val="center"/>
            <w:hideMark/>
          </w:tcPr>
          <w:p w14:paraId="1D276C45"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w:t>
            </w:r>
          </w:p>
        </w:tc>
        <w:tc>
          <w:tcPr>
            <w:tcW w:w="776" w:type="dxa"/>
            <w:vAlign w:val="center"/>
            <w:hideMark/>
          </w:tcPr>
          <w:p w14:paraId="0C715D8C"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w:t>
            </w:r>
          </w:p>
        </w:tc>
        <w:tc>
          <w:tcPr>
            <w:tcW w:w="908" w:type="dxa"/>
            <w:vAlign w:val="center"/>
            <w:hideMark/>
          </w:tcPr>
          <w:p w14:paraId="741E8C76" w14:textId="6340923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3</w:t>
            </w:r>
          </w:p>
        </w:tc>
        <w:tc>
          <w:tcPr>
            <w:tcW w:w="850" w:type="dxa"/>
            <w:vAlign w:val="center"/>
            <w:hideMark/>
          </w:tcPr>
          <w:p w14:paraId="52FF8B71"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NA</w:t>
            </w:r>
          </w:p>
        </w:tc>
        <w:tc>
          <w:tcPr>
            <w:tcW w:w="993" w:type="dxa"/>
            <w:vAlign w:val="center"/>
            <w:hideMark/>
          </w:tcPr>
          <w:p w14:paraId="30956291" w14:textId="38088E9B"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30</w:t>
            </w:r>
          </w:p>
        </w:tc>
        <w:tc>
          <w:tcPr>
            <w:tcW w:w="708" w:type="dxa"/>
            <w:vAlign w:val="center"/>
            <w:hideMark/>
          </w:tcPr>
          <w:p w14:paraId="6DF31975" w14:textId="7860E755"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23</w:t>
            </w:r>
          </w:p>
        </w:tc>
        <w:tc>
          <w:tcPr>
            <w:tcW w:w="550" w:type="dxa"/>
            <w:vAlign w:val="center"/>
          </w:tcPr>
          <w:p w14:paraId="327E9F81" w14:textId="7F1C74AB" w:rsidR="001571AA" w:rsidRPr="00FF2A6B" w:rsidRDefault="00BE7E8F" w:rsidP="00BE7E8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Pr>
                <w:rStyle w:val="normaltextrun"/>
                <w:rFonts w:cstheme="minorHAnsi"/>
                <w:sz w:val="20"/>
                <w:szCs w:val="20"/>
              </w:rPr>
              <w:t>12</w:t>
            </w:r>
          </w:p>
        </w:tc>
      </w:tr>
      <w:tr w:rsidR="001571AA" w:rsidRPr="008A3496" w14:paraId="619B62D3" w14:textId="3EB9E903" w:rsidTr="00B30844">
        <w:trPr>
          <w:trHeight w:val="561"/>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704D4B4F" w14:textId="77777777" w:rsidR="001571AA" w:rsidRPr="008A3496" w:rsidRDefault="001571AA" w:rsidP="00877CCC">
            <w:pPr>
              <w:pStyle w:val="paragraph"/>
              <w:spacing w:before="0" w:beforeAutospacing="0" w:after="0" w:afterAutospacing="0"/>
              <w:textAlignment w:val="baseline"/>
              <w:rPr>
                <w:rFonts w:cstheme="minorHAnsi"/>
                <w:sz w:val="20"/>
                <w:szCs w:val="20"/>
              </w:rPr>
            </w:pPr>
            <w:r w:rsidRPr="008A3496">
              <w:rPr>
                <w:rStyle w:val="normaltextrun"/>
                <w:rFonts w:cstheme="minorHAnsi"/>
                <w:sz w:val="20"/>
                <w:szCs w:val="20"/>
              </w:rPr>
              <w:t>Regular</w:t>
            </w:r>
            <w:r>
              <w:rPr>
                <w:rStyle w:val="normaltextrun"/>
                <w:rFonts w:cstheme="minorHAnsi"/>
                <w:sz w:val="20"/>
                <w:szCs w:val="20"/>
              </w:rPr>
              <w:t xml:space="preserve"> &amp;</w:t>
            </w:r>
            <w:r>
              <w:rPr>
                <w:rStyle w:val="normaltextrun"/>
                <w:rFonts w:cstheme="minorHAnsi"/>
              </w:rPr>
              <w:t xml:space="preserve"> </w:t>
            </w:r>
            <w:r w:rsidRPr="008A3496">
              <w:rPr>
                <w:rStyle w:val="normaltextrun"/>
                <w:rFonts w:cstheme="minorHAnsi"/>
                <w:sz w:val="20"/>
                <w:szCs w:val="20"/>
              </w:rPr>
              <w:t>meaningful activity</w:t>
            </w:r>
            <w:r>
              <w:rPr>
                <w:rStyle w:val="FootnoteReference"/>
                <w:rFonts w:cstheme="minorHAnsi"/>
                <w:sz w:val="20"/>
                <w:szCs w:val="20"/>
              </w:rPr>
              <w:footnoteReference w:id="103"/>
            </w:r>
            <w:r w:rsidRPr="008A3496">
              <w:rPr>
                <w:rStyle w:val="normaltextrun"/>
                <w:rFonts w:cstheme="minorHAnsi"/>
                <w:sz w:val="20"/>
                <w:szCs w:val="20"/>
              </w:rPr>
              <w:t xml:space="preserve"> </w:t>
            </w:r>
          </w:p>
        </w:tc>
        <w:tc>
          <w:tcPr>
            <w:tcW w:w="776" w:type="dxa"/>
            <w:vAlign w:val="center"/>
            <w:hideMark/>
          </w:tcPr>
          <w:p w14:paraId="604F1B12" w14:textId="3A70B8B8"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20</w:t>
            </w:r>
          </w:p>
        </w:tc>
        <w:tc>
          <w:tcPr>
            <w:tcW w:w="776" w:type="dxa"/>
            <w:vAlign w:val="center"/>
            <w:hideMark/>
          </w:tcPr>
          <w:p w14:paraId="55CE67AA" w14:textId="689EC8C0"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26</w:t>
            </w:r>
          </w:p>
        </w:tc>
        <w:tc>
          <w:tcPr>
            <w:tcW w:w="776" w:type="dxa"/>
            <w:vAlign w:val="center"/>
            <w:hideMark/>
          </w:tcPr>
          <w:p w14:paraId="6A6BD4B3" w14:textId="74B8BAD3"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15</w:t>
            </w:r>
          </w:p>
        </w:tc>
        <w:tc>
          <w:tcPr>
            <w:tcW w:w="776" w:type="dxa"/>
            <w:vAlign w:val="center"/>
            <w:hideMark/>
          </w:tcPr>
          <w:p w14:paraId="45CBBF1A"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1</w:t>
            </w:r>
          </w:p>
        </w:tc>
        <w:tc>
          <w:tcPr>
            <w:tcW w:w="908" w:type="dxa"/>
            <w:vAlign w:val="center"/>
            <w:hideMark/>
          </w:tcPr>
          <w:p w14:paraId="346F2DC0" w14:textId="1A9CA863"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3</w:t>
            </w:r>
          </w:p>
        </w:tc>
        <w:tc>
          <w:tcPr>
            <w:tcW w:w="850" w:type="dxa"/>
            <w:vAlign w:val="center"/>
            <w:hideMark/>
          </w:tcPr>
          <w:p w14:paraId="283AE868"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NA</w:t>
            </w:r>
          </w:p>
        </w:tc>
        <w:tc>
          <w:tcPr>
            <w:tcW w:w="993" w:type="dxa"/>
            <w:vAlign w:val="center"/>
            <w:hideMark/>
          </w:tcPr>
          <w:p w14:paraId="76F2A675" w14:textId="572A4DBC"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30</w:t>
            </w:r>
          </w:p>
        </w:tc>
        <w:tc>
          <w:tcPr>
            <w:tcW w:w="708" w:type="dxa"/>
            <w:vAlign w:val="center"/>
            <w:hideMark/>
          </w:tcPr>
          <w:p w14:paraId="55E8DE0C" w14:textId="37F9DCEC"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31</w:t>
            </w:r>
          </w:p>
        </w:tc>
        <w:tc>
          <w:tcPr>
            <w:tcW w:w="550" w:type="dxa"/>
            <w:vAlign w:val="center"/>
          </w:tcPr>
          <w:p w14:paraId="7D2CE710" w14:textId="0C64125B" w:rsidR="001571AA" w:rsidRPr="00FF2A6B" w:rsidRDefault="00BE7E8F" w:rsidP="00BE7E8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Pr>
                <w:rStyle w:val="normaltextrun"/>
                <w:rFonts w:cstheme="minorHAnsi"/>
                <w:sz w:val="20"/>
                <w:szCs w:val="20"/>
              </w:rPr>
              <w:t>18</w:t>
            </w:r>
          </w:p>
        </w:tc>
      </w:tr>
      <w:tr w:rsidR="001571AA" w:rsidRPr="008A3496" w14:paraId="43D144D0" w14:textId="3EA93BE3" w:rsidTr="00B30844">
        <w:trPr>
          <w:trHeight w:val="553"/>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212B2B25" w14:textId="77777777" w:rsidR="001571AA" w:rsidRPr="008A3496" w:rsidRDefault="001571AA" w:rsidP="00877CCC">
            <w:pPr>
              <w:pStyle w:val="paragraph"/>
              <w:spacing w:before="0" w:beforeAutospacing="0" w:after="0" w:afterAutospacing="0"/>
              <w:textAlignment w:val="baseline"/>
              <w:rPr>
                <w:rFonts w:cstheme="minorHAnsi"/>
                <w:sz w:val="20"/>
                <w:szCs w:val="20"/>
              </w:rPr>
            </w:pPr>
            <w:r w:rsidRPr="008A3496">
              <w:rPr>
                <w:rStyle w:val="normaltextrun"/>
                <w:rFonts w:cstheme="minorHAnsi"/>
                <w:sz w:val="20"/>
                <w:szCs w:val="20"/>
              </w:rPr>
              <w:t>Stabl</w:t>
            </w:r>
            <w:r>
              <w:rPr>
                <w:rStyle w:val="normaltextrun"/>
                <w:rFonts w:cstheme="minorHAnsi"/>
                <w:sz w:val="20"/>
                <w:szCs w:val="20"/>
              </w:rPr>
              <w:t>e &amp;</w:t>
            </w:r>
            <w:r w:rsidRPr="008A3496">
              <w:rPr>
                <w:rStyle w:val="normaltextrun"/>
                <w:rFonts w:cstheme="minorHAnsi"/>
                <w:sz w:val="20"/>
                <w:szCs w:val="20"/>
              </w:rPr>
              <w:t xml:space="preserve"> secure accommodation</w:t>
            </w:r>
          </w:p>
        </w:tc>
        <w:tc>
          <w:tcPr>
            <w:tcW w:w="776" w:type="dxa"/>
            <w:vAlign w:val="center"/>
            <w:hideMark/>
          </w:tcPr>
          <w:p w14:paraId="1022F2E6" w14:textId="0B40E75A"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76</w:t>
            </w:r>
          </w:p>
        </w:tc>
        <w:tc>
          <w:tcPr>
            <w:tcW w:w="776" w:type="dxa"/>
            <w:vAlign w:val="center"/>
            <w:hideMark/>
          </w:tcPr>
          <w:p w14:paraId="27CD2DD5" w14:textId="72FB0911"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70</w:t>
            </w:r>
          </w:p>
        </w:tc>
        <w:tc>
          <w:tcPr>
            <w:tcW w:w="776" w:type="dxa"/>
            <w:vAlign w:val="center"/>
            <w:hideMark/>
          </w:tcPr>
          <w:p w14:paraId="05641AC6" w14:textId="45B9A9A1"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92</w:t>
            </w:r>
          </w:p>
        </w:tc>
        <w:tc>
          <w:tcPr>
            <w:tcW w:w="776" w:type="dxa"/>
            <w:vAlign w:val="center"/>
            <w:hideMark/>
          </w:tcPr>
          <w:p w14:paraId="6C63E1F6" w14:textId="7B4FDFEC"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23</w:t>
            </w:r>
          </w:p>
        </w:tc>
        <w:tc>
          <w:tcPr>
            <w:tcW w:w="908" w:type="dxa"/>
            <w:vAlign w:val="center"/>
            <w:hideMark/>
          </w:tcPr>
          <w:p w14:paraId="4EE097DF" w14:textId="55A69C72"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79</w:t>
            </w:r>
          </w:p>
        </w:tc>
        <w:tc>
          <w:tcPr>
            <w:tcW w:w="850" w:type="dxa"/>
            <w:vAlign w:val="center"/>
            <w:hideMark/>
          </w:tcPr>
          <w:p w14:paraId="192F2972"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2A6B">
              <w:rPr>
                <w:rStyle w:val="normaltextrun"/>
                <w:rFonts w:cstheme="minorHAnsi"/>
                <w:sz w:val="20"/>
                <w:szCs w:val="20"/>
              </w:rPr>
              <w:t>NA</w:t>
            </w:r>
          </w:p>
        </w:tc>
        <w:tc>
          <w:tcPr>
            <w:tcW w:w="993" w:type="dxa"/>
            <w:vAlign w:val="center"/>
            <w:hideMark/>
          </w:tcPr>
          <w:p w14:paraId="4155AF50" w14:textId="4D5824EE"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74</w:t>
            </w:r>
          </w:p>
        </w:tc>
        <w:tc>
          <w:tcPr>
            <w:tcW w:w="708" w:type="dxa"/>
            <w:vAlign w:val="center"/>
            <w:hideMark/>
          </w:tcPr>
          <w:p w14:paraId="0F33730C" w14:textId="077BC70F"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FF2A6B">
              <w:rPr>
                <w:rStyle w:val="normaltextrun"/>
                <w:rFonts w:cstheme="minorHAnsi"/>
                <w:sz w:val="20"/>
                <w:szCs w:val="20"/>
              </w:rPr>
              <w:t>77</w:t>
            </w:r>
          </w:p>
        </w:tc>
        <w:tc>
          <w:tcPr>
            <w:tcW w:w="550" w:type="dxa"/>
            <w:vAlign w:val="center"/>
          </w:tcPr>
          <w:p w14:paraId="7D6B3CAB" w14:textId="179724B9" w:rsidR="00BE7E8F" w:rsidRPr="00BE7E8F" w:rsidRDefault="00BE7E8F" w:rsidP="00BE7E8F">
            <w:pPr>
              <w:jc w:val="center"/>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sidRPr="00BE7E8F">
              <w:rPr>
                <w:rStyle w:val="normaltextrun"/>
                <w:rFonts w:cstheme="minorHAnsi"/>
                <w:sz w:val="20"/>
                <w:szCs w:val="20"/>
              </w:rPr>
              <w:t>70</w:t>
            </w:r>
          </w:p>
        </w:tc>
      </w:tr>
      <w:tr w:rsidR="001571AA" w:rsidRPr="008A3496" w14:paraId="3570D799" w14:textId="160357B9" w:rsidTr="00B30844">
        <w:trPr>
          <w:trHeight w:val="977"/>
        </w:trPr>
        <w:tc>
          <w:tcPr>
            <w:cnfStyle w:val="001000000000" w:firstRow="0" w:lastRow="0" w:firstColumn="1" w:lastColumn="0" w:oddVBand="0" w:evenVBand="0" w:oddHBand="0" w:evenHBand="0" w:firstRowFirstColumn="0" w:firstRowLastColumn="0" w:lastRowFirstColumn="0" w:lastRowLastColumn="0"/>
            <w:tcW w:w="1937" w:type="dxa"/>
            <w:vAlign w:val="center"/>
            <w:hideMark/>
          </w:tcPr>
          <w:p w14:paraId="4E49B4E8" w14:textId="68BC210B" w:rsidR="001571AA" w:rsidRPr="000D249D" w:rsidRDefault="001571AA" w:rsidP="00877CCC">
            <w:pPr>
              <w:pStyle w:val="paragraph"/>
              <w:spacing w:before="0" w:beforeAutospacing="0" w:after="0" w:afterAutospacing="0"/>
              <w:textAlignment w:val="baseline"/>
              <w:rPr>
                <w:rFonts w:cstheme="minorHAnsi"/>
                <w:b w:val="0"/>
                <w:bCs w:val="0"/>
                <w:sz w:val="20"/>
                <w:szCs w:val="20"/>
              </w:rPr>
            </w:pPr>
            <w:r w:rsidRPr="000D249D">
              <w:rPr>
                <w:rStyle w:val="normaltextrun"/>
                <w:rFonts w:cstheme="minorHAnsi"/>
                <w:b w:val="0"/>
                <w:bCs w:val="0"/>
                <w:sz w:val="20"/>
                <w:szCs w:val="20"/>
              </w:rPr>
              <w:t>Total number of post-release clients (</w:t>
            </w:r>
            <w:r>
              <w:rPr>
                <w:rStyle w:val="normaltextrun"/>
                <w:rFonts w:cstheme="minorHAnsi"/>
                <w:b w:val="0"/>
                <w:bCs w:val="0"/>
                <w:sz w:val="20"/>
                <w:szCs w:val="20"/>
              </w:rPr>
              <w:t>with</w:t>
            </w:r>
            <w:r w:rsidRPr="000D249D">
              <w:rPr>
                <w:rStyle w:val="normaltextrun"/>
                <w:rFonts w:cstheme="minorHAnsi"/>
                <w:b w:val="0"/>
                <w:bCs w:val="0"/>
                <w:sz w:val="20"/>
                <w:szCs w:val="20"/>
              </w:rPr>
              <w:t>in</w:t>
            </w:r>
            <w:r>
              <w:rPr>
                <w:rStyle w:val="normaltextrun"/>
                <w:rFonts w:cstheme="minorHAnsi"/>
                <w:b w:val="0"/>
                <w:bCs w:val="0"/>
                <w:sz w:val="20"/>
                <w:szCs w:val="20"/>
              </w:rPr>
              <w:t xml:space="preserve"> </w:t>
            </w:r>
            <w:r w:rsidRPr="000D249D">
              <w:rPr>
                <w:rStyle w:val="normaltextrun"/>
                <w:rFonts w:cstheme="minorHAnsi"/>
                <w:b w:val="0"/>
                <w:bCs w:val="0"/>
                <w:sz w:val="20"/>
                <w:szCs w:val="20"/>
              </w:rPr>
              <w:t>data set)</w:t>
            </w:r>
          </w:p>
        </w:tc>
        <w:tc>
          <w:tcPr>
            <w:tcW w:w="776" w:type="dxa"/>
            <w:vAlign w:val="center"/>
            <w:hideMark/>
          </w:tcPr>
          <w:p w14:paraId="7CADFDD9"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83</w:t>
            </w:r>
          </w:p>
        </w:tc>
        <w:tc>
          <w:tcPr>
            <w:tcW w:w="776" w:type="dxa"/>
            <w:vAlign w:val="center"/>
            <w:hideMark/>
          </w:tcPr>
          <w:p w14:paraId="39F0584E"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375</w:t>
            </w:r>
          </w:p>
        </w:tc>
        <w:tc>
          <w:tcPr>
            <w:tcW w:w="776" w:type="dxa"/>
            <w:vAlign w:val="center"/>
            <w:hideMark/>
          </w:tcPr>
          <w:p w14:paraId="54788685"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149</w:t>
            </w:r>
          </w:p>
        </w:tc>
        <w:tc>
          <w:tcPr>
            <w:tcW w:w="776" w:type="dxa"/>
            <w:vAlign w:val="center"/>
            <w:hideMark/>
          </w:tcPr>
          <w:p w14:paraId="2ECD8285"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139</w:t>
            </w:r>
          </w:p>
        </w:tc>
        <w:tc>
          <w:tcPr>
            <w:tcW w:w="908" w:type="dxa"/>
            <w:vAlign w:val="center"/>
            <w:hideMark/>
          </w:tcPr>
          <w:p w14:paraId="1D14F8DE"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29</w:t>
            </w:r>
          </w:p>
        </w:tc>
        <w:tc>
          <w:tcPr>
            <w:tcW w:w="850" w:type="dxa"/>
            <w:vAlign w:val="center"/>
            <w:hideMark/>
          </w:tcPr>
          <w:p w14:paraId="489C1A3D" w14:textId="77777777" w:rsidR="001571AA" w:rsidRPr="00FF2A6B"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F2A6B">
              <w:rPr>
                <w:rStyle w:val="normaltextrun"/>
                <w:rFonts w:cstheme="minorHAnsi"/>
                <w:b/>
                <w:bCs/>
                <w:sz w:val="20"/>
                <w:szCs w:val="20"/>
              </w:rPr>
              <w:t>NA</w:t>
            </w:r>
          </w:p>
        </w:tc>
        <w:tc>
          <w:tcPr>
            <w:tcW w:w="993" w:type="dxa"/>
            <w:vAlign w:val="center"/>
            <w:hideMark/>
          </w:tcPr>
          <w:p w14:paraId="27A77BD7" w14:textId="77777777"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BE7E8F">
              <w:rPr>
                <w:rStyle w:val="normaltextrun"/>
                <w:rFonts w:cstheme="minorHAnsi"/>
                <w:sz w:val="20"/>
                <w:szCs w:val="20"/>
              </w:rPr>
              <w:t>284</w:t>
            </w:r>
          </w:p>
        </w:tc>
        <w:tc>
          <w:tcPr>
            <w:tcW w:w="708" w:type="dxa"/>
            <w:vAlign w:val="center"/>
            <w:hideMark/>
          </w:tcPr>
          <w:p w14:paraId="5F46AD3D" w14:textId="77777777" w:rsidR="001571AA" w:rsidRPr="00BE7E8F" w:rsidRDefault="001571AA" w:rsidP="00877CCC">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Pr>
            </w:pPr>
            <w:r w:rsidRPr="00BE7E8F">
              <w:rPr>
                <w:rStyle w:val="normaltextrun"/>
                <w:rFonts w:cstheme="minorHAnsi"/>
                <w:sz w:val="20"/>
                <w:szCs w:val="20"/>
              </w:rPr>
              <w:t>26</w:t>
            </w:r>
          </w:p>
        </w:tc>
        <w:tc>
          <w:tcPr>
            <w:tcW w:w="550" w:type="dxa"/>
            <w:vAlign w:val="center"/>
          </w:tcPr>
          <w:p w14:paraId="19490164" w14:textId="22005773" w:rsidR="001571AA" w:rsidRPr="00BE7E8F" w:rsidRDefault="00BE7E8F" w:rsidP="00BE7E8F">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cstheme="minorHAnsi"/>
                <w:b/>
                <w:bCs/>
                <w:sz w:val="20"/>
                <w:szCs w:val="20"/>
              </w:rPr>
            </w:pPr>
            <w:r w:rsidRPr="00BE7E8F">
              <w:rPr>
                <w:rStyle w:val="normaltextrun"/>
                <w:rFonts w:cstheme="minorHAnsi"/>
                <w:b/>
                <w:bCs/>
                <w:sz w:val="20"/>
                <w:szCs w:val="20"/>
              </w:rPr>
              <w:t>NA</w:t>
            </w:r>
          </w:p>
        </w:tc>
      </w:tr>
    </w:tbl>
    <w:p w14:paraId="450BEBA3" w14:textId="77777777" w:rsidR="007349AC" w:rsidRDefault="007349AC" w:rsidP="007349A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E6508AE" w14:textId="58F666B3" w:rsidR="00EE14F7" w:rsidRPr="002A68DB" w:rsidRDefault="00150A34" w:rsidP="002A68DB">
      <w:pPr>
        <w:jc w:val="both"/>
        <w:rPr>
          <w:rFonts w:cstheme="minorHAnsi"/>
          <w:lang w:val="en-MY" w:eastAsia="en-AU"/>
        </w:rPr>
      </w:pPr>
      <w:r w:rsidRPr="004650AE">
        <w:rPr>
          <w:rFonts w:cstheme="minorHAnsi"/>
          <w:lang w:val="en-MY" w:eastAsia="en-AU"/>
        </w:rPr>
        <w:t xml:space="preserve">The </w:t>
      </w:r>
      <w:r w:rsidR="00EE14F7">
        <w:rPr>
          <w:rFonts w:cstheme="minorHAnsi"/>
          <w:lang w:val="en-MY" w:eastAsia="en-AU"/>
        </w:rPr>
        <w:t xml:space="preserve">diagram </w:t>
      </w:r>
      <w:r w:rsidRPr="004650AE">
        <w:rPr>
          <w:rFonts w:cstheme="minorHAnsi"/>
          <w:lang w:val="en-MY" w:eastAsia="en-AU"/>
        </w:rPr>
        <w:t xml:space="preserve">below summarises the recorded reasons for ‘case closure’ for all </w:t>
      </w:r>
      <w:r w:rsidR="003040BC">
        <w:rPr>
          <w:rFonts w:cstheme="minorHAnsi"/>
          <w:lang w:val="en-MY" w:eastAsia="en-AU"/>
        </w:rPr>
        <w:t xml:space="preserve">closed </w:t>
      </w:r>
      <w:r w:rsidRPr="004650AE">
        <w:rPr>
          <w:rFonts w:cstheme="minorHAnsi"/>
          <w:lang w:val="en-MY" w:eastAsia="en-AU"/>
        </w:rPr>
        <w:t>ATC c</w:t>
      </w:r>
      <w:r w:rsidR="003040BC">
        <w:rPr>
          <w:rFonts w:cstheme="minorHAnsi"/>
          <w:lang w:val="en-MY" w:eastAsia="en-AU"/>
        </w:rPr>
        <w:t xml:space="preserve">ases </w:t>
      </w:r>
      <w:r w:rsidRPr="004650AE">
        <w:rPr>
          <w:rFonts w:cstheme="minorHAnsi"/>
          <w:lang w:val="en-MY" w:eastAsia="en-AU"/>
        </w:rPr>
        <w:t>between 1 July 20</w:t>
      </w:r>
      <w:r w:rsidR="002A68DB">
        <w:rPr>
          <w:rFonts w:cstheme="minorHAnsi"/>
          <w:lang w:val="en-MY" w:eastAsia="en-AU"/>
        </w:rPr>
        <w:t>19</w:t>
      </w:r>
      <w:r w:rsidRPr="004650AE">
        <w:rPr>
          <w:rFonts w:cstheme="minorHAnsi"/>
          <w:lang w:val="en-MY" w:eastAsia="en-AU"/>
        </w:rPr>
        <w:t xml:space="preserve"> and 31 December 2022 (noting this may include duplicate individuals who have re-entered </w:t>
      </w:r>
      <w:r w:rsidR="003040BC">
        <w:rPr>
          <w:rFonts w:cstheme="minorHAnsi"/>
          <w:lang w:val="en-MY" w:eastAsia="en-AU"/>
        </w:rPr>
        <w:t>the program</w:t>
      </w:r>
      <w:r w:rsidRPr="004650AE">
        <w:rPr>
          <w:rFonts w:cstheme="minorHAnsi"/>
          <w:lang w:val="en-MY" w:eastAsia="en-AU"/>
        </w:rPr>
        <w:t>).</w:t>
      </w:r>
      <w:r w:rsidR="003F6232" w:rsidRPr="003F6232">
        <w:rPr>
          <w:color w:val="000000" w:themeColor="text1"/>
          <w:sz w:val="18"/>
          <w:szCs w:val="18"/>
          <w:vertAlign w:val="superscript"/>
        </w:rPr>
        <w:t xml:space="preserve"> </w:t>
      </w:r>
      <w:r w:rsidR="003F6232" w:rsidRPr="00EE14F7">
        <w:rPr>
          <w:color w:val="000000" w:themeColor="text1"/>
          <w:sz w:val="18"/>
          <w:szCs w:val="18"/>
          <w:vertAlign w:val="superscript"/>
        </w:rPr>
        <w:footnoteReference w:id="104"/>
      </w:r>
      <w:r w:rsidR="003F6232">
        <w:rPr>
          <w:rFonts w:cstheme="minorHAnsi"/>
          <w:color w:val="000000" w:themeColor="text1"/>
          <w:vertAlign w:val="superscript"/>
          <w:lang w:val="en-MY" w:eastAsia="en-AU"/>
        </w:rPr>
        <w:t>,</w:t>
      </w:r>
      <w:r w:rsidR="003F6232" w:rsidRPr="00EE14F7">
        <w:rPr>
          <w:color w:val="000000" w:themeColor="text1"/>
          <w:sz w:val="18"/>
          <w:szCs w:val="18"/>
          <w:vertAlign w:val="superscript"/>
        </w:rPr>
        <w:footnoteReference w:id="105"/>
      </w:r>
      <w:r w:rsidR="003F6232" w:rsidRPr="00EE14F7">
        <w:rPr>
          <w:rFonts w:cstheme="minorHAnsi"/>
          <w:color w:val="000000" w:themeColor="text1"/>
          <w:vertAlign w:val="superscript"/>
          <w:lang w:val="en-MY" w:eastAsia="en-AU"/>
        </w:rPr>
        <w:t xml:space="preserve"> </w:t>
      </w:r>
      <w:r w:rsidRPr="004650AE">
        <w:rPr>
          <w:rFonts w:cstheme="minorHAnsi"/>
          <w:lang w:val="en-MY" w:eastAsia="en-AU"/>
        </w:rPr>
        <w:t xml:space="preserve"> Of the 794 closures</w:t>
      </w:r>
      <w:r w:rsidR="003040BC">
        <w:rPr>
          <w:rFonts w:cstheme="minorHAnsi"/>
          <w:lang w:val="en-MY" w:eastAsia="en-AU"/>
        </w:rPr>
        <w:t xml:space="preserve"> recorded</w:t>
      </w:r>
      <w:r w:rsidRPr="004650AE">
        <w:rPr>
          <w:rFonts w:cstheme="minorHAnsi"/>
          <w:lang w:val="en-MY" w:eastAsia="en-AU"/>
        </w:rPr>
        <w:t xml:space="preserve">, </w:t>
      </w:r>
      <w:r w:rsidR="003040BC">
        <w:rPr>
          <w:rFonts w:cstheme="minorHAnsi"/>
          <w:lang w:val="en-MY" w:eastAsia="en-AU"/>
        </w:rPr>
        <w:t xml:space="preserve">it shows that in </w:t>
      </w:r>
      <w:r w:rsidRPr="004650AE">
        <w:rPr>
          <w:rFonts w:cstheme="minorHAnsi"/>
          <w:lang w:val="en-MY" w:eastAsia="en-AU"/>
        </w:rPr>
        <w:t xml:space="preserve">just </w:t>
      </w:r>
      <w:r w:rsidR="003040BC">
        <w:rPr>
          <w:rFonts w:cstheme="minorHAnsi"/>
          <w:lang w:val="en-MY" w:eastAsia="en-AU"/>
        </w:rPr>
        <w:t xml:space="preserve">22 percent of cases the reason for closure </w:t>
      </w:r>
      <w:r w:rsidR="00040BF7">
        <w:rPr>
          <w:rFonts w:cstheme="minorHAnsi"/>
          <w:lang w:val="en-MY" w:eastAsia="en-AU"/>
        </w:rPr>
        <w:t xml:space="preserve">was </w:t>
      </w:r>
      <w:r w:rsidR="003040BC">
        <w:rPr>
          <w:rFonts w:cstheme="minorHAnsi"/>
          <w:lang w:val="en-MY" w:eastAsia="en-AU"/>
        </w:rPr>
        <w:t xml:space="preserve">that all client goals had been met, while the majority of closures were attributable to clients not being contactable or because they had moved away (51 percent of cases combined). Only </w:t>
      </w:r>
      <w:r w:rsidR="00EE14F7">
        <w:rPr>
          <w:rFonts w:cstheme="minorHAnsi"/>
          <w:lang w:val="en-MY" w:eastAsia="en-AU"/>
        </w:rPr>
        <w:t xml:space="preserve">17 percent of cases were reported as being closed </w:t>
      </w:r>
      <w:r w:rsidRPr="004650AE">
        <w:rPr>
          <w:rFonts w:cstheme="minorHAnsi"/>
          <w:lang w:val="en-MY" w:eastAsia="en-AU"/>
        </w:rPr>
        <w:t xml:space="preserve">due to </w:t>
      </w:r>
      <w:r w:rsidR="00EE14F7">
        <w:rPr>
          <w:rFonts w:cstheme="minorHAnsi"/>
          <w:lang w:val="en-MY" w:eastAsia="en-AU"/>
        </w:rPr>
        <w:t xml:space="preserve">client </w:t>
      </w:r>
      <w:r w:rsidRPr="004650AE">
        <w:rPr>
          <w:rFonts w:cstheme="minorHAnsi"/>
          <w:lang w:val="en-MY" w:eastAsia="en-AU"/>
        </w:rPr>
        <w:t>re-offending</w:t>
      </w:r>
      <w:r w:rsidR="00EE14F7">
        <w:rPr>
          <w:rFonts w:cstheme="minorHAnsi"/>
          <w:lang w:val="en-MY" w:eastAsia="en-AU"/>
        </w:rPr>
        <w:t xml:space="preserve">, although as previously discussed, since re-offending is not consistently used </w:t>
      </w:r>
      <w:r w:rsidR="00EF7EF5">
        <w:rPr>
          <w:rFonts w:cstheme="minorHAnsi"/>
          <w:lang w:val="en-MY" w:eastAsia="en-AU"/>
        </w:rPr>
        <w:t>by case</w:t>
      </w:r>
      <w:r w:rsidR="00694565">
        <w:rPr>
          <w:rFonts w:cstheme="minorHAnsi"/>
          <w:lang w:val="en-MY" w:eastAsia="en-AU"/>
        </w:rPr>
        <w:t xml:space="preserve"> </w:t>
      </w:r>
      <w:r w:rsidR="00EF7EF5">
        <w:rPr>
          <w:rFonts w:cstheme="minorHAnsi"/>
          <w:lang w:val="en-MY" w:eastAsia="en-AU"/>
        </w:rPr>
        <w:t xml:space="preserve">workers </w:t>
      </w:r>
      <w:r w:rsidR="00EE14F7">
        <w:rPr>
          <w:rFonts w:cstheme="minorHAnsi"/>
          <w:lang w:val="en-MY" w:eastAsia="en-AU"/>
        </w:rPr>
        <w:t>as a reason for closure, this may be under-reported</w:t>
      </w:r>
      <w:r w:rsidR="00735BF9">
        <w:rPr>
          <w:rFonts w:cstheme="minorHAnsi"/>
          <w:lang w:val="en-MY" w:eastAsia="en-AU"/>
        </w:rPr>
        <w:t xml:space="preserve"> (meaning this indicator does not effectively measure rates of client recidivism)</w:t>
      </w:r>
      <w:r w:rsidR="00EE14F7">
        <w:rPr>
          <w:rFonts w:cstheme="minorHAnsi"/>
          <w:lang w:val="en-MY" w:eastAsia="en-AU"/>
        </w:rPr>
        <w:t>.</w:t>
      </w:r>
      <w:r w:rsidR="00C6342C" w:rsidRPr="00C6342C">
        <w:rPr>
          <w:rFonts w:cstheme="minorHAnsi"/>
          <w:i/>
          <w:iCs/>
          <w:color w:val="1F497D" w:themeColor="text2"/>
          <w:sz w:val="20"/>
          <w:szCs w:val="20"/>
        </w:rPr>
        <w:t xml:space="preserve"> </w:t>
      </w:r>
    </w:p>
    <w:p w14:paraId="15DA9354" w14:textId="02C5CDCC" w:rsidR="00604E5D" w:rsidRDefault="00604E5D" w:rsidP="00EE14F7">
      <w:pPr>
        <w:rPr>
          <w:rFonts w:cstheme="minorHAnsi"/>
          <w:i/>
          <w:iCs/>
          <w:color w:val="1F497D" w:themeColor="text2"/>
          <w:sz w:val="20"/>
          <w:szCs w:val="20"/>
        </w:rPr>
      </w:pPr>
    </w:p>
    <w:p w14:paraId="706858AB" w14:textId="77777777" w:rsidR="003D4746" w:rsidRDefault="003D4746">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736AC996" w14:textId="08278D67" w:rsidR="00150A34" w:rsidRDefault="00150A34" w:rsidP="00EE14F7">
      <w:pPr>
        <w:rPr>
          <w:rFonts w:cstheme="minorHAnsi"/>
          <w:i/>
          <w:iCs/>
          <w:color w:val="1F497D" w:themeColor="text2"/>
          <w:sz w:val="20"/>
          <w:szCs w:val="20"/>
        </w:rPr>
      </w:pPr>
      <w:r>
        <w:rPr>
          <w:rFonts w:cstheme="minorHAnsi"/>
          <w:i/>
          <w:iCs/>
          <w:color w:val="1F497D" w:themeColor="text2"/>
          <w:sz w:val="20"/>
          <w:szCs w:val="20"/>
        </w:rPr>
        <w:t xml:space="preserve">Figure </w:t>
      </w:r>
      <w:r w:rsidR="00691792">
        <w:rPr>
          <w:rFonts w:cstheme="minorHAnsi"/>
          <w:i/>
          <w:iCs/>
          <w:color w:val="1F497D" w:themeColor="text2"/>
          <w:sz w:val="20"/>
          <w:szCs w:val="20"/>
        </w:rPr>
        <w:t>5</w:t>
      </w:r>
      <w:r>
        <w:rPr>
          <w:rFonts w:cstheme="minorHAnsi"/>
          <w:i/>
          <w:iCs/>
          <w:color w:val="1F497D" w:themeColor="text2"/>
          <w:sz w:val="20"/>
          <w:szCs w:val="20"/>
        </w:rPr>
        <w:t xml:space="preserve"> </w:t>
      </w:r>
      <w:r w:rsidRPr="00A22692">
        <w:rPr>
          <w:rFonts w:cstheme="minorHAnsi"/>
          <w:i/>
          <w:iCs/>
          <w:color w:val="1F497D" w:themeColor="text2"/>
          <w:sz w:val="20"/>
          <w:szCs w:val="20"/>
        </w:rPr>
        <w:t xml:space="preserve">– </w:t>
      </w:r>
      <w:r>
        <w:rPr>
          <w:rFonts w:cstheme="minorHAnsi"/>
          <w:i/>
          <w:iCs/>
          <w:color w:val="1F497D" w:themeColor="text2"/>
          <w:sz w:val="20"/>
          <w:szCs w:val="20"/>
        </w:rPr>
        <w:t>Number and Proportion of Adult Case Closures by Reason Type (</w:t>
      </w:r>
      <w:r w:rsidR="002A68DB">
        <w:rPr>
          <w:rFonts w:cstheme="minorHAnsi"/>
          <w:i/>
          <w:iCs/>
          <w:color w:val="1F497D" w:themeColor="text2"/>
          <w:sz w:val="20"/>
          <w:szCs w:val="20"/>
        </w:rPr>
        <w:t xml:space="preserve">1 </w:t>
      </w:r>
      <w:r>
        <w:rPr>
          <w:rFonts w:cstheme="minorHAnsi"/>
          <w:i/>
          <w:iCs/>
          <w:color w:val="1F497D" w:themeColor="text2"/>
          <w:sz w:val="20"/>
          <w:szCs w:val="20"/>
        </w:rPr>
        <w:t>July 20</w:t>
      </w:r>
      <w:r w:rsidR="002A68DB">
        <w:rPr>
          <w:rFonts w:cstheme="minorHAnsi"/>
          <w:i/>
          <w:iCs/>
          <w:color w:val="1F497D" w:themeColor="text2"/>
          <w:sz w:val="20"/>
          <w:szCs w:val="20"/>
        </w:rPr>
        <w:t>19</w:t>
      </w:r>
      <w:r>
        <w:rPr>
          <w:rFonts w:cstheme="minorHAnsi"/>
          <w:i/>
          <w:iCs/>
          <w:color w:val="1F497D" w:themeColor="text2"/>
          <w:sz w:val="20"/>
          <w:szCs w:val="20"/>
        </w:rPr>
        <w:t xml:space="preserve"> to December 2022)</w:t>
      </w:r>
    </w:p>
    <w:p w14:paraId="690BB98D" w14:textId="77777777" w:rsidR="00EE14F7" w:rsidRPr="00EE14F7" w:rsidRDefault="00EE14F7" w:rsidP="00EE14F7">
      <w:pPr>
        <w:rPr>
          <w:rFonts w:cstheme="minorHAnsi"/>
          <w:i/>
          <w:iCs/>
          <w:color w:val="1F497D" w:themeColor="text2"/>
          <w:sz w:val="20"/>
          <w:szCs w:val="20"/>
        </w:rPr>
      </w:pPr>
    </w:p>
    <w:p w14:paraId="62C482D7" w14:textId="67C79415" w:rsidR="00150A34" w:rsidRPr="00A31C95" w:rsidRDefault="00EE14F7" w:rsidP="00EC273E">
      <w:pPr>
        <w:rPr>
          <w:color w:val="1F497D" w:themeColor="text2"/>
          <w:sz w:val="18"/>
          <w:szCs w:val="18"/>
        </w:rPr>
      </w:pPr>
      <w:r w:rsidRPr="00A31C95">
        <w:rPr>
          <w:noProof/>
          <w:lang w:eastAsia="en-AU"/>
        </w:rPr>
        <w:drawing>
          <wp:inline distT="0" distB="0" distL="0" distR="0" wp14:anchorId="6E88D3F3" wp14:editId="434BAC56">
            <wp:extent cx="5674995" cy="3556000"/>
            <wp:effectExtent l="0" t="0" r="1905" b="6350"/>
            <wp:docPr id="70054319" name="Chart 1" descr="A coloured pie chart showing the number and proportion of adult case closures by reason type including; 'referred to another service, 82 (10%)', 'non-contactable', 279 (35%), client gaols met, 178 (22%), re-offended, 131 (17%), and 'client moved away', 124 (16%)." title="Figure 6">
              <a:extLst xmlns:a="http://schemas.openxmlformats.org/drawingml/2006/main">
                <a:ext uri="{FF2B5EF4-FFF2-40B4-BE49-F238E27FC236}">
                  <a16:creationId xmlns:a16="http://schemas.microsoft.com/office/drawing/2014/main" id="{3759DEAF-AEA3-4546-99E9-7D9BBA575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C2E2A6" w14:textId="77777777" w:rsidR="00FC4BC9" w:rsidRDefault="00FC4BC9" w:rsidP="00A609F3">
      <w:pPr>
        <w:jc w:val="both"/>
        <w:rPr>
          <w:rFonts w:ascii="Calibri" w:eastAsia="Calibri" w:hAnsi="Calibri"/>
        </w:rPr>
      </w:pPr>
    </w:p>
    <w:p w14:paraId="5DC2D050" w14:textId="32B6B132" w:rsidR="00A609F3" w:rsidRPr="00A609F3" w:rsidRDefault="00A609F3" w:rsidP="00A609F3">
      <w:pPr>
        <w:jc w:val="both"/>
        <w:rPr>
          <w:rFonts w:cstheme="minorHAnsi"/>
          <w:lang w:val="en-MY" w:eastAsia="en-AU"/>
        </w:rPr>
      </w:pPr>
      <w:r w:rsidRPr="00A609F3">
        <w:rPr>
          <w:rFonts w:cstheme="minorHAnsi"/>
          <w:lang w:val="en-MY" w:eastAsia="en-AU"/>
        </w:rPr>
        <w:t>A further breakdown</w:t>
      </w:r>
      <w:r>
        <w:rPr>
          <w:rFonts w:cstheme="minorHAnsi"/>
          <w:lang w:val="en-MY" w:eastAsia="en-AU"/>
        </w:rPr>
        <w:t xml:space="preserve"> of this data by service provider reveals significant variance between services, with a higher proportion of </w:t>
      </w:r>
      <w:r w:rsidR="00FC4BC9">
        <w:rPr>
          <w:rFonts w:cstheme="minorHAnsi"/>
          <w:lang w:val="en-MY" w:eastAsia="en-AU"/>
        </w:rPr>
        <w:t>‘</w:t>
      </w:r>
      <w:r>
        <w:rPr>
          <w:rFonts w:cstheme="minorHAnsi"/>
          <w:lang w:val="en-MY" w:eastAsia="en-AU"/>
        </w:rPr>
        <w:t>client goals being met</w:t>
      </w:r>
      <w:r w:rsidR="00FC4BC9">
        <w:rPr>
          <w:rFonts w:cstheme="minorHAnsi"/>
          <w:lang w:val="en-MY" w:eastAsia="en-AU"/>
        </w:rPr>
        <w:t>’</w:t>
      </w:r>
      <w:r>
        <w:rPr>
          <w:rFonts w:cstheme="minorHAnsi"/>
          <w:lang w:val="en-MY" w:eastAsia="en-AU"/>
        </w:rPr>
        <w:t xml:space="preserve"> for those services linked to ancillary support services</w:t>
      </w:r>
      <w:r w:rsidR="00D94E4E">
        <w:rPr>
          <w:rFonts w:cstheme="minorHAnsi"/>
          <w:lang w:val="en-MY" w:eastAsia="en-AU"/>
        </w:rPr>
        <w:t>,</w:t>
      </w:r>
      <w:r w:rsidR="00FC4BC9">
        <w:rPr>
          <w:rFonts w:cstheme="minorHAnsi"/>
          <w:lang w:val="en-MY" w:eastAsia="en-AU"/>
        </w:rPr>
        <w:t xml:space="preserve"> </w:t>
      </w:r>
      <w:r>
        <w:rPr>
          <w:rFonts w:cstheme="minorHAnsi"/>
          <w:lang w:val="en-MY" w:eastAsia="en-AU"/>
        </w:rPr>
        <w:t>who averaged 33 percent</w:t>
      </w:r>
      <w:r w:rsidR="00FC4BC9">
        <w:rPr>
          <w:rFonts w:cstheme="minorHAnsi"/>
          <w:lang w:val="en-MY" w:eastAsia="en-AU"/>
        </w:rPr>
        <w:t xml:space="preserve">, </w:t>
      </w:r>
      <w:r>
        <w:rPr>
          <w:rFonts w:cstheme="minorHAnsi"/>
          <w:lang w:val="en-MY" w:eastAsia="en-AU"/>
        </w:rPr>
        <w:t xml:space="preserve">and lower levels of </w:t>
      </w:r>
      <w:r w:rsidR="00FC4BC9">
        <w:rPr>
          <w:rFonts w:cstheme="minorHAnsi"/>
          <w:lang w:val="en-MY" w:eastAsia="en-AU"/>
        </w:rPr>
        <w:t>‘</w:t>
      </w:r>
      <w:r>
        <w:rPr>
          <w:rFonts w:cstheme="minorHAnsi"/>
          <w:lang w:val="en-MY" w:eastAsia="en-AU"/>
        </w:rPr>
        <w:t xml:space="preserve">client goals </w:t>
      </w:r>
      <w:r w:rsidR="00FC4BC9">
        <w:rPr>
          <w:rFonts w:cstheme="minorHAnsi"/>
          <w:lang w:val="en-MY" w:eastAsia="en-AU"/>
        </w:rPr>
        <w:t>being met’</w:t>
      </w:r>
      <w:r>
        <w:rPr>
          <w:rFonts w:cstheme="minorHAnsi"/>
          <w:lang w:val="en-MY" w:eastAsia="en-AU"/>
        </w:rPr>
        <w:t xml:space="preserve"> for those services operating in remote locations with fewer available services</w:t>
      </w:r>
      <w:r w:rsidR="00FC4BC9">
        <w:rPr>
          <w:rFonts w:cstheme="minorHAnsi"/>
          <w:lang w:val="en-MY" w:eastAsia="en-AU"/>
        </w:rPr>
        <w:t xml:space="preserve"> and an increased travel burden</w:t>
      </w:r>
      <w:r>
        <w:rPr>
          <w:rFonts w:cstheme="minorHAnsi"/>
          <w:lang w:val="en-MY" w:eastAsia="en-AU"/>
        </w:rPr>
        <w:t xml:space="preserve">. </w:t>
      </w:r>
      <w:r w:rsidR="00FC4BC9">
        <w:rPr>
          <w:rFonts w:cstheme="minorHAnsi"/>
          <w:lang w:val="en-MY" w:eastAsia="en-AU"/>
        </w:rPr>
        <w:t xml:space="preserve">The extent to which clients left a service because they become uncontactable or moved away was also higher at these latter services (accounting for 67 percent of all recorded case closures in </w:t>
      </w:r>
      <w:r w:rsidR="00D94E4E">
        <w:rPr>
          <w:rFonts w:cstheme="minorHAnsi"/>
          <w:lang w:val="en-MY" w:eastAsia="en-AU"/>
        </w:rPr>
        <w:t>the case of one service</w:t>
      </w:r>
      <w:r w:rsidR="00FC4BC9">
        <w:rPr>
          <w:rFonts w:cstheme="minorHAnsi"/>
          <w:lang w:val="en-MY" w:eastAsia="en-AU"/>
        </w:rPr>
        <w:t xml:space="preserve">).   </w:t>
      </w:r>
    </w:p>
    <w:p w14:paraId="148513CD" w14:textId="77777777" w:rsidR="0017070D" w:rsidRDefault="0017070D" w:rsidP="00EC273E"/>
    <w:p w14:paraId="7181A018" w14:textId="448B082F" w:rsidR="00405FC5" w:rsidRDefault="00C6342C" w:rsidP="008147E3">
      <w:pPr>
        <w:jc w:val="both"/>
        <w:rPr>
          <w:rFonts w:cstheme="minorHAnsi"/>
          <w:lang w:val="en-MY" w:eastAsia="en-AU"/>
        </w:rPr>
      </w:pPr>
      <w:r>
        <w:rPr>
          <w:rFonts w:cstheme="minorHAnsi"/>
          <w:lang w:val="en-MY" w:eastAsia="en-AU"/>
        </w:rPr>
        <w:t xml:space="preserve">Analysis of similar data for the YTC program </w:t>
      </w:r>
      <w:r w:rsidR="00FA5C20">
        <w:rPr>
          <w:rFonts w:cstheme="minorHAnsi"/>
          <w:lang w:val="en-MY" w:eastAsia="en-AU"/>
        </w:rPr>
        <w:t xml:space="preserve">provided in the diagram below, </w:t>
      </w:r>
      <w:r>
        <w:rPr>
          <w:rFonts w:cstheme="minorHAnsi"/>
          <w:lang w:val="en-MY" w:eastAsia="en-AU"/>
        </w:rPr>
        <w:t xml:space="preserve">shows that the proportion of closures due to goals being met was also relatively low at 28 percent, while the proportion of cases closed because the client moved away or became uncontactable was similarly high, at 56 percent combined. Closures due to re-offending were, however, encouraging low for the YTC program at just 7 percent, although cohort data available for this analysis was limited to entries for just 8 individuals and </w:t>
      </w:r>
      <w:r w:rsidR="008147E3">
        <w:rPr>
          <w:rFonts w:cstheme="minorHAnsi"/>
          <w:lang w:val="en-MY" w:eastAsia="en-AU"/>
        </w:rPr>
        <w:t xml:space="preserve">may be </w:t>
      </w:r>
      <w:r>
        <w:rPr>
          <w:rFonts w:cstheme="minorHAnsi"/>
          <w:lang w:val="en-MY" w:eastAsia="en-AU"/>
        </w:rPr>
        <w:t>under-reported</w:t>
      </w:r>
      <w:r w:rsidR="00735BF9">
        <w:rPr>
          <w:rFonts w:cstheme="minorHAnsi"/>
          <w:lang w:val="en-MY" w:eastAsia="en-AU"/>
        </w:rPr>
        <w:t xml:space="preserve"> (meaning this indicator does not effectively measure rates of client recidivism).</w:t>
      </w:r>
    </w:p>
    <w:p w14:paraId="111A08FB" w14:textId="77777777" w:rsidR="00D120FE" w:rsidRPr="00301087" w:rsidRDefault="00D120FE" w:rsidP="00D120FE"/>
    <w:p w14:paraId="3BDE6C99" w14:textId="19934A12" w:rsidR="00405FC5" w:rsidRDefault="00405FC5" w:rsidP="00405FC5">
      <w:pPr>
        <w:jc w:val="both"/>
        <w:rPr>
          <w:rFonts w:cstheme="minorHAnsi"/>
          <w:lang w:val="en-MY" w:eastAsia="en-AU"/>
        </w:rPr>
      </w:pPr>
      <w:r w:rsidRPr="00A609F3">
        <w:rPr>
          <w:rFonts w:cstheme="minorHAnsi"/>
          <w:lang w:val="en-MY" w:eastAsia="en-AU"/>
        </w:rPr>
        <w:t>A further breakdown</w:t>
      </w:r>
      <w:r>
        <w:rPr>
          <w:rFonts w:cstheme="minorHAnsi"/>
          <w:lang w:val="en-MY" w:eastAsia="en-AU"/>
        </w:rPr>
        <w:t xml:space="preserve"> of this data by service provider reveals less variance between services in comparison with the data for adults. Similar to the data for adults, however, the highest proportion of ‘client goals being met’ </w:t>
      </w:r>
      <w:r w:rsidR="00ED5B5B">
        <w:rPr>
          <w:rFonts w:cstheme="minorHAnsi"/>
          <w:lang w:val="en-MY" w:eastAsia="en-AU"/>
        </w:rPr>
        <w:t xml:space="preserve">(at 44 percent) </w:t>
      </w:r>
      <w:r>
        <w:rPr>
          <w:rFonts w:cstheme="minorHAnsi"/>
          <w:lang w:val="en-MY" w:eastAsia="en-AU"/>
        </w:rPr>
        <w:t xml:space="preserve">was achieved by a service with access to integrated </w:t>
      </w:r>
      <w:r w:rsidR="00ED5B5B">
        <w:rPr>
          <w:rFonts w:cstheme="minorHAnsi"/>
          <w:lang w:val="en-MY" w:eastAsia="en-AU"/>
        </w:rPr>
        <w:t xml:space="preserve">therapeutic and counselling </w:t>
      </w:r>
      <w:r>
        <w:rPr>
          <w:rFonts w:cstheme="minorHAnsi"/>
          <w:lang w:val="en-MY" w:eastAsia="en-AU"/>
        </w:rPr>
        <w:t>services.</w:t>
      </w:r>
    </w:p>
    <w:p w14:paraId="115E5F69" w14:textId="77777777" w:rsidR="00405FC5" w:rsidRDefault="00405FC5" w:rsidP="00D120FE">
      <w:pPr>
        <w:rPr>
          <w:rFonts w:cstheme="minorHAnsi"/>
          <w:i/>
          <w:iCs/>
          <w:color w:val="1F497D" w:themeColor="text2"/>
          <w:sz w:val="20"/>
          <w:szCs w:val="20"/>
        </w:rPr>
      </w:pPr>
    </w:p>
    <w:p w14:paraId="26A3FB74" w14:textId="77777777" w:rsidR="003D4746" w:rsidRDefault="003D4746">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2ED74B9E" w14:textId="6E1E976C" w:rsidR="00D120FE" w:rsidRPr="00D120FE" w:rsidRDefault="00D120FE" w:rsidP="00D120FE">
      <w:pPr>
        <w:rPr>
          <w:rFonts w:cstheme="minorHAnsi"/>
          <w:i/>
          <w:iCs/>
          <w:color w:val="1F497D" w:themeColor="text2"/>
          <w:sz w:val="20"/>
          <w:szCs w:val="20"/>
        </w:rPr>
      </w:pPr>
      <w:r>
        <w:rPr>
          <w:rFonts w:cstheme="minorHAnsi"/>
          <w:i/>
          <w:iCs/>
          <w:color w:val="1F497D" w:themeColor="text2"/>
          <w:sz w:val="20"/>
          <w:szCs w:val="20"/>
        </w:rPr>
        <w:t xml:space="preserve">Figure </w:t>
      </w:r>
      <w:r w:rsidR="00691792">
        <w:rPr>
          <w:rFonts w:cstheme="minorHAnsi"/>
          <w:i/>
          <w:iCs/>
          <w:color w:val="1F497D" w:themeColor="text2"/>
          <w:sz w:val="20"/>
          <w:szCs w:val="20"/>
        </w:rPr>
        <w:t>6</w:t>
      </w:r>
      <w:r>
        <w:rPr>
          <w:rFonts w:cstheme="minorHAnsi"/>
          <w:i/>
          <w:iCs/>
          <w:color w:val="1F497D" w:themeColor="text2"/>
          <w:sz w:val="20"/>
          <w:szCs w:val="20"/>
        </w:rPr>
        <w:t xml:space="preserve"> </w:t>
      </w:r>
      <w:r w:rsidRPr="00A22692">
        <w:rPr>
          <w:rFonts w:cstheme="minorHAnsi"/>
          <w:i/>
          <w:iCs/>
          <w:color w:val="1F497D" w:themeColor="text2"/>
          <w:sz w:val="20"/>
          <w:szCs w:val="20"/>
        </w:rPr>
        <w:t xml:space="preserve">– </w:t>
      </w:r>
      <w:r>
        <w:rPr>
          <w:rFonts w:cstheme="minorHAnsi"/>
          <w:i/>
          <w:iCs/>
          <w:color w:val="1F497D" w:themeColor="text2"/>
          <w:sz w:val="20"/>
          <w:szCs w:val="20"/>
        </w:rPr>
        <w:t>Number and Proportion of Youth Case Closures by Reason Type</w:t>
      </w:r>
      <w:r w:rsidRPr="00D120FE">
        <w:rPr>
          <w:rFonts w:cstheme="minorHAnsi"/>
          <w:i/>
          <w:iCs/>
          <w:color w:val="1F497D" w:themeColor="text2"/>
          <w:sz w:val="20"/>
          <w:szCs w:val="20"/>
        </w:rPr>
        <w:t xml:space="preserve"> </w:t>
      </w:r>
      <w:r>
        <w:rPr>
          <w:rFonts w:cstheme="minorHAnsi"/>
          <w:i/>
          <w:iCs/>
          <w:color w:val="1F497D" w:themeColor="text2"/>
          <w:sz w:val="20"/>
          <w:szCs w:val="20"/>
        </w:rPr>
        <w:t>(</w:t>
      </w:r>
      <w:r w:rsidRPr="00D120FE">
        <w:rPr>
          <w:rFonts w:cstheme="minorHAnsi"/>
          <w:i/>
          <w:iCs/>
          <w:color w:val="1F497D" w:themeColor="text2"/>
          <w:sz w:val="20"/>
          <w:szCs w:val="20"/>
        </w:rPr>
        <w:t>1 J</w:t>
      </w:r>
      <w:r w:rsidR="002A68DB">
        <w:rPr>
          <w:rFonts w:cstheme="minorHAnsi"/>
          <w:i/>
          <w:iCs/>
          <w:color w:val="1F497D" w:themeColor="text2"/>
          <w:sz w:val="20"/>
          <w:szCs w:val="20"/>
        </w:rPr>
        <w:t xml:space="preserve">uly </w:t>
      </w:r>
      <w:r w:rsidRPr="00D120FE">
        <w:rPr>
          <w:rFonts w:cstheme="minorHAnsi"/>
          <w:i/>
          <w:iCs/>
          <w:color w:val="1F497D" w:themeColor="text2"/>
          <w:sz w:val="20"/>
          <w:szCs w:val="20"/>
        </w:rPr>
        <w:t>20</w:t>
      </w:r>
      <w:r w:rsidR="002A68DB">
        <w:rPr>
          <w:rFonts w:cstheme="minorHAnsi"/>
          <w:i/>
          <w:iCs/>
          <w:color w:val="1F497D" w:themeColor="text2"/>
          <w:sz w:val="20"/>
          <w:szCs w:val="20"/>
        </w:rPr>
        <w:t>19</w:t>
      </w:r>
      <w:r w:rsidRPr="00D120FE">
        <w:rPr>
          <w:rFonts w:cstheme="minorHAnsi"/>
          <w:i/>
          <w:iCs/>
          <w:color w:val="1F497D" w:themeColor="text2"/>
          <w:sz w:val="20"/>
          <w:szCs w:val="20"/>
        </w:rPr>
        <w:t xml:space="preserve"> to 31 December 2022</w:t>
      </w:r>
      <w:r>
        <w:rPr>
          <w:rFonts w:cstheme="minorHAnsi"/>
          <w:i/>
          <w:iCs/>
          <w:color w:val="1F497D" w:themeColor="text2"/>
          <w:sz w:val="20"/>
          <w:szCs w:val="20"/>
        </w:rPr>
        <w:t xml:space="preserve">) </w:t>
      </w:r>
    </w:p>
    <w:p w14:paraId="147CBC5A" w14:textId="77777777" w:rsidR="00D120FE" w:rsidRPr="00301087" w:rsidRDefault="00D120FE" w:rsidP="00D120FE">
      <w:pPr>
        <w:rPr>
          <w:i/>
          <w:iCs/>
        </w:rPr>
      </w:pPr>
    </w:p>
    <w:p w14:paraId="3F789F2C" w14:textId="6D7C482A" w:rsidR="008147E3" w:rsidRDefault="00D120FE" w:rsidP="00110955">
      <w:r w:rsidRPr="00301087">
        <w:rPr>
          <w:noProof/>
          <w:lang w:eastAsia="en-AU"/>
        </w:rPr>
        <w:drawing>
          <wp:inline distT="0" distB="0" distL="0" distR="0" wp14:anchorId="6AE40410" wp14:editId="609FE0B6">
            <wp:extent cx="5844540" cy="4008120"/>
            <wp:effectExtent l="0" t="0" r="3810" b="11430"/>
            <wp:docPr id="1849927075" name="Chart 3" descr="The coloured pie chart image shows the proportion of youth case closures by reason type (1 July 2019 to 31 December 2022) and shows that: 8 clients reoffended (7%), 53 clients were not contactable (48%), 31 client goals were met (28%), 10 clients were referred to another serice (9%), and 9 clients moved away (8%)." title="Figure 6 - pie chart">
              <a:extLst xmlns:a="http://schemas.openxmlformats.org/drawingml/2006/main">
                <a:ext uri="{FF2B5EF4-FFF2-40B4-BE49-F238E27FC236}">
                  <a16:creationId xmlns:a16="http://schemas.microsoft.com/office/drawing/2014/main" id="{0B96DEC8-112A-48F5-8A48-2CCADCFF0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399E81" w14:textId="77777777" w:rsidR="00110955" w:rsidRPr="00110955" w:rsidRDefault="00110955" w:rsidP="00110955"/>
    <w:p w14:paraId="0FB83151" w14:textId="4BB031CA" w:rsidR="00895652" w:rsidRDefault="009239F6" w:rsidP="00F65738">
      <w:pPr>
        <w:jc w:val="both"/>
        <w:rPr>
          <w:rFonts w:cstheme="minorHAnsi"/>
          <w:lang w:val="en-MY" w:eastAsia="en-AU"/>
        </w:rPr>
      </w:pPr>
      <w:r>
        <w:rPr>
          <w:rFonts w:cstheme="minorHAnsi"/>
          <w:lang w:val="en-MY" w:eastAsia="en-AU"/>
        </w:rPr>
        <w:t>While through-care services do not collect data on recidivism in relation to a client</w:t>
      </w:r>
      <w:r w:rsidR="0092295B">
        <w:rPr>
          <w:rFonts w:cstheme="minorHAnsi"/>
          <w:lang w:val="en-MY" w:eastAsia="en-AU"/>
        </w:rPr>
        <w:t>’</w:t>
      </w:r>
      <w:r>
        <w:rPr>
          <w:rFonts w:cstheme="minorHAnsi"/>
          <w:lang w:val="en-MY" w:eastAsia="en-AU"/>
        </w:rPr>
        <w:t>s return to prison or detention</w:t>
      </w:r>
      <w:r w:rsidR="0092295B">
        <w:rPr>
          <w:rFonts w:cstheme="minorHAnsi"/>
          <w:lang w:val="en-MY" w:eastAsia="en-AU"/>
        </w:rPr>
        <w:t xml:space="preserve"> </w:t>
      </w:r>
      <w:r w:rsidR="0092295B" w:rsidRPr="0092295B">
        <w:rPr>
          <w:rFonts w:cstheme="minorHAnsi"/>
          <w:i/>
          <w:iCs/>
          <w:lang w:val="en-MY" w:eastAsia="en-AU"/>
        </w:rPr>
        <w:t>per se</w:t>
      </w:r>
      <w:r>
        <w:rPr>
          <w:rFonts w:cstheme="minorHAnsi"/>
          <w:lang w:val="en-MY" w:eastAsia="en-AU"/>
        </w:rPr>
        <w:t>, a series of associated data are collected which enable some comparison to the nationally reported recidivism figures. For both ATC and YTC clients this includes data on a range of proxy outcomes r</w:t>
      </w:r>
      <w:r w:rsidRPr="009239F6">
        <w:rPr>
          <w:rFonts w:cstheme="minorHAnsi"/>
          <w:lang w:val="en-MY" w:eastAsia="en-AU"/>
        </w:rPr>
        <w:t xml:space="preserve">elating to </w:t>
      </w:r>
      <w:r>
        <w:rPr>
          <w:rFonts w:cstheme="minorHAnsi"/>
          <w:lang w:val="en-MY" w:eastAsia="en-AU"/>
        </w:rPr>
        <w:t>client c</w:t>
      </w:r>
      <w:r w:rsidRPr="009239F6">
        <w:rPr>
          <w:rFonts w:cstheme="minorHAnsi"/>
          <w:lang w:val="en-MY" w:eastAsia="en-AU"/>
        </w:rPr>
        <w:t xml:space="preserve">harges, </w:t>
      </w:r>
      <w:r>
        <w:rPr>
          <w:rFonts w:cstheme="minorHAnsi"/>
          <w:lang w:val="en-MY" w:eastAsia="en-AU"/>
        </w:rPr>
        <w:t>c</w:t>
      </w:r>
      <w:r w:rsidRPr="009239F6">
        <w:rPr>
          <w:rFonts w:cstheme="minorHAnsi"/>
          <w:lang w:val="en-MY" w:eastAsia="en-AU"/>
        </w:rPr>
        <w:t>onvictions</w:t>
      </w:r>
      <w:r>
        <w:rPr>
          <w:rFonts w:cstheme="minorHAnsi"/>
          <w:lang w:val="en-MY" w:eastAsia="en-AU"/>
        </w:rPr>
        <w:t xml:space="preserve"> and administrative breaches, as provided in the tables below. Notwithstanding limitations with </w:t>
      </w:r>
      <w:r w:rsidR="00B901A7">
        <w:rPr>
          <w:rFonts w:cstheme="minorHAnsi"/>
          <w:lang w:val="en-MY" w:eastAsia="en-AU"/>
        </w:rPr>
        <w:t xml:space="preserve">this </w:t>
      </w:r>
      <w:r>
        <w:rPr>
          <w:rFonts w:cstheme="minorHAnsi"/>
          <w:lang w:val="en-MY" w:eastAsia="en-AU"/>
        </w:rPr>
        <w:t>data</w:t>
      </w:r>
      <w:r w:rsidR="0092295B">
        <w:rPr>
          <w:rFonts w:cstheme="minorHAnsi"/>
          <w:lang w:val="en-MY" w:eastAsia="en-AU"/>
        </w:rPr>
        <w:t>,</w:t>
      </w:r>
      <w:r w:rsidR="0092295B">
        <w:rPr>
          <w:rStyle w:val="FootnoteReference"/>
          <w:rFonts w:cstheme="minorHAnsi"/>
          <w:lang w:val="en-MY" w:eastAsia="en-AU"/>
        </w:rPr>
        <w:footnoteReference w:id="106"/>
      </w:r>
      <w:r w:rsidR="0092295B">
        <w:rPr>
          <w:rFonts w:cstheme="minorHAnsi"/>
          <w:lang w:val="en-MY" w:eastAsia="en-AU"/>
        </w:rPr>
        <w:t xml:space="preserve"> its comparison between services and with national data reveal</w:t>
      </w:r>
      <w:r w:rsidR="00480771">
        <w:rPr>
          <w:rFonts w:cstheme="minorHAnsi"/>
          <w:lang w:val="en-MY" w:eastAsia="en-AU"/>
        </w:rPr>
        <w:t>s provisionally encouraging results</w:t>
      </w:r>
      <w:r w:rsidR="0094701D">
        <w:rPr>
          <w:rFonts w:cstheme="minorHAnsi"/>
          <w:lang w:val="en-MY" w:eastAsia="en-AU"/>
        </w:rPr>
        <w:t xml:space="preserve"> in some </w:t>
      </w:r>
      <w:r w:rsidR="00110957">
        <w:rPr>
          <w:rFonts w:cstheme="minorHAnsi"/>
          <w:lang w:val="en-MY" w:eastAsia="en-AU"/>
        </w:rPr>
        <w:t>areas</w:t>
      </w:r>
      <w:r w:rsidR="00D84170" w:rsidRPr="00D84170">
        <w:rPr>
          <w:rFonts w:cstheme="minorHAnsi"/>
          <w:lang w:val="en-MY" w:eastAsia="en-AU"/>
        </w:rPr>
        <w:t>.</w:t>
      </w:r>
    </w:p>
    <w:p w14:paraId="42110854" w14:textId="77777777" w:rsidR="00604E5D" w:rsidRDefault="00604E5D" w:rsidP="00F65738">
      <w:pPr>
        <w:jc w:val="both"/>
        <w:rPr>
          <w:rFonts w:cstheme="minorHAnsi"/>
          <w:lang w:val="en-MY" w:eastAsia="en-AU"/>
        </w:rPr>
      </w:pPr>
    </w:p>
    <w:p w14:paraId="2395D45D" w14:textId="77777777" w:rsidR="00604E5D" w:rsidRDefault="00604E5D" w:rsidP="00F65738">
      <w:pPr>
        <w:jc w:val="both"/>
        <w:rPr>
          <w:rFonts w:cstheme="minorHAnsi"/>
          <w:lang w:val="en-MY" w:eastAsia="en-AU"/>
        </w:rPr>
      </w:pPr>
    </w:p>
    <w:p w14:paraId="23FD916B" w14:textId="77777777" w:rsidR="00604E5D" w:rsidRDefault="00604E5D" w:rsidP="00F65738">
      <w:pPr>
        <w:jc w:val="both"/>
        <w:rPr>
          <w:rFonts w:cstheme="minorHAnsi"/>
          <w:lang w:val="en-MY" w:eastAsia="en-AU"/>
        </w:rPr>
      </w:pPr>
    </w:p>
    <w:p w14:paraId="4C03DE6B" w14:textId="77777777" w:rsidR="002A68DB" w:rsidRDefault="002A68DB" w:rsidP="00110957">
      <w:pPr>
        <w:rPr>
          <w:rFonts w:cstheme="minorHAnsi"/>
          <w:lang w:val="en-MY" w:eastAsia="en-AU"/>
        </w:rPr>
      </w:pPr>
    </w:p>
    <w:p w14:paraId="1AE5948D" w14:textId="77777777" w:rsidR="003D4746" w:rsidRDefault="003D4746">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68915FDE" w14:textId="7BF2564C" w:rsidR="00A31C95" w:rsidRDefault="00A31C95" w:rsidP="00110957">
      <w:pPr>
        <w:rPr>
          <w:rFonts w:cstheme="minorHAnsi"/>
          <w:i/>
          <w:iCs/>
          <w:color w:val="1F497D" w:themeColor="text2"/>
          <w:sz w:val="20"/>
          <w:szCs w:val="20"/>
        </w:rPr>
      </w:pPr>
      <w:r w:rsidRPr="0044232D">
        <w:rPr>
          <w:rFonts w:cstheme="minorHAnsi"/>
          <w:i/>
          <w:iCs/>
          <w:color w:val="1F497D" w:themeColor="text2"/>
          <w:sz w:val="20"/>
          <w:szCs w:val="20"/>
        </w:rPr>
        <w:t xml:space="preserve">Table </w:t>
      </w:r>
      <w:r w:rsidR="00691792">
        <w:rPr>
          <w:rFonts w:cstheme="minorHAnsi"/>
          <w:i/>
          <w:iCs/>
          <w:color w:val="1F497D" w:themeColor="text2"/>
          <w:sz w:val="20"/>
          <w:szCs w:val="20"/>
        </w:rPr>
        <w:t>9</w:t>
      </w:r>
      <w:r w:rsidRPr="0044232D">
        <w:rPr>
          <w:rFonts w:cstheme="minorHAnsi"/>
          <w:i/>
          <w:iCs/>
          <w:color w:val="1F497D" w:themeColor="text2"/>
          <w:sz w:val="20"/>
          <w:szCs w:val="20"/>
        </w:rPr>
        <w:t xml:space="preserve"> – Data </w:t>
      </w:r>
      <w:r w:rsidR="00EB627C" w:rsidRPr="0044232D">
        <w:rPr>
          <w:rFonts w:cstheme="minorHAnsi"/>
          <w:i/>
          <w:iCs/>
          <w:color w:val="1F497D" w:themeColor="text2"/>
          <w:sz w:val="20"/>
          <w:szCs w:val="20"/>
        </w:rPr>
        <w:t>R</w:t>
      </w:r>
      <w:r w:rsidRPr="0044232D">
        <w:rPr>
          <w:rFonts w:cstheme="minorHAnsi"/>
          <w:i/>
          <w:iCs/>
          <w:color w:val="1F497D" w:themeColor="text2"/>
          <w:sz w:val="20"/>
          <w:szCs w:val="20"/>
        </w:rPr>
        <w:t xml:space="preserve">elating to </w:t>
      </w:r>
      <w:r w:rsidR="00EB627C" w:rsidRPr="0044232D">
        <w:rPr>
          <w:rFonts w:cstheme="minorHAnsi"/>
          <w:i/>
          <w:iCs/>
          <w:color w:val="1F497D" w:themeColor="text2"/>
          <w:sz w:val="20"/>
          <w:szCs w:val="20"/>
        </w:rPr>
        <w:t>C</w:t>
      </w:r>
      <w:r w:rsidRPr="0044232D">
        <w:rPr>
          <w:rFonts w:cstheme="minorHAnsi"/>
          <w:i/>
          <w:iCs/>
          <w:color w:val="1F497D" w:themeColor="text2"/>
          <w:sz w:val="20"/>
          <w:szCs w:val="20"/>
        </w:rPr>
        <w:t xml:space="preserve">harges, </w:t>
      </w:r>
      <w:r w:rsidR="00EB627C" w:rsidRPr="0044232D">
        <w:rPr>
          <w:rFonts w:cstheme="minorHAnsi"/>
          <w:i/>
          <w:iCs/>
          <w:color w:val="1F497D" w:themeColor="text2"/>
          <w:sz w:val="20"/>
          <w:szCs w:val="20"/>
        </w:rPr>
        <w:t>C</w:t>
      </w:r>
      <w:r w:rsidRPr="0044232D">
        <w:rPr>
          <w:rFonts w:cstheme="minorHAnsi"/>
          <w:i/>
          <w:iCs/>
          <w:color w:val="1F497D" w:themeColor="text2"/>
          <w:sz w:val="20"/>
          <w:szCs w:val="20"/>
        </w:rPr>
        <w:t>onviction</w:t>
      </w:r>
      <w:r w:rsidR="00897757" w:rsidRPr="0044232D">
        <w:rPr>
          <w:rFonts w:cstheme="minorHAnsi"/>
          <w:i/>
          <w:iCs/>
          <w:color w:val="1F497D" w:themeColor="text2"/>
          <w:sz w:val="20"/>
          <w:szCs w:val="20"/>
        </w:rPr>
        <w:t xml:space="preserve">s, </w:t>
      </w:r>
      <w:r w:rsidR="00EB627C" w:rsidRPr="0044232D">
        <w:rPr>
          <w:rFonts w:cstheme="minorHAnsi"/>
          <w:i/>
          <w:iCs/>
          <w:color w:val="1F497D" w:themeColor="text2"/>
          <w:sz w:val="20"/>
          <w:szCs w:val="20"/>
        </w:rPr>
        <w:t>A</w:t>
      </w:r>
      <w:r w:rsidRPr="0044232D">
        <w:rPr>
          <w:rFonts w:cstheme="minorHAnsi"/>
          <w:i/>
          <w:iCs/>
          <w:color w:val="1F497D" w:themeColor="text2"/>
          <w:sz w:val="20"/>
          <w:szCs w:val="20"/>
        </w:rPr>
        <w:t xml:space="preserve">dministrative </w:t>
      </w:r>
      <w:r w:rsidR="00EB627C" w:rsidRPr="0044232D">
        <w:rPr>
          <w:rFonts w:cstheme="minorHAnsi"/>
          <w:i/>
          <w:iCs/>
          <w:color w:val="1F497D" w:themeColor="text2"/>
          <w:sz w:val="20"/>
          <w:szCs w:val="20"/>
        </w:rPr>
        <w:t>B</w:t>
      </w:r>
      <w:r w:rsidRPr="0044232D">
        <w:rPr>
          <w:rFonts w:cstheme="minorHAnsi"/>
          <w:i/>
          <w:iCs/>
          <w:color w:val="1F497D" w:themeColor="text2"/>
          <w:sz w:val="20"/>
          <w:szCs w:val="20"/>
        </w:rPr>
        <w:t>reaches/</w:t>
      </w:r>
      <w:r w:rsidR="00EB627C" w:rsidRPr="0044232D">
        <w:rPr>
          <w:rFonts w:cstheme="minorHAnsi"/>
          <w:i/>
          <w:iCs/>
          <w:color w:val="1F497D" w:themeColor="text2"/>
          <w:sz w:val="20"/>
          <w:szCs w:val="20"/>
        </w:rPr>
        <w:t>O</w:t>
      </w:r>
      <w:r w:rsidRPr="0044232D">
        <w:rPr>
          <w:rFonts w:cstheme="minorHAnsi"/>
          <w:i/>
          <w:iCs/>
          <w:color w:val="1F497D" w:themeColor="text2"/>
          <w:sz w:val="20"/>
          <w:szCs w:val="20"/>
        </w:rPr>
        <w:t xml:space="preserve">ffences for </w:t>
      </w:r>
      <w:r w:rsidR="00EB627C" w:rsidRPr="0044232D">
        <w:rPr>
          <w:rFonts w:cstheme="minorHAnsi"/>
          <w:i/>
          <w:iCs/>
          <w:color w:val="1F497D" w:themeColor="text2"/>
          <w:sz w:val="20"/>
          <w:szCs w:val="20"/>
        </w:rPr>
        <w:t>A</w:t>
      </w:r>
      <w:r w:rsidR="0000440F">
        <w:rPr>
          <w:rFonts w:cstheme="minorHAnsi"/>
          <w:i/>
          <w:iCs/>
          <w:color w:val="1F497D" w:themeColor="text2"/>
          <w:sz w:val="20"/>
          <w:szCs w:val="20"/>
        </w:rPr>
        <w:t xml:space="preserve">TC </w:t>
      </w:r>
      <w:r w:rsidR="00EB627C" w:rsidRPr="0044232D">
        <w:rPr>
          <w:rFonts w:cstheme="minorHAnsi"/>
          <w:i/>
          <w:iCs/>
          <w:color w:val="1F497D" w:themeColor="text2"/>
          <w:sz w:val="20"/>
          <w:szCs w:val="20"/>
        </w:rPr>
        <w:t>C</w:t>
      </w:r>
      <w:r w:rsidRPr="0044232D">
        <w:rPr>
          <w:rFonts w:cstheme="minorHAnsi"/>
          <w:i/>
          <w:iCs/>
          <w:color w:val="1F497D" w:themeColor="text2"/>
          <w:sz w:val="20"/>
          <w:szCs w:val="20"/>
        </w:rPr>
        <w:t>lients</w:t>
      </w:r>
      <w:r w:rsidR="002A68DB">
        <w:rPr>
          <w:rFonts w:cstheme="minorHAnsi"/>
          <w:i/>
          <w:iCs/>
          <w:color w:val="1F497D" w:themeColor="text2"/>
          <w:sz w:val="20"/>
          <w:szCs w:val="20"/>
        </w:rPr>
        <w:t xml:space="preserve"> (</w:t>
      </w:r>
      <w:r w:rsidR="002A68DB" w:rsidRPr="00D120FE">
        <w:rPr>
          <w:rFonts w:cstheme="minorHAnsi"/>
          <w:i/>
          <w:iCs/>
          <w:color w:val="1F497D" w:themeColor="text2"/>
          <w:sz w:val="20"/>
          <w:szCs w:val="20"/>
        </w:rPr>
        <w:t>1 J</w:t>
      </w:r>
      <w:r w:rsidR="002A68DB">
        <w:rPr>
          <w:rFonts w:cstheme="minorHAnsi"/>
          <w:i/>
          <w:iCs/>
          <w:color w:val="1F497D" w:themeColor="text2"/>
          <w:sz w:val="20"/>
          <w:szCs w:val="20"/>
        </w:rPr>
        <w:t xml:space="preserve">uly </w:t>
      </w:r>
      <w:r w:rsidR="002A68DB" w:rsidRPr="00D120FE">
        <w:rPr>
          <w:rFonts w:cstheme="minorHAnsi"/>
          <w:i/>
          <w:iCs/>
          <w:color w:val="1F497D" w:themeColor="text2"/>
          <w:sz w:val="20"/>
          <w:szCs w:val="20"/>
        </w:rPr>
        <w:t>20</w:t>
      </w:r>
      <w:r w:rsidR="002A68DB">
        <w:rPr>
          <w:rFonts w:cstheme="minorHAnsi"/>
          <w:i/>
          <w:iCs/>
          <w:color w:val="1F497D" w:themeColor="text2"/>
          <w:sz w:val="20"/>
          <w:szCs w:val="20"/>
        </w:rPr>
        <w:t>19</w:t>
      </w:r>
      <w:r w:rsidR="002A68DB" w:rsidRPr="00D120FE">
        <w:rPr>
          <w:rFonts w:cstheme="minorHAnsi"/>
          <w:i/>
          <w:iCs/>
          <w:color w:val="1F497D" w:themeColor="text2"/>
          <w:sz w:val="20"/>
          <w:szCs w:val="20"/>
        </w:rPr>
        <w:t xml:space="preserve"> to 31 December 2022</w:t>
      </w:r>
      <w:r w:rsidR="002A68DB">
        <w:rPr>
          <w:rFonts w:cstheme="minorHAnsi"/>
          <w:i/>
          <w:iCs/>
          <w:color w:val="1F497D" w:themeColor="text2"/>
          <w:sz w:val="20"/>
          <w:szCs w:val="20"/>
        </w:rPr>
        <w:t>)</w:t>
      </w:r>
    </w:p>
    <w:p w14:paraId="57246E0C" w14:textId="77777777" w:rsidR="00110957" w:rsidRPr="00110957" w:rsidRDefault="00110957" w:rsidP="00110957">
      <w:pPr>
        <w:rPr>
          <w:rFonts w:cstheme="minorHAnsi"/>
          <w:i/>
          <w:iCs/>
          <w:color w:val="1F497D" w:themeColor="text2"/>
          <w:sz w:val="20"/>
          <w:szCs w:val="20"/>
        </w:rPr>
      </w:pPr>
    </w:p>
    <w:tbl>
      <w:tblPr>
        <w:tblStyle w:val="GridTable1Light-Accent1"/>
        <w:tblW w:w="5082" w:type="pct"/>
        <w:tblLook w:val="04A0" w:firstRow="1" w:lastRow="0" w:firstColumn="1" w:lastColumn="0" w:noHBand="0" w:noVBand="1"/>
        <w:tblCaption w:val="Table 9"/>
        <w:tblDescription w:val="The table provides data on ATC clients: proportion charged, convicted or administrative breach recorded; average proportion convicted or charge with a new criminal offence since imprisonment; average proportion of charges/convictions of a less serious offence; adult offenders released from prison or corrective services within 2 years of release."/>
      </w:tblPr>
      <w:tblGrid>
        <w:gridCol w:w="2042"/>
        <w:gridCol w:w="937"/>
        <w:gridCol w:w="768"/>
        <w:gridCol w:w="768"/>
        <w:gridCol w:w="930"/>
        <w:gridCol w:w="829"/>
        <w:gridCol w:w="930"/>
        <w:gridCol w:w="1001"/>
        <w:gridCol w:w="1004"/>
      </w:tblGrid>
      <w:tr w:rsidR="0000440F" w:rsidRPr="0000440F" w14:paraId="0B768DA8" w14:textId="77777777" w:rsidTr="004772A2">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109" w:type="pct"/>
            <w:vAlign w:val="center"/>
          </w:tcPr>
          <w:p w14:paraId="2C17BCC3" w14:textId="77777777" w:rsidR="00A31C95" w:rsidRPr="0000440F" w:rsidRDefault="00A31C95" w:rsidP="0000440F">
            <w:pPr>
              <w:jc w:val="center"/>
              <w:rPr>
                <w:rFonts w:cstheme="minorHAnsi"/>
                <w:b w:val="0"/>
                <w:bCs w:val="0"/>
                <w:color w:val="000000" w:themeColor="text1"/>
                <w:sz w:val="20"/>
                <w:szCs w:val="20"/>
              </w:rPr>
            </w:pPr>
            <w:r w:rsidRPr="0000440F">
              <w:rPr>
                <w:rFonts w:cstheme="minorHAnsi"/>
                <w:color w:val="000000" w:themeColor="text1"/>
                <w:sz w:val="20"/>
                <w:szCs w:val="20"/>
              </w:rPr>
              <w:t>Indicator</w:t>
            </w:r>
          </w:p>
        </w:tc>
        <w:tc>
          <w:tcPr>
            <w:tcW w:w="509" w:type="pct"/>
            <w:vAlign w:val="center"/>
          </w:tcPr>
          <w:p w14:paraId="25B15B02"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ALRM</w:t>
            </w:r>
          </w:p>
        </w:tc>
        <w:tc>
          <w:tcPr>
            <w:tcW w:w="417" w:type="pct"/>
            <w:vAlign w:val="center"/>
          </w:tcPr>
          <w:p w14:paraId="1FFD3139"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ATSILS</w:t>
            </w:r>
          </w:p>
        </w:tc>
        <w:tc>
          <w:tcPr>
            <w:tcW w:w="417" w:type="pct"/>
            <w:vAlign w:val="center"/>
          </w:tcPr>
          <w:p w14:paraId="4F5614D9"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CHAC</w:t>
            </w:r>
          </w:p>
        </w:tc>
        <w:tc>
          <w:tcPr>
            <w:tcW w:w="505" w:type="pct"/>
            <w:vAlign w:val="center"/>
          </w:tcPr>
          <w:p w14:paraId="346AAB10"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CRC</w:t>
            </w:r>
          </w:p>
        </w:tc>
        <w:tc>
          <w:tcPr>
            <w:tcW w:w="450" w:type="pct"/>
            <w:vAlign w:val="center"/>
          </w:tcPr>
          <w:p w14:paraId="7B3163AB"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Five Bridges</w:t>
            </w:r>
          </w:p>
        </w:tc>
        <w:tc>
          <w:tcPr>
            <w:tcW w:w="505" w:type="pct"/>
            <w:vAlign w:val="center"/>
          </w:tcPr>
          <w:p w14:paraId="30C995AD" w14:textId="77777777"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NAAJA</w:t>
            </w:r>
          </w:p>
        </w:tc>
        <w:tc>
          <w:tcPr>
            <w:tcW w:w="543" w:type="pct"/>
            <w:vAlign w:val="center"/>
          </w:tcPr>
          <w:p w14:paraId="50CCF12B" w14:textId="77777777" w:rsidR="00A31C95"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Nulsen</w:t>
            </w:r>
          </w:p>
          <w:p w14:paraId="407FDFBF" w14:textId="43EFA505" w:rsidR="00A23C75" w:rsidRPr="0000440F" w:rsidRDefault="00A23C7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Pr>
                <w:rFonts w:cstheme="minorHAnsi"/>
                <w:color w:val="000000" w:themeColor="text1"/>
                <w:sz w:val="20"/>
                <w:szCs w:val="20"/>
              </w:rPr>
              <w:t>(Outcare)</w:t>
            </w:r>
          </w:p>
        </w:tc>
        <w:tc>
          <w:tcPr>
            <w:tcW w:w="545" w:type="pct"/>
            <w:vAlign w:val="center"/>
          </w:tcPr>
          <w:p w14:paraId="04B76A52" w14:textId="28FF96E8" w:rsidR="00A31C95" w:rsidRPr="0000440F" w:rsidRDefault="00A31C95" w:rsidP="0000440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0440F">
              <w:rPr>
                <w:rFonts w:cstheme="minorHAnsi"/>
                <w:color w:val="000000" w:themeColor="text1"/>
                <w:sz w:val="20"/>
                <w:szCs w:val="20"/>
              </w:rPr>
              <w:t>RYSS</w:t>
            </w:r>
          </w:p>
        </w:tc>
      </w:tr>
      <w:tr w:rsidR="0000440F" w:rsidRPr="0000440F" w14:paraId="50CCD540" w14:textId="77777777" w:rsidTr="002108BC">
        <w:trPr>
          <w:trHeight w:val="1093"/>
        </w:trPr>
        <w:tc>
          <w:tcPr>
            <w:cnfStyle w:val="001000000000" w:firstRow="0" w:lastRow="0" w:firstColumn="1" w:lastColumn="0" w:oddVBand="0" w:evenVBand="0" w:oddHBand="0" w:evenHBand="0" w:firstRowFirstColumn="0" w:firstRowLastColumn="0" w:lastRowFirstColumn="0" w:lastRowLastColumn="0"/>
            <w:tcW w:w="1109" w:type="pct"/>
            <w:vAlign w:val="center"/>
          </w:tcPr>
          <w:p w14:paraId="4E5F1845" w14:textId="022417CE" w:rsidR="00A31C95" w:rsidRPr="0000440F" w:rsidRDefault="00A31C95" w:rsidP="0000440F">
            <w:pPr>
              <w:rPr>
                <w:rFonts w:cstheme="minorHAnsi"/>
                <w:color w:val="000000" w:themeColor="text1"/>
                <w:sz w:val="20"/>
                <w:szCs w:val="20"/>
              </w:rPr>
            </w:pPr>
            <w:r w:rsidRPr="0000440F">
              <w:rPr>
                <w:rFonts w:cstheme="minorHAnsi"/>
                <w:color w:val="000000" w:themeColor="text1"/>
                <w:sz w:val="20"/>
                <w:szCs w:val="20"/>
              </w:rPr>
              <w:t>Of the active clients in the period examined, proportion that had a charge, conviction or administrative breach recorded</w:t>
            </w:r>
          </w:p>
          <w:p w14:paraId="3132FEDC" w14:textId="77777777" w:rsidR="00A31C95" w:rsidRPr="0000440F" w:rsidRDefault="00A31C95" w:rsidP="0000440F">
            <w:pPr>
              <w:rPr>
                <w:rFonts w:cstheme="minorHAnsi"/>
                <w:color w:val="000000" w:themeColor="text1"/>
                <w:sz w:val="20"/>
                <w:szCs w:val="20"/>
              </w:rPr>
            </w:pPr>
            <w:r w:rsidRPr="0000440F">
              <w:rPr>
                <w:rFonts w:cstheme="minorHAnsi"/>
                <w:color w:val="000000" w:themeColor="text1"/>
                <w:sz w:val="20"/>
                <w:szCs w:val="20"/>
              </w:rPr>
              <w:t>1 July 2020 – 31 December 2022</w:t>
            </w:r>
          </w:p>
        </w:tc>
        <w:tc>
          <w:tcPr>
            <w:tcW w:w="509" w:type="pct"/>
            <w:vAlign w:val="center"/>
          </w:tcPr>
          <w:p w14:paraId="0C681810"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28%</w:t>
            </w:r>
          </w:p>
        </w:tc>
        <w:tc>
          <w:tcPr>
            <w:tcW w:w="417" w:type="pct"/>
            <w:vAlign w:val="center"/>
          </w:tcPr>
          <w:p w14:paraId="106FE4FF"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25%</w:t>
            </w:r>
          </w:p>
        </w:tc>
        <w:tc>
          <w:tcPr>
            <w:tcW w:w="417" w:type="pct"/>
            <w:vAlign w:val="center"/>
          </w:tcPr>
          <w:p w14:paraId="2FB0D38B" w14:textId="57DAE2B8"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w:t>
            </w:r>
            <w:r w:rsidR="00E129EC" w:rsidRPr="0000440F">
              <w:rPr>
                <w:rFonts w:cstheme="minorHAnsi"/>
                <w:color w:val="000000" w:themeColor="text1"/>
                <w:sz w:val="20"/>
                <w:szCs w:val="20"/>
              </w:rPr>
              <w:t>0</w:t>
            </w:r>
            <w:r w:rsidRPr="0000440F">
              <w:rPr>
                <w:rFonts w:cstheme="minorHAnsi"/>
                <w:color w:val="000000" w:themeColor="text1"/>
                <w:sz w:val="20"/>
                <w:szCs w:val="20"/>
              </w:rPr>
              <w:t>%</w:t>
            </w:r>
          </w:p>
        </w:tc>
        <w:tc>
          <w:tcPr>
            <w:tcW w:w="505" w:type="pct"/>
            <w:vAlign w:val="center"/>
          </w:tcPr>
          <w:p w14:paraId="2DB04B39"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25%</w:t>
            </w:r>
          </w:p>
        </w:tc>
        <w:tc>
          <w:tcPr>
            <w:tcW w:w="450" w:type="pct"/>
            <w:vAlign w:val="center"/>
          </w:tcPr>
          <w:p w14:paraId="5F42875F"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24%</w:t>
            </w:r>
          </w:p>
        </w:tc>
        <w:tc>
          <w:tcPr>
            <w:tcW w:w="505" w:type="pct"/>
            <w:vAlign w:val="center"/>
          </w:tcPr>
          <w:p w14:paraId="16503429"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9%</w:t>
            </w:r>
          </w:p>
        </w:tc>
        <w:tc>
          <w:tcPr>
            <w:tcW w:w="543" w:type="pct"/>
            <w:vAlign w:val="center"/>
          </w:tcPr>
          <w:p w14:paraId="1DEDCAE9"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31%</w:t>
            </w:r>
          </w:p>
        </w:tc>
        <w:tc>
          <w:tcPr>
            <w:tcW w:w="545" w:type="pct"/>
            <w:vAlign w:val="center"/>
          </w:tcPr>
          <w:p w14:paraId="468E0118"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35%</w:t>
            </w:r>
          </w:p>
        </w:tc>
      </w:tr>
      <w:tr w:rsidR="0000440F" w:rsidRPr="0000440F" w14:paraId="6A345569" w14:textId="77777777" w:rsidTr="002751B7">
        <w:tc>
          <w:tcPr>
            <w:cnfStyle w:val="001000000000" w:firstRow="0" w:lastRow="0" w:firstColumn="1" w:lastColumn="0" w:oddVBand="0" w:evenVBand="0" w:oddHBand="0" w:evenHBand="0" w:firstRowFirstColumn="0" w:firstRowLastColumn="0" w:lastRowFirstColumn="0" w:lastRowLastColumn="0"/>
            <w:tcW w:w="1109" w:type="pct"/>
            <w:vAlign w:val="center"/>
          </w:tcPr>
          <w:p w14:paraId="7943CCA2" w14:textId="2FE061E8" w:rsidR="00A31C95" w:rsidRPr="0000440F" w:rsidRDefault="00A31C95" w:rsidP="0000440F">
            <w:pPr>
              <w:rPr>
                <w:rFonts w:cstheme="minorHAnsi"/>
                <w:color w:val="000000" w:themeColor="text1"/>
                <w:sz w:val="20"/>
                <w:szCs w:val="20"/>
              </w:rPr>
            </w:pPr>
            <w:r w:rsidRPr="0000440F">
              <w:rPr>
                <w:rFonts w:cstheme="minorHAnsi"/>
                <w:color w:val="000000" w:themeColor="text1"/>
                <w:sz w:val="20"/>
                <w:szCs w:val="20"/>
              </w:rPr>
              <w:t>Average proportion of Stage 1 to 6 clients who have been convicted or charged with a</w:t>
            </w:r>
            <w:r w:rsidR="00D907C3" w:rsidRPr="0000440F">
              <w:rPr>
                <w:rFonts w:cstheme="minorHAnsi"/>
                <w:color w:val="000000" w:themeColor="text1"/>
                <w:sz w:val="20"/>
                <w:szCs w:val="20"/>
              </w:rPr>
              <w:t xml:space="preserve"> </w:t>
            </w:r>
            <w:r w:rsidRPr="0000440F">
              <w:rPr>
                <w:rFonts w:cstheme="minorHAnsi"/>
                <w:color w:val="000000" w:themeColor="text1"/>
                <w:sz w:val="20"/>
                <w:szCs w:val="20"/>
              </w:rPr>
              <w:t>new criminal offence since imprisonment</w:t>
            </w:r>
          </w:p>
          <w:p w14:paraId="390E5950" w14:textId="77777777" w:rsidR="00A31C95" w:rsidRPr="0000440F" w:rsidRDefault="00A31C95" w:rsidP="0000440F">
            <w:pPr>
              <w:rPr>
                <w:rFonts w:cstheme="minorHAnsi"/>
                <w:color w:val="000000" w:themeColor="text1"/>
                <w:sz w:val="20"/>
                <w:szCs w:val="20"/>
              </w:rPr>
            </w:pPr>
            <w:r w:rsidRPr="0000440F">
              <w:rPr>
                <w:rFonts w:cstheme="minorHAnsi"/>
                <w:color w:val="000000" w:themeColor="text1"/>
                <w:sz w:val="20"/>
                <w:szCs w:val="20"/>
              </w:rPr>
              <w:t>1 July 2021 to 31 December 2022</w:t>
            </w:r>
          </w:p>
        </w:tc>
        <w:tc>
          <w:tcPr>
            <w:tcW w:w="509" w:type="pct"/>
            <w:vAlign w:val="center"/>
          </w:tcPr>
          <w:p w14:paraId="768532A4" w14:textId="44DD11BA"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82</w:t>
            </w:r>
            <w:r w:rsidR="00A31C95" w:rsidRPr="0000440F">
              <w:rPr>
                <w:rFonts w:cstheme="minorHAnsi"/>
                <w:color w:val="000000" w:themeColor="text1"/>
                <w:sz w:val="20"/>
                <w:szCs w:val="20"/>
              </w:rPr>
              <w:t>%</w:t>
            </w:r>
            <w:r w:rsidR="00B713CB">
              <w:rPr>
                <w:rStyle w:val="FootnoteReference"/>
                <w:rFonts w:cstheme="minorHAnsi"/>
                <w:color w:val="000000" w:themeColor="text1"/>
                <w:sz w:val="20"/>
                <w:szCs w:val="20"/>
              </w:rPr>
              <w:footnoteReference w:id="107"/>
            </w:r>
          </w:p>
        </w:tc>
        <w:tc>
          <w:tcPr>
            <w:tcW w:w="417" w:type="pct"/>
            <w:vAlign w:val="center"/>
          </w:tcPr>
          <w:p w14:paraId="6EF4C2F3" w14:textId="6CDA4A47"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33</w:t>
            </w:r>
            <w:r w:rsidR="00A31C95" w:rsidRPr="0000440F">
              <w:rPr>
                <w:rFonts w:cstheme="minorHAnsi"/>
                <w:color w:val="000000" w:themeColor="text1"/>
                <w:sz w:val="20"/>
                <w:szCs w:val="20"/>
              </w:rPr>
              <w:t>%</w:t>
            </w:r>
          </w:p>
        </w:tc>
        <w:tc>
          <w:tcPr>
            <w:tcW w:w="417" w:type="pct"/>
            <w:vAlign w:val="center"/>
          </w:tcPr>
          <w:p w14:paraId="3EE7CA68" w14:textId="2DC9F1B4"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43</w:t>
            </w:r>
            <w:r w:rsidR="00A31C95" w:rsidRPr="0000440F">
              <w:rPr>
                <w:rFonts w:cstheme="minorHAnsi"/>
                <w:color w:val="000000" w:themeColor="text1"/>
                <w:sz w:val="20"/>
                <w:szCs w:val="20"/>
              </w:rPr>
              <w:t>%</w:t>
            </w:r>
          </w:p>
        </w:tc>
        <w:tc>
          <w:tcPr>
            <w:tcW w:w="505" w:type="pct"/>
            <w:vAlign w:val="center"/>
          </w:tcPr>
          <w:p w14:paraId="5D4CC16F" w14:textId="272C7652"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41</w:t>
            </w:r>
            <w:r w:rsidR="00A31C95" w:rsidRPr="0000440F">
              <w:rPr>
                <w:rFonts w:cstheme="minorHAnsi"/>
                <w:color w:val="000000" w:themeColor="text1"/>
                <w:sz w:val="20"/>
                <w:szCs w:val="20"/>
              </w:rPr>
              <w:t>%</w:t>
            </w:r>
          </w:p>
        </w:tc>
        <w:tc>
          <w:tcPr>
            <w:tcW w:w="450" w:type="pct"/>
            <w:vAlign w:val="center"/>
          </w:tcPr>
          <w:p w14:paraId="64A5AE5E" w14:textId="4582E80F"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29</w:t>
            </w:r>
            <w:r w:rsidR="00A31C95" w:rsidRPr="0000440F">
              <w:rPr>
                <w:rFonts w:cstheme="minorHAnsi"/>
                <w:color w:val="000000" w:themeColor="text1"/>
                <w:sz w:val="20"/>
                <w:szCs w:val="20"/>
              </w:rPr>
              <w:t>%</w:t>
            </w:r>
          </w:p>
        </w:tc>
        <w:tc>
          <w:tcPr>
            <w:tcW w:w="505" w:type="pct"/>
            <w:vAlign w:val="center"/>
          </w:tcPr>
          <w:p w14:paraId="431F2D55" w14:textId="489A9CCF"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N</w:t>
            </w:r>
            <w:r w:rsidR="0000440F">
              <w:rPr>
                <w:rFonts w:cstheme="minorHAnsi"/>
                <w:color w:val="000000" w:themeColor="text1"/>
                <w:sz w:val="20"/>
                <w:szCs w:val="20"/>
              </w:rPr>
              <w:t>A</w:t>
            </w:r>
          </w:p>
        </w:tc>
        <w:tc>
          <w:tcPr>
            <w:tcW w:w="543" w:type="pct"/>
            <w:vAlign w:val="center"/>
          </w:tcPr>
          <w:p w14:paraId="1E1ADFE9" w14:textId="003E1C3A" w:rsidR="00A31C95" w:rsidRPr="0000440F" w:rsidRDefault="006D612F"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27</w:t>
            </w:r>
            <w:r w:rsidR="00A31C95" w:rsidRPr="0000440F">
              <w:rPr>
                <w:rFonts w:cstheme="minorHAnsi"/>
                <w:color w:val="000000" w:themeColor="text1"/>
                <w:sz w:val="20"/>
                <w:szCs w:val="20"/>
              </w:rPr>
              <w:t>%</w:t>
            </w:r>
          </w:p>
        </w:tc>
        <w:tc>
          <w:tcPr>
            <w:tcW w:w="545" w:type="pct"/>
            <w:vAlign w:val="center"/>
          </w:tcPr>
          <w:p w14:paraId="080CB2CF" w14:textId="08CB233F"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N</w:t>
            </w:r>
            <w:r w:rsidR="0000440F">
              <w:rPr>
                <w:rFonts w:cstheme="minorHAnsi"/>
                <w:color w:val="000000" w:themeColor="text1"/>
                <w:sz w:val="20"/>
                <w:szCs w:val="20"/>
              </w:rPr>
              <w:t>A</w:t>
            </w:r>
          </w:p>
        </w:tc>
      </w:tr>
      <w:tr w:rsidR="0000440F" w:rsidRPr="0000440F" w14:paraId="41772482" w14:textId="77777777" w:rsidTr="002751B7">
        <w:tc>
          <w:tcPr>
            <w:cnfStyle w:val="001000000000" w:firstRow="0" w:lastRow="0" w:firstColumn="1" w:lastColumn="0" w:oddVBand="0" w:evenVBand="0" w:oddHBand="0" w:evenHBand="0" w:firstRowFirstColumn="0" w:firstRowLastColumn="0" w:lastRowFirstColumn="0" w:lastRowLastColumn="0"/>
            <w:tcW w:w="1109" w:type="pct"/>
            <w:vAlign w:val="center"/>
          </w:tcPr>
          <w:p w14:paraId="0B7A7A06" w14:textId="701D4E63" w:rsidR="00D84170" w:rsidRPr="0000440F" w:rsidRDefault="00A31C95" w:rsidP="0000440F">
            <w:pPr>
              <w:rPr>
                <w:rFonts w:cstheme="minorHAnsi"/>
                <w:color w:val="000000" w:themeColor="text1"/>
                <w:sz w:val="20"/>
                <w:szCs w:val="20"/>
              </w:rPr>
            </w:pPr>
            <w:r w:rsidRPr="0000440F">
              <w:rPr>
                <w:rFonts w:cstheme="minorHAnsi"/>
                <w:color w:val="000000" w:themeColor="text1"/>
                <w:sz w:val="20"/>
                <w:szCs w:val="20"/>
              </w:rPr>
              <w:t>Average proportion of charges/</w:t>
            </w:r>
            <w:r w:rsidR="000D07A1">
              <w:rPr>
                <w:rFonts w:cstheme="minorHAnsi"/>
                <w:color w:val="000000" w:themeColor="text1"/>
                <w:sz w:val="20"/>
                <w:szCs w:val="20"/>
              </w:rPr>
              <w:t xml:space="preserve"> </w:t>
            </w:r>
            <w:r w:rsidRPr="0000440F">
              <w:rPr>
                <w:rFonts w:cstheme="minorHAnsi"/>
                <w:color w:val="000000" w:themeColor="text1"/>
                <w:sz w:val="20"/>
                <w:szCs w:val="20"/>
              </w:rPr>
              <w:t>convictions in the period that were of a less serious offence</w:t>
            </w:r>
          </w:p>
          <w:p w14:paraId="2733890F" w14:textId="77777777" w:rsidR="00A31C95" w:rsidRPr="0000440F" w:rsidRDefault="00A31C95" w:rsidP="0000440F">
            <w:pPr>
              <w:rPr>
                <w:rFonts w:cstheme="minorHAnsi"/>
                <w:color w:val="000000" w:themeColor="text1"/>
                <w:sz w:val="20"/>
                <w:szCs w:val="20"/>
              </w:rPr>
            </w:pPr>
            <w:r w:rsidRPr="0000440F">
              <w:rPr>
                <w:rFonts w:cstheme="minorHAnsi"/>
                <w:color w:val="000000" w:themeColor="text1"/>
                <w:sz w:val="20"/>
                <w:szCs w:val="20"/>
              </w:rPr>
              <w:t>1 July 2019-30 December 2022</w:t>
            </w:r>
          </w:p>
        </w:tc>
        <w:tc>
          <w:tcPr>
            <w:tcW w:w="509" w:type="pct"/>
            <w:vAlign w:val="center"/>
          </w:tcPr>
          <w:p w14:paraId="7F1DDD16"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64%</w:t>
            </w:r>
          </w:p>
        </w:tc>
        <w:tc>
          <w:tcPr>
            <w:tcW w:w="417" w:type="pct"/>
            <w:vAlign w:val="center"/>
          </w:tcPr>
          <w:p w14:paraId="37B790A0"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65%</w:t>
            </w:r>
          </w:p>
        </w:tc>
        <w:tc>
          <w:tcPr>
            <w:tcW w:w="417" w:type="pct"/>
            <w:vAlign w:val="center"/>
          </w:tcPr>
          <w:p w14:paraId="183418E1"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61%</w:t>
            </w:r>
          </w:p>
        </w:tc>
        <w:tc>
          <w:tcPr>
            <w:tcW w:w="505" w:type="pct"/>
            <w:vAlign w:val="center"/>
          </w:tcPr>
          <w:p w14:paraId="21AB1F8B" w14:textId="7DF76143"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N</w:t>
            </w:r>
            <w:r w:rsidR="0000440F">
              <w:rPr>
                <w:rFonts w:cstheme="minorHAnsi"/>
                <w:color w:val="000000" w:themeColor="text1"/>
                <w:sz w:val="20"/>
                <w:szCs w:val="20"/>
              </w:rPr>
              <w:t>A</w:t>
            </w:r>
          </w:p>
        </w:tc>
        <w:tc>
          <w:tcPr>
            <w:tcW w:w="450" w:type="pct"/>
            <w:vAlign w:val="center"/>
          </w:tcPr>
          <w:p w14:paraId="3CE5ECFD" w14:textId="7413E0C1" w:rsidR="00A31C95" w:rsidRPr="0000440F" w:rsidRDefault="00A31C95" w:rsidP="0000440F">
            <w:pPr>
              <w:tabs>
                <w:tab w:val="right" w:pos="613"/>
              </w:tabs>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86%</w:t>
            </w:r>
          </w:p>
        </w:tc>
        <w:tc>
          <w:tcPr>
            <w:tcW w:w="505" w:type="pct"/>
            <w:vAlign w:val="center"/>
          </w:tcPr>
          <w:p w14:paraId="5BC1896A" w14:textId="37AC8C8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74%</w:t>
            </w:r>
          </w:p>
        </w:tc>
        <w:tc>
          <w:tcPr>
            <w:tcW w:w="543" w:type="pct"/>
            <w:vAlign w:val="center"/>
          </w:tcPr>
          <w:p w14:paraId="2AC189BE" w14:textId="6E2BB6A5"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67%</w:t>
            </w:r>
          </w:p>
        </w:tc>
        <w:tc>
          <w:tcPr>
            <w:tcW w:w="545" w:type="pct"/>
            <w:vAlign w:val="center"/>
          </w:tcPr>
          <w:p w14:paraId="5DCDF685" w14:textId="77777777" w:rsidR="00A31C95" w:rsidRPr="0000440F" w:rsidRDefault="00A31C95" w:rsidP="0000440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0440F">
              <w:rPr>
                <w:rFonts w:cstheme="minorHAnsi"/>
                <w:color w:val="000000" w:themeColor="text1"/>
                <w:sz w:val="20"/>
                <w:szCs w:val="20"/>
              </w:rPr>
              <w:t>66%</w:t>
            </w:r>
          </w:p>
        </w:tc>
      </w:tr>
    </w:tbl>
    <w:p w14:paraId="6661372E" w14:textId="7B98C41E" w:rsidR="002751B7" w:rsidRDefault="002751B7" w:rsidP="002751B7">
      <w:pPr>
        <w:spacing w:before="120"/>
        <w:rPr>
          <w:rFonts w:cstheme="minorHAnsi"/>
          <w:color w:val="000000" w:themeColor="text1"/>
          <w:sz w:val="20"/>
          <w:szCs w:val="20"/>
        </w:rPr>
      </w:pPr>
      <w:r w:rsidRPr="002751B7">
        <w:rPr>
          <w:rFonts w:cstheme="minorHAnsi"/>
          <w:b/>
          <w:color w:val="000000" w:themeColor="text1"/>
          <w:sz w:val="20"/>
          <w:szCs w:val="20"/>
        </w:rPr>
        <w:t>National Figures</w:t>
      </w:r>
      <w:r>
        <w:rPr>
          <w:rFonts w:cstheme="minorHAnsi"/>
          <w:b/>
          <w:color w:val="000000" w:themeColor="text1"/>
          <w:sz w:val="20"/>
          <w:szCs w:val="20"/>
        </w:rPr>
        <w:t xml:space="preserve">: </w:t>
      </w:r>
      <w:r w:rsidRPr="0000440F">
        <w:rPr>
          <w:rFonts w:cstheme="minorHAnsi"/>
          <w:color w:val="000000" w:themeColor="text1"/>
          <w:sz w:val="20"/>
          <w:szCs w:val="20"/>
        </w:rPr>
        <w:t>Adult offenders released from prison who returned to prison or corrective services within two years of release</w:t>
      </w:r>
      <w:r>
        <w:rPr>
          <w:rFonts w:cstheme="minorHAnsi"/>
          <w:color w:val="000000" w:themeColor="text1"/>
          <w:sz w:val="20"/>
          <w:szCs w:val="20"/>
        </w:rPr>
        <w:t xml:space="preserve"> </w:t>
      </w:r>
      <w:r w:rsidRPr="0000440F">
        <w:rPr>
          <w:rFonts w:cstheme="minorHAnsi"/>
          <w:color w:val="000000" w:themeColor="text1"/>
          <w:sz w:val="20"/>
          <w:szCs w:val="20"/>
        </w:rPr>
        <w:t>2020-21</w:t>
      </w:r>
      <w:r w:rsidRPr="0000440F">
        <w:rPr>
          <w:rFonts w:cstheme="minorHAnsi"/>
          <w:color w:val="000000" w:themeColor="text1"/>
          <w:sz w:val="20"/>
          <w:szCs w:val="20"/>
          <w:vertAlign w:val="superscript"/>
        </w:rPr>
        <w:footnoteReference w:id="108"/>
      </w:r>
      <w:r w:rsidR="008A2436">
        <w:rPr>
          <w:rFonts w:cstheme="minorHAnsi"/>
          <w:color w:val="000000" w:themeColor="text1"/>
          <w:sz w:val="20"/>
          <w:szCs w:val="20"/>
        </w:rPr>
        <w:t xml:space="preserve"> are:</w:t>
      </w:r>
    </w:p>
    <w:p w14:paraId="1D79EC5E" w14:textId="65986133" w:rsidR="008A2436" w:rsidRPr="008A2436" w:rsidRDefault="008A2436" w:rsidP="008A2436">
      <w:pPr>
        <w:pStyle w:val="ListParagraph"/>
        <w:numPr>
          <w:ilvl w:val="0"/>
          <w:numId w:val="74"/>
        </w:numPr>
        <w:spacing w:before="120"/>
        <w:rPr>
          <w:rFonts w:cstheme="minorHAnsi"/>
          <w:color w:val="000000" w:themeColor="text1"/>
          <w:sz w:val="20"/>
          <w:szCs w:val="20"/>
        </w:rPr>
      </w:pPr>
      <w:r w:rsidRPr="008A2436">
        <w:rPr>
          <w:rFonts w:cstheme="minorHAnsi"/>
          <w:color w:val="000000" w:themeColor="text1"/>
          <w:sz w:val="20"/>
          <w:szCs w:val="20"/>
        </w:rPr>
        <w:t>57 percent of adults released from prison, returned to prison within two years.</w:t>
      </w:r>
    </w:p>
    <w:p w14:paraId="21D5D3CC" w14:textId="5CB64416" w:rsidR="008A2436" w:rsidRPr="008A2436" w:rsidRDefault="008A2436" w:rsidP="008A2436">
      <w:pPr>
        <w:pStyle w:val="ListParagraph"/>
        <w:numPr>
          <w:ilvl w:val="0"/>
          <w:numId w:val="74"/>
        </w:numPr>
        <w:spacing w:before="120"/>
        <w:rPr>
          <w:b/>
        </w:rPr>
      </w:pPr>
      <w:r w:rsidRPr="008A2436">
        <w:rPr>
          <w:rFonts w:cstheme="minorHAnsi"/>
          <w:color w:val="000000" w:themeColor="text1"/>
          <w:sz w:val="20"/>
          <w:szCs w:val="20"/>
        </w:rPr>
        <w:t>64 per cent of adults released from prison, returned to community corrections within two years.</w:t>
      </w:r>
    </w:p>
    <w:p w14:paraId="44E1300F" w14:textId="77777777" w:rsidR="006D612F" w:rsidRDefault="006D612F" w:rsidP="006D612F">
      <w:pPr>
        <w:rPr>
          <w:lang w:val="en-MY" w:eastAsia="en-AU"/>
        </w:rPr>
      </w:pPr>
    </w:p>
    <w:p w14:paraId="5B7A2B6E" w14:textId="70163775" w:rsidR="00F3309B" w:rsidRDefault="00F3309B" w:rsidP="00F3309B">
      <w:pPr>
        <w:jc w:val="both"/>
        <w:rPr>
          <w:rFonts w:cstheme="minorHAnsi"/>
          <w:lang w:val="en-MY" w:eastAsia="en-AU"/>
        </w:rPr>
      </w:pPr>
      <w:r>
        <w:rPr>
          <w:rFonts w:cstheme="minorHAnsi"/>
          <w:lang w:val="en-MY" w:eastAsia="en-AU"/>
        </w:rPr>
        <w:t xml:space="preserve">As shown in the table above, the proportion of adult clients ‘that had a charge, conviction or administrative breach’ averaged 25 percent across the program. Given the strict rules that typically apply around parole orders, and based on consultations with corrective services staff, this figure appears to be relatively low. Noting this outcome is ‘core business’ for services (given the high proportion of clients anecdotally known to be working through parole orders) the result may also be somewhat undercounted, since defaults are only recorded when they become known to the relevant authority. </w:t>
      </w:r>
    </w:p>
    <w:p w14:paraId="78E10774" w14:textId="05A04AB9" w:rsidR="00F3309B" w:rsidRDefault="00F3309B" w:rsidP="00F3309B">
      <w:pPr>
        <w:jc w:val="both"/>
        <w:rPr>
          <w:rFonts w:cstheme="minorHAnsi"/>
          <w:lang w:val="en-MY" w:eastAsia="en-AU"/>
        </w:rPr>
      </w:pPr>
      <w:r>
        <w:rPr>
          <w:rFonts w:cstheme="minorHAnsi"/>
          <w:lang w:val="en-MY" w:eastAsia="en-AU"/>
        </w:rPr>
        <w:t>Data around the proportion of clients ‘</w:t>
      </w:r>
      <w:r w:rsidRPr="001C1754">
        <w:rPr>
          <w:rFonts w:cstheme="minorHAnsi"/>
          <w:lang w:val="en-MY" w:eastAsia="en-AU"/>
        </w:rPr>
        <w:t>who have been convicted or charged with a new criminal offence</w:t>
      </w:r>
      <w:r>
        <w:rPr>
          <w:rFonts w:cstheme="minorHAnsi"/>
          <w:lang w:val="en-MY" w:eastAsia="en-AU"/>
        </w:rPr>
        <w:t xml:space="preserve">’, which averages 43 percent across the ATC program, also compares well as a proxy for nationally reported recidivism rates, with Productivity Commission data for </w:t>
      </w:r>
      <w:r w:rsidRPr="00F65738">
        <w:rPr>
          <w:rFonts w:cstheme="minorHAnsi"/>
          <w:lang w:val="en-MY" w:eastAsia="en-AU"/>
        </w:rPr>
        <w:t>2020-21 show</w:t>
      </w:r>
      <w:r>
        <w:rPr>
          <w:rFonts w:cstheme="minorHAnsi"/>
          <w:lang w:val="en-MY" w:eastAsia="en-AU"/>
        </w:rPr>
        <w:t xml:space="preserve">ing </w:t>
      </w:r>
      <w:r w:rsidRPr="00F65738">
        <w:rPr>
          <w:rFonts w:cstheme="minorHAnsi"/>
          <w:lang w:val="en-MY" w:eastAsia="en-AU"/>
        </w:rPr>
        <w:t>that 57 percent of Aboriginal and Torres Strait Islander adults released from prison returned to prison within 2 years, while 64 percent returned to corrective services.</w:t>
      </w:r>
      <w:r>
        <w:rPr>
          <w:rStyle w:val="FootnoteReference"/>
          <w:rFonts w:cstheme="minorHAnsi"/>
          <w:lang w:val="en-MY" w:eastAsia="en-AU"/>
        </w:rPr>
        <w:footnoteReference w:id="109"/>
      </w:r>
      <w:r w:rsidRPr="00F65738">
        <w:rPr>
          <w:rFonts w:cstheme="minorHAnsi"/>
          <w:lang w:val="en-MY" w:eastAsia="en-AU"/>
        </w:rPr>
        <w:t xml:space="preserve"> </w:t>
      </w:r>
      <w:r>
        <w:rPr>
          <w:rFonts w:cstheme="minorHAnsi"/>
          <w:lang w:val="en-MY" w:eastAsia="en-AU"/>
        </w:rPr>
        <w:t xml:space="preserve">Although not a direct comparison of like for like data sets, this result implies a 14 percentage point uplift in outcomes above the scenario of no treatment. </w:t>
      </w:r>
    </w:p>
    <w:p w14:paraId="6BE7EDF1" w14:textId="77777777" w:rsidR="00F3309B" w:rsidRDefault="00F3309B" w:rsidP="00F3309B">
      <w:pPr>
        <w:jc w:val="both"/>
        <w:rPr>
          <w:rFonts w:cstheme="minorHAnsi"/>
          <w:lang w:val="en-MY" w:eastAsia="en-AU"/>
        </w:rPr>
      </w:pPr>
    </w:p>
    <w:p w14:paraId="3BA019AE" w14:textId="77777777" w:rsidR="00F3309B" w:rsidRDefault="00F3309B" w:rsidP="00F3309B">
      <w:pPr>
        <w:jc w:val="both"/>
        <w:rPr>
          <w:rFonts w:cstheme="minorHAnsi"/>
          <w:lang w:val="en-MY" w:eastAsia="en-AU"/>
        </w:rPr>
      </w:pPr>
      <w:r>
        <w:rPr>
          <w:rFonts w:cstheme="minorHAnsi"/>
          <w:lang w:val="en-MY" w:eastAsia="en-AU"/>
        </w:rPr>
        <w:t xml:space="preserve">Also encouraging, but nevertheless somewhat ambiguous, are outcomes relating to the severity of the offence, for which on average across the program, 69 percent of the offences committed were </w:t>
      </w:r>
      <w:r w:rsidRPr="001C1754">
        <w:rPr>
          <w:rFonts w:cstheme="minorHAnsi"/>
          <w:lang w:val="en-MY" w:eastAsia="en-AU"/>
        </w:rPr>
        <w:t xml:space="preserve">of a less serious </w:t>
      </w:r>
      <w:r>
        <w:rPr>
          <w:rFonts w:cstheme="minorHAnsi"/>
          <w:lang w:val="en-MY" w:eastAsia="en-AU"/>
        </w:rPr>
        <w:t>type than the client’s original offence. It is not clear from this data, however, whether the cumulative number of offences for a given offender are recorded, and as with the previous indicator, defaults are only recorded when they become known to the relevant authority.</w:t>
      </w:r>
    </w:p>
    <w:p w14:paraId="46C4F096" w14:textId="77777777" w:rsidR="00F3309B" w:rsidRDefault="00F3309B" w:rsidP="00F65738">
      <w:pPr>
        <w:jc w:val="both"/>
        <w:rPr>
          <w:rFonts w:cstheme="minorHAnsi"/>
          <w:lang w:val="en-MY" w:eastAsia="en-AU"/>
        </w:rPr>
      </w:pPr>
    </w:p>
    <w:p w14:paraId="74B33B3B" w14:textId="6B5569B3" w:rsidR="008A076E" w:rsidRDefault="00FC369C" w:rsidP="00F65738">
      <w:pPr>
        <w:jc w:val="both"/>
        <w:rPr>
          <w:rFonts w:cstheme="minorHAnsi"/>
          <w:lang w:val="en-MY" w:eastAsia="en-AU"/>
        </w:rPr>
      </w:pPr>
      <w:r>
        <w:rPr>
          <w:rFonts w:cstheme="minorHAnsi"/>
          <w:lang w:val="en-MY" w:eastAsia="en-AU"/>
        </w:rPr>
        <w:t>Noting the same overall limitations</w:t>
      </w:r>
      <w:r w:rsidR="00636109">
        <w:rPr>
          <w:rFonts w:cstheme="minorHAnsi"/>
          <w:lang w:val="en-MY" w:eastAsia="en-AU"/>
        </w:rPr>
        <w:t xml:space="preserve"> with the available data</w:t>
      </w:r>
      <w:r w:rsidR="008A076E">
        <w:rPr>
          <w:rFonts w:cstheme="minorHAnsi"/>
          <w:lang w:val="en-MY" w:eastAsia="en-AU"/>
        </w:rPr>
        <w:t xml:space="preserve"> and the imperfect nature of these proxies</w:t>
      </w:r>
      <w:r>
        <w:rPr>
          <w:rFonts w:cstheme="minorHAnsi"/>
          <w:lang w:val="en-MY" w:eastAsia="en-AU"/>
        </w:rPr>
        <w:t>,</w:t>
      </w:r>
      <w:r>
        <w:rPr>
          <w:rStyle w:val="FootnoteReference"/>
          <w:rFonts w:cstheme="minorHAnsi"/>
          <w:lang w:val="en-MY" w:eastAsia="en-AU"/>
        </w:rPr>
        <w:footnoteReference w:id="110"/>
      </w:r>
      <w:r>
        <w:rPr>
          <w:rFonts w:cstheme="minorHAnsi"/>
          <w:lang w:val="en-MY" w:eastAsia="en-AU"/>
        </w:rPr>
        <w:t xml:space="preserve"> comparison can also be made between recidivism proxies for YTC clients </w:t>
      </w:r>
      <w:r w:rsidR="00636109">
        <w:rPr>
          <w:rFonts w:cstheme="minorHAnsi"/>
          <w:lang w:val="en-MY" w:eastAsia="en-AU"/>
        </w:rPr>
        <w:t xml:space="preserve">and </w:t>
      </w:r>
      <w:r>
        <w:rPr>
          <w:rFonts w:cstheme="minorHAnsi"/>
          <w:lang w:val="en-MY" w:eastAsia="en-AU"/>
        </w:rPr>
        <w:t xml:space="preserve">outcomes </w:t>
      </w:r>
      <w:r w:rsidR="00636109">
        <w:rPr>
          <w:rFonts w:cstheme="minorHAnsi"/>
          <w:lang w:val="en-MY" w:eastAsia="en-AU"/>
        </w:rPr>
        <w:t xml:space="preserve">reported </w:t>
      </w:r>
      <w:r>
        <w:rPr>
          <w:rFonts w:cstheme="minorHAnsi"/>
          <w:lang w:val="en-MY" w:eastAsia="en-AU"/>
        </w:rPr>
        <w:t xml:space="preserve">in national data sets </w:t>
      </w:r>
      <w:r w:rsidR="00636109">
        <w:rPr>
          <w:rFonts w:cstheme="minorHAnsi"/>
          <w:lang w:val="en-MY" w:eastAsia="en-AU"/>
        </w:rPr>
        <w:t xml:space="preserve">compiled </w:t>
      </w:r>
      <w:r>
        <w:rPr>
          <w:rFonts w:cstheme="minorHAnsi"/>
          <w:lang w:val="en-MY" w:eastAsia="en-AU"/>
        </w:rPr>
        <w:t xml:space="preserve">by the </w:t>
      </w:r>
      <w:r w:rsidRPr="00FC369C">
        <w:rPr>
          <w:rFonts w:cstheme="minorHAnsi"/>
          <w:lang w:val="en-MY" w:eastAsia="en-AU"/>
        </w:rPr>
        <w:t>AIHW.</w:t>
      </w:r>
      <w:r>
        <w:rPr>
          <w:rStyle w:val="FootnoteReference"/>
          <w:rFonts w:cstheme="minorHAnsi"/>
          <w:lang w:val="en-MY" w:eastAsia="en-AU"/>
        </w:rPr>
        <w:footnoteReference w:id="111"/>
      </w:r>
      <w:r w:rsidR="00636109">
        <w:rPr>
          <w:rFonts w:cstheme="minorHAnsi"/>
          <w:lang w:val="en-MY" w:eastAsia="en-AU"/>
        </w:rPr>
        <w:t xml:space="preserve"> These comparisons are overall, </w:t>
      </w:r>
      <w:r w:rsidR="006911BB">
        <w:rPr>
          <w:rFonts w:cstheme="minorHAnsi"/>
          <w:lang w:val="en-MY" w:eastAsia="en-AU"/>
        </w:rPr>
        <w:t xml:space="preserve">similarly favourable, albeit </w:t>
      </w:r>
      <w:r w:rsidR="00747648">
        <w:rPr>
          <w:rFonts w:cstheme="minorHAnsi"/>
          <w:lang w:val="en-MY" w:eastAsia="en-AU"/>
        </w:rPr>
        <w:t xml:space="preserve">with some exceptions, and are </w:t>
      </w:r>
      <w:r w:rsidR="006911BB">
        <w:rPr>
          <w:rFonts w:cstheme="minorHAnsi"/>
          <w:lang w:val="en-MY" w:eastAsia="en-AU"/>
        </w:rPr>
        <w:t>based on a smaller data set over a shorter period and subject to a</w:t>
      </w:r>
      <w:r w:rsidR="001E32F7">
        <w:rPr>
          <w:rFonts w:cstheme="minorHAnsi"/>
          <w:lang w:val="en-MY" w:eastAsia="en-AU"/>
        </w:rPr>
        <w:t xml:space="preserve"> greater degree of variance between</w:t>
      </w:r>
      <w:r w:rsidR="006911BB">
        <w:rPr>
          <w:rFonts w:cstheme="minorHAnsi"/>
          <w:lang w:val="en-MY" w:eastAsia="en-AU"/>
        </w:rPr>
        <w:t xml:space="preserve"> service providers</w:t>
      </w:r>
      <w:r w:rsidR="00636109">
        <w:rPr>
          <w:rFonts w:cstheme="minorHAnsi"/>
          <w:lang w:val="en-MY" w:eastAsia="en-AU"/>
        </w:rPr>
        <w:t xml:space="preserve">. </w:t>
      </w:r>
    </w:p>
    <w:p w14:paraId="25A60B3A" w14:textId="77777777" w:rsidR="008A076E" w:rsidRDefault="008A076E" w:rsidP="00F65738">
      <w:pPr>
        <w:jc w:val="both"/>
        <w:rPr>
          <w:rFonts w:cstheme="minorHAnsi"/>
          <w:lang w:val="en-MY" w:eastAsia="en-AU"/>
        </w:rPr>
      </w:pPr>
    </w:p>
    <w:p w14:paraId="0032DDBB" w14:textId="6B188F12" w:rsidR="008A076E" w:rsidRDefault="00F3309B" w:rsidP="00F65738">
      <w:pPr>
        <w:jc w:val="both"/>
        <w:rPr>
          <w:rFonts w:cstheme="minorHAnsi"/>
          <w:lang w:val="en-MY" w:eastAsia="en-AU"/>
        </w:rPr>
      </w:pPr>
      <w:r>
        <w:rPr>
          <w:rFonts w:cstheme="minorHAnsi"/>
          <w:lang w:val="en-MY" w:eastAsia="en-AU"/>
        </w:rPr>
        <w:t>As shown in the table below, t</w:t>
      </w:r>
      <w:r w:rsidR="001E32F7">
        <w:rPr>
          <w:rFonts w:cstheme="minorHAnsi"/>
          <w:lang w:val="en-MY" w:eastAsia="en-AU"/>
        </w:rPr>
        <w:t xml:space="preserve">he </w:t>
      </w:r>
      <w:r w:rsidR="001E32F7" w:rsidRPr="001E32F7">
        <w:rPr>
          <w:rFonts w:cstheme="minorHAnsi"/>
          <w:lang w:val="en-MY" w:eastAsia="en-AU"/>
        </w:rPr>
        <w:t xml:space="preserve">proportion </w:t>
      </w:r>
      <w:r w:rsidR="001E32F7">
        <w:rPr>
          <w:rFonts w:cstheme="minorHAnsi"/>
          <w:lang w:val="en-MY" w:eastAsia="en-AU"/>
        </w:rPr>
        <w:t xml:space="preserve">of active clients </w:t>
      </w:r>
      <w:r w:rsidR="008A076E">
        <w:rPr>
          <w:rFonts w:cstheme="minorHAnsi"/>
          <w:lang w:val="en-MY" w:eastAsia="en-AU"/>
        </w:rPr>
        <w:t>‘</w:t>
      </w:r>
      <w:r w:rsidR="001E32F7" w:rsidRPr="001E32F7">
        <w:rPr>
          <w:rFonts w:cstheme="minorHAnsi"/>
          <w:lang w:val="en-MY" w:eastAsia="en-AU"/>
        </w:rPr>
        <w:t>that had a charge, conviction or administrative breach recorded</w:t>
      </w:r>
      <w:r w:rsidR="008A076E">
        <w:rPr>
          <w:rFonts w:cstheme="minorHAnsi"/>
          <w:lang w:val="en-MY" w:eastAsia="en-AU"/>
        </w:rPr>
        <w:t>’</w:t>
      </w:r>
      <w:r w:rsidR="001E32F7">
        <w:rPr>
          <w:rFonts w:cstheme="minorHAnsi"/>
          <w:lang w:val="en-MY" w:eastAsia="en-AU"/>
        </w:rPr>
        <w:t xml:space="preserve">, for example, averages 45 percent, which compares favourably to the 57 percent and 80 percent of </w:t>
      </w:r>
      <w:r w:rsidR="001E32F7" w:rsidRPr="001E32F7">
        <w:rPr>
          <w:rFonts w:cstheme="minorHAnsi"/>
          <w:lang w:val="en-MY" w:eastAsia="en-AU"/>
        </w:rPr>
        <w:t xml:space="preserve">young people </w:t>
      </w:r>
      <w:r w:rsidR="001E32F7">
        <w:rPr>
          <w:rFonts w:cstheme="minorHAnsi"/>
          <w:lang w:val="en-MY" w:eastAsia="en-AU"/>
        </w:rPr>
        <w:t>in national figures</w:t>
      </w:r>
      <w:r w:rsidR="001E32F7" w:rsidRPr="001E32F7">
        <w:rPr>
          <w:rFonts w:cstheme="minorHAnsi"/>
          <w:lang w:val="en-MY" w:eastAsia="en-AU"/>
        </w:rPr>
        <w:t xml:space="preserve"> released from sentenced community-based supervision</w:t>
      </w:r>
      <w:r w:rsidR="001E32F7">
        <w:rPr>
          <w:rFonts w:cstheme="minorHAnsi"/>
          <w:lang w:val="en-MY" w:eastAsia="en-AU"/>
        </w:rPr>
        <w:t xml:space="preserve"> and sentenced detention</w:t>
      </w:r>
      <w:r w:rsidR="008A076E">
        <w:rPr>
          <w:rFonts w:cstheme="minorHAnsi"/>
          <w:lang w:val="en-MY" w:eastAsia="en-AU"/>
        </w:rPr>
        <w:t xml:space="preserve">, </w:t>
      </w:r>
      <w:r w:rsidR="001E32F7">
        <w:rPr>
          <w:rFonts w:cstheme="minorHAnsi"/>
          <w:lang w:val="en-MY" w:eastAsia="en-AU"/>
        </w:rPr>
        <w:t>respectivel</w:t>
      </w:r>
      <w:r w:rsidR="008A076E">
        <w:rPr>
          <w:rFonts w:cstheme="minorHAnsi"/>
          <w:lang w:val="en-MY" w:eastAsia="en-AU"/>
        </w:rPr>
        <w:t xml:space="preserve">y, who returned to </w:t>
      </w:r>
      <w:r w:rsidR="001E32F7" w:rsidRPr="001E32F7">
        <w:rPr>
          <w:rFonts w:cstheme="minorHAnsi"/>
          <w:lang w:val="en-MY" w:eastAsia="en-AU"/>
        </w:rPr>
        <w:t xml:space="preserve">sentenced supervision </w:t>
      </w:r>
      <w:r w:rsidR="008A076E">
        <w:rPr>
          <w:rFonts w:cstheme="minorHAnsi"/>
          <w:lang w:val="en-MY" w:eastAsia="en-AU"/>
        </w:rPr>
        <w:t xml:space="preserve">or detention </w:t>
      </w:r>
      <w:r w:rsidR="001E32F7" w:rsidRPr="001E32F7">
        <w:rPr>
          <w:rFonts w:cstheme="minorHAnsi"/>
          <w:lang w:val="en-MY" w:eastAsia="en-AU"/>
        </w:rPr>
        <w:t>within 12 months</w:t>
      </w:r>
      <w:r w:rsidR="008A076E">
        <w:rPr>
          <w:rFonts w:cstheme="minorHAnsi"/>
          <w:lang w:val="en-MY" w:eastAsia="en-AU"/>
        </w:rPr>
        <w:t>. This result, however, masks significant variance between service providers, with the figure of 77 percent reported for</w:t>
      </w:r>
      <w:r w:rsidR="00A23C75">
        <w:rPr>
          <w:rFonts w:cstheme="minorHAnsi"/>
          <w:lang w:val="en-MY" w:eastAsia="en-AU"/>
        </w:rPr>
        <w:t xml:space="preserve"> on service C</w:t>
      </w:r>
      <w:r w:rsidR="008A076E">
        <w:rPr>
          <w:rFonts w:cstheme="minorHAnsi"/>
          <w:lang w:val="en-MY" w:eastAsia="en-AU"/>
        </w:rPr>
        <w:t>little better than no treatment. The result for this indicator</w:t>
      </w:r>
      <w:r w:rsidR="00F43BF8">
        <w:rPr>
          <w:rFonts w:cstheme="minorHAnsi"/>
          <w:lang w:val="en-MY" w:eastAsia="en-AU"/>
        </w:rPr>
        <w:t>, averaging 45 percent,</w:t>
      </w:r>
      <w:r w:rsidR="008A076E">
        <w:rPr>
          <w:rFonts w:cstheme="minorHAnsi"/>
          <w:lang w:val="en-MY" w:eastAsia="en-AU"/>
        </w:rPr>
        <w:t xml:space="preserve"> is also marginally worse than the national rate of 41 percent of Indigenous </w:t>
      </w:r>
      <w:r w:rsidR="008A076E" w:rsidRPr="008A076E">
        <w:rPr>
          <w:rFonts w:cstheme="minorHAnsi"/>
          <w:lang w:val="en-MY" w:eastAsia="en-AU"/>
        </w:rPr>
        <w:t xml:space="preserve">young people </w:t>
      </w:r>
      <w:r w:rsidR="008A076E">
        <w:rPr>
          <w:rFonts w:cstheme="minorHAnsi"/>
          <w:lang w:val="en-MY" w:eastAsia="en-AU"/>
        </w:rPr>
        <w:t>‘</w:t>
      </w:r>
      <w:r w:rsidR="008A076E" w:rsidRPr="008A076E">
        <w:rPr>
          <w:rFonts w:cstheme="minorHAnsi"/>
          <w:lang w:val="en-MY" w:eastAsia="en-AU"/>
        </w:rPr>
        <w:t xml:space="preserve">who were under sentenced youth justice supervision </w:t>
      </w:r>
      <w:r w:rsidR="008A076E">
        <w:rPr>
          <w:rFonts w:cstheme="minorHAnsi"/>
          <w:lang w:val="en-MY" w:eastAsia="en-AU"/>
        </w:rPr>
        <w:t xml:space="preserve">…and </w:t>
      </w:r>
      <w:r w:rsidR="008A076E" w:rsidRPr="008A076E">
        <w:rPr>
          <w:rFonts w:cstheme="minorHAnsi"/>
          <w:lang w:val="en-MY" w:eastAsia="en-AU"/>
        </w:rPr>
        <w:t>returned to sentenced supervision before turning 18</w:t>
      </w:r>
      <w:r w:rsidR="008A076E">
        <w:rPr>
          <w:rFonts w:cstheme="minorHAnsi"/>
          <w:lang w:val="en-MY" w:eastAsia="en-AU"/>
        </w:rPr>
        <w:t xml:space="preserve"> years’. </w:t>
      </w:r>
    </w:p>
    <w:p w14:paraId="137946B1" w14:textId="77777777" w:rsidR="008A076E" w:rsidRDefault="008A076E" w:rsidP="00F65738">
      <w:pPr>
        <w:jc w:val="both"/>
        <w:rPr>
          <w:rFonts w:cstheme="minorHAnsi"/>
          <w:lang w:val="en-MY" w:eastAsia="en-AU"/>
        </w:rPr>
      </w:pPr>
    </w:p>
    <w:p w14:paraId="3A765319" w14:textId="75073099" w:rsidR="008A076E" w:rsidRDefault="008A076E" w:rsidP="00F65738">
      <w:pPr>
        <w:jc w:val="both"/>
        <w:rPr>
          <w:rFonts w:cstheme="minorHAnsi"/>
          <w:lang w:val="en-MY" w:eastAsia="en-AU"/>
        </w:rPr>
      </w:pPr>
      <w:r>
        <w:rPr>
          <w:rFonts w:cstheme="minorHAnsi"/>
          <w:lang w:val="en-MY" w:eastAsia="en-AU"/>
        </w:rPr>
        <w:t xml:space="preserve">A similar argument can be made with respect to the proportion of </w:t>
      </w:r>
      <w:r w:rsidR="005E6C12">
        <w:rPr>
          <w:rFonts w:cstheme="minorHAnsi"/>
          <w:lang w:val="en-MY" w:eastAsia="en-AU"/>
        </w:rPr>
        <w:t xml:space="preserve">YTC </w:t>
      </w:r>
      <w:r>
        <w:rPr>
          <w:rFonts w:cstheme="minorHAnsi"/>
          <w:lang w:val="en-MY" w:eastAsia="en-AU"/>
        </w:rPr>
        <w:t xml:space="preserve">clients </w:t>
      </w:r>
      <w:r w:rsidR="005E6C12">
        <w:rPr>
          <w:rFonts w:cstheme="minorHAnsi"/>
          <w:lang w:val="en-MY" w:eastAsia="en-AU"/>
        </w:rPr>
        <w:t>‘</w:t>
      </w:r>
      <w:r w:rsidR="005E6C12" w:rsidRPr="005E6C12">
        <w:rPr>
          <w:rFonts w:cstheme="minorHAnsi"/>
          <w:lang w:val="en-MY" w:eastAsia="en-AU"/>
        </w:rPr>
        <w:t>who have been convicted or charged with a new criminal offence since imprisonment</w:t>
      </w:r>
      <w:r w:rsidR="005E6C12">
        <w:rPr>
          <w:rFonts w:cstheme="minorHAnsi"/>
          <w:lang w:val="en-MY" w:eastAsia="en-AU"/>
        </w:rPr>
        <w:t xml:space="preserve">’, with the average program rate of 34 percent being </w:t>
      </w:r>
      <w:r w:rsidR="006911BB">
        <w:rPr>
          <w:rFonts w:cstheme="minorHAnsi"/>
          <w:lang w:val="en-MY" w:eastAsia="en-AU"/>
        </w:rPr>
        <w:t xml:space="preserve">favourably </w:t>
      </w:r>
      <w:r w:rsidR="005E6C12">
        <w:rPr>
          <w:rFonts w:cstheme="minorHAnsi"/>
          <w:lang w:val="en-MY" w:eastAsia="en-AU"/>
        </w:rPr>
        <w:t>less than all comparable national figures</w:t>
      </w:r>
      <w:r w:rsidR="006911BB">
        <w:rPr>
          <w:rFonts w:cstheme="minorHAnsi"/>
          <w:lang w:val="en-MY" w:eastAsia="en-AU"/>
        </w:rPr>
        <w:t>,</w:t>
      </w:r>
      <w:r w:rsidR="005E6C12">
        <w:rPr>
          <w:rFonts w:cstheme="minorHAnsi"/>
          <w:lang w:val="en-MY" w:eastAsia="en-AU"/>
        </w:rPr>
        <w:t xml:space="preserve"> but at a rate of 53 percent, greater for one of the two providers with respect to national rates </w:t>
      </w:r>
      <w:r w:rsidR="00304E50">
        <w:rPr>
          <w:rFonts w:cstheme="minorHAnsi"/>
          <w:lang w:val="en-MY" w:eastAsia="en-AU"/>
        </w:rPr>
        <w:t xml:space="preserve">for </w:t>
      </w:r>
      <w:r w:rsidR="005E6C12" w:rsidRPr="005E6C12">
        <w:rPr>
          <w:rFonts w:cstheme="minorHAnsi"/>
          <w:lang w:val="en-MY" w:eastAsia="en-AU"/>
        </w:rPr>
        <w:t xml:space="preserve">young people </w:t>
      </w:r>
      <w:r w:rsidR="006911BB">
        <w:rPr>
          <w:rFonts w:cstheme="minorHAnsi"/>
          <w:lang w:val="en-MY" w:eastAsia="en-AU"/>
        </w:rPr>
        <w:t xml:space="preserve">‘who </w:t>
      </w:r>
      <w:r w:rsidR="005E6C12" w:rsidRPr="005E6C12">
        <w:rPr>
          <w:rFonts w:cstheme="minorHAnsi"/>
          <w:lang w:val="en-MY" w:eastAsia="en-AU"/>
        </w:rPr>
        <w:t>returned to sentenced supervision before turning 18 years</w:t>
      </w:r>
      <w:r w:rsidR="006911BB">
        <w:rPr>
          <w:rFonts w:cstheme="minorHAnsi"/>
          <w:lang w:val="en-MY" w:eastAsia="en-AU"/>
        </w:rPr>
        <w:t>’ for (41 percent).</w:t>
      </w:r>
    </w:p>
    <w:p w14:paraId="68BA0454" w14:textId="77777777" w:rsidR="00304E50" w:rsidRDefault="00304E50" w:rsidP="00F65738">
      <w:pPr>
        <w:jc w:val="both"/>
        <w:rPr>
          <w:rFonts w:cstheme="minorHAnsi"/>
          <w:lang w:val="en-MY" w:eastAsia="en-AU"/>
        </w:rPr>
      </w:pPr>
    </w:p>
    <w:p w14:paraId="60B7328C" w14:textId="77777777" w:rsidR="00F65738" w:rsidRPr="00F65738" w:rsidRDefault="00F65738" w:rsidP="00F65738">
      <w:pPr>
        <w:jc w:val="both"/>
        <w:rPr>
          <w:rFonts w:cstheme="minorHAnsi"/>
          <w:lang w:val="en-MY" w:eastAsia="en-AU"/>
        </w:rPr>
      </w:pPr>
    </w:p>
    <w:p w14:paraId="02BD6E35" w14:textId="77777777" w:rsidR="00876893" w:rsidRDefault="00876893">
      <w:pPr>
        <w:spacing w:after="200" w:line="276" w:lineRule="auto"/>
        <w:jc w:val="both"/>
        <w:rPr>
          <w:rFonts w:cstheme="minorHAnsi"/>
          <w:i/>
          <w:iCs/>
          <w:color w:val="1F497D" w:themeColor="text2"/>
          <w:sz w:val="20"/>
          <w:szCs w:val="20"/>
        </w:rPr>
      </w:pPr>
      <w:r>
        <w:rPr>
          <w:rFonts w:cstheme="minorHAnsi"/>
          <w:i/>
          <w:iCs/>
          <w:color w:val="1F497D" w:themeColor="text2"/>
          <w:sz w:val="20"/>
          <w:szCs w:val="20"/>
        </w:rPr>
        <w:br w:type="page"/>
      </w:r>
    </w:p>
    <w:p w14:paraId="6F1B000B" w14:textId="1AF9F875" w:rsidR="00F65738" w:rsidRDefault="00F65738" w:rsidP="00F65738">
      <w:pPr>
        <w:rPr>
          <w:rFonts w:cstheme="minorHAnsi"/>
          <w:i/>
          <w:iCs/>
          <w:color w:val="1F497D" w:themeColor="text2"/>
          <w:sz w:val="20"/>
          <w:szCs w:val="20"/>
        </w:rPr>
      </w:pPr>
      <w:r w:rsidRPr="0044232D">
        <w:rPr>
          <w:rFonts w:cstheme="minorHAnsi"/>
          <w:i/>
          <w:iCs/>
          <w:color w:val="1F497D" w:themeColor="text2"/>
          <w:sz w:val="20"/>
          <w:szCs w:val="20"/>
        </w:rPr>
        <w:t xml:space="preserve">Table 10 – Data Relating to Charges, Convictions, Administrative Breaches/Offences for </w:t>
      </w:r>
      <w:r w:rsidR="00F55D13">
        <w:rPr>
          <w:rFonts w:cstheme="minorHAnsi"/>
          <w:i/>
          <w:iCs/>
          <w:color w:val="1F497D" w:themeColor="text2"/>
          <w:sz w:val="20"/>
          <w:szCs w:val="20"/>
        </w:rPr>
        <w:t xml:space="preserve">YTC </w:t>
      </w:r>
      <w:r w:rsidRPr="0044232D">
        <w:rPr>
          <w:rFonts w:cstheme="minorHAnsi"/>
          <w:i/>
          <w:iCs/>
          <w:color w:val="1F497D" w:themeColor="text2"/>
          <w:sz w:val="20"/>
          <w:szCs w:val="20"/>
        </w:rPr>
        <w:t>Clients</w:t>
      </w:r>
    </w:p>
    <w:p w14:paraId="1EEA632E" w14:textId="77777777" w:rsidR="00224CB0" w:rsidRPr="00224CB0" w:rsidRDefault="00224CB0" w:rsidP="00F65738">
      <w:pPr>
        <w:rPr>
          <w:rFonts w:cstheme="minorHAnsi"/>
          <w:i/>
          <w:iCs/>
          <w:color w:val="1F497D" w:themeColor="text2"/>
          <w:sz w:val="20"/>
          <w:szCs w:val="20"/>
        </w:rPr>
      </w:pPr>
    </w:p>
    <w:tbl>
      <w:tblPr>
        <w:tblStyle w:val="GridTable1Light-Accent1"/>
        <w:tblW w:w="0" w:type="auto"/>
        <w:tblLook w:val="04A0" w:firstRow="1" w:lastRow="0" w:firstColumn="1" w:lastColumn="0" w:noHBand="0" w:noVBand="1"/>
        <w:tblCaption w:val="Table 10"/>
        <w:tblDescription w:val="The table provides data on youth through care clients:  % with a charge, % with conviction of administrative breaches, % convicted or changed with new criminal offence, recidivism rate by %,  and percentages on clients returned to sentenced supervision."/>
      </w:tblPr>
      <w:tblGrid>
        <w:gridCol w:w="3681"/>
        <w:gridCol w:w="1778"/>
        <w:gridCol w:w="1778"/>
        <w:gridCol w:w="1779"/>
      </w:tblGrid>
      <w:tr w:rsidR="00F65738" w:rsidRPr="00BC402F" w14:paraId="228652EE" w14:textId="77777777" w:rsidTr="00E50074">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79DDA85E" w14:textId="77777777" w:rsidR="00F65738" w:rsidRPr="00BC402F" w:rsidRDefault="00F65738" w:rsidP="00793605">
            <w:pPr>
              <w:pStyle w:val="Heading4"/>
              <w:ind w:hanging="1330"/>
            </w:pPr>
            <w:r w:rsidRPr="00BC402F">
              <w:t>Indicator</w:t>
            </w:r>
          </w:p>
        </w:tc>
        <w:tc>
          <w:tcPr>
            <w:tcW w:w="1778" w:type="dxa"/>
            <w:vAlign w:val="center"/>
            <w:hideMark/>
          </w:tcPr>
          <w:p w14:paraId="47912073" w14:textId="77777777" w:rsidR="00F65738" w:rsidRPr="00BC402F" w:rsidRDefault="00F65738" w:rsidP="00793605">
            <w:pPr>
              <w:pStyle w:val="Heading4"/>
              <w:ind w:hanging="1330"/>
              <w:cnfStyle w:val="100000000000" w:firstRow="1" w:lastRow="0" w:firstColumn="0" w:lastColumn="0" w:oddVBand="0" w:evenVBand="0" w:oddHBand="0" w:evenHBand="0" w:firstRowFirstColumn="0" w:firstRowLastColumn="0" w:lastRowFirstColumn="0" w:lastRowLastColumn="0"/>
            </w:pPr>
            <w:r w:rsidRPr="00BC402F">
              <w:t>ATSILS</w:t>
            </w:r>
          </w:p>
        </w:tc>
        <w:tc>
          <w:tcPr>
            <w:tcW w:w="1778" w:type="dxa"/>
            <w:vAlign w:val="center"/>
            <w:hideMark/>
          </w:tcPr>
          <w:p w14:paraId="2596B0D3" w14:textId="77777777" w:rsidR="00F65738" w:rsidRPr="00BC402F" w:rsidRDefault="00F65738" w:rsidP="00793605">
            <w:pPr>
              <w:pStyle w:val="Heading4"/>
              <w:ind w:hanging="1330"/>
              <w:cnfStyle w:val="100000000000" w:firstRow="1" w:lastRow="0" w:firstColumn="0" w:lastColumn="0" w:oddVBand="0" w:evenVBand="0" w:oddHBand="0" w:evenHBand="0" w:firstRowFirstColumn="0" w:firstRowLastColumn="0" w:lastRowFirstColumn="0" w:lastRowLastColumn="0"/>
            </w:pPr>
            <w:r w:rsidRPr="00BC402F">
              <w:t>NAAJA</w:t>
            </w:r>
          </w:p>
        </w:tc>
        <w:tc>
          <w:tcPr>
            <w:tcW w:w="1779" w:type="dxa"/>
            <w:vAlign w:val="center"/>
            <w:hideMark/>
          </w:tcPr>
          <w:p w14:paraId="210A4859" w14:textId="77777777" w:rsidR="00F65738" w:rsidRPr="00BC402F" w:rsidRDefault="00F65738" w:rsidP="00793605">
            <w:pPr>
              <w:pStyle w:val="Heading4"/>
              <w:ind w:hanging="1330"/>
              <w:cnfStyle w:val="100000000000" w:firstRow="1" w:lastRow="0" w:firstColumn="0" w:lastColumn="0" w:oddVBand="0" w:evenVBand="0" w:oddHBand="0" w:evenHBand="0" w:firstRowFirstColumn="0" w:firstRowLastColumn="0" w:lastRowFirstColumn="0" w:lastRowLastColumn="0"/>
            </w:pPr>
            <w:r w:rsidRPr="00BC402F">
              <w:t>VAACA</w:t>
            </w:r>
          </w:p>
        </w:tc>
      </w:tr>
      <w:tr w:rsidR="00F65738" w:rsidRPr="00BC402F" w14:paraId="69C4D9BA" w14:textId="77777777" w:rsidTr="00E50074">
        <w:trPr>
          <w:trHeight w:val="1259"/>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6282AB6" w14:textId="77777777" w:rsidR="00F65738" w:rsidRPr="00BC402F" w:rsidRDefault="00F65738" w:rsidP="00BC402F">
            <w:pPr>
              <w:rPr>
                <w:rFonts w:cstheme="minorHAnsi"/>
                <w:sz w:val="20"/>
                <w:szCs w:val="20"/>
              </w:rPr>
            </w:pPr>
            <w:r w:rsidRPr="00BC402F">
              <w:rPr>
                <w:rFonts w:cstheme="minorHAnsi"/>
                <w:sz w:val="20"/>
                <w:szCs w:val="20"/>
              </w:rPr>
              <w:t>Of the active clients in the period examined, proportion that had a charge, conviction or administrative breach recorded</w:t>
            </w:r>
          </w:p>
          <w:p w14:paraId="1DFB4F14" w14:textId="77777777" w:rsidR="00F65738" w:rsidRPr="00BC402F" w:rsidRDefault="00F65738" w:rsidP="00BC402F">
            <w:pPr>
              <w:rPr>
                <w:rFonts w:cstheme="minorHAnsi"/>
                <w:sz w:val="20"/>
                <w:szCs w:val="20"/>
              </w:rPr>
            </w:pPr>
            <w:r w:rsidRPr="00BC402F">
              <w:rPr>
                <w:rFonts w:cstheme="minorHAnsi"/>
                <w:sz w:val="20"/>
                <w:szCs w:val="20"/>
              </w:rPr>
              <w:t>1 January 2022 – 31 December 2022</w:t>
            </w:r>
          </w:p>
        </w:tc>
        <w:tc>
          <w:tcPr>
            <w:tcW w:w="1778" w:type="dxa"/>
            <w:vAlign w:val="center"/>
            <w:hideMark/>
          </w:tcPr>
          <w:p w14:paraId="4D156644"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77%</w:t>
            </w:r>
          </w:p>
        </w:tc>
        <w:tc>
          <w:tcPr>
            <w:tcW w:w="1778" w:type="dxa"/>
            <w:vAlign w:val="center"/>
            <w:hideMark/>
          </w:tcPr>
          <w:p w14:paraId="49011ACA"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12%</w:t>
            </w:r>
          </w:p>
        </w:tc>
        <w:tc>
          <w:tcPr>
            <w:tcW w:w="1779" w:type="dxa"/>
            <w:vAlign w:val="center"/>
            <w:hideMark/>
          </w:tcPr>
          <w:p w14:paraId="4A6D9A4A"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45%</w:t>
            </w:r>
          </w:p>
        </w:tc>
      </w:tr>
      <w:tr w:rsidR="00F65738" w:rsidRPr="00BC402F" w14:paraId="7CA669C6" w14:textId="77777777" w:rsidTr="00E50074">
        <w:tc>
          <w:tcPr>
            <w:cnfStyle w:val="001000000000" w:firstRow="0" w:lastRow="0" w:firstColumn="1" w:lastColumn="0" w:oddVBand="0" w:evenVBand="0" w:oddHBand="0" w:evenHBand="0" w:firstRowFirstColumn="0" w:firstRowLastColumn="0" w:lastRowFirstColumn="0" w:lastRowLastColumn="0"/>
            <w:tcW w:w="3681" w:type="dxa"/>
            <w:vAlign w:val="center"/>
          </w:tcPr>
          <w:p w14:paraId="3FE1B466" w14:textId="1A8DA746" w:rsidR="00F65738" w:rsidRPr="00BC402F" w:rsidRDefault="00F65738" w:rsidP="00BC402F">
            <w:pPr>
              <w:rPr>
                <w:rFonts w:cstheme="minorHAnsi"/>
                <w:sz w:val="20"/>
                <w:szCs w:val="20"/>
              </w:rPr>
            </w:pPr>
            <w:r w:rsidRPr="00BC402F">
              <w:rPr>
                <w:rFonts w:cstheme="minorHAnsi"/>
                <w:sz w:val="20"/>
                <w:szCs w:val="20"/>
              </w:rPr>
              <w:t>Average proportion of Stage 1 to 6 clients who have been convicted or charged with a</w:t>
            </w:r>
            <w:r w:rsidR="008A076E">
              <w:rPr>
                <w:rFonts w:cstheme="minorHAnsi"/>
                <w:sz w:val="20"/>
                <w:szCs w:val="20"/>
              </w:rPr>
              <w:t xml:space="preserve"> </w:t>
            </w:r>
            <w:r w:rsidRPr="00BC402F">
              <w:rPr>
                <w:rFonts w:cstheme="minorHAnsi"/>
                <w:sz w:val="20"/>
                <w:szCs w:val="20"/>
              </w:rPr>
              <w:t>new criminal offence since imprisonment</w:t>
            </w:r>
          </w:p>
          <w:p w14:paraId="50D2823F" w14:textId="77777777" w:rsidR="00F65738" w:rsidRPr="00BC402F" w:rsidRDefault="00F65738" w:rsidP="00BC402F">
            <w:pPr>
              <w:rPr>
                <w:rFonts w:cstheme="minorHAnsi"/>
                <w:sz w:val="20"/>
                <w:szCs w:val="20"/>
              </w:rPr>
            </w:pPr>
            <w:r w:rsidRPr="00BC402F">
              <w:rPr>
                <w:rFonts w:cstheme="minorHAnsi"/>
                <w:sz w:val="20"/>
                <w:szCs w:val="20"/>
              </w:rPr>
              <w:t>1 July 2021 to 31 December 2022</w:t>
            </w:r>
          </w:p>
        </w:tc>
        <w:tc>
          <w:tcPr>
            <w:tcW w:w="1778" w:type="dxa"/>
            <w:vAlign w:val="center"/>
            <w:hideMark/>
          </w:tcPr>
          <w:p w14:paraId="36DB98E2" w14:textId="4B282A82"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N</w:t>
            </w:r>
            <w:r w:rsidR="00BC402F">
              <w:rPr>
                <w:rFonts w:cstheme="minorHAnsi"/>
                <w:sz w:val="20"/>
                <w:szCs w:val="20"/>
              </w:rPr>
              <w:t>A</w:t>
            </w:r>
          </w:p>
        </w:tc>
        <w:tc>
          <w:tcPr>
            <w:tcW w:w="1778" w:type="dxa"/>
            <w:vAlign w:val="center"/>
            <w:hideMark/>
          </w:tcPr>
          <w:p w14:paraId="2184E275" w14:textId="6239D916" w:rsidR="00F65738" w:rsidRPr="00BC402F" w:rsidRDefault="008A076E"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14</w:t>
            </w:r>
            <w:r w:rsidR="00BC402F">
              <w:rPr>
                <w:rFonts w:cstheme="minorHAnsi"/>
                <w:sz w:val="20"/>
                <w:szCs w:val="20"/>
              </w:rPr>
              <w:t>%</w:t>
            </w:r>
          </w:p>
        </w:tc>
        <w:tc>
          <w:tcPr>
            <w:tcW w:w="1779" w:type="dxa"/>
            <w:vAlign w:val="center"/>
            <w:hideMark/>
          </w:tcPr>
          <w:p w14:paraId="01F05981" w14:textId="459DD1E4" w:rsidR="00F65738" w:rsidRPr="00BC402F" w:rsidRDefault="008A076E"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53</w:t>
            </w:r>
            <w:r w:rsidR="00F65738" w:rsidRPr="00BC402F">
              <w:rPr>
                <w:rFonts w:cstheme="minorHAnsi"/>
                <w:sz w:val="20"/>
                <w:szCs w:val="20"/>
              </w:rPr>
              <w:t>%</w:t>
            </w:r>
          </w:p>
        </w:tc>
      </w:tr>
      <w:tr w:rsidR="00F65738" w:rsidRPr="00BC402F" w14:paraId="11D1DE4C" w14:textId="77777777" w:rsidTr="00E50074">
        <w:trPr>
          <w:trHeight w:val="522"/>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734CED0" w14:textId="77777777" w:rsidR="00F65738" w:rsidRPr="00BC402F" w:rsidRDefault="00F65738" w:rsidP="00BC402F">
            <w:pPr>
              <w:rPr>
                <w:rFonts w:cstheme="minorHAnsi"/>
                <w:sz w:val="20"/>
                <w:szCs w:val="20"/>
              </w:rPr>
            </w:pPr>
            <w:r w:rsidRPr="00BC402F">
              <w:rPr>
                <w:rFonts w:cstheme="minorHAnsi"/>
                <w:sz w:val="20"/>
                <w:szCs w:val="20"/>
              </w:rPr>
              <w:t>Trial site recidivism rate</w:t>
            </w:r>
          </w:p>
          <w:p w14:paraId="5FEED1F5" w14:textId="77777777" w:rsidR="00F65738" w:rsidRPr="00BC402F" w:rsidRDefault="00F65738" w:rsidP="00BC402F">
            <w:pPr>
              <w:rPr>
                <w:rFonts w:cstheme="minorHAnsi"/>
                <w:sz w:val="20"/>
                <w:szCs w:val="20"/>
              </w:rPr>
            </w:pPr>
            <w:r w:rsidRPr="00BC402F">
              <w:rPr>
                <w:rFonts w:cstheme="minorHAnsi"/>
                <w:sz w:val="20"/>
                <w:szCs w:val="20"/>
              </w:rPr>
              <w:t>January 2020 to June 2021</w:t>
            </w:r>
            <w:r w:rsidRPr="00BC402F">
              <w:rPr>
                <w:rFonts w:cstheme="minorHAnsi"/>
                <w:sz w:val="20"/>
                <w:szCs w:val="20"/>
                <w:vertAlign w:val="superscript"/>
              </w:rPr>
              <w:footnoteReference w:id="112"/>
            </w:r>
          </w:p>
        </w:tc>
        <w:tc>
          <w:tcPr>
            <w:tcW w:w="1778" w:type="dxa"/>
            <w:vAlign w:val="center"/>
            <w:hideMark/>
          </w:tcPr>
          <w:p w14:paraId="67F9A062"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46%</w:t>
            </w:r>
          </w:p>
        </w:tc>
        <w:tc>
          <w:tcPr>
            <w:tcW w:w="1778" w:type="dxa"/>
            <w:vAlign w:val="center"/>
            <w:hideMark/>
          </w:tcPr>
          <w:p w14:paraId="6E8ABD85"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50%</w:t>
            </w:r>
          </w:p>
        </w:tc>
        <w:tc>
          <w:tcPr>
            <w:tcW w:w="1779" w:type="dxa"/>
            <w:vAlign w:val="center"/>
            <w:hideMark/>
          </w:tcPr>
          <w:p w14:paraId="5B958310" w14:textId="7777777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38%</w:t>
            </w:r>
          </w:p>
        </w:tc>
      </w:tr>
    </w:tbl>
    <w:p w14:paraId="15B5471D" w14:textId="78045BE3" w:rsidR="002751B7" w:rsidRDefault="002751B7" w:rsidP="002751B7">
      <w:pPr>
        <w:spacing w:before="120"/>
        <w:rPr>
          <w:b/>
        </w:rPr>
      </w:pPr>
      <w:r w:rsidRPr="002751B7">
        <w:rPr>
          <w:b/>
        </w:rPr>
        <w:t>National Figures</w:t>
      </w:r>
    </w:p>
    <w:tbl>
      <w:tblPr>
        <w:tblStyle w:val="GridTable1Light-Accent1"/>
        <w:tblW w:w="0" w:type="auto"/>
        <w:tblLook w:val="04A0" w:firstRow="1" w:lastRow="0" w:firstColumn="1" w:lastColumn="0" w:noHBand="0" w:noVBand="1"/>
        <w:tblCaption w:val="Table 10"/>
        <w:tblDescription w:val="The table provides data on youth through care clients:  % with a charge, % with conviction of administrative breaches, % convicted or changed with new criminal offence, recidivism rate by %,  and percentages on clients returned to sentenced supervision."/>
      </w:tblPr>
      <w:tblGrid>
        <w:gridCol w:w="3681"/>
        <w:gridCol w:w="1778"/>
        <w:gridCol w:w="1778"/>
        <w:gridCol w:w="1779"/>
      </w:tblGrid>
      <w:tr w:rsidR="008A2436" w:rsidRPr="008A2436" w14:paraId="180EC50D" w14:textId="77777777" w:rsidTr="008A2436">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469C5D39" w14:textId="77777777" w:rsidR="008A2436" w:rsidRPr="008A2436" w:rsidRDefault="008A2436" w:rsidP="008A2436">
            <w:pPr>
              <w:pStyle w:val="Heading4"/>
              <w:ind w:left="0" w:firstLine="0"/>
            </w:pPr>
            <w:r w:rsidRPr="008A2436">
              <w:t>Indicator</w:t>
            </w:r>
          </w:p>
        </w:tc>
        <w:tc>
          <w:tcPr>
            <w:tcW w:w="1778" w:type="dxa"/>
            <w:vAlign w:val="center"/>
            <w:hideMark/>
          </w:tcPr>
          <w:p w14:paraId="77B13B7B" w14:textId="77777777" w:rsidR="008A2436" w:rsidRPr="008A2436" w:rsidRDefault="008A2436" w:rsidP="008A2436">
            <w:pPr>
              <w:pStyle w:val="Heading4"/>
              <w:ind w:left="0" w:firstLine="0"/>
              <w:cnfStyle w:val="100000000000" w:firstRow="1" w:lastRow="0" w:firstColumn="0" w:lastColumn="0" w:oddVBand="0" w:evenVBand="0" w:oddHBand="0" w:evenHBand="0" w:firstRowFirstColumn="0" w:firstRowLastColumn="0" w:lastRowFirstColumn="0" w:lastRowLastColumn="0"/>
            </w:pPr>
            <w:r w:rsidRPr="008A2436">
              <w:t>ATSILS</w:t>
            </w:r>
          </w:p>
        </w:tc>
        <w:tc>
          <w:tcPr>
            <w:tcW w:w="1778" w:type="dxa"/>
            <w:vAlign w:val="center"/>
            <w:hideMark/>
          </w:tcPr>
          <w:p w14:paraId="6543CD7A" w14:textId="77777777" w:rsidR="008A2436" w:rsidRPr="008A2436" w:rsidRDefault="008A2436" w:rsidP="008A2436">
            <w:pPr>
              <w:pStyle w:val="Heading4"/>
              <w:ind w:left="0" w:firstLine="0"/>
              <w:cnfStyle w:val="100000000000" w:firstRow="1" w:lastRow="0" w:firstColumn="0" w:lastColumn="0" w:oddVBand="0" w:evenVBand="0" w:oddHBand="0" w:evenHBand="0" w:firstRowFirstColumn="0" w:firstRowLastColumn="0" w:lastRowFirstColumn="0" w:lastRowLastColumn="0"/>
            </w:pPr>
            <w:r w:rsidRPr="008A2436">
              <w:t>NAAJA</w:t>
            </w:r>
          </w:p>
        </w:tc>
        <w:tc>
          <w:tcPr>
            <w:tcW w:w="1779" w:type="dxa"/>
            <w:vAlign w:val="center"/>
            <w:hideMark/>
          </w:tcPr>
          <w:p w14:paraId="752E9B75" w14:textId="77777777" w:rsidR="008A2436" w:rsidRPr="008A2436" w:rsidRDefault="008A2436" w:rsidP="008A2436">
            <w:pPr>
              <w:pStyle w:val="Heading4"/>
              <w:ind w:left="0" w:firstLine="0"/>
              <w:cnfStyle w:val="100000000000" w:firstRow="1" w:lastRow="0" w:firstColumn="0" w:lastColumn="0" w:oddVBand="0" w:evenVBand="0" w:oddHBand="0" w:evenHBand="0" w:firstRowFirstColumn="0" w:firstRowLastColumn="0" w:lastRowFirstColumn="0" w:lastRowLastColumn="0"/>
            </w:pPr>
            <w:r w:rsidRPr="008A2436">
              <w:t>VAACA</w:t>
            </w:r>
          </w:p>
        </w:tc>
      </w:tr>
      <w:tr w:rsidR="00F65738" w:rsidRPr="00BC402F" w14:paraId="0C233844" w14:textId="77777777" w:rsidTr="008A2436">
        <w:trPr>
          <w:trHeight w:val="413"/>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F05D98C" w14:textId="07ECB164" w:rsidR="00F65738" w:rsidRPr="00BC402F" w:rsidRDefault="00F65738" w:rsidP="00BC402F">
            <w:pPr>
              <w:rPr>
                <w:rFonts w:cstheme="minorHAnsi"/>
                <w:sz w:val="20"/>
                <w:szCs w:val="20"/>
              </w:rPr>
            </w:pPr>
            <w:r w:rsidRPr="00BC402F">
              <w:rPr>
                <w:rFonts w:cstheme="minorHAnsi"/>
                <w:sz w:val="20"/>
                <w:szCs w:val="20"/>
              </w:rPr>
              <w:t>Of young people aged 10 to 17 who were under sentenced youth justice supervision at some time between 2000–01 and 2018–19, what proportion returned to sentenced supervision before turning 18</w:t>
            </w:r>
            <w:r w:rsidR="008A076E">
              <w:rPr>
                <w:rFonts w:cstheme="minorHAnsi"/>
                <w:sz w:val="20"/>
                <w:szCs w:val="20"/>
              </w:rPr>
              <w:t xml:space="preserve"> years.</w:t>
            </w:r>
            <w:r w:rsidRPr="00BC402F">
              <w:rPr>
                <w:rFonts w:cstheme="minorHAnsi"/>
                <w:sz w:val="20"/>
                <w:szCs w:val="20"/>
                <w:vertAlign w:val="superscript"/>
              </w:rPr>
              <w:footnoteReference w:id="113"/>
            </w:r>
          </w:p>
        </w:tc>
        <w:tc>
          <w:tcPr>
            <w:tcW w:w="1778" w:type="dxa"/>
            <w:vAlign w:val="center"/>
            <w:hideMark/>
          </w:tcPr>
          <w:p w14:paraId="0E778DAE" w14:textId="47339DDD"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41%</w:t>
            </w:r>
          </w:p>
        </w:tc>
        <w:tc>
          <w:tcPr>
            <w:tcW w:w="1778" w:type="dxa"/>
            <w:vAlign w:val="center"/>
            <w:hideMark/>
          </w:tcPr>
          <w:p w14:paraId="1B82FA12" w14:textId="223C016D"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41%</w:t>
            </w:r>
          </w:p>
        </w:tc>
        <w:tc>
          <w:tcPr>
            <w:tcW w:w="1779" w:type="dxa"/>
            <w:vAlign w:val="center"/>
            <w:hideMark/>
          </w:tcPr>
          <w:p w14:paraId="0AC03E50" w14:textId="730F79C7" w:rsidR="00F65738" w:rsidRPr="00BC402F" w:rsidRDefault="00F65738" w:rsidP="00BC402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41%</w:t>
            </w:r>
          </w:p>
        </w:tc>
      </w:tr>
      <w:tr w:rsidR="00F65738" w:rsidRPr="00BC402F" w14:paraId="5422BF46" w14:textId="77777777" w:rsidTr="008A2436">
        <w:trPr>
          <w:trHeight w:val="67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807C4B6" w14:textId="7CC69549" w:rsidR="00F65738" w:rsidRPr="00BC402F" w:rsidRDefault="00F65738" w:rsidP="00BC402F">
            <w:pPr>
              <w:rPr>
                <w:rFonts w:cstheme="minorHAnsi"/>
                <w:sz w:val="20"/>
                <w:szCs w:val="20"/>
              </w:rPr>
            </w:pPr>
            <w:r w:rsidRPr="00BC402F">
              <w:rPr>
                <w:rFonts w:cstheme="minorHAnsi"/>
                <w:sz w:val="20"/>
                <w:szCs w:val="20"/>
              </w:rPr>
              <w:t>Of young people aged 10–16 in 2017–18 and released from sentenced community-based supervision, what proportion returned to sentenced supervision within 6 months and within 12 months.</w:t>
            </w:r>
            <w:r w:rsidR="00FC369C" w:rsidRPr="00BC402F">
              <w:rPr>
                <w:rFonts w:cstheme="minorHAnsi"/>
                <w:sz w:val="20"/>
                <w:szCs w:val="20"/>
                <w:vertAlign w:val="superscript"/>
              </w:rPr>
              <w:t xml:space="preserve"> </w:t>
            </w:r>
            <w:r w:rsidR="00FC369C" w:rsidRPr="00BC402F">
              <w:rPr>
                <w:rFonts w:cstheme="minorHAnsi"/>
                <w:sz w:val="20"/>
                <w:szCs w:val="20"/>
                <w:vertAlign w:val="superscript"/>
              </w:rPr>
              <w:footnoteReference w:id="114"/>
            </w:r>
            <w:r w:rsidRPr="00BC402F">
              <w:rPr>
                <w:rFonts w:cstheme="minorHAnsi"/>
                <w:sz w:val="20"/>
                <w:szCs w:val="20"/>
              </w:rPr>
              <w:t xml:space="preserve"> </w:t>
            </w:r>
          </w:p>
        </w:tc>
        <w:tc>
          <w:tcPr>
            <w:tcW w:w="1778" w:type="dxa"/>
            <w:vAlign w:val="center"/>
            <w:hideMark/>
          </w:tcPr>
          <w:p w14:paraId="4D1250F5"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40% within 6 months and 57% within 12 months</w:t>
            </w:r>
          </w:p>
        </w:tc>
        <w:tc>
          <w:tcPr>
            <w:tcW w:w="1778" w:type="dxa"/>
            <w:vAlign w:val="center"/>
            <w:hideMark/>
          </w:tcPr>
          <w:p w14:paraId="52B8B4D9"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40% within 6 months and 57% within 12 months</w:t>
            </w:r>
          </w:p>
        </w:tc>
        <w:tc>
          <w:tcPr>
            <w:tcW w:w="1779" w:type="dxa"/>
            <w:vAlign w:val="center"/>
            <w:hideMark/>
          </w:tcPr>
          <w:p w14:paraId="12FECD9D"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40% within 6 months and 57% within 12 months</w:t>
            </w:r>
          </w:p>
        </w:tc>
      </w:tr>
      <w:tr w:rsidR="00F65738" w:rsidRPr="00BC402F" w14:paraId="5F532A47" w14:textId="77777777" w:rsidTr="008A2436">
        <w:trPr>
          <w:trHeight w:val="674"/>
        </w:trPr>
        <w:tc>
          <w:tcPr>
            <w:cnfStyle w:val="001000000000" w:firstRow="0" w:lastRow="0" w:firstColumn="1" w:lastColumn="0" w:oddVBand="0" w:evenVBand="0" w:oddHBand="0" w:evenHBand="0" w:firstRowFirstColumn="0" w:firstRowLastColumn="0" w:lastRowFirstColumn="0" w:lastRowLastColumn="0"/>
            <w:tcW w:w="3681" w:type="dxa"/>
          </w:tcPr>
          <w:p w14:paraId="6A116197" w14:textId="6083BD98" w:rsidR="00F65738" w:rsidRPr="00BC402F" w:rsidRDefault="00F65738" w:rsidP="00FC369C">
            <w:pPr>
              <w:rPr>
                <w:rFonts w:cstheme="minorHAnsi"/>
                <w:sz w:val="20"/>
                <w:szCs w:val="20"/>
              </w:rPr>
            </w:pPr>
            <w:r w:rsidRPr="00BC402F">
              <w:rPr>
                <w:rFonts w:cstheme="minorHAnsi"/>
                <w:sz w:val="20"/>
                <w:szCs w:val="20"/>
              </w:rPr>
              <w:t>Of those released from sentenced detention, what proportion returned within 6 months and 12 months.</w:t>
            </w:r>
            <w:r w:rsidR="00FC369C" w:rsidRPr="00BC402F">
              <w:rPr>
                <w:rFonts w:cstheme="minorHAnsi"/>
                <w:sz w:val="20"/>
                <w:szCs w:val="20"/>
                <w:vertAlign w:val="superscript"/>
              </w:rPr>
              <w:t xml:space="preserve"> </w:t>
            </w:r>
            <w:r w:rsidR="00FC369C" w:rsidRPr="00BC402F">
              <w:rPr>
                <w:rFonts w:cstheme="minorHAnsi"/>
                <w:sz w:val="20"/>
                <w:szCs w:val="20"/>
                <w:vertAlign w:val="superscript"/>
              </w:rPr>
              <w:footnoteReference w:id="115"/>
            </w:r>
          </w:p>
        </w:tc>
        <w:tc>
          <w:tcPr>
            <w:tcW w:w="1778" w:type="dxa"/>
            <w:vAlign w:val="center"/>
            <w:hideMark/>
          </w:tcPr>
          <w:p w14:paraId="37D9D84A"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61% within 6 months, and 80% within 12 months</w:t>
            </w:r>
          </w:p>
        </w:tc>
        <w:tc>
          <w:tcPr>
            <w:tcW w:w="1778" w:type="dxa"/>
            <w:vAlign w:val="center"/>
            <w:hideMark/>
          </w:tcPr>
          <w:p w14:paraId="3B4B6114"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61% within 6 months, and 80% within 12 months</w:t>
            </w:r>
          </w:p>
        </w:tc>
        <w:tc>
          <w:tcPr>
            <w:tcW w:w="1779" w:type="dxa"/>
            <w:vAlign w:val="center"/>
            <w:hideMark/>
          </w:tcPr>
          <w:p w14:paraId="55D82012" w14:textId="77777777" w:rsidR="00F65738" w:rsidRPr="00BC402F" w:rsidRDefault="00F65738" w:rsidP="006361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402F">
              <w:rPr>
                <w:rFonts w:cstheme="minorHAnsi"/>
                <w:sz w:val="20"/>
                <w:szCs w:val="20"/>
              </w:rPr>
              <w:t>61% within 6 months, and 80% within 12 months</w:t>
            </w:r>
          </w:p>
        </w:tc>
      </w:tr>
    </w:tbl>
    <w:p w14:paraId="2938A018" w14:textId="77777777" w:rsidR="006D612F" w:rsidRPr="00F65738" w:rsidRDefault="006D612F" w:rsidP="00F65738">
      <w:pPr>
        <w:jc w:val="both"/>
        <w:rPr>
          <w:rFonts w:cstheme="minorHAnsi"/>
          <w:lang w:val="en-MY" w:eastAsia="en-AU"/>
        </w:rPr>
      </w:pPr>
    </w:p>
    <w:p w14:paraId="27680020" w14:textId="3839A898" w:rsidR="00604E5D" w:rsidRDefault="006D612F" w:rsidP="00876893">
      <w:pPr>
        <w:jc w:val="both"/>
        <w:rPr>
          <w:rFonts w:cstheme="minorHAnsi"/>
          <w:lang w:val="en-MY" w:eastAsia="en-AU"/>
        </w:rPr>
      </w:pPr>
      <w:r w:rsidRPr="0021594A">
        <w:rPr>
          <w:rFonts w:cstheme="minorHAnsi"/>
          <w:lang w:val="en-MY" w:eastAsia="en-AU"/>
        </w:rPr>
        <w:t xml:space="preserve">A further data set relating to the proportion of Stage 1 to 6 clients (adult and youth) who have a lower criminogenic need index score than at intake, has also been analysed, but given the absence of data from five of nine providers will not be presented here. The approach taken to reporting on this index was consistently criticised by service providers for being subjective and </w:t>
      </w:r>
      <w:r w:rsidR="0021594A" w:rsidRPr="0021594A">
        <w:rPr>
          <w:rFonts w:cstheme="minorHAnsi"/>
          <w:lang w:val="en-MY" w:eastAsia="en-AU"/>
        </w:rPr>
        <w:t>pejorative</w:t>
      </w:r>
      <w:r w:rsidRPr="0021594A">
        <w:rPr>
          <w:rFonts w:cstheme="minorHAnsi"/>
          <w:lang w:val="en-MY" w:eastAsia="en-AU"/>
        </w:rPr>
        <w:t xml:space="preserve">, and providers have either not submitted reports or else have inputted erroneous </w:t>
      </w:r>
      <w:r w:rsidR="0021594A" w:rsidRPr="0021594A">
        <w:rPr>
          <w:rFonts w:cstheme="minorHAnsi"/>
          <w:lang w:val="en-MY" w:eastAsia="en-AU"/>
        </w:rPr>
        <w:t xml:space="preserve">non-numeric </w:t>
      </w:r>
      <w:r w:rsidRPr="0021594A">
        <w:rPr>
          <w:rFonts w:cstheme="minorHAnsi"/>
          <w:lang w:val="en-MY" w:eastAsia="en-AU"/>
        </w:rPr>
        <w:t>data</w:t>
      </w:r>
      <w:r w:rsidR="0021594A" w:rsidRPr="0021594A">
        <w:rPr>
          <w:rFonts w:cstheme="minorHAnsi"/>
          <w:lang w:val="en-MY" w:eastAsia="en-AU"/>
        </w:rPr>
        <w:t>.</w:t>
      </w:r>
      <w:r w:rsidR="0021594A">
        <w:rPr>
          <w:rFonts w:cstheme="minorHAnsi"/>
          <w:lang w:val="en-MY" w:eastAsia="en-AU"/>
        </w:rPr>
        <w:t xml:space="preserve"> The spread of results provided ranged from 4 percent of clients who improved, to 64 percent.</w:t>
      </w:r>
    </w:p>
    <w:p w14:paraId="4A0AB7EA" w14:textId="77777777" w:rsidR="00024565" w:rsidRDefault="00024565" w:rsidP="00876893">
      <w:pPr>
        <w:jc w:val="both"/>
        <w:rPr>
          <w:rFonts w:cstheme="minorHAnsi"/>
          <w:lang w:val="en-MY" w:eastAsia="en-AU"/>
        </w:rPr>
      </w:pPr>
    </w:p>
    <w:p w14:paraId="2FAA66EA" w14:textId="77777777" w:rsidR="00024565" w:rsidRDefault="00024565" w:rsidP="00876893">
      <w:pPr>
        <w:jc w:val="both"/>
        <w:rPr>
          <w:rFonts w:cstheme="minorHAnsi"/>
          <w:lang w:val="en-MY" w:eastAsia="en-AU"/>
        </w:rPr>
      </w:pPr>
    </w:p>
    <w:p w14:paraId="17B121B9" w14:textId="77777777" w:rsidR="00024565" w:rsidRDefault="00024565" w:rsidP="00876893">
      <w:pPr>
        <w:jc w:val="both"/>
        <w:rPr>
          <w:rFonts w:cstheme="minorHAnsi"/>
          <w:lang w:val="en-MY" w:eastAsia="en-AU"/>
        </w:rPr>
      </w:pPr>
    </w:p>
    <w:p w14:paraId="3C3F15AA" w14:textId="77777777" w:rsidR="00024565" w:rsidRDefault="00024565" w:rsidP="00876893">
      <w:pPr>
        <w:jc w:val="both"/>
        <w:rPr>
          <w:rFonts w:cstheme="minorHAnsi"/>
          <w:lang w:val="en-MY" w:eastAsia="en-AU"/>
        </w:rPr>
      </w:pPr>
    </w:p>
    <w:p w14:paraId="15B10087" w14:textId="77777777" w:rsidR="00024565" w:rsidRDefault="00024565" w:rsidP="00876893">
      <w:pPr>
        <w:jc w:val="both"/>
        <w:rPr>
          <w:rFonts w:cstheme="minorHAnsi"/>
          <w:lang w:val="en-MY" w:eastAsia="en-AU"/>
        </w:rPr>
      </w:pPr>
    </w:p>
    <w:p w14:paraId="1CF50DFE" w14:textId="4D440FEB" w:rsidR="00123BF2" w:rsidRPr="00F673AF" w:rsidRDefault="00421CD3" w:rsidP="00B77817">
      <w:pPr>
        <w:pStyle w:val="Heading2"/>
        <w:numPr>
          <w:ilvl w:val="0"/>
          <w:numId w:val="33"/>
        </w:numPr>
        <w:rPr>
          <w:rFonts w:cstheme="minorHAnsi"/>
          <w:lang w:val="en-MY" w:eastAsia="en-AU"/>
        </w:rPr>
      </w:pPr>
      <w:bookmarkStart w:id="33" w:name="_Toc150784207"/>
      <w:r w:rsidRPr="00F673AF">
        <w:rPr>
          <w:rFonts w:cstheme="minorHAnsi"/>
          <w:lang w:val="en-MY" w:eastAsia="en-AU"/>
        </w:rPr>
        <w:t>Unintended Consequences</w:t>
      </w:r>
      <w:bookmarkEnd w:id="33"/>
    </w:p>
    <w:p w14:paraId="05031361" w14:textId="296328C9" w:rsidR="00473742" w:rsidRPr="00F673AF" w:rsidRDefault="00421CD3" w:rsidP="00F673AF">
      <w:pPr>
        <w:jc w:val="both"/>
        <w:rPr>
          <w:rFonts w:cstheme="minorHAnsi"/>
          <w:i/>
          <w:iCs/>
          <w:color w:val="4F81BD" w:themeColor="accent1"/>
          <w:lang w:val="en-MY" w:eastAsia="en-AU"/>
        </w:rPr>
      </w:pPr>
      <w:r w:rsidRPr="00F673AF">
        <w:rPr>
          <w:rFonts w:cstheme="minorHAnsi"/>
          <w:i/>
          <w:iCs/>
          <w:color w:val="4F81BD" w:themeColor="accent1"/>
          <w:lang w:val="en-MY" w:eastAsia="en-AU"/>
        </w:rPr>
        <w:t>Are there any unintended consequences associated with the delivery of the ATC and YTC Models?</w:t>
      </w:r>
    </w:p>
    <w:p w14:paraId="402FDA7D" w14:textId="77777777" w:rsidR="00F673AF" w:rsidRDefault="00F673AF" w:rsidP="00F673AF">
      <w:pPr>
        <w:jc w:val="both"/>
        <w:rPr>
          <w:rFonts w:cstheme="minorHAnsi"/>
          <w:lang w:val="en-MY" w:eastAsia="en-AU"/>
        </w:rPr>
      </w:pPr>
    </w:p>
    <w:p w14:paraId="71A16E51" w14:textId="3C76E093" w:rsidR="00F673AF" w:rsidRPr="00F673AF" w:rsidRDefault="00E15A28" w:rsidP="00F673AF">
      <w:pPr>
        <w:jc w:val="both"/>
        <w:rPr>
          <w:rFonts w:cstheme="minorHAnsi"/>
          <w:lang w:val="en-MY" w:eastAsia="en-AU"/>
        </w:rPr>
      </w:pPr>
      <w:r w:rsidRPr="00F673AF">
        <w:rPr>
          <w:rFonts w:cstheme="minorHAnsi"/>
          <w:lang w:val="en-MY" w:eastAsia="en-AU"/>
        </w:rPr>
        <w:t xml:space="preserve">Stakeholders </w:t>
      </w:r>
      <w:r w:rsidR="00F673AF">
        <w:rPr>
          <w:rFonts w:cstheme="minorHAnsi"/>
          <w:lang w:val="en-MY" w:eastAsia="en-AU"/>
        </w:rPr>
        <w:t xml:space="preserve">directly </w:t>
      </w:r>
      <w:r w:rsidRPr="00F673AF">
        <w:rPr>
          <w:rFonts w:cstheme="minorHAnsi"/>
          <w:lang w:val="en-MY" w:eastAsia="en-AU"/>
        </w:rPr>
        <w:t>reported few</w:t>
      </w:r>
      <w:r w:rsidR="00F673AF">
        <w:rPr>
          <w:rFonts w:cstheme="minorHAnsi"/>
          <w:lang w:val="en-MY" w:eastAsia="en-AU"/>
        </w:rPr>
        <w:t xml:space="preserve">, if any, </w:t>
      </w:r>
      <w:r w:rsidRPr="00F673AF">
        <w:rPr>
          <w:rFonts w:cstheme="minorHAnsi"/>
          <w:lang w:val="en-MY" w:eastAsia="en-AU"/>
        </w:rPr>
        <w:t xml:space="preserve">unintended consequences of program implementation, </w:t>
      </w:r>
      <w:r w:rsidR="00F673AF">
        <w:rPr>
          <w:rFonts w:cstheme="minorHAnsi"/>
          <w:lang w:val="en-MY" w:eastAsia="en-AU"/>
        </w:rPr>
        <w:t xml:space="preserve">with case workers and managers </w:t>
      </w:r>
      <w:r w:rsidRPr="00F673AF">
        <w:rPr>
          <w:rFonts w:cstheme="minorHAnsi"/>
          <w:lang w:val="en-MY" w:eastAsia="en-AU"/>
        </w:rPr>
        <w:t>suggesting that the client-centred nature of delivery meant that outcomes were necessarily intentional</w:t>
      </w:r>
      <w:r w:rsidR="001931A2">
        <w:rPr>
          <w:rFonts w:cstheme="minorHAnsi"/>
          <w:lang w:val="en-MY" w:eastAsia="en-AU"/>
        </w:rPr>
        <w:t xml:space="preserve"> (</w:t>
      </w:r>
      <w:r w:rsidR="00F673AF">
        <w:rPr>
          <w:rFonts w:cstheme="minorHAnsi"/>
          <w:lang w:val="en-MY" w:eastAsia="en-AU"/>
        </w:rPr>
        <w:t xml:space="preserve">while unanticipated events typically presented themselves as challenges or barriers to </w:t>
      </w:r>
      <w:r w:rsidR="001931A2">
        <w:rPr>
          <w:rFonts w:cstheme="minorHAnsi"/>
          <w:lang w:val="en-MY" w:eastAsia="en-AU"/>
        </w:rPr>
        <w:t>implementation, usually outside of a case workers’ control)</w:t>
      </w:r>
      <w:r w:rsidR="00CE71EF" w:rsidRPr="00F673AF">
        <w:rPr>
          <w:rFonts w:cstheme="minorHAnsi"/>
          <w:lang w:val="en-MY" w:eastAsia="en-AU"/>
        </w:rPr>
        <w:t>. T</w:t>
      </w:r>
      <w:r w:rsidRPr="00F673AF">
        <w:rPr>
          <w:rFonts w:cstheme="minorHAnsi"/>
          <w:lang w:val="en-MY" w:eastAsia="en-AU"/>
        </w:rPr>
        <w:t xml:space="preserve">hat said, several unintended consequences </w:t>
      </w:r>
      <w:r w:rsidR="001931A2">
        <w:rPr>
          <w:rFonts w:cstheme="minorHAnsi"/>
          <w:lang w:val="en-MY" w:eastAsia="en-AU"/>
        </w:rPr>
        <w:t xml:space="preserve">were inferred </w:t>
      </w:r>
      <w:r w:rsidR="00F673AF">
        <w:rPr>
          <w:rFonts w:cstheme="minorHAnsi"/>
          <w:lang w:val="en-MY" w:eastAsia="en-AU"/>
        </w:rPr>
        <w:t>from interviews with clients and service providers</w:t>
      </w:r>
      <w:r w:rsidRPr="00F673AF">
        <w:rPr>
          <w:rFonts w:cstheme="minorHAnsi"/>
          <w:lang w:val="en-MY" w:eastAsia="en-AU"/>
        </w:rPr>
        <w:t>.</w:t>
      </w:r>
    </w:p>
    <w:p w14:paraId="7DD89580" w14:textId="28BF33EA" w:rsidR="00473742" w:rsidRPr="001931A2" w:rsidRDefault="00473742" w:rsidP="001931A2">
      <w:pPr>
        <w:pStyle w:val="SUBHEAD2"/>
        <w:rPr>
          <w:rFonts w:asciiTheme="minorHAnsi" w:hAnsiTheme="minorHAnsi" w:cstheme="minorHAnsi"/>
          <w:lang w:val="en-MY" w:eastAsia="en-AU"/>
        </w:rPr>
      </w:pPr>
      <w:r w:rsidRPr="001931A2">
        <w:rPr>
          <w:rFonts w:asciiTheme="minorHAnsi" w:hAnsiTheme="minorHAnsi" w:cstheme="minorHAnsi"/>
          <w:lang w:val="en-MY" w:eastAsia="en-AU"/>
        </w:rPr>
        <w:t xml:space="preserve">Positive but Unintended Consequences </w:t>
      </w:r>
    </w:p>
    <w:p w14:paraId="494ADD97" w14:textId="77777777" w:rsidR="003D4746" w:rsidRDefault="003D4746" w:rsidP="001931A2">
      <w:pPr>
        <w:jc w:val="both"/>
        <w:rPr>
          <w:rFonts w:cstheme="minorHAnsi"/>
          <w:lang w:val="en-MY" w:eastAsia="en-AU"/>
        </w:rPr>
      </w:pPr>
    </w:p>
    <w:p w14:paraId="4F290038" w14:textId="3E1BBDBD" w:rsidR="001931A2" w:rsidRPr="00B21295" w:rsidRDefault="00E15A28" w:rsidP="001931A2">
      <w:pPr>
        <w:jc w:val="both"/>
        <w:rPr>
          <w:rFonts w:cstheme="minorHAnsi"/>
          <w:lang w:val="en-MY" w:eastAsia="en-AU"/>
        </w:rPr>
      </w:pPr>
      <w:r w:rsidRPr="001931A2">
        <w:rPr>
          <w:rFonts w:cstheme="minorHAnsi"/>
          <w:lang w:val="en-MY" w:eastAsia="en-AU"/>
        </w:rPr>
        <w:t xml:space="preserve">Several providers working with young people in family settings with siblings, including young adults as well as those under the YTC program, stated that the opportunity to work holistically </w:t>
      </w:r>
      <w:r w:rsidR="00CB5D5E" w:rsidRPr="001931A2">
        <w:rPr>
          <w:rFonts w:cstheme="minorHAnsi"/>
          <w:lang w:val="en-MY" w:eastAsia="en-AU"/>
        </w:rPr>
        <w:t xml:space="preserve">with clients and family had provided them with </w:t>
      </w:r>
      <w:r w:rsidR="00877BF4">
        <w:rPr>
          <w:rFonts w:cstheme="minorHAnsi"/>
          <w:lang w:val="en-MY" w:eastAsia="en-AU"/>
        </w:rPr>
        <w:t xml:space="preserve">an </w:t>
      </w:r>
      <w:r w:rsidR="00CB5D5E" w:rsidRPr="001931A2">
        <w:rPr>
          <w:rFonts w:cstheme="minorHAnsi"/>
          <w:lang w:val="en-MY" w:eastAsia="en-AU"/>
        </w:rPr>
        <w:t xml:space="preserve">opportunity to identify </w:t>
      </w:r>
      <w:r w:rsidR="00877BF4">
        <w:rPr>
          <w:rFonts w:cstheme="minorHAnsi"/>
          <w:lang w:val="en-MY" w:eastAsia="en-AU"/>
        </w:rPr>
        <w:t xml:space="preserve">vulnerable </w:t>
      </w:r>
      <w:r w:rsidR="00CB5D5E" w:rsidRPr="001931A2">
        <w:rPr>
          <w:rFonts w:cstheme="minorHAnsi"/>
          <w:lang w:val="en-MY" w:eastAsia="en-AU"/>
        </w:rPr>
        <w:t xml:space="preserve">siblings </w:t>
      </w:r>
      <w:r w:rsidR="001931A2">
        <w:rPr>
          <w:rFonts w:cstheme="minorHAnsi"/>
          <w:lang w:val="en-MY" w:eastAsia="en-AU"/>
        </w:rPr>
        <w:t xml:space="preserve">of clients at </w:t>
      </w:r>
      <w:r w:rsidR="00540E28" w:rsidRPr="001931A2">
        <w:rPr>
          <w:rFonts w:cstheme="minorHAnsi"/>
          <w:lang w:val="en-MY" w:eastAsia="en-AU"/>
        </w:rPr>
        <w:t>risk of offending</w:t>
      </w:r>
      <w:r w:rsidR="00CB5D5E" w:rsidRPr="001931A2">
        <w:rPr>
          <w:rFonts w:cstheme="minorHAnsi"/>
          <w:lang w:val="en-MY" w:eastAsia="en-AU"/>
        </w:rPr>
        <w:t>.</w:t>
      </w:r>
      <w:r w:rsidR="001931A2">
        <w:rPr>
          <w:rFonts w:cstheme="minorHAnsi"/>
          <w:lang w:val="en-MY" w:eastAsia="en-AU"/>
        </w:rPr>
        <w:t xml:space="preserve"> </w:t>
      </w:r>
      <w:r w:rsidR="00CB5D5E" w:rsidRPr="001931A2">
        <w:rPr>
          <w:rFonts w:cstheme="minorHAnsi"/>
          <w:lang w:val="en-MY" w:eastAsia="en-AU"/>
        </w:rPr>
        <w:t xml:space="preserve">In these cases, the prospective new clients were typically either </w:t>
      </w:r>
      <w:r w:rsidR="00540E28" w:rsidRPr="001931A2">
        <w:rPr>
          <w:rFonts w:cstheme="minorHAnsi"/>
          <w:lang w:val="en-MY" w:eastAsia="en-AU"/>
        </w:rPr>
        <w:t>in</w:t>
      </w:r>
      <w:r w:rsidR="00CB5D5E" w:rsidRPr="001931A2">
        <w:rPr>
          <w:rFonts w:cstheme="minorHAnsi"/>
          <w:lang w:val="en-MY" w:eastAsia="en-AU"/>
        </w:rPr>
        <w:t xml:space="preserve">corporated into the scope of services delivered to the primary client, or else </w:t>
      </w:r>
      <w:r w:rsidR="00540E28" w:rsidRPr="001931A2">
        <w:rPr>
          <w:rFonts w:cstheme="minorHAnsi"/>
          <w:lang w:val="en-MY" w:eastAsia="en-AU"/>
        </w:rPr>
        <w:t>refer</w:t>
      </w:r>
      <w:r w:rsidR="00CB5D5E" w:rsidRPr="001931A2">
        <w:rPr>
          <w:rFonts w:cstheme="minorHAnsi"/>
          <w:lang w:val="en-MY" w:eastAsia="en-AU"/>
        </w:rPr>
        <w:t>red</w:t>
      </w:r>
      <w:r w:rsidR="00540E28" w:rsidRPr="001931A2">
        <w:rPr>
          <w:rFonts w:cstheme="minorHAnsi"/>
          <w:lang w:val="en-MY" w:eastAsia="en-AU"/>
        </w:rPr>
        <w:t xml:space="preserve"> to </w:t>
      </w:r>
      <w:r w:rsidR="00540E28" w:rsidRPr="00B21295">
        <w:rPr>
          <w:rFonts w:cstheme="minorHAnsi"/>
          <w:lang w:val="en-MY" w:eastAsia="en-AU"/>
        </w:rPr>
        <w:t xml:space="preserve">appropriate </w:t>
      </w:r>
      <w:r w:rsidR="00CB5D5E" w:rsidRPr="00B21295">
        <w:rPr>
          <w:rFonts w:cstheme="minorHAnsi"/>
          <w:lang w:val="en-MY" w:eastAsia="en-AU"/>
        </w:rPr>
        <w:t xml:space="preserve">alternative </w:t>
      </w:r>
      <w:r w:rsidR="00540E28" w:rsidRPr="00B21295">
        <w:rPr>
          <w:rFonts w:cstheme="minorHAnsi"/>
          <w:lang w:val="en-MY" w:eastAsia="en-AU"/>
        </w:rPr>
        <w:t>services.</w:t>
      </w:r>
      <w:r w:rsidR="002A2165" w:rsidRPr="00B21295">
        <w:rPr>
          <w:rFonts w:cstheme="minorHAnsi"/>
          <w:lang w:val="en-MY" w:eastAsia="en-AU"/>
        </w:rPr>
        <w:t xml:space="preserve"> </w:t>
      </w:r>
    </w:p>
    <w:p w14:paraId="48C1ECCD" w14:textId="77777777" w:rsidR="00877BF4" w:rsidRPr="00B21295" w:rsidRDefault="00877BF4" w:rsidP="001931A2">
      <w:pPr>
        <w:jc w:val="both"/>
        <w:rPr>
          <w:rFonts w:cstheme="minorHAnsi"/>
          <w:lang w:val="en-MY" w:eastAsia="en-AU"/>
        </w:rPr>
      </w:pPr>
    </w:p>
    <w:p w14:paraId="1F312675" w14:textId="725026E5" w:rsidR="00877BF4" w:rsidRDefault="00877BF4" w:rsidP="00877BF4">
      <w:pPr>
        <w:jc w:val="both"/>
        <w:rPr>
          <w:rFonts w:cstheme="minorHAnsi"/>
          <w:lang w:val="en-MY" w:eastAsia="en-AU"/>
        </w:rPr>
      </w:pPr>
      <w:r w:rsidRPr="00B21295">
        <w:rPr>
          <w:rFonts w:cstheme="minorHAnsi"/>
          <w:lang w:val="en-MY" w:eastAsia="en-AU"/>
        </w:rPr>
        <w:t xml:space="preserve">Although not recorded in performance data, case workers and clients offered numerous examples whereby service delivery to the primary client had benefitted a vulnerable younger sibling, either through unofficial provision of direct support to the ‘new’ client with light-touch case management and support services, by motivating the primary client or older sibling to become a mentor to their brother or sister, or by advocating for supports such as housing to the benefit of the whole family. </w:t>
      </w:r>
      <w:r w:rsidR="00F35E17" w:rsidRPr="00B21295">
        <w:rPr>
          <w:rFonts w:cstheme="minorHAnsi"/>
          <w:lang w:val="en-MY" w:eastAsia="en-AU"/>
        </w:rPr>
        <w:t>The case study below evidences how working with a client can inadvertently lead to benefits for a younger sibling.</w:t>
      </w:r>
    </w:p>
    <w:p w14:paraId="6AABEA0A" w14:textId="55A5A7C2" w:rsidR="0001167E" w:rsidRDefault="0001167E" w:rsidP="00877BF4">
      <w:pPr>
        <w:jc w:val="both"/>
        <w:rPr>
          <w:rFonts w:cstheme="minorHAnsi"/>
          <w:lang w:val="en-MY" w:eastAsia="en-AU"/>
        </w:rPr>
      </w:pPr>
    </w:p>
    <w:p w14:paraId="571C3687" w14:textId="4F219465" w:rsidR="0001167E" w:rsidRDefault="00BC03C1" w:rsidP="00877BF4">
      <w:pPr>
        <w:jc w:val="both"/>
        <w:rPr>
          <w:rFonts w:cstheme="minorHAnsi"/>
          <w:lang w:val="en-MY" w:eastAsia="en-AU"/>
        </w:rPr>
      </w:pPr>
      <w:r w:rsidRPr="007D5F16">
        <w:rPr>
          <w:rFonts w:cstheme="minorHAnsi"/>
          <w:noProof/>
          <w:lang w:eastAsia="en-AU"/>
        </w:rPr>
        <mc:AlternateContent>
          <mc:Choice Requires="wps">
            <w:drawing>
              <wp:anchor distT="0" distB="0" distL="114300" distR="114300" simplePos="0" relativeHeight="251658287" behindDoc="0" locked="0" layoutInCell="1" allowOverlap="1" wp14:anchorId="7759F968" wp14:editId="09A01789">
                <wp:simplePos x="0" y="0"/>
                <wp:positionH relativeFrom="column">
                  <wp:posOffset>166</wp:posOffset>
                </wp:positionH>
                <wp:positionV relativeFrom="paragraph">
                  <wp:posOffset>14384</wp:posOffset>
                </wp:positionV>
                <wp:extent cx="5725491" cy="1477010"/>
                <wp:effectExtent l="12700" t="12700" r="15240" b="13335"/>
                <wp:wrapNone/>
                <wp:docPr id="293601293" name="TextBox 5"/>
                <wp:cNvGraphicFramePr/>
                <a:graphic xmlns:a="http://schemas.openxmlformats.org/drawingml/2006/main">
                  <a:graphicData uri="http://schemas.microsoft.com/office/word/2010/wordprocessingShape">
                    <wps:wsp>
                      <wps:cNvSpPr txBox="1"/>
                      <wps:spPr>
                        <a:xfrm>
                          <a:off x="0" y="0"/>
                          <a:ext cx="5725491" cy="147701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4DFD559" w14:textId="13167EC0" w:rsidR="009C42F3" w:rsidRDefault="009C42F3" w:rsidP="00817CAD">
                            <w:pPr>
                              <w:rPr>
                                <w:rFonts w:hAnsi="Calibri" w:cs="Arial"/>
                                <w:color w:val="000000" w:themeColor="text1"/>
                                <w:kern w:val="24"/>
                                <w:sz w:val="20"/>
                                <w:szCs w:val="20"/>
                              </w:rPr>
                            </w:pPr>
                            <w:r w:rsidRPr="00817CAD">
                              <w:rPr>
                                <w:rFonts w:hAnsi="Calibri" w:cs="Arial"/>
                                <w:color w:val="000000" w:themeColor="text1"/>
                                <w:kern w:val="24"/>
                                <w:sz w:val="20"/>
                                <w:szCs w:val="20"/>
                              </w:rPr>
                              <w:t>Kayla is a 17-year-old female living in a regional town</w:t>
                            </w:r>
                            <w:r>
                              <w:rPr>
                                <w:rFonts w:hAnsi="Calibri" w:cs="Arial"/>
                                <w:color w:val="000000" w:themeColor="text1"/>
                                <w:kern w:val="24"/>
                                <w:sz w:val="20"/>
                                <w:szCs w:val="20"/>
                              </w:rPr>
                              <w:t xml:space="preserve">. She was referred to a through-care case worker </w:t>
                            </w:r>
                            <w:r w:rsidRPr="00817CAD">
                              <w:rPr>
                                <w:rFonts w:hAnsi="Calibri" w:cs="Arial"/>
                                <w:color w:val="000000" w:themeColor="text1"/>
                                <w:kern w:val="24"/>
                                <w:sz w:val="20"/>
                                <w:szCs w:val="20"/>
                              </w:rPr>
                              <w:t>over</w:t>
                            </w:r>
                            <w:r>
                              <w:rPr>
                                <w:rFonts w:hAnsi="Calibri" w:cs="Arial"/>
                                <w:color w:val="000000" w:themeColor="text1"/>
                                <w:kern w:val="24"/>
                                <w:sz w:val="20"/>
                                <w:szCs w:val="20"/>
                              </w:rPr>
                              <w:t xml:space="preserve"> 18 months ago by her lawyer from an Aboriginal legal service. Kayla lives with her mother and has a younger sister aged 13, Hailey, who has also been involved with the youth justice system, but who has never been sentenced or detained. Kayla is subject to a parole order and works with her through-care case worker on a regular basis to talk things through and attend appointments. Kayla does not attend school or further education, but supported by her case worker goes to the youth centre twice a week, is learning how to use a computer there, and after setting up a bank account receives a youth allowance that she uses to pay for her mobile phone and to buy takeaway food for herself and her younger sister.</w:t>
                            </w:r>
                          </w:p>
                          <w:p w14:paraId="24A502F2" w14:textId="77777777" w:rsidR="009C42F3" w:rsidRDefault="009C42F3" w:rsidP="00817CAD">
                            <w:pPr>
                              <w:rPr>
                                <w:rFonts w:hAnsi="Calibri" w:cs="Arial"/>
                                <w:color w:val="000000" w:themeColor="text1"/>
                                <w:kern w:val="24"/>
                                <w:sz w:val="20"/>
                                <w:szCs w:val="20"/>
                              </w:rPr>
                            </w:pPr>
                          </w:p>
                          <w:p w14:paraId="0ECF53E0" w14:textId="1707CA59" w:rsidR="009C42F3" w:rsidRPr="00817CAD" w:rsidRDefault="009C42F3" w:rsidP="00817CAD">
                            <w:pPr>
                              <w:rPr>
                                <w:rFonts w:hAnsi="Calibri" w:cs="Arial"/>
                                <w:color w:val="000000" w:themeColor="text1"/>
                                <w:kern w:val="24"/>
                                <w:sz w:val="20"/>
                                <w:szCs w:val="20"/>
                              </w:rPr>
                            </w:pPr>
                            <w:r>
                              <w:rPr>
                                <w:rFonts w:hAnsi="Calibri" w:cs="Arial"/>
                                <w:color w:val="000000" w:themeColor="text1"/>
                                <w:kern w:val="24"/>
                                <w:sz w:val="20"/>
                                <w:szCs w:val="20"/>
                              </w:rPr>
                              <w:t xml:space="preserve">Kayla is close to her sister Hailey and they spend much of their time together. The through-care case worker also talks to Hailey during visits and takes her with Kayla to the youth centre and on other visits. Hailey is enrolled in school and does not receive a youth allowance but was able to set up a bank account with the help of the case worker at the same time as Kayla. According to Hailey’s mother she is also more settled since her older sister was referred to the service and Hailey enjoys her talks with the case worker who reminds her to keep attending school and to avoid people who might cause trouble. Since working with her case worker Kayla has become something of a mentor to her sister and has talked to her about </w:t>
                            </w:r>
                            <w:r w:rsidRPr="00817CAD">
                              <w:rPr>
                                <w:rFonts w:hAnsi="Calibri" w:cs="Arial"/>
                                <w:color w:val="000000" w:themeColor="text1"/>
                                <w:kern w:val="24"/>
                                <w:sz w:val="20"/>
                                <w:szCs w:val="20"/>
                              </w:rPr>
                              <w:t>not getting into trouble</w:t>
                            </w:r>
                            <w:r>
                              <w:rPr>
                                <w:rFonts w:hAnsi="Calibri" w:cs="Arial"/>
                                <w:color w:val="000000" w:themeColor="text1"/>
                                <w:kern w:val="24"/>
                                <w:sz w:val="20"/>
                                <w:szCs w:val="20"/>
                              </w:rPr>
                              <w:t xml:space="preserve"> so “she doesn’t end up in the </w:t>
                            </w:r>
                            <w:r w:rsidRPr="00817CAD">
                              <w:rPr>
                                <w:rFonts w:hAnsi="Calibri" w:cs="Arial"/>
                                <w:color w:val="000000" w:themeColor="text1"/>
                                <w:kern w:val="24"/>
                                <w:sz w:val="20"/>
                                <w:szCs w:val="20"/>
                              </w:rPr>
                              <w:t>Big House</w:t>
                            </w:r>
                            <w:r>
                              <w:rPr>
                                <w:rFonts w:hAnsi="Calibri" w:cs="Arial"/>
                                <w:color w:val="000000" w:themeColor="text1"/>
                                <w:kern w:val="24"/>
                                <w:sz w:val="20"/>
                                <w:szCs w:val="20"/>
                              </w:rPr>
                              <w:t>” when she’s older. Kayla’s mother is proud that she is growing up to be strong and a role model for her younger sister.</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7759F968" id="_x0000_s1075" type="#_x0000_t202" style="position:absolute;left:0;text-align:left;margin-left:0;margin-top:1.15pt;width:450.85pt;height:116.3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" fillcolor="white [3201]" strokecolor="#4bacc6 [3208]" strokeweight="2pt">
                <v:textbox style="mso-fit-shape-to-text:t">
                  <w:txbxContent>
                    <w:p w14:paraId="54DFD559" w14:textId="13167EC0" w:rsidR="009C42F3" w:rsidRDefault="009C42F3" w:rsidP="00817CAD">
                      <w:pPr>
                        <w:rPr>
                          <w:rFonts w:hAnsi="Calibri" w:cs="Arial"/>
                          <w:color w:val="000000" w:themeColor="text1"/>
                          <w:kern w:val="24"/>
                          <w:sz w:val="20"/>
                          <w:szCs w:val="20"/>
                        </w:rPr>
                      </w:pPr>
                      <w:r w:rsidRPr="00817CAD">
                        <w:rPr>
                          <w:rFonts w:hAnsi="Calibri" w:cs="Arial"/>
                          <w:color w:val="000000" w:themeColor="text1"/>
                          <w:kern w:val="24"/>
                          <w:sz w:val="20"/>
                          <w:szCs w:val="20"/>
                        </w:rPr>
                        <w:t>Kayla is a 17-year-old female living in a regional town</w:t>
                      </w:r>
                      <w:r>
                        <w:rPr>
                          <w:rFonts w:hAnsi="Calibri" w:cs="Arial"/>
                          <w:color w:val="000000" w:themeColor="text1"/>
                          <w:kern w:val="24"/>
                          <w:sz w:val="20"/>
                          <w:szCs w:val="20"/>
                        </w:rPr>
                        <w:t xml:space="preserve">. She was referred to a through-care case worker </w:t>
                      </w:r>
                      <w:r w:rsidRPr="00817CAD">
                        <w:rPr>
                          <w:rFonts w:hAnsi="Calibri" w:cs="Arial"/>
                          <w:color w:val="000000" w:themeColor="text1"/>
                          <w:kern w:val="24"/>
                          <w:sz w:val="20"/>
                          <w:szCs w:val="20"/>
                        </w:rPr>
                        <w:t>over</w:t>
                      </w:r>
                      <w:r>
                        <w:rPr>
                          <w:rFonts w:hAnsi="Calibri" w:cs="Arial"/>
                          <w:color w:val="000000" w:themeColor="text1"/>
                          <w:kern w:val="24"/>
                          <w:sz w:val="20"/>
                          <w:szCs w:val="20"/>
                        </w:rPr>
                        <w:t xml:space="preserve"> 18 months ago by her lawyer from an Aboriginal legal service. Kayla lives with her mother and has a younger sister aged 13, Hailey, who has also been involved with the youth justice system, but who has never been sentenced or detained. Kayla is subject to a parole order and works with her through-care case worker on a regular basis to talk things through and attend appointments. Kayla does not attend school or further </w:t>
                      </w:r>
                      <w:proofErr w:type="gramStart"/>
                      <w:r>
                        <w:rPr>
                          <w:rFonts w:hAnsi="Calibri" w:cs="Arial"/>
                          <w:color w:val="000000" w:themeColor="text1"/>
                          <w:kern w:val="24"/>
                          <w:sz w:val="20"/>
                          <w:szCs w:val="20"/>
                        </w:rPr>
                        <w:t>education, but</w:t>
                      </w:r>
                      <w:proofErr w:type="gramEnd"/>
                      <w:r>
                        <w:rPr>
                          <w:rFonts w:hAnsi="Calibri" w:cs="Arial"/>
                          <w:color w:val="000000" w:themeColor="text1"/>
                          <w:kern w:val="24"/>
                          <w:sz w:val="20"/>
                          <w:szCs w:val="20"/>
                        </w:rPr>
                        <w:t xml:space="preserve"> supported by her case worker goes to the youth centre twice a week, is learning how to use a computer there, and after setting up a bank account receives a youth allowance that she uses to pay for her mobile phone and to buy takeaway food for herself and her younger sister.</w:t>
                      </w:r>
                    </w:p>
                    <w:p w14:paraId="24A502F2" w14:textId="77777777" w:rsidR="009C42F3" w:rsidRDefault="009C42F3" w:rsidP="00817CAD">
                      <w:pPr>
                        <w:rPr>
                          <w:rFonts w:hAnsi="Calibri" w:cs="Arial"/>
                          <w:color w:val="000000" w:themeColor="text1"/>
                          <w:kern w:val="24"/>
                          <w:sz w:val="20"/>
                          <w:szCs w:val="20"/>
                        </w:rPr>
                      </w:pPr>
                    </w:p>
                    <w:p w14:paraId="0ECF53E0" w14:textId="1707CA59" w:rsidR="009C42F3" w:rsidRPr="00817CAD" w:rsidRDefault="009C42F3" w:rsidP="00817CAD">
                      <w:pPr>
                        <w:rPr>
                          <w:rFonts w:hAnsi="Calibri" w:cs="Arial"/>
                          <w:color w:val="000000" w:themeColor="text1"/>
                          <w:kern w:val="24"/>
                          <w:sz w:val="20"/>
                          <w:szCs w:val="20"/>
                        </w:rPr>
                      </w:pPr>
                      <w:r>
                        <w:rPr>
                          <w:rFonts w:hAnsi="Calibri" w:cs="Arial"/>
                          <w:color w:val="000000" w:themeColor="text1"/>
                          <w:kern w:val="24"/>
                          <w:sz w:val="20"/>
                          <w:szCs w:val="20"/>
                        </w:rPr>
                        <w:t xml:space="preserve">Kayla is close to her sister </w:t>
                      </w:r>
                      <w:proofErr w:type="gramStart"/>
                      <w:r>
                        <w:rPr>
                          <w:rFonts w:hAnsi="Calibri" w:cs="Arial"/>
                          <w:color w:val="000000" w:themeColor="text1"/>
                          <w:kern w:val="24"/>
                          <w:sz w:val="20"/>
                          <w:szCs w:val="20"/>
                        </w:rPr>
                        <w:t>Hailey</w:t>
                      </w:r>
                      <w:proofErr w:type="gramEnd"/>
                      <w:r>
                        <w:rPr>
                          <w:rFonts w:hAnsi="Calibri" w:cs="Arial"/>
                          <w:color w:val="000000" w:themeColor="text1"/>
                          <w:kern w:val="24"/>
                          <w:sz w:val="20"/>
                          <w:szCs w:val="20"/>
                        </w:rPr>
                        <w:t xml:space="preserve"> and they spend much of their time together. The through-care case worker also talks to Hailey during visits and takes her with Kayla to the youth centre and on other visits. Hailey is enrolled in school and does not receive a youth allowance but was able to set up a bank account with the help of the case worker at the same time as Kayla. According to Hailey’s mother she is also more settled since her older sister was referred to the service and Hailey enjoys her talks with the case worker who reminds her to keep attending school and to avoid people who might cause trouble. Since working with her case worker Kayla has become something of a mentor to her sister and has talked to her about </w:t>
                      </w:r>
                      <w:r w:rsidRPr="00817CAD">
                        <w:rPr>
                          <w:rFonts w:hAnsi="Calibri" w:cs="Arial"/>
                          <w:color w:val="000000" w:themeColor="text1"/>
                          <w:kern w:val="24"/>
                          <w:sz w:val="20"/>
                          <w:szCs w:val="20"/>
                        </w:rPr>
                        <w:t>not getting into trouble</w:t>
                      </w:r>
                      <w:r>
                        <w:rPr>
                          <w:rFonts w:hAnsi="Calibri" w:cs="Arial"/>
                          <w:color w:val="000000" w:themeColor="text1"/>
                          <w:kern w:val="24"/>
                          <w:sz w:val="20"/>
                          <w:szCs w:val="20"/>
                        </w:rPr>
                        <w:t xml:space="preserve"> so “she doesn’t end up in the </w:t>
                      </w:r>
                      <w:r w:rsidRPr="00817CAD">
                        <w:rPr>
                          <w:rFonts w:hAnsi="Calibri" w:cs="Arial"/>
                          <w:color w:val="000000" w:themeColor="text1"/>
                          <w:kern w:val="24"/>
                          <w:sz w:val="20"/>
                          <w:szCs w:val="20"/>
                        </w:rPr>
                        <w:t>Big House</w:t>
                      </w:r>
                      <w:r>
                        <w:rPr>
                          <w:rFonts w:hAnsi="Calibri" w:cs="Arial"/>
                          <w:color w:val="000000" w:themeColor="text1"/>
                          <w:kern w:val="24"/>
                          <w:sz w:val="20"/>
                          <w:szCs w:val="20"/>
                        </w:rPr>
                        <w:t>” when she’s older. Kayla’s mother is proud that she is growing up to be strong and a role model for her younger sister.</w:t>
                      </w:r>
                    </w:p>
                  </w:txbxContent>
                </v:textbox>
              </v:shape>
            </w:pict>
          </mc:Fallback>
        </mc:AlternateContent>
      </w:r>
    </w:p>
    <w:p w14:paraId="59FA8A7A" w14:textId="529ADDD8" w:rsidR="00817CAD" w:rsidRDefault="00817CAD" w:rsidP="00877BF4">
      <w:pPr>
        <w:jc w:val="both"/>
        <w:rPr>
          <w:rFonts w:cstheme="minorHAnsi"/>
          <w:lang w:val="en-MY" w:eastAsia="en-AU"/>
        </w:rPr>
      </w:pPr>
    </w:p>
    <w:p w14:paraId="2B9BA150" w14:textId="25472796" w:rsidR="00817CAD" w:rsidRDefault="00817CAD" w:rsidP="00877BF4">
      <w:pPr>
        <w:jc w:val="both"/>
        <w:rPr>
          <w:rFonts w:cstheme="minorHAnsi"/>
          <w:lang w:val="en-MY" w:eastAsia="en-AU"/>
        </w:rPr>
      </w:pPr>
    </w:p>
    <w:p w14:paraId="4D6DDA89" w14:textId="56DF23DC" w:rsidR="00817CAD" w:rsidRDefault="00817CAD" w:rsidP="00877BF4">
      <w:pPr>
        <w:jc w:val="both"/>
        <w:rPr>
          <w:rFonts w:cstheme="minorHAnsi"/>
          <w:lang w:val="en-MY" w:eastAsia="en-AU"/>
        </w:rPr>
      </w:pPr>
    </w:p>
    <w:p w14:paraId="58C20338" w14:textId="77777777" w:rsidR="00817CAD" w:rsidRDefault="00817CAD" w:rsidP="00877BF4">
      <w:pPr>
        <w:jc w:val="both"/>
        <w:rPr>
          <w:rFonts w:cstheme="minorHAnsi"/>
          <w:lang w:val="en-MY" w:eastAsia="en-AU"/>
        </w:rPr>
      </w:pPr>
    </w:p>
    <w:p w14:paraId="46CC2CBB" w14:textId="716323C3" w:rsidR="00817CAD" w:rsidRDefault="00817CAD" w:rsidP="00877BF4">
      <w:pPr>
        <w:jc w:val="both"/>
        <w:rPr>
          <w:rFonts w:cstheme="minorHAnsi"/>
          <w:lang w:val="en-MY" w:eastAsia="en-AU"/>
        </w:rPr>
      </w:pPr>
    </w:p>
    <w:p w14:paraId="327D5A5E" w14:textId="642D5D3A" w:rsidR="00817CAD" w:rsidRDefault="00817CAD" w:rsidP="00877BF4">
      <w:pPr>
        <w:jc w:val="both"/>
        <w:rPr>
          <w:rFonts w:cstheme="minorHAnsi"/>
          <w:lang w:val="en-MY" w:eastAsia="en-AU"/>
        </w:rPr>
      </w:pPr>
    </w:p>
    <w:p w14:paraId="553C11FD" w14:textId="77777777" w:rsidR="009A5237" w:rsidRDefault="009A5237" w:rsidP="00877BF4">
      <w:pPr>
        <w:jc w:val="both"/>
        <w:rPr>
          <w:rFonts w:cstheme="minorHAnsi"/>
          <w:lang w:val="en-MY" w:eastAsia="en-AU"/>
        </w:rPr>
      </w:pPr>
    </w:p>
    <w:p w14:paraId="486A630F" w14:textId="77777777" w:rsidR="00817CAD" w:rsidRDefault="00817CAD" w:rsidP="00877BF4">
      <w:pPr>
        <w:jc w:val="both"/>
        <w:rPr>
          <w:rFonts w:cstheme="minorHAnsi"/>
          <w:lang w:val="en-MY" w:eastAsia="en-AU"/>
        </w:rPr>
      </w:pPr>
    </w:p>
    <w:p w14:paraId="6F1FAD1D" w14:textId="4DAC667A" w:rsidR="00817CAD" w:rsidRDefault="00817CAD" w:rsidP="00877BF4">
      <w:pPr>
        <w:jc w:val="both"/>
        <w:rPr>
          <w:rFonts w:cstheme="minorHAnsi"/>
          <w:lang w:val="en-MY" w:eastAsia="en-AU"/>
        </w:rPr>
      </w:pPr>
    </w:p>
    <w:p w14:paraId="39828CCE" w14:textId="2283BCB0" w:rsidR="00817CAD" w:rsidRDefault="00817CAD" w:rsidP="00877BF4">
      <w:pPr>
        <w:jc w:val="both"/>
        <w:rPr>
          <w:rFonts w:cstheme="minorHAnsi"/>
          <w:lang w:val="en-MY" w:eastAsia="en-AU"/>
        </w:rPr>
      </w:pPr>
    </w:p>
    <w:p w14:paraId="7584D363" w14:textId="0FF2103A" w:rsidR="00817CAD" w:rsidRDefault="00817CAD" w:rsidP="00877BF4">
      <w:pPr>
        <w:jc w:val="both"/>
        <w:rPr>
          <w:rFonts w:cstheme="minorHAnsi"/>
          <w:lang w:val="en-MY" w:eastAsia="en-AU"/>
        </w:rPr>
      </w:pPr>
    </w:p>
    <w:p w14:paraId="32FBEA26" w14:textId="77777777" w:rsidR="00F35E17" w:rsidRDefault="00F35E17" w:rsidP="001931A2">
      <w:pPr>
        <w:jc w:val="both"/>
        <w:rPr>
          <w:rFonts w:cstheme="minorHAnsi"/>
          <w:lang w:val="en-MY" w:eastAsia="en-AU"/>
        </w:rPr>
      </w:pPr>
    </w:p>
    <w:p w14:paraId="32A89505" w14:textId="77777777" w:rsidR="00604E5D" w:rsidRDefault="00604E5D" w:rsidP="001931A2">
      <w:pPr>
        <w:jc w:val="both"/>
        <w:rPr>
          <w:rFonts w:cstheme="minorHAnsi"/>
          <w:lang w:val="en-MY" w:eastAsia="en-AU"/>
        </w:rPr>
      </w:pPr>
    </w:p>
    <w:p w14:paraId="590E2904" w14:textId="77777777" w:rsidR="00604E5D" w:rsidRDefault="00604E5D" w:rsidP="001931A2">
      <w:pPr>
        <w:jc w:val="both"/>
        <w:rPr>
          <w:rFonts w:cstheme="minorHAnsi"/>
          <w:lang w:val="en-MY" w:eastAsia="en-AU"/>
        </w:rPr>
      </w:pPr>
    </w:p>
    <w:p w14:paraId="667E3AC2" w14:textId="77777777" w:rsidR="00604E5D" w:rsidRDefault="00604E5D" w:rsidP="001931A2">
      <w:pPr>
        <w:jc w:val="both"/>
        <w:rPr>
          <w:rFonts w:cstheme="minorHAnsi"/>
          <w:lang w:val="en-MY" w:eastAsia="en-AU"/>
        </w:rPr>
      </w:pPr>
    </w:p>
    <w:p w14:paraId="78E69051" w14:textId="77777777" w:rsidR="00304E50" w:rsidRDefault="00304E50" w:rsidP="001931A2">
      <w:pPr>
        <w:jc w:val="both"/>
        <w:rPr>
          <w:rFonts w:cstheme="minorHAnsi"/>
          <w:lang w:val="en-MY" w:eastAsia="en-AU"/>
        </w:rPr>
      </w:pPr>
    </w:p>
    <w:p w14:paraId="4BB2B579" w14:textId="77777777" w:rsidR="00876893" w:rsidRDefault="00876893" w:rsidP="001931A2">
      <w:pPr>
        <w:jc w:val="both"/>
        <w:rPr>
          <w:rFonts w:cstheme="minorHAnsi"/>
          <w:lang w:val="en-MY" w:eastAsia="en-AU"/>
        </w:rPr>
      </w:pPr>
    </w:p>
    <w:p w14:paraId="635705ED" w14:textId="725B01FE" w:rsidR="00EC273E" w:rsidRDefault="000E2057" w:rsidP="00024565">
      <w:pPr>
        <w:jc w:val="both"/>
        <w:rPr>
          <w:rFonts w:cstheme="minorHAnsi"/>
          <w:lang w:val="en-MY" w:eastAsia="en-AU"/>
        </w:rPr>
      </w:pPr>
      <w:r>
        <w:rPr>
          <w:rFonts w:cstheme="minorHAnsi"/>
          <w:lang w:val="en-MY" w:eastAsia="en-AU"/>
        </w:rPr>
        <w:t>While from a purely managerial perspective this additional activity may be deemed an inappropriate use of program resources and outside the scope of the service model</w:t>
      </w:r>
      <w:r w:rsidR="00684D86">
        <w:rPr>
          <w:rFonts w:cstheme="minorHAnsi"/>
          <w:lang w:val="en-MY" w:eastAsia="en-AU"/>
        </w:rPr>
        <w:t xml:space="preserve">, this approach is clearly consistent with good practice principles of ‘holistic care’ and ‘family-focused care’ - treating the family to benefit the individual – </w:t>
      </w:r>
      <w:r w:rsidR="006126C5">
        <w:rPr>
          <w:rFonts w:cstheme="minorHAnsi"/>
          <w:lang w:val="en-MY" w:eastAsia="en-AU"/>
        </w:rPr>
        <w:t xml:space="preserve">not to mention </w:t>
      </w:r>
      <w:r w:rsidR="00684D86">
        <w:rPr>
          <w:rFonts w:cstheme="minorHAnsi"/>
          <w:lang w:val="en-MY" w:eastAsia="en-AU"/>
        </w:rPr>
        <w:t xml:space="preserve">plain common sense (given the alternative would be to wait until the sibling has entered the justice system </w:t>
      </w:r>
      <w:r w:rsidR="00877BF4">
        <w:rPr>
          <w:rFonts w:cstheme="minorHAnsi"/>
          <w:lang w:val="en-MY" w:eastAsia="en-AU"/>
        </w:rPr>
        <w:t xml:space="preserve">and been detained </w:t>
      </w:r>
      <w:r w:rsidR="006126C5">
        <w:rPr>
          <w:rFonts w:cstheme="minorHAnsi"/>
          <w:lang w:val="en-MY" w:eastAsia="en-AU"/>
        </w:rPr>
        <w:t xml:space="preserve">to become </w:t>
      </w:r>
      <w:r w:rsidR="00684D86">
        <w:rPr>
          <w:rFonts w:cstheme="minorHAnsi"/>
          <w:lang w:val="en-MY" w:eastAsia="en-AU"/>
        </w:rPr>
        <w:t>eligible for the program).</w:t>
      </w:r>
      <w:r w:rsidR="00877BF4">
        <w:rPr>
          <w:rFonts w:cstheme="minorHAnsi"/>
          <w:lang w:val="en-MY" w:eastAsia="en-AU"/>
        </w:rPr>
        <w:t xml:space="preserve"> During such discussions, s</w:t>
      </w:r>
      <w:r w:rsidR="002A2165" w:rsidRPr="001931A2">
        <w:rPr>
          <w:rFonts w:cstheme="minorHAnsi"/>
          <w:lang w:val="en-MY" w:eastAsia="en-AU"/>
        </w:rPr>
        <w:t xml:space="preserve">ervice providers also </w:t>
      </w:r>
      <w:r w:rsidR="00877BF4">
        <w:rPr>
          <w:rFonts w:cstheme="minorHAnsi"/>
          <w:lang w:val="en-MY" w:eastAsia="en-AU"/>
        </w:rPr>
        <w:t xml:space="preserve">stated a </w:t>
      </w:r>
      <w:r w:rsidR="002A2165" w:rsidRPr="001931A2">
        <w:rPr>
          <w:rFonts w:cstheme="minorHAnsi"/>
          <w:lang w:val="en-MY" w:eastAsia="en-AU"/>
        </w:rPr>
        <w:t xml:space="preserve">preference </w:t>
      </w:r>
      <w:r w:rsidR="00877BF4">
        <w:rPr>
          <w:rFonts w:cstheme="minorHAnsi"/>
          <w:lang w:val="en-MY" w:eastAsia="en-AU"/>
        </w:rPr>
        <w:t xml:space="preserve">for taking-on the </w:t>
      </w:r>
      <w:r w:rsidR="002A2165" w:rsidRPr="001931A2">
        <w:rPr>
          <w:rFonts w:cstheme="minorHAnsi"/>
          <w:lang w:val="en-MY" w:eastAsia="en-AU"/>
        </w:rPr>
        <w:t>siblings of former or active clients</w:t>
      </w:r>
      <w:r w:rsidR="00877BF4">
        <w:rPr>
          <w:rFonts w:cstheme="minorHAnsi"/>
          <w:lang w:val="en-MY" w:eastAsia="en-AU"/>
        </w:rPr>
        <w:t xml:space="preserve"> as new clients</w:t>
      </w:r>
      <w:r w:rsidR="002A2165" w:rsidRPr="001931A2">
        <w:rPr>
          <w:rFonts w:cstheme="minorHAnsi"/>
          <w:lang w:val="en-MY" w:eastAsia="en-AU"/>
        </w:rPr>
        <w:t xml:space="preserve">, </w:t>
      </w:r>
      <w:r w:rsidR="00C43DDC">
        <w:rPr>
          <w:rFonts w:cstheme="minorHAnsi"/>
          <w:lang w:val="en-MY" w:eastAsia="en-AU"/>
        </w:rPr>
        <w:t xml:space="preserve">should they subsequently enter prison or detention, </w:t>
      </w:r>
      <w:r w:rsidR="002A2165" w:rsidRPr="001931A2">
        <w:rPr>
          <w:rFonts w:cstheme="minorHAnsi"/>
          <w:lang w:val="en-MY" w:eastAsia="en-AU"/>
        </w:rPr>
        <w:t xml:space="preserve">given self-referrals based on knowledge of sibling or peer experience is regarded </w:t>
      </w:r>
      <w:r w:rsidR="00C43DDC">
        <w:rPr>
          <w:rFonts w:cstheme="minorHAnsi"/>
          <w:lang w:val="en-MY" w:eastAsia="en-AU"/>
        </w:rPr>
        <w:t>by some case</w:t>
      </w:r>
      <w:r w:rsidR="00694565">
        <w:rPr>
          <w:rFonts w:cstheme="minorHAnsi"/>
          <w:lang w:val="en-MY" w:eastAsia="en-AU"/>
        </w:rPr>
        <w:t xml:space="preserve"> </w:t>
      </w:r>
      <w:r w:rsidR="00C43DDC">
        <w:rPr>
          <w:rFonts w:cstheme="minorHAnsi"/>
          <w:lang w:val="en-MY" w:eastAsia="en-AU"/>
        </w:rPr>
        <w:t xml:space="preserve">workers </w:t>
      </w:r>
      <w:r w:rsidR="002A2165" w:rsidRPr="001931A2">
        <w:rPr>
          <w:rFonts w:cstheme="minorHAnsi"/>
          <w:lang w:val="en-MY" w:eastAsia="en-AU"/>
        </w:rPr>
        <w:t xml:space="preserve">as a strong indicator of </w:t>
      </w:r>
      <w:r w:rsidR="00C964C8">
        <w:rPr>
          <w:rFonts w:cstheme="minorHAnsi"/>
          <w:lang w:val="en-MY" w:eastAsia="en-AU"/>
        </w:rPr>
        <w:t xml:space="preserve">a </w:t>
      </w:r>
      <w:r w:rsidR="002A2165" w:rsidRPr="001931A2">
        <w:rPr>
          <w:rFonts w:cstheme="minorHAnsi"/>
          <w:lang w:val="en-MY" w:eastAsia="en-AU"/>
        </w:rPr>
        <w:t>client’s motivation to change.</w:t>
      </w:r>
    </w:p>
    <w:p w14:paraId="31CE76BA" w14:textId="7AA33C8E" w:rsidR="007D6B0B" w:rsidRDefault="00473742" w:rsidP="007D6B0B">
      <w:pPr>
        <w:pStyle w:val="SUBHEAD2"/>
        <w:rPr>
          <w:rFonts w:asciiTheme="minorHAnsi" w:hAnsiTheme="minorHAnsi" w:cstheme="minorHAnsi"/>
          <w:lang w:val="en-MY" w:eastAsia="en-AU"/>
        </w:rPr>
      </w:pPr>
      <w:r w:rsidRPr="001931A2">
        <w:rPr>
          <w:rFonts w:asciiTheme="minorHAnsi" w:hAnsiTheme="minorHAnsi" w:cstheme="minorHAnsi"/>
          <w:lang w:val="en-MY" w:eastAsia="en-AU"/>
        </w:rPr>
        <w:t xml:space="preserve">Negative but Unintended Consequences </w:t>
      </w:r>
    </w:p>
    <w:p w14:paraId="4E2DF80C" w14:textId="77777777" w:rsidR="003D4746" w:rsidRDefault="003D4746" w:rsidP="001931A2">
      <w:pPr>
        <w:jc w:val="both"/>
        <w:rPr>
          <w:rFonts w:cstheme="minorHAnsi"/>
          <w:lang w:val="en-MY" w:eastAsia="en-AU"/>
        </w:rPr>
      </w:pPr>
    </w:p>
    <w:p w14:paraId="2731D88F" w14:textId="18213D00" w:rsidR="00E41C9B" w:rsidRPr="00B21295" w:rsidRDefault="007D6B0B" w:rsidP="001931A2">
      <w:pPr>
        <w:jc w:val="both"/>
        <w:rPr>
          <w:rFonts w:cstheme="minorHAnsi"/>
          <w:lang w:val="en-MY" w:eastAsia="en-AU"/>
        </w:rPr>
      </w:pPr>
      <w:r>
        <w:rPr>
          <w:rFonts w:cstheme="minorHAnsi"/>
          <w:lang w:val="en-MY" w:eastAsia="en-AU"/>
        </w:rPr>
        <w:t>A negative yet unintended consequence</w:t>
      </w:r>
      <w:r w:rsidR="00CD34A5">
        <w:rPr>
          <w:rFonts w:cstheme="minorHAnsi"/>
          <w:lang w:val="en-MY" w:eastAsia="en-AU"/>
        </w:rPr>
        <w:t xml:space="preserve">, </w:t>
      </w:r>
      <w:r>
        <w:rPr>
          <w:rFonts w:cstheme="minorHAnsi"/>
          <w:lang w:val="en-MY" w:eastAsia="en-AU"/>
        </w:rPr>
        <w:t>as reported by case workers, is a</w:t>
      </w:r>
      <w:r w:rsidR="00373A6B">
        <w:rPr>
          <w:rFonts w:cstheme="minorHAnsi"/>
          <w:lang w:val="en-MY" w:eastAsia="en-AU"/>
        </w:rPr>
        <w:t xml:space="preserve"> tendency for </w:t>
      </w:r>
      <w:r w:rsidRPr="00B21295">
        <w:rPr>
          <w:rFonts w:cstheme="minorHAnsi"/>
          <w:lang w:val="en-MY" w:eastAsia="en-AU"/>
        </w:rPr>
        <w:t xml:space="preserve">vulnerable clients who have developed a level of dependency on the case worker relationship, </w:t>
      </w:r>
      <w:r w:rsidR="00373A6B" w:rsidRPr="00B21295">
        <w:rPr>
          <w:rFonts w:cstheme="minorHAnsi"/>
          <w:lang w:val="en-MY" w:eastAsia="en-AU"/>
        </w:rPr>
        <w:t>to make demands on case workers that may</w:t>
      </w:r>
      <w:r w:rsidR="002E74FB" w:rsidRPr="00B21295">
        <w:rPr>
          <w:rFonts w:cstheme="minorHAnsi"/>
          <w:lang w:val="en-MY" w:eastAsia="en-AU"/>
        </w:rPr>
        <w:t xml:space="preserve"> </w:t>
      </w:r>
      <w:r w:rsidR="00373A6B" w:rsidRPr="00B21295">
        <w:rPr>
          <w:rFonts w:cstheme="minorHAnsi"/>
          <w:lang w:val="en-MY" w:eastAsia="en-AU"/>
        </w:rPr>
        <w:t xml:space="preserve">inadvertently cause psychological harm or stress </w:t>
      </w:r>
      <w:r w:rsidR="00E70A38" w:rsidRPr="00B21295">
        <w:rPr>
          <w:rFonts w:cstheme="minorHAnsi"/>
          <w:lang w:val="en-MY" w:eastAsia="en-AU"/>
        </w:rPr>
        <w:t xml:space="preserve">to the detriment of </w:t>
      </w:r>
      <w:r w:rsidR="00373A6B" w:rsidRPr="00B21295">
        <w:rPr>
          <w:rFonts w:cstheme="minorHAnsi"/>
          <w:lang w:val="en-MY" w:eastAsia="en-AU"/>
        </w:rPr>
        <w:t xml:space="preserve">the case worker. </w:t>
      </w:r>
      <w:r w:rsidR="005A4FF1" w:rsidRPr="00B21295">
        <w:rPr>
          <w:rFonts w:cstheme="minorHAnsi"/>
          <w:lang w:val="en-MY" w:eastAsia="en-AU"/>
        </w:rPr>
        <w:t xml:space="preserve">Many case workers </w:t>
      </w:r>
      <w:r w:rsidR="00CD34A5" w:rsidRPr="00B21295">
        <w:rPr>
          <w:rFonts w:cstheme="minorHAnsi"/>
          <w:lang w:val="en-MY" w:eastAsia="en-AU"/>
        </w:rPr>
        <w:t xml:space="preserve">identified as having </w:t>
      </w:r>
      <w:r w:rsidR="005A4FF1" w:rsidRPr="00B21295">
        <w:rPr>
          <w:rFonts w:cstheme="minorHAnsi"/>
          <w:lang w:val="en-MY" w:eastAsia="en-AU"/>
        </w:rPr>
        <w:t>develop</w:t>
      </w:r>
      <w:r w:rsidR="00CD34A5" w:rsidRPr="00B21295">
        <w:rPr>
          <w:rFonts w:cstheme="minorHAnsi"/>
          <w:lang w:val="en-MY" w:eastAsia="en-AU"/>
        </w:rPr>
        <w:t>ed</w:t>
      </w:r>
      <w:r w:rsidR="005A4FF1" w:rsidRPr="00B21295">
        <w:rPr>
          <w:rFonts w:cstheme="minorHAnsi"/>
          <w:lang w:val="en-MY" w:eastAsia="en-AU"/>
        </w:rPr>
        <w:t xml:space="preserve"> close personal relationships with their clients</w:t>
      </w:r>
      <w:r w:rsidR="00CD34A5" w:rsidRPr="00B21295">
        <w:rPr>
          <w:rFonts w:cstheme="minorHAnsi"/>
          <w:lang w:val="en-MY" w:eastAsia="en-AU"/>
        </w:rPr>
        <w:t xml:space="preserve">, but acknowledged </w:t>
      </w:r>
      <w:r w:rsidR="00E70A38" w:rsidRPr="00B21295">
        <w:rPr>
          <w:rFonts w:cstheme="minorHAnsi"/>
          <w:lang w:val="en-MY" w:eastAsia="en-AU"/>
        </w:rPr>
        <w:t xml:space="preserve">it </w:t>
      </w:r>
      <w:r w:rsidR="005A4FF1" w:rsidRPr="00B21295">
        <w:rPr>
          <w:rFonts w:cstheme="minorHAnsi"/>
          <w:lang w:val="en-MY" w:eastAsia="en-AU"/>
        </w:rPr>
        <w:t xml:space="preserve">is not unusual to be called </w:t>
      </w:r>
      <w:r w:rsidR="00E70A38" w:rsidRPr="00B21295">
        <w:rPr>
          <w:rFonts w:cstheme="minorHAnsi"/>
          <w:lang w:val="en-MY" w:eastAsia="en-AU"/>
        </w:rPr>
        <w:t xml:space="preserve">late at night or </w:t>
      </w:r>
      <w:r w:rsidR="005A4FF1" w:rsidRPr="00B21295">
        <w:rPr>
          <w:rFonts w:cstheme="minorHAnsi"/>
          <w:lang w:val="en-MY" w:eastAsia="en-AU"/>
        </w:rPr>
        <w:t xml:space="preserve">on weekends </w:t>
      </w:r>
      <w:r w:rsidR="00B50AEC" w:rsidRPr="00B21295">
        <w:rPr>
          <w:rFonts w:cstheme="minorHAnsi"/>
          <w:lang w:val="en-MY" w:eastAsia="en-AU"/>
        </w:rPr>
        <w:t xml:space="preserve">to be </w:t>
      </w:r>
      <w:r w:rsidR="005A4FF1" w:rsidRPr="00B21295">
        <w:rPr>
          <w:rFonts w:cstheme="minorHAnsi"/>
          <w:lang w:val="en-MY" w:eastAsia="en-AU"/>
        </w:rPr>
        <w:t>asked to respond to a crisis</w:t>
      </w:r>
      <w:r w:rsidR="00B50AEC" w:rsidRPr="00B21295">
        <w:rPr>
          <w:rFonts w:cstheme="minorHAnsi"/>
          <w:lang w:val="en-MY" w:eastAsia="en-AU"/>
        </w:rPr>
        <w:t xml:space="preserve"> </w:t>
      </w:r>
      <w:r w:rsidR="00E70A38" w:rsidRPr="00B21295">
        <w:rPr>
          <w:rFonts w:cstheme="minorHAnsi"/>
          <w:lang w:val="en-MY" w:eastAsia="en-AU"/>
        </w:rPr>
        <w:t>better dealt with by emergency services</w:t>
      </w:r>
      <w:r w:rsidR="005A4FF1" w:rsidRPr="00B21295">
        <w:rPr>
          <w:rFonts w:cstheme="minorHAnsi"/>
          <w:lang w:val="en-MY" w:eastAsia="en-AU"/>
        </w:rPr>
        <w:t xml:space="preserve">. While such examples can be seen as an expression of the client’s trust in the case worker, </w:t>
      </w:r>
      <w:r w:rsidR="00E70A38" w:rsidRPr="00B21295">
        <w:rPr>
          <w:rFonts w:cstheme="minorHAnsi"/>
          <w:lang w:val="en-MY" w:eastAsia="en-AU"/>
        </w:rPr>
        <w:t xml:space="preserve">and are consistent with the principles of a client-centred and responsive approach, </w:t>
      </w:r>
      <w:r w:rsidR="00EA76A6" w:rsidRPr="00B21295">
        <w:rPr>
          <w:rFonts w:cstheme="minorHAnsi"/>
          <w:lang w:val="en-MY" w:eastAsia="en-AU"/>
        </w:rPr>
        <w:t xml:space="preserve">where appropriate policies and procedures are not in place, </w:t>
      </w:r>
      <w:r w:rsidR="005A4FF1" w:rsidRPr="00B21295">
        <w:rPr>
          <w:rFonts w:cstheme="minorHAnsi"/>
          <w:lang w:val="en-MY" w:eastAsia="en-AU"/>
        </w:rPr>
        <w:t>this can result</w:t>
      </w:r>
      <w:r w:rsidR="00544217" w:rsidRPr="00B21295">
        <w:rPr>
          <w:rFonts w:cstheme="minorHAnsi"/>
          <w:lang w:val="en-MY" w:eastAsia="en-AU"/>
        </w:rPr>
        <w:t xml:space="preserve"> </w:t>
      </w:r>
      <w:r w:rsidR="005A4FF1" w:rsidRPr="00B21295">
        <w:rPr>
          <w:rFonts w:cstheme="minorHAnsi"/>
          <w:lang w:val="en-MY" w:eastAsia="en-AU"/>
        </w:rPr>
        <w:t>in</w:t>
      </w:r>
      <w:r w:rsidR="00544217" w:rsidRPr="00B21295">
        <w:rPr>
          <w:rFonts w:cstheme="minorHAnsi"/>
          <w:lang w:val="en-MY" w:eastAsia="en-AU"/>
        </w:rPr>
        <w:t xml:space="preserve"> </w:t>
      </w:r>
      <w:r w:rsidR="005A4FF1" w:rsidRPr="00B21295">
        <w:rPr>
          <w:rFonts w:cstheme="minorHAnsi"/>
          <w:lang w:val="en-MY" w:eastAsia="en-AU"/>
        </w:rPr>
        <w:t xml:space="preserve">cumulative emotional strain on the case worker and may in some instances create the potential for a conflict of interest </w:t>
      </w:r>
      <w:r w:rsidR="00EA76A6" w:rsidRPr="00B21295">
        <w:rPr>
          <w:rFonts w:cstheme="minorHAnsi"/>
          <w:lang w:val="en-MY" w:eastAsia="en-AU"/>
        </w:rPr>
        <w:t>(</w:t>
      </w:r>
      <w:r w:rsidR="005A4FF1" w:rsidRPr="00B21295">
        <w:rPr>
          <w:rFonts w:cstheme="minorHAnsi"/>
          <w:lang w:val="en-MY" w:eastAsia="en-AU"/>
        </w:rPr>
        <w:t xml:space="preserve">should </w:t>
      </w:r>
      <w:r w:rsidR="00281668" w:rsidRPr="00B21295">
        <w:rPr>
          <w:rFonts w:cstheme="minorHAnsi"/>
          <w:lang w:val="en-MY" w:eastAsia="en-AU"/>
        </w:rPr>
        <w:t xml:space="preserve">a </w:t>
      </w:r>
      <w:r w:rsidR="005A4FF1" w:rsidRPr="00B21295">
        <w:rPr>
          <w:rFonts w:cstheme="minorHAnsi"/>
          <w:lang w:val="en-MY" w:eastAsia="en-AU"/>
        </w:rPr>
        <w:t>client</w:t>
      </w:r>
      <w:r w:rsidR="00EA76A6" w:rsidRPr="00B21295">
        <w:rPr>
          <w:rFonts w:cstheme="minorHAnsi"/>
          <w:lang w:val="en-MY" w:eastAsia="en-AU"/>
        </w:rPr>
        <w:t xml:space="preserve"> </w:t>
      </w:r>
      <w:r w:rsidR="005A4FF1" w:rsidRPr="00B21295">
        <w:rPr>
          <w:rFonts w:cstheme="minorHAnsi"/>
          <w:lang w:val="en-MY" w:eastAsia="en-AU"/>
        </w:rPr>
        <w:t>inadvertently reveal an unreported criminal act</w:t>
      </w:r>
      <w:r w:rsidR="002E74FB" w:rsidRPr="00B21295">
        <w:rPr>
          <w:rFonts w:cstheme="minorHAnsi"/>
          <w:lang w:val="en-MY" w:eastAsia="en-AU"/>
        </w:rPr>
        <w:t xml:space="preserve"> when seeking assistance in a crisis</w:t>
      </w:r>
      <w:r w:rsidR="00EA76A6" w:rsidRPr="00B21295">
        <w:rPr>
          <w:rFonts w:cstheme="minorHAnsi"/>
          <w:lang w:val="en-MY" w:eastAsia="en-AU"/>
        </w:rPr>
        <w:t>)</w:t>
      </w:r>
      <w:r w:rsidR="00766199" w:rsidRPr="00B21295">
        <w:rPr>
          <w:rFonts w:cstheme="minorHAnsi"/>
          <w:lang w:val="en-MY" w:eastAsia="en-AU"/>
        </w:rPr>
        <w:t>.</w:t>
      </w:r>
      <w:r w:rsidR="00E70A38" w:rsidRPr="00B21295">
        <w:rPr>
          <w:rFonts w:cstheme="minorHAnsi"/>
          <w:lang w:val="en-MY" w:eastAsia="en-AU"/>
        </w:rPr>
        <w:t xml:space="preserve"> </w:t>
      </w:r>
    </w:p>
    <w:p w14:paraId="3E4DB41A" w14:textId="77777777" w:rsidR="00E41C9B" w:rsidRPr="00B21295" w:rsidRDefault="00E41C9B" w:rsidP="001931A2">
      <w:pPr>
        <w:jc w:val="both"/>
        <w:rPr>
          <w:rFonts w:cstheme="minorHAnsi"/>
          <w:lang w:val="en-MY" w:eastAsia="en-AU"/>
        </w:rPr>
      </w:pPr>
    </w:p>
    <w:p w14:paraId="4832CD11" w14:textId="3C043457" w:rsidR="00B106C8" w:rsidRPr="001931A2" w:rsidRDefault="00B106C8" w:rsidP="001931A2">
      <w:pPr>
        <w:jc w:val="both"/>
        <w:rPr>
          <w:rFonts w:cstheme="minorHAnsi"/>
          <w:lang w:val="en-MY" w:eastAsia="en-AU"/>
        </w:rPr>
      </w:pPr>
      <w:r w:rsidRPr="00B21295">
        <w:rPr>
          <w:rFonts w:cstheme="minorHAnsi"/>
          <w:lang w:val="en-MY" w:eastAsia="en-AU"/>
        </w:rPr>
        <w:t xml:space="preserve">From discussions with Indigenous case workers it is also clear that anxiety from non-Indigenous staff around the cultural safety of their case management practices, </w:t>
      </w:r>
      <w:r w:rsidR="00E41C9B" w:rsidRPr="00B21295">
        <w:rPr>
          <w:rFonts w:cstheme="minorHAnsi"/>
          <w:lang w:val="en-MY" w:eastAsia="en-AU"/>
        </w:rPr>
        <w:t xml:space="preserve">can </w:t>
      </w:r>
      <w:r w:rsidRPr="00B21295">
        <w:rPr>
          <w:rFonts w:cstheme="minorHAnsi"/>
          <w:lang w:val="en-MY" w:eastAsia="en-AU"/>
        </w:rPr>
        <w:t>plac</w:t>
      </w:r>
      <w:r w:rsidR="00E41C9B" w:rsidRPr="00B21295">
        <w:rPr>
          <w:rFonts w:cstheme="minorHAnsi"/>
          <w:lang w:val="en-MY" w:eastAsia="en-AU"/>
        </w:rPr>
        <w:t>e</w:t>
      </w:r>
      <w:r w:rsidRPr="00B21295">
        <w:rPr>
          <w:rFonts w:cstheme="minorHAnsi"/>
          <w:lang w:val="en-MY" w:eastAsia="en-AU"/>
        </w:rPr>
        <w:t xml:space="preserve"> additional strain on Indigenous case workers</w:t>
      </w:r>
      <w:r w:rsidR="00E41C9B" w:rsidRPr="00B21295">
        <w:rPr>
          <w:rFonts w:cstheme="minorHAnsi"/>
          <w:lang w:val="en-MY" w:eastAsia="en-AU"/>
        </w:rPr>
        <w:t xml:space="preserve">, </w:t>
      </w:r>
      <w:r w:rsidRPr="00B21295">
        <w:rPr>
          <w:rFonts w:cstheme="minorHAnsi"/>
          <w:lang w:val="en-MY" w:eastAsia="en-AU"/>
        </w:rPr>
        <w:t xml:space="preserve">who </w:t>
      </w:r>
      <w:r w:rsidR="00E70A38" w:rsidRPr="00B21295">
        <w:rPr>
          <w:rFonts w:cstheme="minorHAnsi"/>
          <w:lang w:val="en-MY" w:eastAsia="en-AU"/>
        </w:rPr>
        <w:t xml:space="preserve">– notwithstanding the importance of this principle – are </w:t>
      </w:r>
      <w:r w:rsidRPr="00B21295">
        <w:rPr>
          <w:rFonts w:cstheme="minorHAnsi"/>
          <w:lang w:val="en-MY" w:eastAsia="en-AU"/>
        </w:rPr>
        <w:t xml:space="preserve">pressured to fill this gap and provide </w:t>
      </w:r>
      <w:r w:rsidR="00E70A38" w:rsidRPr="00B21295">
        <w:rPr>
          <w:rFonts w:cstheme="minorHAnsi"/>
          <w:lang w:val="en-MY" w:eastAsia="en-AU"/>
        </w:rPr>
        <w:t xml:space="preserve">a level of </w:t>
      </w:r>
      <w:r w:rsidRPr="00B21295">
        <w:rPr>
          <w:rFonts w:cstheme="minorHAnsi"/>
          <w:lang w:val="en-MY" w:eastAsia="en-AU"/>
        </w:rPr>
        <w:t>cultural supervision</w:t>
      </w:r>
      <w:r w:rsidR="00E70A38" w:rsidRPr="00B21295">
        <w:rPr>
          <w:rFonts w:cstheme="minorHAnsi"/>
          <w:lang w:val="en-MY" w:eastAsia="en-AU"/>
        </w:rPr>
        <w:t xml:space="preserve"> beyond their capacity to </w:t>
      </w:r>
      <w:r w:rsidR="00B50AEC" w:rsidRPr="00B21295">
        <w:rPr>
          <w:rFonts w:cstheme="minorHAnsi"/>
          <w:lang w:val="en-MY" w:eastAsia="en-AU"/>
        </w:rPr>
        <w:t>offer</w:t>
      </w:r>
      <w:r w:rsidR="00B50AEC">
        <w:rPr>
          <w:rFonts w:cstheme="minorHAnsi"/>
          <w:lang w:val="en-MY" w:eastAsia="en-AU"/>
        </w:rPr>
        <w:t xml:space="preserve"> </w:t>
      </w:r>
      <w:r w:rsidR="00E70A38">
        <w:rPr>
          <w:rFonts w:cstheme="minorHAnsi"/>
          <w:lang w:val="en-MY" w:eastAsia="en-AU"/>
        </w:rPr>
        <w:t>support</w:t>
      </w:r>
      <w:r w:rsidRPr="001931A2">
        <w:rPr>
          <w:rFonts w:cstheme="minorHAnsi"/>
          <w:lang w:val="en-MY" w:eastAsia="en-AU"/>
        </w:rPr>
        <w:t>.</w:t>
      </w:r>
      <w:r w:rsidR="00E70A38">
        <w:rPr>
          <w:rFonts w:cstheme="minorHAnsi"/>
          <w:lang w:val="en-MY" w:eastAsia="en-AU"/>
        </w:rPr>
        <w:t xml:space="preserve"> </w:t>
      </w:r>
      <w:r w:rsidRPr="001931A2">
        <w:rPr>
          <w:rFonts w:cstheme="minorHAnsi"/>
          <w:lang w:val="en-MY" w:eastAsia="en-AU"/>
        </w:rPr>
        <w:t xml:space="preserve">This is especially the case when there is no external or </w:t>
      </w:r>
      <w:r w:rsidR="00E41C9B" w:rsidRPr="001931A2">
        <w:rPr>
          <w:rFonts w:cstheme="minorHAnsi"/>
          <w:lang w:val="en-MY" w:eastAsia="en-AU"/>
        </w:rPr>
        <w:t xml:space="preserve">alternative </w:t>
      </w:r>
      <w:r w:rsidRPr="001931A2">
        <w:rPr>
          <w:rFonts w:cstheme="minorHAnsi"/>
          <w:lang w:val="en-MY" w:eastAsia="en-AU"/>
        </w:rPr>
        <w:t>source of cultural supervision and support</w:t>
      </w:r>
      <w:r w:rsidR="00E41C9B" w:rsidRPr="001931A2">
        <w:rPr>
          <w:rFonts w:cstheme="minorHAnsi"/>
          <w:lang w:val="en-MY" w:eastAsia="en-AU"/>
        </w:rPr>
        <w:t xml:space="preserve">, </w:t>
      </w:r>
      <w:r w:rsidRPr="001931A2">
        <w:rPr>
          <w:rFonts w:cstheme="minorHAnsi"/>
          <w:lang w:val="en-MY" w:eastAsia="en-AU"/>
        </w:rPr>
        <w:t xml:space="preserve">other than from </w:t>
      </w:r>
      <w:r w:rsidR="00E41C9B" w:rsidRPr="001931A2">
        <w:rPr>
          <w:rFonts w:cstheme="minorHAnsi"/>
          <w:lang w:val="en-MY" w:eastAsia="en-AU"/>
        </w:rPr>
        <w:t xml:space="preserve">an </w:t>
      </w:r>
      <w:r w:rsidRPr="001931A2">
        <w:rPr>
          <w:rFonts w:cstheme="minorHAnsi"/>
          <w:lang w:val="en-MY" w:eastAsia="en-AU"/>
        </w:rPr>
        <w:t>Indigenous case worker</w:t>
      </w:r>
      <w:r w:rsidR="00E41C9B" w:rsidRPr="001931A2">
        <w:rPr>
          <w:rFonts w:cstheme="minorHAnsi"/>
          <w:lang w:val="en-MY" w:eastAsia="en-AU"/>
        </w:rPr>
        <w:t xml:space="preserve"> within the team</w:t>
      </w:r>
      <w:r w:rsidRPr="001931A2">
        <w:rPr>
          <w:rFonts w:cstheme="minorHAnsi"/>
          <w:lang w:val="en-MY" w:eastAsia="en-AU"/>
        </w:rPr>
        <w:t>.</w:t>
      </w:r>
      <w:r w:rsidR="00E41C9B" w:rsidRPr="001931A2">
        <w:rPr>
          <w:rFonts w:cstheme="minorHAnsi"/>
          <w:lang w:val="en-MY" w:eastAsia="en-AU"/>
        </w:rPr>
        <w:t xml:space="preserve"> </w:t>
      </w:r>
      <w:r w:rsidR="0096266B">
        <w:rPr>
          <w:rFonts w:cstheme="minorHAnsi"/>
          <w:lang w:val="en-MY" w:eastAsia="en-AU"/>
        </w:rPr>
        <w:t>While ‘cultural supervision’ in terms of space for affected staff to voice their concerns with a manager, and potentially seek counselling support through their</w:t>
      </w:r>
      <w:r w:rsidR="00850DBB">
        <w:rPr>
          <w:rFonts w:cstheme="minorHAnsi"/>
          <w:lang w:val="en-MY" w:eastAsia="en-AU"/>
        </w:rPr>
        <w:t xml:space="preserve"> </w:t>
      </w:r>
      <w:r w:rsidR="0096266B">
        <w:rPr>
          <w:rFonts w:cstheme="minorHAnsi"/>
          <w:lang w:val="en-MY" w:eastAsia="en-AU"/>
        </w:rPr>
        <w:t>E</w:t>
      </w:r>
      <w:r w:rsidR="00850DBB">
        <w:rPr>
          <w:rFonts w:cstheme="minorHAnsi"/>
          <w:lang w:val="en-MY" w:eastAsia="en-AU"/>
        </w:rPr>
        <w:t>AP, is a feature of the ABT model, a lack of support for Indigenous case</w:t>
      </w:r>
      <w:r w:rsidR="00694565">
        <w:rPr>
          <w:rFonts w:cstheme="minorHAnsi"/>
          <w:lang w:val="en-MY" w:eastAsia="en-AU"/>
        </w:rPr>
        <w:t xml:space="preserve"> </w:t>
      </w:r>
      <w:r w:rsidR="00850DBB">
        <w:rPr>
          <w:rFonts w:cstheme="minorHAnsi"/>
          <w:lang w:val="en-MY" w:eastAsia="en-AU"/>
        </w:rPr>
        <w:t xml:space="preserve">workers was nevertheless reported at some services. </w:t>
      </w:r>
      <w:r w:rsidR="00E41C9B" w:rsidRPr="001931A2">
        <w:rPr>
          <w:rFonts w:cstheme="minorHAnsi"/>
          <w:lang w:val="en-MY" w:eastAsia="en-AU"/>
        </w:rPr>
        <w:t xml:space="preserve">This issue </w:t>
      </w:r>
      <w:r w:rsidR="00E70A38">
        <w:rPr>
          <w:rFonts w:cstheme="minorHAnsi"/>
          <w:lang w:val="en-MY" w:eastAsia="en-AU"/>
        </w:rPr>
        <w:t xml:space="preserve">was found to largely </w:t>
      </w:r>
      <w:r w:rsidR="00E41C9B" w:rsidRPr="001931A2">
        <w:rPr>
          <w:rFonts w:cstheme="minorHAnsi"/>
          <w:lang w:val="en-MY" w:eastAsia="en-AU"/>
        </w:rPr>
        <w:t>affect non-Indigenous services</w:t>
      </w:r>
      <w:r w:rsidR="00E70A38">
        <w:rPr>
          <w:rFonts w:cstheme="minorHAnsi"/>
          <w:lang w:val="en-MY" w:eastAsia="en-AU"/>
        </w:rPr>
        <w:t xml:space="preserve"> with a relatively small number of Indigenous case workers</w:t>
      </w:r>
      <w:r w:rsidR="00B50AEC">
        <w:rPr>
          <w:rFonts w:cstheme="minorHAnsi"/>
          <w:lang w:val="en-MY" w:eastAsia="en-AU"/>
        </w:rPr>
        <w:t xml:space="preserve"> (and where historical examples of Indigenous case workers leaving the role for this reason were provided)</w:t>
      </w:r>
      <w:r w:rsidR="00E41C9B" w:rsidRPr="001931A2">
        <w:rPr>
          <w:rFonts w:cstheme="minorHAnsi"/>
          <w:lang w:val="en-MY" w:eastAsia="en-AU"/>
        </w:rPr>
        <w:t>.</w:t>
      </w:r>
    </w:p>
    <w:p w14:paraId="67647418" w14:textId="52E2AECB" w:rsidR="00123BF2" w:rsidRPr="00A66C43" w:rsidRDefault="00421CD3" w:rsidP="00B77817">
      <w:pPr>
        <w:pStyle w:val="Heading2"/>
        <w:numPr>
          <w:ilvl w:val="0"/>
          <w:numId w:val="33"/>
        </w:numPr>
        <w:rPr>
          <w:rFonts w:cstheme="minorHAnsi"/>
          <w:lang w:val="en-MY" w:eastAsia="en-AU"/>
        </w:rPr>
      </w:pPr>
      <w:bookmarkStart w:id="34" w:name="_Toc150784208"/>
      <w:r w:rsidRPr="00A66C43">
        <w:rPr>
          <w:rFonts w:cstheme="minorHAnsi"/>
          <w:lang w:val="en-MY" w:eastAsia="en-AU"/>
        </w:rPr>
        <w:t>Data Requirements</w:t>
      </w:r>
      <w:bookmarkEnd w:id="34"/>
    </w:p>
    <w:p w14:paraId="0A42B7EB" w14:textId="744928A0" w:rsidR="00A66C43" w:rsidRPr="00A66C43" w:rsidRDefault="00421CD3" w:rsidP="00A66C43">
      <w:pPr>
        <w:jc w:val="both"/>
        <w:rPr>
          <w:rFonts w:cstheme="minorHAnsi"/>
          <w:i/>
          <w:iCs/>
          <w:color w:val="4F81BD" w:themeColor="accent1"/>
          <w:lang w:val="en-MY" w:eastAsia="en-AU"/>
        </w:rPr>
      </w:pPr>
      <w:r w:rsidRPr="00A66C43">
        <w:rPr>
          <w:rFonts w:cstheme="minorHAnsi"/>
          <w:i/>
          <w:iCs/>
          <w:color w:val="4F81BD" w:themeColor="accent1"/>
          <w:lang w:val="en-MY" w:eastAsia="en-AU"/>
        </w:rPr>
        <w:t xml:space="preserve">To what extent do existing data collection and reporting meet the monitoring and evaluation needs of the ATC and YTC programs? What requirements are vital to inform a contribution to the National Agreement’s justice targets? </w:t>
      </w:r>
    </w:p>
    <w:p w14:paraId="130B1DF0" w14:textId="24229D00" w:rsidR="00CE61FE" w:rsidRPr="00A66C43" w:rsidRDefault="00473742" w:rsidP="00A66C43">
      <w:pPr>
        <w:pStyle w:val="SUBHEAD2"/>
        <w:rPr>
          <w:rFonts w:asciiTheme="minorHAnsi" w:hAnsiTheme="minorHAnsi" w:cstheme="minorHAnsi"/>
          <w:lang w:val="en-MY" w:eastAsia="en-AU"/>
        </w:rPr>
      </w:pPr>
      <w:r w:rsidRPr="00A66C43">
        <w:rPr>
          <w:rFonts w:asciiTheme="minorHAnsi" w:hAnsiTheme="minorHAnsi" w:cstheme="minorHAnsi"/>
          <w:lang w:val="en-MY" w:eastAsia="en-AU"/>
        </w:rPr>
        <w:t>Whether Reporting Meets Program Needs</w:t>
      </w:r>
    </w:p>
    <w:p w14:paraId="79DAF26C" w14:textId="77777777" w:rsidR="003D4746" w:rsidRDefault="003D4746" w:rsidP="00557266">
      <w:pPr>
        <w:jc w:val="both"/>
        <w:rPr>
          <w:rFonts w:cstheme="minorHAnsi"/>
          <w:lang w:val="en-MY" w:eastAsia="en-AU"/>
        </w:rPr>
      </w:pPr>
    </w:p>
    <w:p w14:paraId="63289DF0" w14:textId="12839753" w:rsidR="00DF2348" w:rsidRDefault="004668F1" w:rsidP="00557266">
      <w:pPr>
        <w:jc w:val="both"/>
        <w:rPr>
          <w:rFonts w:cstheme="minorHAnsi"/>
          <w:lang w:val="en-MY" w:eastAsia="en-AU"/>
        </w:rPr>
      </w:pPr>
      <w:r>
        <w:rPr>
          <w:rFonts w:cstheme="minorHAnsi"/>
          <w:lang w:val="en-MY" w:eastAsia="en-AU"/>
        </w:rPr>
        <w:t>Case</w:t>
      </w:r>
      <w:r w:rsidR="00694565">
        <w:rPr>
          <w:rFonts w:cstheme="minorHAnsi"/>
          <w:lang w:val="en-MY" w:eastAsia="en-AU"/>
        </w:rPr>
        <w:t xml:space="preserve"> </w:t>
      </w:r>
      <w:r>
        <w:rPr>
          <w:rFonts w:cstheme="minorHAnsi"/>
          <w:lang w:val="en-MY" w:eastAsia="en-AU"/>
        </w:rPr>
        <w:t>workers, service managers and (where employed by the service provider)</w:t>
      </w:r>
      <w:r w:rsidR="00DA318D">
        <w:rPr>
          <w:rFonts w:cstheme="minorHAnsi"/>
          <w:lang w:val="en-MY" w:eastAsia="en-AU"/>
        </w:rPr>
        <w:t xml:space="preserve"> </w:t>
      </w:r>
      <w:r>
        <w:rPr>
          <w:rFonts w:cstheme="minorHAnsi"/>
          <w:lang w:val="en-MY" w:eastAsia="en-AU"/>
        </w:rPr>
        <w:t>data administrators,</w:t>
      </w:r>
      <w:r w:rsidR="00DA318D">
        <w:rPr>
          <w:rStyle w:val="FootnoteReference"/>
          <w:rFonts w:cstheme="minorHAnsi"/>
          <w:lang w:val="en-MY" w:eastAsia="en-AU"/>
        </w:rPr>
        <w:footnoteReference w:id="116"/>
      </w:r>
      <w:r>
        <w:rPr>
          <w:rFonts w:cstheme="minorHAnsi"/>
          <w:lang w:val="en-MY" w:eastAsia="en-AU"/>
        </w:rPr>
        <w:t xml:space="preserve"> were unanimous in their criticism of existing data collection and reporting requirements for both the ATC and YTC programs, which were considered to be time consuming, not aligned to the needs of the program</w:t>
      </w:r>
      <w:r w:rsidR="00642BAB">
        <w:rPr>
          <w:rFonts w:cstheme="minorHAnsi"/>
          <w:lang w:val="en-MY" w:eastAsia="en-AU"/>
        </w:rPr>
        <w:t>, a</w:t>
      </w:r>
      <w:r>
        <w:rPr>
          <w:rFonts w:cstheme="minorHAnsi"/>
          <w:lang w:val="en-MY" w:eastAsia="en-AU"/>
        </w:rPr>
        <w:t>nd with the exception of the largest two service providers, ultimately pointless,</w:t>
      </w:r>
      <w:r w:rsidR="00642BAB">
        <w:rPr>
          <w:rFonts w:cstheme="minorHAnsi"/>
          <w:lang w:val="en-MY" w:eastAsia="en-AU"/>
        </w:rPr>
        <w:t xml:space="preserve"> given</w:t>
      </w:r>
      <w:r>
        <w:rPr>
          <w:rFonts w:cstheme="minorHAnsi"/>
          <w:lang w:val="en-MY" w:eastAsia="en-AU"/>
        </w:rPr>
        <w:t xml:space="preserve"> no analysis of the </w:t>
      </w:r>
      <w:r w:rsidR="00642BAB">
        <w:rPr>
          <w:rFonts w:cstheme="minorHAnsi"/>
          <w:lang w:val="en-MY" w:eastAsia="en-AU"/>
        </w:rPr>
        <w:t xml:space="preserve">recorded data is </w:t>
      </w:r>
      <w:r w:rsidR="00CE61FE" w:rsidRPr="0088670E">
        <w:rPr>
          <w:rFonts w:cstheme="minorHAnsi"/>
          <w:lang w:val="en-MY" w:eastAsia="en-AU"/>
        </w:rPr>
        <w:t>undertak</w:t>
      </w:r>
      <w:r w:rsidR="00642BAB">
        <w:rPr>
          <w:rFonts w:cstheme="minorHAnsi"/>
          <w:lang w:val="en-MY" w:eastAsia="en-AU"/>
        </w:rPr>
        <w:t xml:space="preserve">en. </w:t>
      </w:r>
    </w:p>
    <w:p w14:paraId="3989F771" w14:textId="77777777" w:rsidR="00DF2348" w:rsidRDefault="00DF2348" w:rsidP="00557266">
      <w:pPr>
        <w:jc w:val="both"/>
        <w:rPr>
          <w:rFonts w:cstheme="minorHAnsi"/>
          <w:lang w:val="en-MY" w:eastAsia="en-AU"/>
        </w:rPr>
      </w:pPr>
    </w:p>
    <w:p w14:paraId="10D0700C" w14:textId="092E6F75" w:rsidR="00557266" w:rsidRDefault="00642BAB" w:rsidP="00557266">
      <w:pPr>
        <w:jc w:val="both"/>
        <w:rPr>
          <w:rFonts w:cstheme="minorHAnsi"/>
          <w:lang w:val="en-MY" w:eastAsia="en-AU"/>
        </w:rPr>
      </w:pPr>
      <w:r>
        <w:rPr>
          <w:rFonts w:cstheme="minorHAnsi"/>
          <w:lang w:val="en-MY" w:eastAsia="en-AU"/>
        </w:rPr>
        <w:t xml:space="preserve">The consequences of this sentiment and the ineffective way in which data is recorded and reported by most services is reflected in the availability and quality of ATC and YTC data provided to Keogh Bay for the purposes of </w:t>
      </w:r>
      <w:r w:rsidR="00847F25">
        <w:rPr>
          <w:rFonts w:cstheme="minorHAnsi"/>
          <w:lang w:val="en-MY" w:eastAsia="en-AU"/>
        </w:rPr>
        <w:t>this evaluation</w:t>
      </w:r>
      <w:r>
        <w:rPr>
          <w:rFonts w:cstheme="minorHAnsi"/>
          <w:lang w:val="en-MY" w:eastAsia="en-AU"/>
        </w:rPr>
        <w:t>.</w:t>
      </w:r>
      <w:r w:rsidR="00847F25">
        <w:rPr>
          <w:rFonts w:cstheme="minorHAnsi"/>
          <w:lang w:val="en-MY" w:eastAsia="en-AU"/>
        </w:rPr>
        <w:t xml:space="preserve"> </w:t>
      </w:r>
      <w:r>
        <w:rPr>
          <w:rFonts w:cstheme="minorHAnsi"/>
          <w:lang w:val="en-MY" w:eastAsia="en-AU"/>
        </w:rPr>
        <w:t xml:space="preserve">As discussed in the preceding chapter of this report, </w:t>
      </w:r>
      <w:r w:rsidR="00CE61FE" w:rsidRPr="0088670E">
        <w:rPr>
          <w:rFonts w:cstheme="minorHAnsi"/>
          <w:lang w:val="en-MY" w:eastAsia="en-AU"/>
        </w:rPr>
        <w:t>Keogh Bay note</w:t>
      </w:r>
      <w:r w:rsidR="006371B2">
        <w:rPr>
          <w:rFonts w:cstheme="minorHAnsi"/>
          <w:lang w:val="en-MY" w:eastAsia="en-AU"/>
        </w:rPr>
        <w:t>s</w:t>
      </w:r>
      <w:r w:rsidR="00CE61FE" w:rsidRPr="0088670E">
        <w:rPr>
          <w:rFonts w:cstheme="minorHAnsi"/>
          <w:lang w:val="en-MY" w:eastAsia="en-AU"/>
        </w:rPr>
        <w:t xml:space="preserve"> several </w:t>
      </w:r>
      <w:r w:rsidR="00CE61FE">
        <w:rPr>
          <w:rFonts w:cstheme="minorHAnsi"/>
          <w:lang w:val="en-MY" w:eastAsia="en-AU"/>
        </w:rPr>
        <w:t xml:space="preserve">fundamental </w:t>
      </w:r>
      <w:r w:rsidR="00CE61FE" w:rsidRPr="0088670E">
        <w:rPr>
          <w:rFonts w:cstheme="minorHAnsi"/>
          <w:lang w:val="en-MY" w:eastAsia="en-AU"/>
        </w:rPr>
        <w:t xml:space="preserve">limitations with the </w:t>
      </w:r>
      <w:r>
        <w:rPr>
          <w:rFonts w:cstheme="minorHAnsi"/>
          <w:lang w:val="en-MY" w:eastAsia="en-AU"/>
        </w:rPr>
        <w:t xml:space="preserve">statistical </w:t>
      </w:r>
      <w:r w:rsidR="00CE61FE" w:rsidRPr="0088670E">
        <w:rPr>
          <w:rFonts w:cstheme="minorHAnsi"/>
          <w:lang w:val="en-MY" w:eastAsia="en-AU"/>
        </w:rPr>
        <w:t>data provided</w:t>
      </w:r>
      <w:r>
        <w:rPr>
          <w:rFonts w:cstheme="minorHAnsi"/>
          <w:lang w:val="en-MY" w:eastAsia="en-AU"/>
        </w:rPr>
        <w:t>,</w:t>
      </w:r>
      <w:r w:rsidR="00CE61FE" w:rsidRPr="0088670E">
        <w:rPr>
          <w:rFonts w:cstheme="minorHAnsi"/>
          <w:lang w:val="en-MY" w:eastAsia="en-AU"/>
        </w:rPr>
        <w:t xml:space="preserve"> </w:t>
      </w:r>
      <w:r w:rsidR="00847F25" w:rsidRPr="0088670E">
        <w:rPr>
          <w:rFonts w:cstheme="minorHAnsi"/>
          <w:lang w:val="en-MY" w:eastAsia="en-AU"/>
        </w:rPr>
        <w:t>in terms of</w:t>
      </w:r>
      <w:r w:rsidR="00847F25">
        <w:rPr>
          <w:rFonts w:cstheme="minorHAnsi"/>
          <w:lang w:val="en-MY" w:eastAsia="en-AU"/>
        </w:rPr>
        <w:t xml:space="preserve"> m</w:t>
      </w:r>
      <w:r w:rsidR="00847F25" w:rsidRPr="00456158">
        <w:rPr>
          <w:rFonts w:cstheme="minorHAnsi"/>
          <w:lang w:val="en-MY" w:eastAsia="en-AU"/>
        </w:rPr>
        <w:t>issing, incomplete and erroneous Stats Reporting Form data and Managers Report Form data, which were not consistently available across service providers, and in available reports contained various calculation errors, missing entries and fundamentally differing interpretations of counting rules</w:t>
      </w:r>
      <w:r w:rsidR="00847F25">
        <w:rPr>
          <w:rFonts w:cstheme="minorHAnsi"/>
          <w:lang w:val="en-MY" w:eastAsia="en-AU"/>
        </w:rPr>
        <w:t>.</w:t>
      </w:r>
      <w:r w:rsidR="00847F25">
        <w:rPr>
          <w:rStyle w:val="FootnoteReference"/>
          <w:rFonts w:cstheme="minorHAnsi"/>
          <w:lang w:val="en-MY" w:eastAsia="en-AU"/>
        </w:rPr>
        <w:footnoteReference w:id="117"/>
      </w:r>
    </w:p>
    <w:p w14:paraId="7E1317F7" w14:textId="77777777" w:rsidR="00CA54EE" w:rsidRDefault="00CA54EE" w:rsidP="00557266">
      <w:pPr>
        <w:jc w:val="both"/>
        <w:rPr>
          <w:rFonts w:cstheme="minorHAnsi"/>
          <w:lang w:val="en-MY" w:eastAsia="en-AU"/>
        </w:rPr>
      </w:pPr>
    </w:p>
    <w:p w14:paraId="3447D532" w14:textId="08398D2C" w:rsidR="00CA54EE" w:rsidRPr="00B21295" w:rsidRDefault="00CA54EE" w:rsidP="00CA54EE">
      <w:pPr>
        <w:jc w:val="both"/>
        <w:rPr>
          <w:rFonts w:cstheme="minorHAnsi"/>
          <w:lang w:val="en-MY" w:eastAsia="en-AU"/>
        </w:rPr>
      </w:pPr>
      <w:r w:rsidRPr="004F4469">
        <w:rPr>
          <w:rFonts w:cstheme="minorHAnsi"/>
          <w:lang w:val="en-MY" w:eastAsia="en-AU"/>
        </w:rPr>
        <w:t xml:space="preserve">All service providers </w:t>
      </w:r>
      <w:r>
        <w:rPr>
          <w:rFonts w:cstheme="minorHAnsi"/>
          <w:lang w:val="en-MY" w:eastAsia="en-AU"/>
        </w:rPr>
        <w:t xml:space="preserve">recognised </w:t>
      </w:r>
      <w:r w:rsidRPr="004F4469">
        <w:rPr>
          <w:rFonts w:cstheme="minorHAnsi"/>
          <w:lang w:val="en-MY" w:eastAsia="en-AU"/>
        </w:rPr>
        <w:t xml:space="preserve">that existing data collection and reporting activities were failing to meet the monitoring and evaluation needs of the program and that reports were </w:t>
      </w:r>
      <w:r>
        <w:rPr>
          <w:rFonts w:cstheme="minorHAnsi"/>
          <w:lang w:val="en-MY" w:eastAsia="en-AU"/>
        </w:rPr>
        <w:t xml:space="preserve">generally </w:t>
      </w:r>
      <w:r w:rsidRPr="004F4469">
        <w:rPr>
          <w:rFonts w:cstheme="minorHAnsi"/>
          <w:lang w:val="en-MY" w:eastAsia="en-AU"/>
        </w:rPr>
        <w:t>not used at the service level to inform a process of planning or continuous improvement, other than at the individual client level (where data informs case planning and scheduling of appointments).</w:t>
      </w:r>
      <w:r>
        <w:rPr>
          <w:rFonts w:cstheme="minorHAnsi"/>
          <w:lang w:val="en-MY" w:eastAsia="en-AU"/>
        </w:rPr>
        <w:t xml:space="preserve"> While management teams acknowledged legacy issues including historical use of manual data collection systems, human error in data entry, and a lack of time and enthusiasm for data inputting amongst case</w:t>
      </w:r>
      <w:r w:rsidR="00694565">
        <w:rPr>
          <w:rFonts w:cstheme="minorHAnsi"/>
          <w:lang w:val="en-MY" w:eastAsia="en-AU"/>
        </w:rPr>
        <w:t xml:space="preserve"> </w:t>
      </w:r>
      <w:r>
        <w:rPr>
          <w:rFonts w:cstheme="minorHAnsi"/>
          <w:lang w:val="en-MY" w:eastAsia="en-AU"/>
        </w:rPr>
        <w:t xml:space="preserve">workers, these ‘people’ factors were found to be only a small component of the problem (meaning an increased focus on user training or </w:t>
      </w:r>
      <w:r w:rsidRPr="00B21295">
        <w:rPr>
          <w:rFonts w:cstheme="minorHAnsi"/>
          <w:lang w:val="en-MY" w:eastAsia="en-AU"/>
        </w:rPr>
        <w:t>initiatives such as diarising time for data entry are a necessary but insufficient solution).</w:t>
      </w:r>
      <w:r w:rsidR="008C11C7">
        <w:rPr>
          <w:rFonts w:cstheme="minorHAnsi"/>
          <w:lang w:val="en-MY" w:eastAsia="en-AU"/>
        </w:rPr>
        <w:t xml:space="preserve"> It was also noted by one service provider involved in the trial of the youth service that </w:t>
      </w:r>
      <w:r w:rsidR="008C11C7" w:rsidRPr="008C11C7">
        <w:rPr>
          <w:rFonts w:cstheme="minorHAnsi"/>
          <w:lang w:val="en-MY" w:eastAsia="en-AU"/>
        </w:rPr>
        <w:t xml:space="preserve">support for data collection and analysis </w:t>
      </w:r>
      <w:r w:rsidR="008C11C7">
        <w:rPr>
          <w:rFonts w:cstheme="minorHAnsi"/>
          <w:lang w:val="en-MY" w:eastAsia="en-AU"/>
        </w:rPr>
        <w:t xml:space="preserve">provided during the trial phase was helpful, but did not continue to be made </w:t>
      </w:r>
      <w:r w:rsidR="008C11C7" w:rsidRPr="008C11C7">
        <w:rPr>
          <w:rFonts w:cstheme="minorHAnsi"/>
          <w:lang w:val="en-MY" w:eastAsia="en-AU"/>
        </w:rPr>
        <w:t xml:space="preserve">available during </w:t>
      </w:r>
      <w:r w:rsidR="008C11C7">
        <w:rPr>
          <w:rFonts w:cstheme="minorHAnsi"/>
          <w:lang w:val="en-MY" w:eastAsia="en-AU"/>
        </w:rPr>
        <w:t xml:space="preserve">following the </w:t>
      </w:r>
      <w:r w:rsidR="008C11C7" w:rsidRPr="008C11C7">
        <w:rPr>
          <w:rFonts w:cstheme="minorHAnsi"/>
          <w:lang w:val="en-MY" w:eastAsia="en-AU"/>
        </w:rPr>
        <w:t>pilot phase.</w:t>
      </w:r>
    </w:p>
    <w:p w14:paraId="255E78AA" w14:textId="77777777" w:rsidR="00CA54EE" w:rsidRPr="00B21295" w:rsidRDefault="00CA54EE" w:rsidP="00557266">
      <w:pPr>
        <w:jc w:val="both"/>
        <w:rPr>
          <w:rFonts w:cstheme="minorHAnsi"/>
          <w:lang w:val="en-MY" w:eastAsia="en-AU"/>
        </w:rPr>
      </w:pPr>
    </w:p>
    <w:p w14:paraId="4C6B9989" w14:textId="159E8C4B" w:rsidR="00125EF9" w:rsidRPr="00B21295" w:rsidRDefault="00557266" w:rsidP="00596F4E">
      <w:pPr>
        <w:jc w:val="both"/>
        <w:rPr>
          <w:rFonts w:cstheme="minorHAnsi"/>
          <w:lang w:val="en-MY" w:eastAsia="en-AU"/>
        </w:rPr>
      </w:pPr>
      <w:r w:rsidRPr="00B21295">
        <w:rPr>
          <w:rFonts w:cstheme="minorHAnsi"/>
          <w:lang w:val="en-MY" w:eastAsia="en-AU"/>
        </w:rPr>
        <w:t>When acknowledging the inadequacy of statistical performance reporting, s</w:t>
      </w:r>
      <w:r w:rsidR="00125EF9" w:rsidRPr="00B21295">
        <w:rPr>
          <w:rFonts w:cstheme="minorHAnsi"/>
          <w:lang w:val="en-MY" w:eastAsia="en-AU"/>
        </w:rPr>
        <w:t xml:space="preserve">ervice managers </w:t>
      </w:r>
      <w:r w:rsidRPr="00B21295">
        <w:rPr>
          <w:rFonts w:cstheme="minorHAnsi"/>
          <w:lang w:val="en-MY" w:eastAsia="en-AU"/>
        </w:rPr>
        <w:t>and data administrators</w:t>
      </w:r>
      <w:r w:rsidR="00CA54EE" w:rsidRPr="00B21295">
        <w:rPr>
          <w:rFonts w:cstheme="minorHAnsi"/>
          <w:lang w:val="en-MY" w:eastAsia="en-AU"/>
        </w:rPr>
        <w:t xml:space="preserve"> consistently stated that </w:t>
      </w:r>
      <w:r w:rsidR="00125EF9" w:rsidRPr="00B21295">
        <w:rPr>
          <w:rFonts w:cstheme="minorHAnsi"/>
          <w:lang w:val="en-MY" w:eastAsia="en-AU"/>
        </w:rPr>
        <w:t xml:space="preserve">data definitions in mandated statistical reports were </w:t>
      </w:r>
      <w:r w:rsidR="00CA54EE" w:rsidRPr="00B21295">
        <w:rPr>
          <w:rFonts w:cstheme="minorHAnsi"/>
          <w:lang w:val="en-MY" w:eastAsia="en-AU"/>
        </w:rPr>
        <w:t xml:space="preserve">either absent or </w:t>
      </w:r>
      <w:r w:rsidR="00125EF9" w:rsidRPr="00B21295">
        <w:rPr>
          <w:rFonts w:cstheme="minorHAnsi"/>
          <w:lang w:val="en-MY" w:eastAsia="en-AU"/>
        </w:rPr>
        <w:t xml:space="preserve">unclear and </w:t>
      </w:r>
      <w:r w:rsidR="00CA54EE" w:rsidRPr="00B21295">
        <w:rPr>
          <w:rFonts w:cstheme="minorHAnsi"/>
          <w:lang w:val="en-MY" w:eastAsia="en-AU"/>
        </w:rPr>
        <w:t xml:space="preserve">therefore </w:t>
      </w:r>
      <w:r w:rsidR="00125EF9" w:rsidRPr="00B21295">
        <w:rPr>
          <w:rFonts w:cstheme="minorHAnsi"/>
          <w:lang w:val="en-MY" w:eastAsia="en-AU"/>
        </w:rPr>
        <w:t xml:space="preserve">open to varying interpretations. </w:t>
      </w:r>
      <w:r w:rsidR="00CA54EE" w:rsidRPr="00B21295">
        <w:rPr>
          <w:rFonts w:cstheme="minorHAnsi"/>
          <w:lang w:val="en-MY" w:eastAsia="en-AU"/>
        </w:rPr>
        <w:t xml:space="preserve">Examples provided include whether </w:t>
      </w:r>
      <w:r w:rsidR="00125EF9" w:rsidRPr="00B21295">
        <w:rPr>
          <w:rFonts w:cstheme="minorHAnsi"/>
          <w:lang w:val="en-MY" w:eastAsia="en-AU"/>
        </w:rPr>
        <w:t>a client remaining with a service beyond a 24 month period is entered is as a new client; how to account for a client that re-joins a service following a repeat period of detention; when to take a client off the</w:t>
      </w:r>
      <w:r w:rsidR="00DF2348" w:rsidRPr="00B21295">
        <w:rPr>
          <w:rFonts w:cstheme="minorHAnsi"/>
          <w:lang w:val="en-MY" w:eastAsia="en-AU"/>
        </w:rPr>
        <w:t xml:space="preserve"> </w:t>
      </w:r>
      <w:r w:rsidR="00125EF9" w:rsidRPr="00B21295">
        <w:rPr>
          <w:rFonts w:cstheme="minorHAnsi"/>
          <w:lang w:val="en-MY" w:eastAsia="en-AU"/>
        </w:rPr>
        <w:t>active case</w:t>
      </w:r>
      <w:r w:rsidR="007E19B5">
        <w:rPr>
          <w:rFonts w:cstheme="minorHAnsi"/>
          <w:lang w:val="en-MY" w:eastAsia="en-AU"/>
        </w:rPr>
        <w:t>-</w:t>
      </w:r>
      <w:r w:rsidR="00125EF9" w:rsidRPr="00B21295">
        <w:rPr>
          <w:rFonts w:cstheme="minorHAnsi"/>
          <w:lang w:val="en-MY" w:eastAsia="en-AU"/>
        </w:rPr>
        <w:t>load; when to transfer a ‘brief intervention’ client to the active case</w:t>
      </w:r>
      <w:r w:rsidR="00694565">
        <w:rPr>
          <w:rFonts w:cstheme="minorHAnsi"/>
          <w:lang w:val="en-MY" w:eastAsia="en-AU"/>
        </w:rPr>
        <w:t>-</w:t>
      </w:r>
      <w:r w:rsidR="00125EF9" w:rsidRPr="00B21295">
        <w:rPr>
          <w:rFonts w:cstheme="minorHAnsi"/>
          <w:lang w:val="en-MY" w:eastAsia="en-AU"/>
        </w:rPr>
        <w:t>load</w:t>
      </w:r>
      <w:r w:rsidR="00CA54EE" w:rsidRPr="00B21295">
        <w:rPr>
          <w:rFonts w:cstheme="minorHAnsi"/>
          <w:lang w:val="en-MY" w:eastAsia="en-AU"/>
        </w:rPr>
        <w:t>; and whether to define a repeat offender on the basis of a charge or a conviction</w:t>
      </w:r>
      <w:r w:rsidR="00E671AC" w:rsidRPr="00B21295">
        <w:rPr>
          <w:rFonts w:cstheme="minorHAnsi"/>
          <w:lang w:val="en-MY" w:eastAsia="en-AU"/>
        </w:rPr>
        <w:t xml:space="preserve"> </w:t>
      </w:r>
      <w:r w:rsidR="00DF2348" w:rsidRPr="00B21295">
        <w:rPr>
          <w:rFonts w:cstheme="minorHAnsi"/>
          <w:lang w:val="en-MY" w:eastAsia="en-AU"/>
        </w:rPr>
        <w:t>(</w:t>
      </w:r>
      <w:r w:rsidR="00E671AC" w:rsidRPr="00B21295">
        <w:rPr>
          <w:rFonts w:cstheme="minorHAnsi"/>
          <w:lang w:val="en-MY" w:eastAsia="en-AU"/>
        </w:rPr>
        <w:t>and how this intersects with the severity of the offence</w:t>
      </w:r>
      <w:r w:rsidR="00DF2348" w:rsidRPr="00B21295">
        <w:rPr>
          <w:rFonts w:cstheme="minorHAnsi"/>
          <w:lang w:val="en-MY" w:eastAsia="en-AU"/>
        </w:rPr>
        <w:t>-type)</w:t>
      </w:r>
      <w:r w:rsidR="00CA54EE" w:rsidRPr="00B21295">
        <w:rPr>
          <w:rFonts w:cstheme="minorHAnsi"/>
          <w:lang w:val="en-MY" w:eastAsia="en-AU"/>
        </w:rPr>
        <w:t>.</w:t>
      </w:r>
      <w:r w:rsidR="00E671AC" w:rsidRPr="00B21295">
        <w:rPr>
          <w:rFonts w:cstheme="minorHAnsi"/>
          <w:lang w:val="en-MY" w:eastAsia="en-AU"/>
        </w:rPr>
        <w:t xml:space="preserve"> </w:t>
      </w:r>
      <w:r w:rsidR="00125EF9" w:rsidRPr="00B21295">
        <w:rPr>
          <w:rFonts w:cstheme="minorHAnsi"/>
          <w:lang w:val="en-MY" w:eastAsia="en-AU"/>
        </w:rPr>
        <w:t>Inconsistent interpretations of the criminogenic needs index was also identified by service managers as an issue, with criminogenic needs assessments regarded as subjective</w:t>
      </w:r>
      <w:r w:rsidR="00E671AC" w:rsidRPr="00B21295">
        <w:rPr>
          <w:rFonts w:cstheme="minorHAnsi"/>
          <w:lang w:val="en-MY" w:eastAsia="en-AU"/>
        </w:rPr>
        <w:t xml:space="preserve"> and overly negative (i.e. not strengths-based) </w:t>
      </w:r>
      <w:r w:rsidR="00125EF9" w:rsidRPr="00B21295">
        <w:rPr>
          <w:rFonts w:cstheme="minorHAnsi"/>
          <w:lang w:val="en-MY" w:eastAsia="en-AU"/>
        </w:rPr>
        <w:t>thereby limiting the value of the pre- and post-assessments</w:t>
      </w:r>
      <w:r w:rsidR="00E671AC" w:rsidRPr="00B21295">
        <w:rPr>
          <w:rFonts w:cstheme="minorHAnsi"/>
          <w:lang w:val="en-MY" w:eastAsia="en-AU"/>
        </w:rPr>
        <w:t xml:space="preserve"> as a measure of client progress</w:t>
      </w:r>
      <w:r w:rsidR="00125EF9" w:rsidRPr="00B21295">
        <w:rPr>
          <w:rFonts w:cstheme="minorHAnsi"/>
          <w:lang w:val="en-MY" w:eastAsia="en-AU"/>
        </w:rPr>
        <w:t>.</w:t>
      </w:r>
    </w:p>
    <w:p w14:paraId="0D2F9FE6" w14:textId="77777777" w:rsidR="00AB5273" w:rsidRPr="00B21295" w:rsidRDefault="00AB5273" w:rsidP="00AB5273">
      <w:pPr>
        <w:jc w:val="both"/>
        <w:rPr>
          <w:rFonts w:cstheme="minorHAnsi"/>
          <w:lang w:val="en-MY" w:eastAsia="en-AU"/>
        </w:rPr>
      </w:pPr>
    </w:p>
    <w:p w14:paraId="4775068B" w14:textId="2261A509" w:rsidR="00E671AC" w:rsidRPr="00B21295" w:rsidRDefault="00AB5273" w:rsidP="00E671AC">
      <w:pPr>
        <w:jc w:val="both"/>
        <w:rPr>
          <w:rFonts w:cstheme="minorHAnsi"/>
          <w:lang w:val="en-MY" w:eastAsia="en-AU"/>
        </w:rPr>
      </w:pPr>
      <w:r w:rsidRPr="00B21295">
        <w:rPr>
          <w:rFonts w:cstheme="minorHAnsi"/>
          <w:lang w:val="en-MY" w:eastAsia="en-AU"/>
        </w:rPr>
        <w:t xml:space="preserve">More fundamentally, service managers and case workers were unanimous in concluding that mandated data collection templates developed following the co-design process </w:t>
      </w:r>
      <w:r w:rsidR="00797067" w:rsidRPr="00B21295">
        <w:rPr>
          <w:rFonts w:cstheme="minorHAnsi"/>
          <w:lang w:val="en-MY" w:eastAsia="en-AU"/>
        </w:rPr>
        <w:t xml:space="preserve">failed to </w:t>
      </w:r>
      <w:r w:rsidRPr="00B21295">
        <w:rPr>
          <w:rFonts w:cstheme="minorHAnsi"/>
          <w:lang w:val="en-MY" w:eastAsia="en-AU"/>
        </w:rPr>
        <w:t xml:space="preserve">capture a true picture of </w:t>
      </w:r>
      <w:r w:rsidR="00797067" w:rsidRPr="00B21295">
        <w:rPr>
          <w:rFonts w:cstheme="minorHAnsi"/>
          <w:lang w:val="en-MY" w:eastAsia="en-AU"/>
        </w:rPr>
        <w:t xml:space="preserve">the types of </w:t>
      </w:r>
      <w:r w:rsidRPr="00B21295">
        <w:rPr>
          <w:rFonts w:cstheme="minorHAnsi"/>
          <w:lang w:val="en-MY" w:eastAsia="en-AU"/>
        </w:rPr>
        <w:t xml:space="preserve">service activity </w:t>
      </w:r>
      <w:r w:rsidR="00797067" w:rsidRPr="00B21295">
        <w:rPr>
          <w:rFonts w:cstheme="minorHAnsi"/>
          <w:lang w:val="en-MY" w:eastAsia="en-AU"/>
        </w:rPr>
        <w:t xml:space="preserve">and client </w:t>
      </w:r>
      <w:r w:rsidRPr="00B21295">
        <w:rPr>
          <w:rFonts w:cstheme="minorHAnsi"/>
          <w:lang w:val="en-MY" w:eastAsia="en-AU"/>
        </w:rPr>
        <w:t>outcomes</w:t>
      </w:r>
      <w:r w:rsidR="00797067" w:rsidRPr="00B21295">
        <w:rPr>
          <w:rFonts w:cstheme="minorHAnsi"/>
          <w:lang w:val="en-MY" w:eastAsia="en-AU"/>
        </w:rPr>
        <w:t xml:space="preserve"> they believed were representative of the program. Managers, for example, </w:t>
      </w:r>
      <w:r w:rsidRPr="00B21295">
        <w:rPr>
          <w:rFonts w:cstheme="minorHAnsi"/>
          <w:lang w:val="en-MY" w:eastAsia="en-AU"/>
        </w:rPr>
        <w:t>frequently describ</w:t>
      </w:r>
      <w:r w:rsidR="00797067" w:rsidRPr="00B21295">
        <w:rPr>
          <w:rFonts w:cstheme="minorHAnsi"/>
          <w:lang w:val="en-MY" w:eastAsia="en-AU"/>
        </w:rPr>
        <w:t xml:space="preserve">ed the </w:t>
      </w:r>
      <w:r w:rsidRPr="00B21295">
        <w:rPr>
          <w:rFonts w:cstheme="minorHAnsi"/>
          <w:lang w:val="en-MY" w:eastAsia="en-AU"/>
        </w:rPr>
        <w:t>templates as</w:t>
      </w:r>
      <w:r w:rsidR="00DF2348" w:rsidRPr="00B21295">
        <w:rPr>
          <w:rFonts w:cstheme="minorHAnsi"/>
          <w:lang w:val="en-MY" w:eastAsia="en-AU"/>
        </w:rPr>
        <w:t xml:space="preserve"> </w:t>
      </w:r>
      <w:r w:rsidRPr="00B21295">
        <w:rPr>
          <w:rFonts w:cstheme="minorHAnsi"/>
          <w:lang w:val="en-MY" w:eastAsia="en-AU"/>
        </w:rPr>
        <w:t>“repetitive” and “contact driven”</w:t>
      </w:r>
      <w:r w:rsidR="00797067" w:rsidRPr="00B21295">
        <w:rPr>
          <w:rFonts w:cstheme="minorHAnsi"/>
          <w:lang w:val="en-MY" w:eastAsia="en-AU"/>
        </w:rPr>
        <w:t xml:space="preserve">, indicating that </w:t>
      </w:r>
      <w:r w:rsidRPr="00B21295">
        <w:rPr>
          <w:rFonts w:cstheme="minorHAnsi"/>
          <w:lang w:val="en-MY" w:eastAsia="en-AU"/>
        </w:rPr>
        <w:t xml:space="preserve">statistical reports </w:t>
      </w:r>
      <w:r w:rsidR="00797067" w:rsidRPr="00B21295">
        <w:rPr>
          <w:rFonts w:cstheme="minorHAnsi"/>
          <w:lang w:val="en-MY" w:eastAsia="en-AU"/>
        </w:rPr>
        <w:t xml:space="preserve">were useful as a means of monitoring </w:t>
      </w:r>
      <w:r w:rsidR="00125EF9" w:rsidRPr="00B21295">
        <w:rPr>
          <w:rFonts w:cstheme="minorHAnsi"/>
          <w:lang w:val="en-MY" w:eastAsia="en-AU"/>
        </w:rPr>
        <w:t xml:space="preserve">case worker activity, but </w:t>
      </w:r>
      <w:r w:rsidRPr="00B21295">
        <w:rPr>
          <w:rFonts w:cstheme="minorHAnsi"/>
          <w:lang w:val="en-MY" w:eastAsia="en-AU"/>
        </w:rPr>
        <w:t>did not reflect the value of the service</w:t>
      </w:r>
      <w:r w:rsidR="00797067" w:rsidRPr="00B21295">
        <w:rPr>
          <w:rFonts w:cstheme="minorHAnsi"/>
          <w:lang w:val="en-MY" w:eastAsia="en-AU"/>
        </w:rPr>
        <w:t xml:space="preserve"> </w:t>
      </w:r>
      <w:r w:rsidRPr="00B21295">
        <w:rPr>
          <w:rFonts w:cstheme="minorHAnsi"/>
          <w:lang w:val="en-MY" w:eastAsia="en-AU"/>
        </w:rPr>
        <w:t>and the outcomes achieved for clients</w:t>
      </w:r>
      <w:r w:rsidR="00125EF9" w:rsidRPr="00B21295">
        <w:rPr>
          <w:rFonts w:cstheme="minorHAnsi"/>
          <w:lang w:val="en-MY" w:eastAsia="en-AU"/>
        </w:rPr>
        <w:t xml:space="preserve">, </w:t>
      </w:r>
      <w:r w:rsidR="00797067" w:rsidRPr="00B21295">
        <w:rPr>
          <w:rFonts w:cstheme="minorHAnsi"/>
          <w:lang w:val="en-MY" w:eastAsia="en-AU"/>
        </w:rPr>
        <w:t xml:space="preserve">which </w:t>
      </w:r>
      <w:r w:rsidR="00125EF9" w:rsidRPr="00B21295">
        <w:rPr>
          <w:rFonts w:cstheme="minorHAnsi"/>
          <w:lang w:val="en-MY" w:eastAsia="en-AU"/>
        </w:rPr>
        <w:t xml:space="preserve">are </w:t>
      </w:r>
      <w:r w:rsidRPr="00B21295">
        <w:rPr>
          <w:rFonts w:cstheme="minorHAnsi"/>
          <w:lang w:val="en-MY" w:eastAsia="en-AU"/>
        </w:rPr>
        <w:t>incremental, reversible, and inherent</w:t>
      </w:r>
      <w:r w:rsidR="00797067" w:rsidRPr="00B21295">
        <w:rPr>
          <w:rFonts w:cstheme="minorHAnsi"/>
          <w:lang w:val="en-MY" w:eastAsia="en-AU"/>
        </w:rPr>
        <w:t>ly</w:t>
      </w:r>
      <w:r w:rsidRPr="00B21295">
        <w:rPr>
          <w:rFonts w:cstheme="minorHAnsi"/>
          <w:lang w:val="en-MY" w:eastAsia="en-AU"/>
        </w:rPr>
        <w:t xml:space="preserve"> difficult to quantify. Case workers spoke </w:t>
      </w:r>
      <w:r w:rsidR="00125EF9" w:rsidRPr="00B21295">
        <w:rPr>
          <w:rFonts w:cstheme="minorHAnsi"/>
          <w:lang w:val="en-MY" w:eastAsia="en-AU"/>
        </w:rPr>
        <w:t xml:space="preserve">frequently </w:t>
      </w:r>
      <w:r w:rsidRPr="00B21295">
        <w:rPr>
          <w:rFonts w:cstheme="minorHAnsi"/>
          <w:lang w:val="en-MY" w:eastAsia="en-AU"/>
        </w:rPr>
        <w:t xml:space="preserve">of client successes in terms of a “small changes in mindset” and an approach to the client’s relationship with the world that was not </w:t>
      </w:r>
      <w:r w:rsidR="00125EF9" w:rsidRPr="00B21295">
        <w:rPr>
          <w:rFonts w:cstheme="minorHAnsi"/>
          <w:lang w:val="en-MY" w:eastAsia="en-AU"/>
        </w:rPr>
        <w:t xml:space="preserve">adequately </w:t>
      </w:r>
      <w:r w:rsidRPr="00B21295">
        <w:rPr>
          <w:rFonts w:cstheme="minorHAnsi"/>
          <w:lang w:val="en-MY" w:eastAsia="en-AU"/>
        </w:rPr>
        <w:t>captured in reported statistics. For example, a client might initially accept but later refuse or defer contact with a secondary service because they don’t feel ready, their goals have changed, or they’ve attend once and not seen the benefit –</w:t>
      </w:r>
      <w:r w:rsidR="00437B55" w:rsidRPr="00B21295">
        <w:rPr>
          <w:rFonts w:cstheme="minorHAnsi"/>
          <w:lang w:val="en-MY" w:eastAsia="en-AU"/>
        </w:rPr>
        <w:t xml:space="preserve"> </w:t>
      </w:r>
      <w:r w:rsidRPr="00B21295">
        <w:rPr>
          <w:rFonts w:cstheme="minorHAnsi"/>
          <w:lang w:val="en-MY" w:eastAsia="en-AU"/>
        </w:rPr>
        <w:t xml:space="preserve">all part of their personal development journey – but this nuance is lost by simply recording the </w:t>
      </w:r>
      <w:r w:rsidR="00437B55" w:rsidRPr="00B21295">
        <w:rPr>
          <w:rFonts w:cstheme="minorHAnsi"/>
          <w:lang w:val="en-MY" w:eastAsia="en-AU"/>
        </w:rPr>
        <w:t xml:space="preserve">fact of a </w:t>
      </w:r>
      <w:r w:rsidRPr="00B21295">
        <w:rPr>
          <w:rFonts w:cstheme="minorHAnsi"/>
          <w:lang w:val="en-MY" w:eastAsia="en-AU"/>
        </w:rPr>
        <w:t xml:space="preserve">contact (or lack thereof). </w:t>
      </w:r>
    </w:p>
    <w:p w14:paraId="2275195A" w14:textId="77777777" w:rsidR="00E671AC" w:rsidRPr="00B21295" w:rsidRDefault="00E671AC" w:rsidP="00E671AC">
      <w:pPr>
        <w:jc w:val="both"/>
        <w:rPr>
          <w:rFonts w:cstheme="minorHAnsi"/>
          <w:lang w:val="en-MY" w:eastAsia="en-AU"/>
        </w:rPr>
      </w:pPr>
    </w:p>
    <w:p w14:paraId="3849C65A" w14:textId="77777777" w:rsidR="00716915" w:rsidRDefault="00E671AC" w:rsidP="00E671AC">
      <w:pPr>
        <w:jc w:val="both"/>
        <w:rPr>
          <w:rFonts w:cstheme="minorHAnsi"/>
          <w:lang w:val="en-MY" w:eastAsia="en-AU"/>
        </w:rPr>
      </w:pPr>
      <w:r w:rsidRPr="00B21295">
        <w:rPr>
          <w:rFonts w:cstheme="minorHAnsi"/>
          <w:lang w:val="en-MY" w:eastAsia="en-AU"/>
        </w:rPr>
        <w:t xml:space="preserve">Reflecting </w:t>
      </w:r>
      <w:r w:rsidR="00437B55" w:rsidRPr="00B21295">
        <w:rPr>
          <w:rFonts w:cstheme="minorHAnsi"/>
          <w:lang w:val="en-MY" w:eastAsia="en-AU"/>
        </w:rPr>
        <w:t xml:space="preserve">these </w:t>
      </w:r>
      <w:r w:rsidRPr="00B21295">
        <w:rPr>
          <w:rFonts w:cstheme="minorHAnsi"/>
          <w:lang w:val="en-MY" w:eastAsia="en-AU"/>
        </w:rPr>
        <w:t>general findings, YTC services indicated that current data collection systems fail to adequately report on important practice elements such as engagement with family and peers. For youth it was suggested that indicators around “reconnecting to family and kin” were limited and failed to distinguish between cases where family engagement was important to clients and cases where such engagement was something to be actively avoided. Although arguably beyond the scope of expected service delivery, interactions with family and peers that did not directly involve the primary client were regarded to be under recorded, notwithstanding the rationale that these interactions were part of an holistic service to the primary client. Simply being able to “tick the box if you’ve worked with family” was not regarded as adequately capturing the full extent of meaningful service delivery involving the client’s family or the proportion of time invested by the case worker in doing so.</w:t>
      </w:r>
    </w:p>
    <w:p w14:paraId="3D8E8497" w14:textId="77777777" w:rsidR="00716915" w:rsidRDefault="00716915" w:rsidP="00E671AC">
      <w:pPr>
        <w:jc w:val="both"/>
        <w:rPr>
          <w:rFonts w:cstheme="minorHAnsi"/>
          <w:lang w:val="en-MY" w:eastAsia="en-AU"/>
        </w:rPr>
      </w:pPr>
    </w:p>
    <w:p w14:paraId="45CAA272" w14:textId="0822B59F" w:rsidR="00E671AC" w:rsidRDefault="00E671AC" w:rsidP="00E671AC">
      <w:pPr>
        <w:jc w:val="both"/>
        <w:rPr>
          <w:rFonts w:cstheme="minorHAnsi"/>
          <w:lang w:val="en-MY" w:eastAsia="en-AU"/>
        </w:rPr>
      </w:pPr>
      <w:r w:rsidRPr="004F4469">
        <w:rPr>
          <w:rFonts w:cstheme="minorHAnsi"/>
          <w:lang w:val="en-MY" w:eastAsia="en-AU"/>
        </w:rPr>
        <w:t xml:space="preserve">Due to the absence of performance management systems able to generate robust monitoring data, </w:t>
      </w:r>
      <w:r w:rsidR="00437B55">
        <w:rPr>
          <w:rFonts w:cstheme="minorHAnsi"/>
          <w:lang w:val="en-MY" w:eastAsia="en-AU"/>
        </w:rPr>
        <w:t xml:space="preserve">services have not been able to successfully evidence </w:t>
      </w:r>
      <w:r w:rsidRPr="004F4469">
        <w:rPr>
          <w:rFonts w:cstheme="minorHAnsi"/>
          <w:lang w:val="en-MY" w:eastAsia="en-AU"/>
        </w:rPr>
        <w:t>their progress against outcomes</w:t>
      </w:r>
      <w:r w:rsidR="00437B55">
        <w:rPr>
          <w:rFonts w:cstheme="minorHAnsi"/>
          <w:lang w:val="en-MY" w:eastAsia="en-AU"/>
        </w:rPr>
        <w:t xml:space="preserve"> statistically</w:t>
      </w:r>
      <w:r w:rsidRPr="004F4469">
        <w:rPr>
          <w:rFonts w:cstheme="minorHAnsi"/>
          <w:lang w:val="en-MY" w:eastAsia="en-AU"/>
        </w:rPr>
        <w:t xml:space="preserve">. This </w:t>
      </w:r>
      <w:r w:rsidR="00437B55">
        <w:rPr>
          <w:rFonts w:cstheme="minorHAnsi"/>
          <w:lang w:val="en-MY" w:eastAsia="en-AU"/>
        </w:rPr>
        <w:t xml:space="preserve">has not only </w:t>
      </w:r>
      <w:r w:rsidRPr="004F4469">
        <w:rPr>
          <w:rFonts w:cstheme="minorHAnsi"/>
          <w:lang w:val="en-MY" w:eastAsia="en-AU"/>
        </w:rPr>
        <w:t xml:space="preserve">hindered their </w:t>
      </w:r>
      <w:r w:rsidR="00437B55">
        <w:rPr>
          <w:rFonts w:cstheme="minorHAnsi"/>
          <w:lang w:val="en-MY" w:eastAsia="en-AU"/>
        </w:rPr>
        <w:t xml:space="preserve">ability </w:t>
      </w:r>
      <w:r w:rsidRPr="004F4469">
        <w:rPr>
          <w:rFonts w:cstheme="minorHAnsi"/>
          <w:lang w:val="en-MY" w:eastAsia="en-AU"/>
        </w:rPr>
        <w:t xml:space="preserve">to identify their achievements and successes, </w:t>
      </w:r>
      <w:r w:rsidR="00437B55">
        <w:rPr>
          <w:rFonts w:cstheme="minorHAnsi"/>
          <w:lang w:val="en-MY" w:eastAsia="en-AU"/>
        </w:rPr>
        <w:t xml:space="preserve">but </w:t>
      </w:r>
      <w:r w:rsidRPr="004F4469">
        <w:rPr>
          <w:rFonts w:cstheme="minorHAnsi"/>
          <w:lang w:val="en-MY" w:eastAsia="en-AU"/>
        </w:rPr>
        <w:t>h</w:t>
      </w:r>
      <w:r w:rsidR="00437B55">
        <w:rPr>
          <w:rFonts w:cstheme="minorHAnsi"/>
          <w:lang w:val="en-MY" w:eastAsia="en-AU"/>
        </w:rPr>
        <w:t xml:space="preserve">inders </w:t>
      </w:r>
      <w:r w:rsidRPr="004F4469">
        <w:rPr>
          <w:rFonts w:cstheme="minorHAnsi"/>
          <w:lang w:val="en-MY" w:eastAsia="en-AU"/>
        </w:rPr>
        <w:t xml:space="preserve">their capacity to modify and adjust </w:t>
      </w:r>
      <w:r w:rsidR="00437B55">
        <w:rPr>
          <w:rFonts w:cstheme="minorHAnsi"/>
          <w:lang w:val="en-MY" w:eastAsia="en-AU"/>
        </w:rPr>
        <w:t xml:space="preserve">programs </w:t>
      </w:r>
      <w:r w:rsidRPr="004F4469">
        <w:rPr>
          <w:rFonts w:cstheme="minorHAnsi"/>
          <w:lang w:val="en-MY" w:eastAsia="en-AU"/>
        </w:rPr>
        <w:t>in light of findings.</w:t>
      </w:r>
      <w:r>
        <w:rPr>
          <w:rFonts w:cstheme="minorHAnsi"/>
          <w:lang w:val="en-MY" w:eastAsia="en-AU"/>
        </w:rPr>
        <w:t xml:space="preserve"> </w:t>
      </w:r>
      <w:r w:rsidR="00AB5273" w:rsidRPr="00AB5273">
        <w:rPr>
          <w:rFonts w:cstheme="minorHAnsi"/>
          <w:lang w:val="en-MY" w:eastAsia="en-AU"/>
        </w:rPr>
        <w:t xml:space="preserve">As a partial solution to this </w:t>
      </w:r>
      <w:r w:rsidR="00437B55">
        <w:rPr>
          <w:rFonts w:cstheme="minorHAnsi"/>
          <w:lang w:val="en-MY" w:eastAsia="en-AU"/>
        </w:rPr>
        <w:t>problem</w:t>
      </w:r>
      <w:r w:rsidR="00AB5273" w:rsidRPr="00AB5273">
        <w:rPr>
          <w:rFonts w:cstheme="minorHAnsi"/>
          <w:lang w:val="en-MY" w:eastAsia="en-AU"/>
        </w:rPr>
        <w:t xml:space="preserve">, some service providers have </w:t>
      </w:r>
      <w:r w:rsidR="00437B55">
        <w:rPr>
          <w:rFonts w:cstheme="minorHAnsi"/>
          <w:lang w:val="en-MY" w:eastAsia="en-AU"/>
        </w:rPr>
        <w:t xml:space="preserve">sought to emphasise </w:t>
      </w:r>
      <w:r w:rsidR="00AB5273" w:rsidRPr="00AB5273">
        <w:rPr>
          <w:rFonts w:cstheme="minorHAnsi"/>
          <w:lang w:val="en-MY" w:eastAsia="en-AU"/>
        </w:rPr>
        <w:t xml:space="preserve">qualitative reporting and case studies over the statistical reports, but these tend not to be analysed </w:t>
      </w:r>
      <w:r w:rsidR="00437B55">
        <w:rPr>
          <w:rFonts w:cstheme="minorHAnsi"/>
          <w:lang w:val="en-MY" w:eastAsia="en-AU"/>
        </w:rPr>
        <w:t xml:space="preserve">in time series, </w:t>
      </w:r>
      <w:r w:rsidR="00BA1F92">
        <w:rPr>
          <w:rFonts w:cstheme="minorHAnsi"/>
          <w:lang w:val="en-MY" w:eastAsia="en-AU"/>
        </w:rPr>
        <w:t>n</w:t>
      </w:r>
      <w:r w:rsidR="00AB5273" w:rsidRPr="00AB5273">
        <w:rPr>
          <w:rFonts w:cstheme="minorHAnsi"/>
          <w:lang w:val="en-MY" w:eastAsia="en-AU"/>
        </w:rPr>
        <w:t>or linked to other client data</w:t>
      </w:r>
      <w:r w:rsidR="00437B55">
        <w:rPr>
          <w:rFonts w:cstheme="minorHAnsi"/>
          <w:lang w:val="en-MY" w:eastAsia="en-AU"/>
        </w:rPr>
        <w:t xml:space="preserve">, </w:t>
      </w:r>
      <w:r w:rsidR="00AB5273" w:rsidRPr="00AB5273">
        <w:rPr>
          <w:rFonts w:cstheme="minorHAnsi"/>
          <w:lang w:val="en-MY" w:eastAsia="en-AU"/>
        </w:rPr>
        <w:t xml:space="preserve">and exist in reporting as </w:t>
      </w:r>
      <w:r w:rsidR="00DF29D3">
        <w:rPr>
          <w:rFonts w:cstheme="minorHAnsi"/>
          <w:lang w:val="en-MY" w:eastAsia="en-AU"/>
        </w:rPr>
        <w:t xml:space="preserve">a </w:t>
      </w:r>
      <w:r w:rsidR="00AB5273" w:rsidRPr="00AB5273">
        <w:rPr>
          <w:rFonts w:cstheme="minorHAnsi"/>
          <w:lang w:val="en-MY" w:eastAsia="en-AU"/>
        </w:rPr>
        <w:t>list of anecdotal stories.</w:t>
      </w:r>
    </w:p>
    <w:p w14:paraId="2A882FC3" w14:textId="77777777" w:rsidR="00E671AC" w:rsidRDefault="00E671AC" w:rsidP="00E671AC">
      <w:pPr>
        <w:jc w:val="both"/>
        <w:rPr>
          <w:rFonts w:cstheme="minorHAnsi"/>
          <w:lang w:val="en-MY" w:eastAsia="en-AU"/>
        </w:rPr>
      </w:pPr>
    </w:p>
    <w:p w14:paraId="4004A21C" w14:textId="0CCBD66E" w:rsidR="00DF29D3" w:rsidRDefault="00B63A8F" w:rsidP="00E671AC">
      <w:pPr>
        <w:jc w:val="both"/>
        <w:rPr>
          <w:rFonts w:cstheme="minorHAnsi"/>
          <w:lang w:val="en-MY" w:eastAsia="en-AU"/>
        </w:rPr>
      </w:pPr>
      <w:r w:rsidRPr="00E671AC">
        <w:rPr>
          <w:rFonts w:cstheme="minorHAnsi"/>
          <w:lang w:val="en-MY" w:eastAsia="en-AU"/>
        </w:rPr>
        <w:t>In recognition of the inadequacy of existing manual</w:t>
      </w:r>
      <w:r w:rsidR="00437B55">
        <w:rPr>
          <w:rFonts w:cstheme="minorHAnsi"/>
          <w:lang w:val="en-MY" w:eastAsia="en-AU"/>
        </w:rPr>
        <w:t xml:space="preserve"> </w:t>
      </w:r>
      <w:r w:rsidRPr="00E671AC">
        <w:rPr>
          <w:rFonts w:cstheme="minorHAnsi"/>
          <w:lang w:val="en-MY" w:eastAsia="en-AU"/>
        </w:rPr>
        <w:t>systems</w:t>
      </w:r>
      <w:r w:rsidR="00437B55">
        <w:rPr>
          <w:rFonts w:cstheme="minorHAnsi"/>
          <w:lang w:val="en-MY" w:eastAsia="en-AU"/>
        </w:rPr>
        <w:t xml:space="preserve">, which are </w:t>
      </w:r>
      <w:r w:rsidR="00437B55" w:rsidRPr="00E671AC">
        <w:rPr>
          <w:rFonts w:cstheme="minorHAnsi"/>
          <w:lang w:val="en-MY" w:eastAsia="en-AU"/>
        </w:rPr>
        <w:t>inefficient and error-prone</w:t>
      </w:r>
      <w:r w:rsidRPr="00E671AC">
        <w:rPr>
          <w:rFonts w:cstheme="minorHAnsi"/>
          <w:lang w:val="en-MY" w:eastAsia="en-AU"/>
        </w:rPr>
        <w:t>, s</w:t>
      </w:r>
      <w:r w:rsidR="004F6FF7" w:rsidRPr="00E671AC">
        <w:rPr>
          <w:rFonts w:cstheme="minorHAnsi"/>
          <w:lang w:val="en-MY" w:eastAsia="en-AU"/>
        </w:rPr>
        <w:t xml:space="preserve">everal </w:t>
      </w:r>
      <w:r w:rsidR="00EA76A6" w:rsidRPr="00E671AC">
        <w:rPr>
          <w:rFonts w:cstheme="minorHAnsi"/>
          <w:lang w:val="en-MY" w:eastAsia="en-AU"/>
        </w:rPr>
        <w:t xml:space="preserve">service providers are in the early stages of transferring data collection processes to </w:t>
      </w:r>
      <w:r w:rsidR="000F3561" w:rsidRPr="00E671AC">
        <w:rPr>
          <w:rFonts w:cstheme="minorHAnsi"/>
          <w:lang w:val="en-MY" w:eastAsia="en-AU"/>
        </w:rPr>
        <w:t>online c</w:t>
      </w:r>
      <w:r w:rsidR="00EA76A6" w:rsidRPr="00E671AC">
        <w:rPr>
          <w:rFonts w:cstheme="minorHAnsi"/>
          <w:lang w:val="en-MY" w:eastAsia="en-AU"/>
        </w:rPr>
        <w:t xml:space="preserve">lient relationship management systems as part of </w:t>
      </w:r>
      <w:r w:rsidR="00437B55">
        <w:rPr>
          <w:rFonts w:cstheme="minorHAnsi"/>
          <w:lang w:val="en-MY" w:eastAsia="en-AU"/>
        </w:rPr>
        <w:t xml:space="preserve">broader </w:t>
      </w:r>
      <w:r w:rsidR="000F3561" w:rsidRPr="00E671AC">
        <w:rPr>
          <w:rFonts w:cstheme="minorHAnsi"/>
          <w:lang w:val="en-MY" w:eastAsia="en-AU"/>
        </w:rPr>
        <w:t>organisation</w:t>
      </w:r>
      <w:r w:rsidR="00437B55">
        <w:rPr>
          <w:rFonts w:cstheme="minorHAnsi"/>
          <w:lang w:val="en-MY" w:eastAsia="en-AU"/>
        </w:rPr>
        <w:t>al</w:t>
      </w:r>
      <w:r w:rsidR="000F3561" w:rsidRPr="00E671AC">
        <w:rPr>
          <w:rFonts w:cstheme="minorHAnsi"/>
          <w:lang w:val="en-MY" w:eastAsia="en-AU"/>
        </w:rPr>
        <w:t xml:space="preserve"> </w:t>
      </w:r>
      <w:r w:rsidR="00EA76A6" w:rsidRPr="00E671AC">
        <w:rPr>
          <w:rFonts w:cstheme="minorHAnsi"/>
          <w:lang w:val="en-MY" w:eastAsia="en-AU"/>
        </w:rPr>
        <w:t>transformation projects</w:t>
      </w:r>
      <w:r w:rsidRPr="00E671AC">
        <w:rPr>
          <w:rFonts w:cstheme="minorHAnsi"/>
          <w:lang w:val="en-MY" w:eastAsia="en-AU"/>
        </w:rPr>
        <w:t xml:space="preserve">. These will have </w:t>
      </w:r>
      <w:r w:rsidR="00EA76A6" w:rsidRPr="00E671AC">
        <w:rPr>
          <w:rFonts w:cstheme="minorHAnsi"/>
          <w:lang w:val="en-MY" w:eastAsia="en-AU"/>
        </w:rPr>
        <w:t>wide-reaching consequences for human resource management</w:t>
      </w:r>
      <w:r w:rsidR="00C0153F" w:rsidRPr="00E671AC">
        <w:rPr>
          <w:rFonts w:cstheme="minorHAnsi"/>
          <w:lang w:val="en-MY" w:eastAsia="en-AU"/>
        </w:rPr>
        <w:t xml:space="preserve"> as well as data collection and reporting processes</w:t>
      </w:r>
      <w:r w:rsidRPr="00E671AC">
        <w:rPr>
          <w:rFonts w:cstheme="minorHAnsi"/>
          <w:lang w:val="en-MY" w:eastAsia="en-AU"/>
        </w:rPr>
        <w:t xml:space="preserve"> </w:t>
      </w:r>
      <w:r w:rsidR="000F3561" w:rsidRPr="00E671AC">
        <w:rPr>
          <w:rFonts w:cstheme="minorHAnsi"/>
          <w:lang w:val="en-MY" w:eastAsia="en-AU"/>
        </w:rPr>
        <w:t>across these services</w:t>
      </w:r>
      <w:r w:rsidR="00C0153F" w:rsidRPr="00E671AC">
        <w:rPr>
          <w:rFonts w:cstheme="minorHAnsi"/>
          <w:lang w:val="en-MY" w:eastAsia="en-AU"/>
        </w:rPr>
        <w:t>. While the introduction of these systems has the potential to improve data collection and reporting practices, the implementation of these systems is in the early phases and an assessment of their value cannot be made at this stage.</w:t>
      </w:r>
    </w:p>
    <w:p w14:paraId="5ED14007" w14:textId="6B821B76" w:rsidR="00473742" w:rsidRDefault="00473742" w:rsidP="00716915">
      <w:pPr>
        <w:pStyle w:val="SUBHEAD2"/>
        <w:rPr>
          <w:rFonts w:asciiTheme="minorHAnsi" w:hAnsiTheme="minorHAnsi" w:cstheme="minorHAnsi"/>
          <w:lang w:val="en-MY" w:eastAsia="en-AU"/>
        </w:rPr>
      </w:pPr>
      <w:r w:rsidRPr="00716915">
        <w:rPr>
          <w:rFonts w:asciiTheme="minorHAnsi" w:hAnsiTheme="minorHAnsi" w:cstheme="minorHAnsi"/>
          <w:lang w:val="en-MY" w:eastAsia="en-AU"/>
        </w:rPr>
        <w:t>Requirements to Inform Closing the Gap Justice Targets</w:t>
      </w:r>
    </w:p>
    <w:p w14:paraId="2AEFFC17" w14:textId="77777777" w:rsidR="003D4746" w:rsidRDefault="003D4746" w:rsidP="009406FE">
      <w:pPr>
        <w:jc w:val="both"/>
        <w:rPr>
          <w:rFonts w:cstheme="minorHAnsi"/>
          <w:lang w:val="en-MY" w:eastAsia="en-AU"/>
        </w:rPr>
      </w:pPr>
    </w:p>
    <w:p w14:paraId="24EC942A" w14:textId="5F932499" w:rsidR="00457A6B" w:rsidRDefault="00457A6B" w:rsidP="009406FE">
      <w:pPr>
        <w:jc w:val="both"/>
        <w:rPr>
          <w:rFonts w:cstheme="minorHAnsi"/>
          <w:lang w:val="en-MY" w:eastAsia="en-AU"/>
        </w:rPr>
      </w:pPr>
      <w:r>
        <w:rPr>
          <w:rFonts w:cstheme="minorHAnsi"/>
          <w:lang w:val="en-MY" w:eastAsia="en-AU"/>
        </w:rPr>
        <w:t>Closing the Gap justice targets, specifically outcomes 10 and 11,</w:t>
      </w:r>
      <w:r>
        <w:rPr>
          <w:rStyle w:val="FootnoteReference"/>
          <w:rFonts w:cstheme="minorHAnsi"/>
          <w:lang w:val="en-MY" w:eastAsia="en-AU"/>
        </w:rPr>
        <w:footnoteReference w:id="118"/>
      </w:r>
      <w:r>
        <w:rPr>
          <w:rFonts w:cstheme="minorHAnsi"/>
          <w:lang w:val="en-MY" w:eastAsia="en-AU"/>
        </w:rPr>
        <w:t xml:space="preserve"> require the measurement of rates of </w:t>
      </w:r>
      <w:r w:rsidRPr="00457A6B">
        <w:rPr>
          <w:rFonts w:cstheme="minorHAnsi"/>
          <w:lang w:val="en-MY" w:eastAsia="en-AU"/>
        </w:rPr>
        <w:t xml:space="preserve">Aboriginal and Torres Strait Islander incarceration </w:t>
      </w:r>
      <w:r>
        <w:rPr>
          <w:rFonts w:cstheme="minorHAnsi"/>
          <w:lang w:val="en-MY" w:eastAsia="en-AU"/>
        </w:rPr>
        <w:t>(adults) and detention (</w:t>
      </w:r>
      <w:r w:rsidRPr="00457A6B">
        <w:rPr>
          <w:rFonts w:cstheme="minorHAnsi"/>
          <w:lang w:val="en-MY" w:eastAsia="en-AU"/>
        </w:rPr>
        <w:t xml:space="preserve">young people </w:t>
      </w:r>
      <w:r>
        <w:rPr>
          <w:rFonts w:cstheme="minorHAnsi"/>
          <w:lang w:val="en-MY" w:eastAsia="en-AU"/>
        </w:rPr>
        <w:t xml:space="preserve">aged </w:t>
      </w:r>
      <w:r w:rsidRPr="00457A6B">
        <w:rPr>
          <w:rFonts w:cstheme="minorHAnsi"/>
          <w:lang w:val="en-MY" w:eastAsia="en-AU"/>
        </w:rPr>
        <w:t>10-17 years).</w:t>
      </w:r>
      <w:r>
        <w:rPr>
          <w:rFonts w:cstheme="minorHAnsi"/>
          <w:lang w:val="en-MY" w:eastAsia="en-AU"/>
        </w:rPr>
        <w:t xml:space="preserve"> </w:t>
      </w:r>
      <w:r w:rsidR="00FD6971">
        <w:rPr>
          <w:rFonts w:cstheme="minorHAnsi"/>
          <w:lang w:val="en-MY" w:eastAsia="en-AU"/>
        </w:rPr>
        <w:t>D</w:t>
      </w:r>
      <w:r>
        <w:rPr>
          <w:rFonts w:cstheme="minorHAnsi"/>
          <w:lang w:val="en-MY" w:eastAsia="en-AU"/>
        </w:rPr>
        <w:t xml:space="preserve">ata regarding rates of incarceration and detention is collected by the relevant State or Territory corrective services agency, </w:t>
      </w:r>
      <w:r w:rsidR="00FD6971">
        <w:rPr>
          <w:rFonts w:cstheme="minorHAnsi"/>
          <w:lang w:val="en-MY" w:eastAsia="en-AU"/>
        </w:rPr>
        <w:t>and published by the Australian Bureau of Statistics (ABS) and Australian Institute of Health and Welfare (AIHW).</w:t>
      </w:r>
      <w:r w:rsidR="00FD6971" w:rsidRPr="00FD6971">
        <w:rPr>
          <w:rStyle w:val="FootnoteReference"/>
          <w:rFonts w:cstheme="minorHAnsi"/>
          <w:lang w:val="en-MY" w:eastAsia="en-AU"/>
        </w:rPr>
        <w:t xml:space="preserve"> </w:t>
      </w:r>
      <w:r w:rsidR="00FD6971">
        <w:rPr>
          <w:rStyle w:val="FootnoteReference"/>
          <w:rFonts w:cstheme="minorHAnsi"/>
          <w:lang w:val="en-MY" w:eastAsia="en-AU"/>
        </w:rPr>
        <w:footnoteReference w:id="119"/>
      </w:r>
      <w:r w:rsidR="00FD6971" w:rsidRPr="00FD6971">
        <w:rPr>
          <w:rFonts w:cstheme="minorHAnsi"/>
          <w:vertAlign w:val="superscript"/>
          <w:lang w:val="en-MY" w:eastAsia="en-AU"/>
        </w:rPr>
        <w:t>,</w:t>
      </w:r>
      <w:r w:rsidR="00FD6971">
        <w:rPr>
          <w:rStyle w:val="FootnoteReference"/>
          <w:rFonts w:cstheme="minorHAnsi"/>
          <w:lang w:val="en-MY" w:eastAsia="en-AU"/>
        </w:rPr>
        <w:footnoteReference w:id="120"/>
      </w:r>
      <w:r w:rsidR="00FD6971">
        <w:rPr>
          <w:rFonts w:cstheme="minorHAnsi"/>
          <w:lang w:val="en-MY" w:eastAsia="en-AU"/>
        </w:rPr>
        <w:t xml:space="preserve"> </w:t>
      </w:r>
    </w:p>
    <w:p w14:paraId="5AA9DFB6" w14:textId="77777777" w:rsidR="00457A6B" w:rsidRDefault="00457A6B" w:rsidP="009406FE">
      <w:pPr>
        <w:jc w:val="both"/>
        <w:rPr>
          <w:rFonts w:cstheme="minorHAnsi"/>
          <w:lang w:val="en-MY" w:eastAsia="en-AU"/>
        </w:rPr>
      </w:pPr>
    </w:p>
    <w:p w14:paraId="65A8FFCB" w14:textId="2F206A50" w:rsidR="00664D6E" w:rsidRPr="00B21295" w:rsidRDefault="00C90936" w:rsidP="009406FE">
      <w:pPr>
        <w:jc w:val="both"/>
        <w:rPr>
          <w:rFonts w:cstheme="minorHAnsi"/>
          <w:lang w:val="en-MY" w:eastAsia="en-AU"/>
        </w:rPr>
      </w:pPr>
      <w:r>
        <w:rPr>
          <w:rFonts w:cstheme="minorHAnsi"/>
          <w:lang w:val="en-MY" w:eastAsia="en-AU"/>
        </w:rPr>
        <w:t xml:space="preserve">For ATC and YTC program data to inform </w:t>
      </w:r>
      <w:r w:rsidR="00930B85">
        <w:rPr>
          <w:rFonts w:cstheme="minorHAnsi"/>
          <w:lang w:val="en-MY" w:eastAsia="en-AU"/>
        </w:rPr>
        <w:t xml:space="preserve">or compliment </w:t>
      </w:r>
      <w:r>
        <w:rPr>
          <w:rFonts w:cstheme="minorHAnsi"/>
          <w:lang w:val="en-MY" w:eastAsia="en-AU"/>
        </w:rPr>
        <w:t>these targets would require measurement of the rate of recidivism</w:t>
      </w:r>
      <w:r w:rsidR="002516C4">
        <w:rPr>
          <w:rFonts w:cstheme="minorHAnsi"/>
          <w:lang w:val="en-MY" w:eastAsia="en-AU"/>
        </w:rPr>
        <w:t xml:space="preserve">, </w:t>
      </w:r>
      <w:r>
        <w:rPr>
          <w:rFonts w:cstheme="minorHAnsi"/>
          <w:lang w:val="en-MY" w:eastAsia="en-AU"/>
        </w:rPr>
        <w:t>and hence the contribution made by the</w:t>
      </w:r>
      <w:r w:rsidR="002516C4">
        <w:rPr>
          <w:rFonts w:cstheme="minorHAnsi"/>
          <w:lang w:val="en-MY" w:eastAsia="en-AU"/>
        </w:rPr>
        <w:t>se</w:t>
      </w:r>
      <w:r>
        <w:rPr>
          <w:rFonts w:cstheme="minorHAnsi"/>
          <w:lang w:val="en-MY" w:eastAsia="en-AU"/>
        </w:rPr>
        <w:t xml:space="preserve"> programs to a reduction in this rate.</w:t>
      </w:r>
      <w:r w:rsidR="00930B85">
        <w:rPr>
          <w:rFonts w:cstheme="minorHAnsi"/>
          <w:lang w:val="en-MY" w:eastAsia="en-AU"/>
        </w:rPr>
        <w:t xml:space="preserve"> </w:t>
      </w:r>
      <w:r w:rsidR="002516C4">
        <w:rPr>
          <w:rFonts w:cstheme="minorHAnsi"/>
          <w:lang w:val="en-MY" w:eastAsia="en-AU"/>
        </w:rPr>
        <w:t>Recidivism in its broadest terms is the rate at which incarcerated or detained persons re-commit a criminal act following release, and can be applied to offences that result in a range of consequences, including an arrest, being charged</w:t>
      </w:r>
      <w:r w:rsidR="000536D1">
        <w:rPr>
          <w:rFonts w:cstheme="minorHAnsi"/>
          <w:lang w:val="en-MY" w:eastAsia="en-AU"/>
        </w:rPr>
        <w:t xml:space="preserve">, </w:t>
      </w:r>
      <w:r w:rsidR="002516C4">
        <w:rPr>
          <w:rFonts w:cstheme="minorHAnsi"/>
          <w:lang w:val="en-MY" w:eastAsia="en-AU"/>
        </w:rPr>
        <w:t>convict</w:t>
      </w:r>
      <w:r w:rsidR="000536D1">
        <w:rPr>
          <w:rFonts w:cstheme="minorHAnsi"/>
          <w:lang w:val="en-MY" w:eastAsia="en-AU"/>
        </w:rPr>
        <w:t>ed</w:t>
      </w:r>
      <w:r w:rsidR="002516C4">
        <w:rPr>
          <w:rFonts w:cstheme="minorHAnsi"/>
          <w:lang w:val="en-MY" w:eastAsia="en-AU"/>
        </w:rPr>
        <w:t xml:space="preserve"> or </w:t>
      </w:r>
      <w:r w:rsidR="000536D1">
        <w:rPr>
          <w:rFonts w:cstheme="minorHAnsi"/>
          <w:lang w:val="en-MY" w:eastAsia="en-AU"/>
        </w:rPr>
        <w:t>re-</w:t>
      </w:r>
      <w:r w:rsidR="002516C4">
        <w:rPr>
          <w:rFonts w:cstheme="minorHAnsi"/>
          <w:lang w:val="en-MY" w:eastAsia="en-AU"/>
        </w:rPr>
        <w:t>sentenc</w:t>
      </w:r>
      <w:r w:rsidR="000536D1">
        <w:rPr>
          <w:rFonts w:cstheme="minorHAnsi"/>
          <w:lang w:val="en-MY" w:eastAsia="en-AU"/>
        </w:rPr>
        <w:t>ed</w:t>
      </w:r>
      <w:r w:rsidR="002516C4">
        <w:rPr>
          <w:rFonts w:cstheme="minorHAnsi"/>
          <w:lang w:val="en-MY" w:eastAsia="en-AU"/>
        </w:rPr>
        <w:t xml:space="preserve">. </w:t>
      </w:r>
      <w:r w:rsidR="00930B85">
        <w:rPr>
          <w:rFonts w:cstheme="minorHAnsi"/>
          <w:lang w:val="en-MY" w:eastAsia="en-AU"/>
        </w:rPr>
        <w:t>State and Territory data in relation to recidivism is currently published by the Productivity Commission and AIHW</w:t>
      </w:r>
      <w:r w:rsidR="000536D1">
        <w:rPr>
          <w:rFonts w:cstheme="minorHAnsi"/>
          <w:lang w:val="en-MY" w:eastAsia="en-AU"/>
        </w:rPr>
        <w:t xml:space="preserve"> respectively, and focuses on the custodial dimension to re-</w:t>
      </w:r>
      <w:r w:rsidR="000536D1" w:rsidRPr="00B21295">
        <w:rPr>
          <w:rFonts w:cstheme="minorHAnsi"/>
          <w:lang w:val="en-MY" w:eastAsia="en-AU"/>
        </w:rPr>
        <w:t xml:space="preserve">sentencing, </w:t>
      </w:r>
      <w:r w:rsidR="00FD0601" w:rsidRPr="00B21295">
        <w:rPr>
          <w:rFonts w:cstheme="minorHAnsi"/>
          <w:lang w:val="en-MY" w:eastAsia="en-AU"/>
        </w:rPr>
        <w:t xml:space="preserve">where the rate of recidivism is defined as “the proportion of </w:t>
      </w:r>
      <w:r w:rsidR="00664D6E" w:rsidRPr="00B21295">
        <w:rPr>
          <w:rFonts w:cstheme="minorHAnsi"/>
          <w:lang w:val="en-MY" w:eastAsia="en-AU"/>
        </w:rPr>
        <w:t xml:space="preserve">adult </w:t>
      </w:r>
      <w:r w:rsidR="00FD0601" w:rsidRPr="00B21295">
        <w:rPr>
          <w:rFonts w:cstheme="minorHAnsi"/>
          <w:lang w:val="en-MY" w:eastAsia="en-AU"/>
        </w:rPr>
        <w:t xml:space="preserve">offenders released from prison who returned to corrective services within two years of release” and “ the </w:t>
      </w:r>
      <w:r w:rsidR="00664D6E" w:rsidRPr="00B21295">
        <w:rPr>
          <w:rFonts w:cstheme="minorHAnsi"/>
          <w:lang w:val="en-MY" w:eastAsia="en-AU"/>
        </w:rPr>
        <w:t xml:space="preserve">proportion of youth </w:t>
      </w:r>
      <w:r w:rsidR="00FD0601" w:rsidRPr="00B21295">
        <w:rPr>
          <w:rFonts w:cstheme="minorHAnsi"/>
          <w:lang w:val="en-MY" w:eastAsia="en-AU"/>
        </w:rPr>
        <w:t xml:space="preserve">released from sentenced detention, </w:t>
      </w:r>
      <w:r w:rsidR="00664D6E" w:rsidRPr="00B21295">
        <w:rPr>
          <w:rFonts w:cstheme="minorHAnsi"/>
          <w:lang w:val="en-MY" w:eastAsia="en-AU"/>
        </w:rPr>
        <w:t xml:space="preserve">who </w:t>
      </w:r>
      <w:r w:rsidR="00FD0601" w:rsidRPr="00B21295">
        <w:rPr>
          <w:rFonts w:cstheme="minorHAnsi"/>
          <w:lang w:val="en-MY" w:eastAsia="en-AU"/>
        </w:rPr>
        <w:t>returned within 6 months and 12 months.</w:t>
      </w:r>
      <w:r w:rsidR="00664D6E" w:rsidRPr="00B21295">
        <w:rPr>
          <w:rFonts w:cstheme="minorHAnsi"/>
          <w:lang w:val="en-MY" w:eastAsia="en-AU"/>
        </w:rPr>
        <w:t>”</w:t>
      </w:r>
      <w:r w:rsidR="00930B85" w:rsidRPr="00B21295">
        <w:rPr>
          <w:vertAlign w:val="superscript"/>
        </w:rPr>
        <w:footnoteReference w:id="121"/>
      </w:r>
      <w:r w:rsidR="00930B85" w:rsidRPr="00B21295">
        <w:rPr>
          <w:rFonts w:cstheme="minorHAnsi"/>
          <w:vertAlign w:val="superscript"/>
          <w:lang w:val="en-MY" w:eastAsia="en-AU"/>
        </w:rPr>
        <w:t>,</w:t>
      </w:r>
      <w:r w:rsidR="00930B85" w:rsidRPr="00B21295">
        <w:rPr>
          <w:rStyle w:val="FootnoteReference"/>
          <w:rFonts w:cstheme="minorHAnsi"/>
          <w:lang w:val="en-MY" w:eastAsia="en-AU"/>
        </w:rPr>
        <w:footnoteReference w:id="122"/>
      </w:r>
    </w:p>
    <w:p w14:paraId="428D14CB" w14:textId="77777777" w:rsidR="00664D6E" w:rsidRPr="00B21295" w:rsidRDefault="00664D6E" w:rsidP="009406FE">
      <w:pPr>
        <w:jc w:val="both"/>
        <w:rPr>
          <w:rFonts w:cstheme="minorHAnsi"/>
          <w:lang w:val="en-MY" w:eastAsia="en-AU"/>
        </w:rPr>
      </w:pPr>
    </w:p>
    <w:p w14:paraId="2FA8B5ED" w14:textId="77777777" w:rsidR="00E752C1" w:rsidRDefault="000536D1" w:rsidP="00E752C1">
      <w:pPr>
        <w:jc w:val="both"/>
        <w:rPr>
          <w:rFonts w:cstheme="minorHAnsi"/>
          <w:lang w:val="en-MY" w:eastAsia="en-AU"/>
        </w:rPr>
      </w:pPr>
      <w:r w:rsidRPr="00B21295">
        <w:rPr>
          <w:rFonts w:cstheme="minorHAnsi"/>
          <w:lang w:val="en-MY" w:eastAsia="en-AU"/>
        </w:rPr>
        <w:t>D</w:t>
      </w:r>
      <w:r w:rsidR="005E4604" w:rsidRPr="00B21295">
        <w:rPr>
          <w:rFonts w:cstheme="minorHAnsi"/>
          <w:lang w:val="en-MY" w:eastAsia="en-AU"/>
        </w:rPr>
        <w:t xml:space="preserve">iscussions with </w:t>
      </w:r>
      <w:r w:rsidR="00457A6B" w:rsidRPr="00B21295">
        <w:rPr>
          <w:rFonts w:cstheme="minorHAnsi"/>
          <w:lang w:val="en-MY" w:eastAsia="en-AU"/>
        </w:rPr>
        <w:t xml:space="preserve">service managers and data administrators </w:t>
      </w:r>
      <w:r w:rsidR="005E4604" w:rsidRPr="00B21295">
        <w:rPr>
          <w:rFonts w:cstheme="minorHAnsi"/>
          <w:lang w:val="en-MY" w:eastAsia="en-AU"/>
        </w:rPr>
        <w:t>have identified</w:t>
      </w:r>
      <w:r w:rsidRPr="00B21295">
        <w:rPr>
          <w:rFonts w:cstheme="minorHAnsi"/>
          <w:lang w:val="en-MY" w:eastAsia="en-AU"/>
        </w:rPr>
        <w:t xml:space="preserve"> that</w:t>
      </w:r>
      <w:r w:rsidR="005E4604" w:rsidRPr="00B21295">
        <w:rPr>
          <w:rFonts w:cstheme="minorHAnsi"/>
          <w:lang w:val="en-MY" w:eastAsia="en-AU"/>
        </w:rPr>
        <w:t xml:space="preserve"> for th</w:t>
      </w:r>
      <w:r w:rsidR="00C94CEB" w:rsidRPr="00B21295">
        <w:rPr>
          <w:rFonts w:cstheme="minorHAnsi"/>
          <w:lang w:val="en-MY" w:eastAsia="en-AU"/>
        </w:rPr>
        <w:t>r</w:t>
      </w:r>
      <w:r w:rsidR="005E4604" w:rsidRPr="00B21295">
        <w:rPr>
          <w:rFonts w:cstheme="minorHAnsi"/>
          <w:lang w:val="en-MY" w:eastAsia="en-AU"/>
        </w:rPr>
        <w:t xml:space="preserve">ough-care program data collection to successfully enable </w:t>
      </w:r>
      <w:r w:rsidRPr="00B21295">
        <w:rPr>
          <w:rFonts w:cstheme="minorHAnsi"/>
          <w:lang w:val="en-MY" w:eastAsia="en-AU"/>
        </w:rPr>
        <w:t xml:space="preserve">a </w:t>
      </w:r>
      <w:r w:rsidR="00EE1240" w:rsidRPr="00B21295">
        <w:rPr>
          <w:rFonts w:cstheme="minorHAnsi"/>
          <w:lang w:val="en-MY" w:eastAsia="en-AU"/>
        </w:rPr>
        <w:t xml:space="preserve">calculation of </w:t>
      </w:r>
      <w:r w:rsidR="00C90936" w:rsidRPr="00B21295">
        <w:rPr>
          <w:rFonts w:cstheme="minorHAnsi"/>
          <w:lang w:val="en-MY" w:eastAsia="en-AU"/>
        </w:rPr>
        <w:t>th</w:t>
      </w:r>
      <w:r w:rsidR="00664D6E" w:rsidRPr="00B21295">
        <w:rPr>
          <w:rFonts w:cstheme="minorHAnsi"/>
          <w:lang w:val="en-MY" w:eastAsia="en-AU"/>
        </w:rPr>
        <w:t xml:space="preserve">e </w:t>
      </w:r>
      <w:r w:rsidR="002516C4" w:rsidRPr="00B21295">
        <w:rPr>
          <w:rFonts w:cstheme="minorHAnsi"/>
          <w:lang w:val="en-MY" w:eastAsia="en-AU"/>
        </w:rPr>
        <w:t xml:space="preserve">rate of </w:t>
      </w:r>
      <w:r w:rsidR="00664D6E" w:rsidRPr="00B21295">
        <w:rPr>
          <w:rFonts w:cstheme="minorHAnsi"/>
          <w:lang w:val="en-MY" w:eastAsia="en-AU"/>
        </w:rPr>
        <w:t>recidivism</w:t>
      </w:r>
      <w:r w:rsidRPr="00B21295">
        <w:rPr>
          <w:rFonts w:cstheme="minorHAnsi"/>
          <w:lang w:val="en-MY" w:eastAsia="en-AU"/>
        </w:rPr>
        <w:t xml:space="preserve">, there must be </w:t>
      </w:r>
      <w:r w:rsidR="00664D6E" w:rsidRPr="00B21295">
        <w:rPr>
          <w:rFonts w:cstheme="minorHAnsi"/>
          <w:lang w:val="en-MY" w:eastAsia="en-AU"/>
        </w:rPr>
        <w:t xml:space="preserve">a </w:t>
      </w:r>
      <w:r w:rsidR="005E4604" w:rsidRPr="00B21295">
        <w:rPr>
          <w:rFonts w:cstheme="minorHAnsi"/>
          <w:lang w:val="en-MY" w:eastAsia="en-AU"/>
        </w:rPr>
        <w:t xml:space="preserve">consistent definition </w:t>
      </w:r>
      <w:r w:rsidRPr="00B21295">
        <w:rPr>
          <w:rFonts w:cstheme="minorHAnsi"/>
          <w:lang w:val="en-MY" w:eastAsia="en-AU"/>
        </w:rPr>
        <w:t xml:space="preserve">used </w:t>
      </w:r>
      <w:r w:rsidR="00664D6E" w:rsidRPr="00B21295">
        <w:rPr>
          <w:rFonts w:cstheme="minorHAnsi"/>
          <w:lang w:val="en-MY" w:eastAsia="en-AU"/>
        </w:rPr>
        <w:t>in statistical reporting, such that where the criterion of ‘returned to prison or detention’ is not used</w:t>
      </w:r>
      <w:r w:rsidRPr="00B21295">
        <w:rPr>
          <w:rFonts w:cstheme="minorHAnsi"/>
          <w:lang w:val="en-MY" w:eastAsia="en-AU"/>
        </w:rPr>
        <w:t xml:space="preserve">, </w:t>
      </w:r>
      <w:r w:rsidR="00664D6E" w:rsidRPr="00B21295">
        <w:rPr>
          <w:rFonts w:cstheme="minorHAnsi"/>
          <w:lang w:val="en-MY" w:eastAsia="en-AU"/>
        </w:rPr>
        <w:t xml:space="preserve">there is a consistent definition of </w:t>
      </w:r>
      <w:r w:rsidR="005E4604" w:rsidRPr="00B21295">
        <w:rPr>
          <w:rFonts w:cstheme="minorHAnsi"/>
          <w:lang w:val="en-MY" w:eastAsia="en-AU"/>
        </w:rPr>
        <w:t>reoffending, both in terms of the definition of an offence</w:t>
      </w:r>
      <w:r w:rsidR="00664D6E" w:rsidRPr="00B21295">
        <w:rPr>
          <w:rFonts w:cstheme="minorHAnsi"/>
          <w:lang w:val="en-MY" w:eastAsia="en-AU"/>
        </w:rPr>
        <w:t xml:space="preserve"> (whether this results in an arrest, a charge, a conviction or leads to a custodial sentence) and the period of measurement between offences</w:t>
      </w:r>
      <w:r w:rsidR="005E4604" w:rsidRPr="00B21295">
        <w:rPr>
          <w:rFonts w:cstheme="minorHAnsi"/>
          <w:lang w:val="en-MY" w:eastAsia="en-AU"/>
        </w:rPr>
        <w:t>.</w:t>
      </w:r>
      <w:r w:rsidR="00664D6E" w:rsidRPr="00B21295">
        <w:rPr>
          <w:rStyle w:val="FootnoteReference"/>
          <w:rFonts w:cstheme="minorHAnsi"/>
          <w:lang w:val="en-MY" w:eastAsia="en-AU"/>
        </w:rPr>
        <w:footnoteReference w:id="123"/>
      </w:r>
      <w:r w:rsidR="005E4604" w:rsidRPr="00B21295">
        <w:rPr>
          <w:rFonts w:cstheme="minorHAnsi"/>
          <w:lang w:val="en-MY" w:eastAsia="en-AU"/>
        </w:rPr>
        <w:t xml:space="preserve"> While </w:t>
      </w:r>
      <w:r w:rsidR="006778DA" w:rsidRPr="00B21295">
        <w:rPr>
          <w:rFonts w:cstheme="minorHAnsi"/>
          <w:lang w:val="en-MY" w:eastAsia="en-AU"/>
        </w:rPr>
        <w:t>‘</w:t>
      </w:r>
      <w:r w:rsidR="005E4604" w:rsidRPr="00B21295">
        <w:rPr>
          <w:rFonts w:cstheme="minorHAnsi"/>
          <w:lang w:val="en-MY" w:eastAsia="en-AU"/>
        </w:rPr>
        <w:t>rate of recidivism</w:t>
      </w:r>
      <w:r w:rsidR="006778DA" w:rsidRPr="00B21295">
        <w:rPr>
          <w:rFonts w:cstheme="minorHAnsi"/>
          <w:lang w:val="en-MY" w:eastAsia="en-AU"/>
        </w:rPr>
        <w:t>’</w:t>
      </w:r>
      <w:r w:rsidR="005E4604" w:rsidRPr="00B21295">
        <w:rPr>
          <w:rFonts w:cstheme="minorHAnsi"/>
          <w:lang w:val="en-MY" w:eastAsia="en-AU"/>
        </w:rPr>
        <w:t xml:space="preserve"> is included as a measure in through-care reporting, it is apparent from Keogh Bay’s analysis of data sets that </w:t>
      </w:r>
      <w:r w:rsidR="006778DA" w:rsidRPr="00B21295">
        <w:rPr>
          <w:rFonts w:cstheme="minorHAnsi"/>
          <w:lang w:val="en-MY" w:eastAsia="en-AU"/>
        </w:rPr>
        <w:t>different data definitions have been applied.</w:t>
      </w:r>
      <w:r w:rsidR="007C2B4D" w:rsidRPr="00B21295">
        <w:rPr>
          <w:rFonts w:cstheme="minorHAnsi"/>
          <w:lang w:val="en-MY" w:eastAsia="en-AU"/>
        </w:rPr>
        <w:t xml:space="preserve"> Greater confidence in the reliability of recidivism data </w:t>
      </w:r>
      <w:r w:rsidR="00AA311E" w:rsidRPr="00B21295">
        <w:rPr>
          <w:rFonts w:cstheme="minorHAnsi"/>
          <w:lang w:val="en-MY" w:eastAsia="en-AU"/>
        </w:rPr>
        <w:t xml:space="preserve">for the through-care cohort </w:t>
      </w:r>
      <w:r w:rsidR="007C2B4D" w:rsidRPr="00B21295">
        <w:rPr>
          <w:rFonts w:cstheme="minorHAnsi"/>
          <w:lang w:val="en-MY" w:eastAsia="en-AU"/>
        </w:rPr>
        <w:t xml:space="preserve">would not only improve service-level performance reporting, but would enable a more robust comparison of service data with national and State or Territory specific data sets </w:t>
      </w:r>
      <w:r w:rsidR="00AA311E" w:rsidRPr="00B21295">
        <w:rPr>
          <w:rFonts w:cstheme="minorHAnsi"/>
          <w:lang w:val="en-MY" w:eastAsia="en-AU"/>
        </w:rPr>
        <w:t xml:space="preserve">should the </w:t>
      </w:r>
      <w:r w:rsidR="007C2B4D" w:rsidRPr="00B21295">
        <w:rPr>
          <w:rFonts w:cstheme="minorHAnsi"/>
          <w:lang w:val="en-MY" w:eastAsia="en-AU"/>
        </w:rPr>
        <w:t xml:space="preserve">same </w:t>
      </w:r>
      <w:r w:rsidR="00AA311E" w:rsidRPr="00B21295">
        <w:rPr>
          <w:rFonts w:cstheme="minorHAnsi"/>
          <w:lang w:val="en-MY" w:eastAsia="en-AU"/>
        </w:rPr>
        <w:t xml:space="preserve">data </w:t>
      </w:r>
      <w:r w:rsidR="007C2B4D" w:rsidRPr="00B21295">
        <w:rPr>
          <w:rFonts w:cstheme="minorHAnsi"/>
          <w:lang w:val="en-MY" w:eastAsia="en-AU"/>
        </w:rPr>
        <w:t xml:space="preserve">definitions </w:t>
      </w:r>
      <w:r w:rsidR="00AA311E" w:rsidRPr="00B21295">
        <w:rPr>
          <w:rFonts w:cstheme="minorHAnsi"/>
          <w:lang w:val="en-MY" w:eastAsia="en-AU"/>
        </w:rPr>
        <w:t xml:space="preserve">be </w:t>
      </w:r>
      <w:r w:rsidR="007C2B4D" w:rsidRPr="00B21295">
        <w:rPr>
          <w:rFonts w:cstheme="minorHAnsi"/>
          <w:lang w:val="en-MY" w:eastAsia="en-AU"/>
        </w:rPr>
        <w:t>applied.</w:t>
      </w:r>
    </w:p>
    <w:p w14:paraId="38DFA247" w14:textId="77777777" w:rsidR="00F3309B" w:rsidRDefault="00F3309B" w:rsidP="00F66F99">
      <w:pPr>
        <w:pStyle w:val="Heading1"/>
        <w:rPr>
          <w:rFonts w:cstheme="minorHAnsi"/>
        </w:rPr>
        <w:sectPr w:rsidR="00F3309B" w:rsidSect="00A04873">
          <w:headerReference w:type="default" r:id="rId23"/>
          <w:pgSz w:w="11906" w:h="16838"/>
          <w:pgMar w:top="851" w:right="1418" w:bottom="1701" w:left="1418" w:header="1531" w:footer="737" w:gutter="0"/>
          <w:cols w:space="720"/>
          <w:docGrid w:linePitch="326"/>
        </w:sectPr>
      </w:pPr>
    </w:p>
    <w:p w14:paraId="49A08D67" w14:textId="4F393DA2" w:rsidR="0078531A" w:rsidRPr="009B3BDF" w:rsidRDefault="006603DD" w:rsidP="009B3BDF">
      <w:pPr>
        <w:pStyle w:val="Heading1"/>
        <w:rPr>
          <w:rFonts w:cstheme="minorHAnsi"/>
        </w:rPr>
      </w:pPr>
      <w:bookmarkStart w:id="35" w:name="_Toc150784209"/>
      <w:r w:rsidRPr="00F66F99">
        <w:rPr>
          <w:rFonts w:cstheme="minorHAnsi"/>
        </w:rPr>
        <w:t>C</w:t>
      </w:r>
      <w:r w:rsidR="00F66F99">
        <w:rPr>
          <w:rFonts w:cstheme="minorHAnsi"/>
        </w:rPr>
        <w:t xml:space="preserve">onclusions and </w:t>
      </w:r>
      <w:r w:rsidRPr="00F66F99">
        <w:rPr>
          <w:rFonts w:cstheme="minorHAnsi"/>
        </w:rPr>
        <w:t>R</w:t>
      </w:r>
      <w:r w:rsidR="00F66F99">
        <w:rPr>
          <w:rFonts w:cstheme="minorHAnsi"/>
        </w:rPr>
        <w:t>ecommendations</w:t>
      </w:r>
      <w:bookmarkEnd w:id="35"/>
      <w:r w:rsidRPr="00F66F99">
        <w:rPr>
          <w:rFonts w:cstheme="minorHAnsi"/>
        </w:rPr>
        <w:t xml:space="preserve"> </w:t>
      </w:r>
    </w:p>
    <w:p w14:paraId="57680EBB" w14:textId="586B2F63" w:rsidR="008F2610" w:rsidRDefault="000C06CE" w:rsidP="008F2610">
      <w:pPr>
        <w:jc w:val="both"/>
        <w:rPr>
          <w:rFonts w:cstheme="minorHAnsi"/>
          <w:lang w:val="en-MY" w:eastAsia="en-AU"/>
        </w:rPr>
      </w:pPr>
      <w:r>
        <w:rPr>
          <w:rFonts w:cstheme="minorHAnsi"/>
          <w:lang w:val="en-MY" w:eastAsia="en-AU"/>
        </w:rPr>
        <w:t xml:space="preserve">This chapter provides a </w:t>
      </w:r>
      <w:r w:rsidR="00030A12" w:rsidRPr="00761305">
        <w:rPr>
          <w:rFonts w:cstheme="minorHAnsi"/>
          <w:lang w:val="en-MY" w:eastAsia="en-AU"/>
        </w:rPr>
        <w:t>summar</w:t>
      </w:r>
      <w:r w:rsidR="00030A12">
        <w:rPr>
          <w:rFonts w:cstheme="minorHAnsi"/>
          <w:lang w:val="en-MY" w:eastAsia="en-AU"/>
        </w:rPr>
        <w:t>y of key findings by research question</w:t>
      </w:r>
      <w:r w:rsidR="000F74F4">
        <w:rPr>
          <w:rFonts w:cstheme="minorHAnsi"/>
          <w:lang w:val="en-MY" w:eastAsia="en-AU"/>
        </w:rPr>
        <w:t>,</w:t>
      </w:r>
      <w:r w:rsidR="00030A12">
        <w:rPr>
          <w:rFonts w:cstheme="minorHAnsi"/>
          <w:lang w:val="en-MY" w:eastAsia="en-AU"/>
        </w:rPr>
        <w:t xml:space="preserve"> </w:t>
      </w:r>
      <w:r w:rsidR="008F2610">
        <w:rPr>
          <w:rFonts w:cstheme="minorHAnsi"/>
          <w:lang w:val="en-MY" w:eastAsia="en-AU"/>
        </w:rPr>
        <w:t>with overall c</w:t>
      </w:r>
      <w:r w:rsidR="008F2610" w:rsidRPr="00EE52FE">
        <w:rPr>
          <w:rFonts w:cstheme="minorHAnsi"/>
          <w:lang w:val="en-MY" w:eastAsia="en-AU"/>
        </w:rPr>
        <w:t>onclusions</w:t>
      </w:r>
      <w:r w:rsidR="008F2610">
        <w:rPr>
          <w:rFonts w:cstheme="minorHAnsi"/>
          <w:lang w:val="en-MY" w:eastAsia="en-AU"/>
        </w:rPr>
        <w:t xml:space="preserve"> </w:t>
      </w:r>
      <w:r w:rsidR="008F2610" w:rsidRPr="00EE52FE">
        <w:rPr>
          <w:rFonts w:cstheme="minorHAnsi"/>
          <w:lang w:val="en-MY" w:eastAsia="en-AU"/>
        </w:rPr>
        <w:t>delineated by strengths, weaknesses and opportunities</w:t>
      </w:r>
      <w:r w:rsidR="008F2610">
        <w:rPr>
          <w:rFonts w:cstheme="minorHAnsi"/>
          <w:lang w:val="en-MY" w:eastAsia="en-AU"/>
        </w:rPr>
        <w:t xml:space="preserve"> for </w:t>
      </w:r>
      <w:r w:rsidR="00030A12">
        <w:rPr>
          <w:rFonts w:cstheme="minorHAnsi"/>
          <w:lang w:val="en-MY" w:eastAsia="en-AU"/>
        </w:rPr>
        <w:t xml:space="preserve">the design and implementation of the ATC and YTC programs. </w:t>
      </w:r>
      <w:r w:rsidR="008D0FBD">
        <w:rPr>
          <w:rFonts w:cstheme="minorHAnsi"/>
          <w:lang w:val="en-MY" w:eastAsia="en-AU"/>
        </w:rPr>
        <w:t>Six</w:t>
      </w:r>
      <w:r w:rsidR="005641BE">
        <w:rPr>
          <w:rFonts w:cstheme="minorHAnsi"/>
          <w:lang w:val="en-MY" w:eastAsia="en-AU"/>
        </w:rPr>
        <w:t xml:space="preserve"> </w:t>
      </w:r>
      <w:r>
        <w:rPr>
          <w:rFonts w:cstheme="minorHAnsi"/>
          <w:lang w:val="en-MY" w:eastAsia="en-AU"/>
        </w:rPr>
        <w:t xml:space="preserve">recommendations </w:t>
      </w:r>
      <w:r w:rsidR="000F74F4">
        <w:rPr>
          <w:rFonts w:cstheme="minorHAnsi"/>
          <w:lang w:val="en-MY" w:eastAsia="en-AU"/>
        </w:rPr>
        <w:t xml:space="preserve">for improvement </w:t>
      </w:r>
      <w:r w:rsidR="00030A12">
        <w:rPr>
          <w:rFonts w:cstheme="minorHAnsi"/>
          <w:lang w:val="en-MY" w:eastAsia="en-AU"/>
        </w:rPr>
        <w:t>are made</w:t>
      </w:r>
      <w:r>
        <w:rPr>
          <w:rFonts w:cstheme="minorHAnsi"/>
          <w:lang w:val="en-MY" w:eastAsia="en-AU"/>
        </w:rPr>
        <w:t xml:space="preserve">, with </w:t>
      </w:r>
      <w:r w:rsidR="005641BE">
        <w:rPr>
          <w:rFonts w:cstheme="minorHAnsi"/>
          <w:lang w:val="en-MY" w:eastAsia="en-AU"/>
        </w:rPr>
        <w:t xml:space="preserve">actions for NIAA to </w:t>
      </w:r>
      <w:r w:rsidR="00EE52FE">
        <w:rPr>
          <w:rFonts w:cstheme="minorHAnsi"/>
          <w:lang w:val="en-MY" w:eastAsia="en-AU"/>
        </w:rPr>
        <w:t xml:space="preserve">update </w:t>
      </w:r>
      <w:r>
        <w:rPr>
          <w:rFonts w:cstheme="minorHAnsi"/>
          <w:lang w:val="en-MY" w:eastAsia="en-AU"/>
        </w:rPr>
        <w:t>program guidelines</w:t>
      </w:r>
      <w:r w:rsidR="00EE52FE">
        <w:rPr>
          <w:rFonts w:cstheme="minorHAnsi"/>
          <w:lang w:val="en-MY" w:eastAsia="en-AU"/>
        </w:rPr>
        <w:t xml:space="preserve"> and service agreements to </w:t>
      </w:r>
      <w:r>
        <w:rPr>
          <w:rFonts w:cstheme="minorHAnsi"/>
          <w:lang w:val="en-MY" w:eastAsia="en-AU"/>
        </w:rPr>
        <w:t>enable high quality case work to flourish.</w:t>
      </w:r>
    </w:p>
    <w:p w14:paraId="324D4AC2" w14:textId="3856076F" w:rsidR="005641BE" w:rsidRPr="00EE52FE" w:rsidRDefault="005641BE" w:rsidP="00B56356">
      <w:pPr>
        <w:pStyle w:val="SUBHEAD2"/>
        <w:rPr>
          <w:rFonts w:asciiTheme="minorHAnsi" w:hAnsiTheme="minorHAnsi" w:cstheme="minorHAnsi"/>
          <w:lang w:val="en-MY" w:eastAsia="en-AU"/>
        </w:rPr>
      </w:pPr>
      <w:r w:rsidRPr="00EE52FE">
        <w:rPr>
          <w:rFonts w:asciiTheme="minorHAnsi" w:hAnsiTheme="minorHAnsi" w:cstheme="minorHAnsi"/>
          <w:lang w:val="en-MY" w:eastAsia="en-AU"/>
        </w:rPr>
        <w:t>Design Appropriateness</w:t>
      </w:r>
    </w:p>
    <w:p w14:paraId="3BED547A" w14:textId="780E1553" w:rsidR="00827B16" w:rsidRDefault="009E5FF3" w:rsidP="00F30DAD">
      <w:pPr>
        <w:spacing w:before="120" w:after="120"/>
        <w:jc w:val="both"/>
        <w:rPr>
          <w:rFonts w:cstheme="minorHAnsi"/>
          <w:lang w:val="en-MY" w:eastAsia="en-AU"/>
        </w:rPr>
      </w:pPr>
      <w:r>
        <w:rPr>
          <w:rFonts w:cstheme="minorHAnsi"/>
          <w:lang w:val="en-MY" w:eastAsia="en-AU"/>
        </w:rPr>
        <w:t xml:space="preserve">While </w:t>
      </w:r>
      <w:r w:rsidR="00827B16" w:rsidRPr="00827B16">
        <w:rPr>
          <w:rFonts w:cstheme="minorHAnsi"/>
          <w:lang w:val="en-MY" w:eastAsia="en-AU"/>
        </w:rPr>
        <w:t>through-care service providers are delivering services in a manner consistent with some</w:t>
      </w:r>
      <w:r>
        <w:rPr>
          <w:rFonts w:cstheme="minorHAnsi"/>
          <w:lang w:val="en-MY" w:eastAsia="en-AU"/>
        </w:rPr>
        <w:t xml:space="preserve"> </w:t>
      </w:r>
      <w:r w:rsidR="00827B16" w:rsidRPr="00827B16">
        <w:rPr>
          <w:rFonts w:cstheme="minorHAnsi"/>
          <w:lang w:val="en-MY" w:eastAsia="en-AU"/>
        </w:rPr>
        <w:t>elements</w:t>
      </w:r>
      <w:r>
        <w:rPr>
          <w:rFonts w:cstheme="minorHAnsi"/>
          <w:lang w:val="en-MY" w:eastAsia="en-AU"/>
        </w:rPr>
        <w:t xml:space="preserve"> </w:t>
      </w:r>
      <w:r w:rsidR="00827B16" w:rsidRPr="00827B16">
        <w:rPr>
          <w:rFonts w:cstheme="minorHAnsi"/>
          <w:lang w:val="en-MY" w:eastAsia="en-AU"/>
        </w:rPr>
        <w:t xml:space="preserve">of the ABT models described, </w:t>
      </w:r>
      <w:r>
        <w:rPr>
          <w:rFonts w:cstheme="minorHAnsi"/>
          <w:lang w:val="en-MY" w:eastAsia="en-AU"/>
        </w:rPr>
        <w:t xml:space="preserve">it is clear </w:t>
      </w:r>
      <w:r w:rsidR="00827B16" w:rsidRPr="00827B16">
        <w:rPr>
          <w:rFonts w:cstheme="minorHAnsi"/>
          <w:lang w:val="en-MY" w:eastAsia="en-AU"/>
        </w:rPr>
        <w:t xml:space="preserve">they are not explicitly delivering services </w:t>
      </w:r>
      <w:r>
        <w:rPr>
          <w:rFonts w:cstheme="minorHAnsi"/>
          <w:lang w:val="en-MY" w:eastAsia="en-AU"/>
        </w:rPr>
        <w:t xml:space="preserve">according to the </w:t>
      </w:r>
      <w:r w:rsidR="00827B16" w:rsidRPr="00827B16">
        <w:rPr>
          <w:rFonts w:cstheme="minorHAnsi"/>
          <w:lang w:val="en-MY" w:eastAsia="en-AU"/>
        </w:rPr>
        <w:t xml:space="preserve">ABT practice framework and standards. </w:t>
      </w:r>
      <w:r>
        <w:rPr>
          <w:rFonts w:cstheme="minorHAnsi"/>
          <w:lang w:val="en-MY" w:eastAsia="en-AU"/>
        </w:rPr>
        <w:t>T</w:t>
      </w:r>
      <w:r w:rsidR="00827B16" w:rsidRPr="00827B16">
        <w:rPr>
          <w:rFonts w:cstheme="minorHAnsi"/>
          <w:lang w:val="en-MY" w:eastAsia="en-AU"/>
        </w:rPr>
        <w:t>he focus in th</w:t>
      </w:r>
      <w:r>
        <w:rPr>
          <w:rFonts w:cstheme="minorHAnsi"/>
          <w:lang w:val="en-MY" w:eastAsia="en-AU"/>
        </w:rPr>
        <w:t>is</w:t>
      </w:r>
      <w:r w:rsidR="00827B16" w:rsidRPr="00827B16">
        <w:rPr>
          <w:rFonts w:cstheme="minorHAnsi"/>
          <w:lang w:val="en-MY" w:eastAsia="en-AU"/>
        </w:rPr>
        <w:t xml:space="preserve"> evaluation on ‘fidelity of model implementation’ </w:t>
      </w:r>
      <w:r>
        <w:rPr>
          <w:rFonts w:cstheme="minorHAnsi"/>
          <w:lang w:val="en-MY" w:eastAsia="en-AU"/>
        </w:rPr>
        <w:t xml:space="preserve">has therefore been </w:t>
      </w:r>
      <w:r w:rsidR="00827B16" w:rsidRPr="00827B16">
        <w:rPr>
          <w:rFonts w:cstheme="minorHAnsi"/>
          <w:lang w:val="en-MY" w:eastAsia="en-AU"/>
        </w:rPr>
        <w:t xml:space="preserve">on the extent to which service providers </w:t>
      </w:r>
      <w:r>
        <w:rPr>
          <w:rFonts w:cstheme="minorHAnsi"/>
          <w:lang w:val="en-MY" w:eastAsia="en-AU"/>
        </w:rPr>
        <w:t xml:space="preserve">have </w:t>
      </w:r>
      <w:r w:rsidR="00827B16" w:rsidRPr="00827B16">
        <w:rPr>
          <w:rFonts w:cstheme="minorHAnsi"/>
          <w:lang w:val="en-MY" w:eastAsia="en-AU"/>
        </w:rPr>
        <w:t>depart</w:t>
      </w:r>
      <w:r>
        <w:rPr>
          <w:rFonts w:cstheme="minorHAnsi"/>
          <w:lang w:val="en-MY" w:eastAsia="en-AU"/>
        </w:rPr>
        <w:t>ed</w:t>
      </w:r>
      <w:r w:rsidR="00827B16" w:rsidRPr="00827B16">
        <w:rPr>
          <w:rFonts w:cstheme="minorHAnsi"/>
          <w:lang w:val="en-MY" w:eastAsia="en-AU"/>
        </w:rPr>
        <w:t xml:space="preserve"> from the core elements of the ABT models, why this</w:t>
      </w:r>
      <w:r>
        <w:rPr>
          <w:rFonts w:cstheme="minorHAnsi"/>
          <w:lang w:val="en-MY" w:eastAsia="en-AU"/>
        </w:rPr>
        <w:t xml:space="preserve"> has been </w:t>
      </w:r>
      <w:r w:rsidR="00827B16" w:rsidRPr="00827B16">
        <w:rPr>
          <w:rFonts w:cstheme="minorHAnsi"/>
          <w:lang w:val="en-MY" w:eastAsia="en-AU"/>
        </w:rPr>
        <w:t>the case, and whether the resulting practice is effective or not</w:t>
      </w:r>
      <w:r>
        <w:rPr>
          <w:rFonts w:cstheme="minorHAnsi"/>
          <w:lang w:val="en-MY" w:eastAsia="en-AU"/>
        </w:rPr>
        <w:t xml:space="preserve"> in meeting client needs</w:t>
      </w:r>
      <w:r w:rsidR="00827B16" w:rsidRPr="00827B16">
        <w:rPr>
          <w:rFonts w:cstheme="minorHAnsi"/>
          <w:lang w:val="en-MY" w:eastAsia="en-AU"/>
        </w:rPr>
        <w:t xml:space="preserve">. This report has therefore evaluated the services as delivered, </w:t>
      </w:r>
      <w:r>
        <w:rPr>
          <w:rFonts w:cstheme="minorHAnsi"/>
          <w:lang w:val="en-MY" w:eastAsia="en-AU"/>
        </w:rPr>
        <w:t xml:space="preserve">with </w:t>
      </w:r>
      <w:r w:rsidR="00827B16" w:rsidRPr="00827B16">
        <w:rPr>
          <w:rFonts w:cstheme="minorHAnsi"/>
          <w:lang w:val="en-MY" w:eastAsia="en-AU"/>
        </w:rPr>
        <w:t xml:space="preserve">findings </w:t>
      </w:r>
      <w:r>
        <w:rPr>
          <w:rFonts w:cstheme="minorHAnsi"/>
          <w:lang w:val="en-MY" w:eastAsia="en-AU"/>
        </w:rPr>
        <w:t>regarding the</w:t>
      </w:r>
      <w:r w:rsidR="00827B16" w:rsidRPr="00827B16">
        <w:rPr>
          <w:rFonts w:cstheme="minorHAnsi"/>
          <w:lang w:val="en-MY" w:eastAsia="en-AU"/>
        </w:rPr>
        <w:t xml:space="preserve"> effectiveness and outcomes </w:t>
      </w:r>
      <w:r>
        <w:rPr>
          <w:rFonts w:cstheme="minorHAnsi"/>
          <w:lang w:val="en-MY" w:eastAsia="en-AU"/>
        </w:rPr>
        <w:t xml:space="preserve">of services </w:t>
      </w:r>
      <w:r w:rsidR="00827B16" w:rsidRPr="00827B16">
        <w:rPr>
          <w:rFonts w:cstheme="minorHAnsi"/>
          <w:lang w:val="en-MY" w:eastAsia="en-AU"/>
        </w:rPr>
        <w:t>made with respect to actual delivery rather than as direct commentary on the ABT model itself.</w:t>
      </w:r>
    </w:p>
    <w:p w14:paraId="41433ABE" w14:textId="61B37070" w:rsidR="00F30DAD" w:rsidRDefault="00B56356" w:rsidP="00F30DAD">
      <w:pPr>
        <w:spacing w:before="120" w:after="120"/>
        <w:jc w:val="both"/>
        <w:rPr>
          <w:rFonts w:cstheme="minorHAnsi"/>
          <w:lang w:val="en-MY" w:eastAsia="en-AU"/>
        </w:rPr>
      </w:pPr>
      <w:r>
        <w:rPr>
          <w:rFonts w:cstheme="minorHAnsi"/>
          <w:lang w:val="en-MY" w:eastAsia="en-AU"/>
        </w:rPr>
        <w:t>T</w:t>
      </w:r>
      <w:r w:rsidR="005641BE" w:rsidRPr="00EE52FE">
        <w:rPr>
          <w:rFonts w:cstheme="minorHAnsi"/>
          <w:lang w:val="en-MY" w:eastAsia="en-AU"/>
        </w:rPr>
        <w:t>he characteristics of through-care service delivery</w:t>
      </w:r>
      <w:r w:rsidR="007B1F95">
        <w:rPr>
          <w:rFonts w:cstheme="minorHAnsi"/>
          <w:lang w:val="en-MY" w:eastAsia="en-AU"/>
        </w:rPr>
        <w:t xml:space="preserve">, as implemented by through-care service providers, </w:t>
      </w:r>
      <w:r>
        <w:rPr>
          <w:rFonts w:cstheme="minorHAnsi"/>
          <w:lang w:val="en-MY" w:eastAsia="en-AU"/>
        </w:rPr>
        <w:t xml:space="preserve">departs from the ABT model to </w:t>
      </w:r>
      <w:r w:rsidR="005641BE" w:rsidRPr="00EE52FE">
        <w:rPr>
          <w:rFonts w:cstheme="minorHAnsi"/>
          <w:lang w:val="en-MY" w:eastAsia="en-AU"/>
        </w:rPr>
        <w:t>varying degrees</w:t>
      </w:r>
      <w:r w:rsidR="007C02C8">
        <w:rPr>
          <w:rFonts w:cstheme="minorHAnsi"/>
          <w:lang w:val="en-MY" w:eastAsia="en-AU"/>
        </w:rPr>
        <w:t>.</w:t>
      </w:r>
      <w:r w:rsidR="007B1F95">
        <w:rPr>
          <w:rFonts w:cstheme="minorHAnsi"/>
          <w:lang w:val="en-MY" w:eastAsia="en-AU"/>
        </w:rPr>
        <w:t xml:space="preserve"> </w:t>
      </w:r>
      <w:r w:rsidR="007C02C8">
        <w:rPr>
          <w:rFonts w:cstheme="minorHAnsi"/>
          <w:lang w:val="en-MY" w:eastAsia="en-AU"/>
        </w:rPr>
        <w:t>T</w:t>
      </w:r>
      <w:r w:rsidR="007B1F95" w:rsidRPr="00EE52FE">
        <w:rPr>
          <w:rFonts w:cstheme="minorHAnsi"/>
          <w:lang w:val="en-MY" w:eastAsia="en-AU"/>
        </w:rPr>
        <w:t xml:space="preserve">hrough-care service models </w:t>
      </w:r>
      <w:r w:rsidR="007B1F95">
        <w:rPr>
          <w:rFonts w:cstheme="minorHAnsi"/>
          <w:lang w:val="en-MY" w:eastAsia="en-AU"/>
        </w:rPr>
        <w:t xml:space="preserve">follow legacy practices linked to </w:t>
      </w:r>
      <w:r w:rsidR="007B1F95" w:rsidRPr="00EE52FE">
        <w:rPr>
          <w:rFonts w:cstheme="minorHAnsi"/>
          <w:lang w:val="en-MY" w:eastAsia="en-AU"/>
        </w:rPr>
        <w:t>prior funding agreements</w:t>
      </w:r>
      <w:r w:rsidR="007B1F95">
        <w:rPr>
          <w:rFonts w:cstheme="minorHAnsi"/>
          <w:lang w:val="en-MY" w:eastAsia="en-AU"/>
        </w:rPr>
        <w:t xml:space="preserve">, adapted to local circumstances, rather than consciously following the </w:t>
      </w:r>
      <w:r w:rsidR="007B1F95" w:rsidRPr="00EE52FE">
        <w:rPr>
          <w:rFonts w:cstheme="minorHAnsi"/>
          <w:lang w:val="en-MY" w:eastAsia="en-AU"/>
        </w:rPr>
        <w:t>co-designed ABT model</w:t>
      </w:r>
      <w:r w:rsidR="005641BE" w:rsidRPr="00EE52FE">
        <w:rPr>
          <w:rFonts w:cstheme="minorHAnsi"/>
          <w:lang w:val="en-MY" w:eastAsia="en-AU"/>
        </w:rPr>
        <w:t>.</w:t>
      </w:r>
      <w:r w:rsidR="007B1F95">
        <w:rPr>
          <w:rFonts w:cstheme="minorHAnsi"/>
          <w:lang w:val="en-MY" w:eastAsia="en-AU"/>
        </w:rPr>
        <w:t xml:space="preserve"> Because of historically high rates of staff turnover and </w:t>
      </w:r>
      <w:r w:rsidR="007B1F95" w:rsidRPr="00EE52FE">
        <w:rPr>
          <w:rFonts w:cstheme="minorHAnsi"/>
          <w:lang w:val="en-MY" w:eastAsia="en-AU"/>
        </w:rPr>
        <w:t xml:space="preserve">a lack of buy-in to the co-design process </w:t>
      </w:r>
      <w:r w:rsidR="007B1F95">
        <w:rPr>
          <w:rFonts w:cstheme="minorHAnsi"/>
          <w:lang w:val="en-MY" w:eastAsia="en-AU"/>
        </w:rPr>
        <w:t xml:space="preserve">itself, </w:t>
      </w:r>
      <w:r w:rsidR="00B52A6E">
        <w:rPr>
          <w:rFonts w:cstheme="minorHAnsi"/>
          <w:lang w:val="en-MY" w:eastAsia="en-AU"/>
        </w:rPr>
        <w:t>m</w:t>
      </w:r>
      <w:r w:rsidR="007B1F95" w:rsidRPr="00EE52FE">
        <w:rPr>
          <w:rFonts w:cstheme="minorHAnsi"/>
          <w:lang w:val="en-MY" w:eastAsia="en-AU"/>
        </w:rPr>
        <w:t>ost case workers are not aware of the ABT model</w:t>
      </w:r>
      <w:r w:rsidR="00805595">
        <w:rPr>
          <w:rFonts w:cstheme="minorHAnsi"/>
          <w:lang w:val="en-MY" w:eastAsia="en-AU"/>
        </w:rPr>
        <w:t>. To the extent that services are cognisant of following a national approach, case</w:t>
      </w:r>
      <w:r w:rsidR="00694565">
        <w:rPr>
          <w:rFonts w:cstheme="minorHAnsi"/>
          <w:lang w:val="en-MY" w:eastAsia="en-AU"/>
        </w:rPr>
        <w:t xml:space="preserve"> </w:t>
      </w:r>
      <w:r w:rsidR="00805595">
        <w:rPr>
          <w:rFonts w:cstheme="minorHAnsi"/>
          <w:lang w:val="en-MY" w:eastAsia="en-AU"/>
        </w:rPr>
        <w:t xml:space="preserve">workers felt constrained by its eligibility requirements, which were perceived to be prescriptive; and its reporting requirements, which were perceived to be process-driven and </w:t>
      </w:r>
      <w:r w:rsidR="001972D6">
        <w:rPr>
          <w:rFonts w:cstheme="minorHAnsi"/>
          <w:lang w:val="en-MY" w:eastAsia="en-AU"/>
        </w:rPr>
        <w:t xml:space="preserve">thought </w:t>
      </w:r>
      <w:r w:rsidR="00805595">
        <w:rPr>
          <w:rFonts w:cstheme="minorHAnsi"/>
          <w:lang w:val="en-MY" w:eastAsia="en-AU"/>
        </w:rPr>
        <w:t>to drive practice</w:t>
      </w:r>
      <w:r w:rsidR="008D15C7">
        <w:rPr>
          <w:rFonts w:cstheme="minorHAnsi"/>
          <w:lang w:val="en-MY" w:eastAsia="en-AU"/>
        </w:rPr>
        <w:t xml:space="preserve">, </w:t>
      </w:r>
      <w:r w:rsidR="00805595">
        <w:rPr>
          <w:rFonts w:cstheme="minorHAnsi"/>
          <w:lang w:val="en-MY" w:eastAsia="en-AU"/>
        </w:rPr>
        <w:t>while lacking the necessary contextual guidance and practical strategies required for effective implementation.</w:t>
      </w:r>
      <w:r w:rsidR="00F30DAD">
        <w:rPr>
          <w:rFonts w:cstheme="minorHAnsi"/>
          <w:lang w:val="en-MY" w:eastAsia="en-AU"/>
        </w:rPr>
        <w:t xml:space="preserve"> </w:t>
      </w:r>
    </w:p>
    <w:p w14:paraId="7A11DC36" w14:textId="0D0E45B0" w:rsidR="00DF60F7" w:rsidRDefault="00F30DAD" w:rsidP="007B1F95">
      <w:pPr>
        <w:spacing w:before="120" w:after="120"/>
        <w:jc w:val="both"/>
        <w:rPr>
          <w:rFonts w:cstheme="minorHAnsi"/>
          <w:lang w:val="en-MY" w:eastAsia="en-AU"/>
        </w:rPr>
      </w:pPr>
      <w:r>
        <w:rPr>
          <w:rFonts w:cstheme="minorHAnsi"/>
          <w:lang w:val="en-MY" w:eastAsia="en-AU"/>
        </w:rPr>
        <w:t>This finding is not, however, a blanket criticism of the ABT model, since guidance around the core elements of the service model proposed (including intensive case management, service collaboration, and working with family, culture and kin) proactively encourages case</w:t>
      </w:r>
      <w:r w:rsidR="00694565">
        <w:rPr>
          <w:rFonts w:cstheme="minorHAnsi"/>
          <w:lang w:val="en-MY" w:eastAsia="en-AU"/>
        </w:rPr>
        <w:t xml:space="preserve"> </w:t>
      </w:r>
      <w:r>
        <w:rPr>
          <w:rFonts w:cstheme="minorHAnsi"/>
          <w:lang w:val="en-MY" w:eastAsia="en-AU"/>
        </w:rPr>
        <w:t>workers to vary practices according to a local needs and context-specific opportunities and risks. Rather, case</w:t>
      </w:r>
      <w:r w:rsidR="00694565">
        <w:rPr>
          <w:rFonts w:cstheme="minorHAnsi"/>
          <w:lang w:val="en-MY" w:eastAsia="en-AU"/>
        </w:rPr>
        <w:t xml:space="preserve"> </w:t>
      </w:r>
      <w:r>
        <w:rPr>
          <w:rFonts w:cstheme="minorHAnsi"/>
          <w:lang w:val="en-MY" w:eastAsia="en-AU"/>
        </w:rPr>
        <w:t>workers did not refer to ATC or YTC (ABT) model guidance in their work, and were therefore unaware of the flexibility permitted in delivery of the model’s core elements</w:t>
      </w:r>
      <w:r w:rsidR="00686438">
        <w:rPr>
          <w:rFonts w:cstheme="minorHAnsi"/>
          <w:lang w:val="en-MY" w:eastAsia="en-AU"/>
        </w:rPr>
        <w:t>. Case</w:t>
      </w:r>
      <w:r w:rsidR="00694565">
        <w:rPr>
          <w:rFonts w:cstheme="minorHAnsi"/>
          <w:lang w:val="en-MY" w:eastAsia="en-AU"/>
        </w:rPr>
        <w:t xml:space="preserve"> </w:t>
      </w:r>
      <w:r w:rsidR="00686438">
        <w:rPr>
          <w:rFonts w:cstheme="minorHAnsi"/>
          <w:lang w:val="en-MY" w:eastAsia="en-AU"/>
        </w:rPr>
        <w:t xml:space="preserve">workers instead </w:t>
      </w:r>
      <w:r>
        <w:rPr>
          <w:rFonts w:cstheme="minorHAnsi"/>
          <w:lang w:val="en-MY" w:eastAsia="en-AU"/>
        </w:rPr>
        <w:t>sough</w:t>
      </w:r>
      <w:r w:rsidR="00686438">
        <w:rPr>
          <w:rFonts w:cstheme="minorHAnsi"/>
          <w:lang w:val="en-MY" w:eastAsia="en-AU"/>
        </w:rPr>
        <w:t>t</w:t>
      </w:r>
      <w:r>
        <w:rPr>
          <w:rFonts w:cstheme="minorHAnsi"/>
          <w:lang w:val="en-MY" w:eastAsia="en-AU"/>
        </w:rPr>
        <w:t xml:space="preserve"> to ‘work around’ what they perceived to be a linear process of assessment, planning and review, in preference for a more dynamic, contextualised, and incremental approach to working with their clients</w:t>
      </w:r>
      <w:r w:rsidR="00686438">
        <w:rPr>
          <w:rFonts w:cstheme="minorHAnsi"/>
          <w:lang w:val="en-MY" w:eastAsia="en-AU"/>
        </w:rPr>
        <w:t>, which they considered to be localised and case-by-case based</w:t>
      </w:r>
      <w:r>
        <w:rPr>
          <w:rFonts w:cstheme="minorHAnsi"/>
          <w:lang w:val="en-MY" w:eastAsia="en-AU"/>
        </w:rPr>
        <w:t>.</w:t>
      </w:r>
    </w:p>
    <w:p w14:paraId="1785F41E" w14:textId="77777777" w:rsidR="00E45528" w:rsidRDefault="00686438" w:rsidP="00A121E6">
      <w:pPr>
        <w:spacing w:before="120" w:after="120"/>
        <w:jc w:val="both"/>
        <w:rPr>
          <w:rFonts w:cstheme="minorHAnsi"/>
          <w:lang w:val="en-MY" w:eastAsia="en-AU"/>
        </w:rPr>
      </w:pPr>
      <w:r>
        <w:rPr>
          <w:rFonts w:cstheme="minorHAnsi"/>
          <w:lang w:val="en-MY" w:eastAsia="en-AU"/>
        </w:rPr>
        <w:t xml:space="preserve">That said, notwithstanding the flexibility of the ABT models with respect to case-management and on-going client support, delivery of through-care services was found to vary from the ABT model </w:t>
      </w:r>
      <w:r w:rsidR="00CD1288">
        <w:rPr>
          <w:rFonts w:cstheme="minorHAnsi"/>
          <w:lang w:val="en-MY" w:eastAsia="en-AU"/>
        </w:rPr>
        <w:t xml:space="preserve">proposed </w:t>
      </w:r>
      <w:r>
        <w:rPr>
          <w:rFonts w:cstheme="minorHAnsi"/>
          <w:lang w:val="en-MY" w:eastAsia="en-AU"/>
        </w:rPr>
        <w:t xml:space="preserve">in often fundamental ways, </w:t>
      </w:r>
      <w:r w:rsidR="00207EDD" w:rsidRPr="00EE52FE">
        <w:rPr>
          <w:rFonts w:cstheme="minorHAnsi"/>
          <w:lang w:val="en-MY" w:eastAsia="en-AU"/>
        </w:rPr>
        <w:t>notabl</w:t>
      </w:r>
      <w:r>
        <w:rPr>
          <w:rFonts w:cstheme="minorHAnsi"/>
          <w:lang w:val="en-MY" w:eastAsia="en-AU"/>
        </w:rPr>
        <w:t>y around the eligibility requirements for clients</w:t>
      </w:r>
      <w:r w:rsidR="00311D93">
        <w:rPr>
          <w:rFonts w:cstheme="minorHAnsi"/>
          <w:lang w:val="en-MY" w:eastAsia="en-AU"/>
        </w:rPr>
        <w:t>, including</w:t>
      </w:r>
      <w:r>
        <w:rPr>
          <w:rFonts w:cstheme="minorHAnsi"/>
          <w:lang w:val="en-MY" w:eastAsia="en-AU"/>
        </w:rPr>
        <w:t xml:space="preserve"> whether they commenced after sentencing and pre-release from detention</w:t>
      </w:r>
      <w:r w:rsidR="00311D93">
        <w:rPr>
          <w:rFonts w:cstheme="minorHAnsi"/>
          <w:lang w:val="en-MY" w:eastAsia="en-AU"/>
        </w:rPr>
        <w:t>;</w:t>
      </w:r>
      <w:r w:rsidR="00CD1288">
        <w:rPr>
          <w:rFonts w:cstheme="minorHAnsi"/>
          <w:lang w:val="en-MY" w:eastAsia="en-AU"/>
        </w:rPr>
        <w:t xml:space="preserve"> </w:t>
      </w:r>
      <w:r w:rsidR="00311D93">
        <w:rPr>
          <w:rFonts w:cstheme="minorHAnsi"/>
          <w:lang w:val="en-MY" w:eastAsia="en-AU"/>
        </w:rPr>
        <w:t xml:space="preserve">whether they </w:t>
      </w:r>
      <w:r w:rsidR="00CD1288">
        <w:rPr>
          <w:rFonts w:cstheme="minorHAnsi"/>
          <w:lang w:val="en-MY" w:eastAsia="en-AU"/>
        </w:rPr>
        <w:t>continu</w:t>
      </w:r>
      <w:r w:rsidR="00311D93">
        <w:rPr>
          <w:rFonts w:cstheme="minorHAnsi"/>
          <w:lang w:val="en-MY" w:eastAsia="en-AU"/>
        </w:rPr>
        <w:t xml:space="preserve">ed </w:t>
      </w:r>
      <w:r w:rsidR="00CD1288">
        <w:rPr>
          <w:rFonts w:cstheme="minorHAnsi"/>
          <w:lang w:val="en-MY" w:eastAsia="en-AU"/>
        </w:rPr>
        <w:t xml:space="preserve">to </w:t>
      </w:r>
      <w:r w:rsidR="00311D93">
        <w:rPr>
          <w:rFonts w:cstheme="minorHAnsi"/>
          <w:lang w:val="en-MY" w:eastAsia="en-AU"/>
        </w:rPr>
        <w:t xml:space="preserve">receive </w:t>
      </w:r>
      <w:r w:rsidR="00CD1288">
        <w:rPr>
          <w:rFonts w:cstheme="minorHAnsi"/>
          <w:lang w:val="en-MY" w:eastAsia="en-AU"/>
        </w:rPr>
        <w:t>post-release intensive case management and support for periods greater than 18 months</w:t>
      </w:r>
      <w:r w:rsidR="00311D93">
        <w:rPr>
          <w:rFonts w:cstheme="minorHAnsi"/>
          <w:lang w:val="en-MY" w:eastAsia="en-AU"/>
        </w:rPr>
        <w:t xml:space="preserve">; and the use of </w:t>
      </w:r>
      <w:r w:rsidR="00311D93" w:rsidRPr="00CD1288">
        <w:rPr>
          <w:rFonts w:cstheme="minorHAnsi"/>
          <w:lang w:val="en-MY" w:eastAsia="en-AU"/>
        </w:rPr>
        <w:t xml:space="preserve">ATC </w:t>
      </w:r>
      <w:r w:rsidR="00311D93">
        <w:rPr>
          <w:rFonts w:cstheme="minorHAnsi"/>
          <w:lang w:val="en-MY" w:eastAsia="en-AU"/>
        </w:rPr>
        <w:t xml:space="preserve">program </w:t>
      </w:r>
      <w:r w:rsidR="00311D93" w:rsidRPr="00CD1288">
        <w:rPr>
          <w:rFonts w:cstheme="minorHAnsi"/>
          <w:lang w:val="en-MY" w:eastAsia="en-AU"/>
        </w:rPr>
        <w:t>funds to provide services to a youth cohort</w:t>
      </w:r>
      <w:r w:rsidR="00CD1288">
        <w:rPr>
          <w:rFonts w:cstheme="minorHAnsi"/>
          <w:lang w:val="en-MY" w:eastAsia="en-AU"/>
        </w:rPr>
        <w:t xml:space="preserve">. </w:t>
      </w:r>
    </w:p>
    <w:p w14:paraId="302AC288" w14:textId="0F940FA2" w:rsidR="00A121E6" w:rsidRDefault="00CD1288" w:rsidP="00A121E6">
      <w:pPr>
        <w:spacing w:before="120" w:after="120"/>
        <w:jc w:val="both"/>
        <w:rPr>
          <w:rFonts w:cstheme="minorHAnsi"/>
          <w:lang w:val="en-MY" w:eastAsia="en-AU"/>
        </w:rPr>
      </w:pPr>
      <w:r>
        <w:rPr>
          <w:rFonts w:cstheme="minorHAnsi"/>
          <w:lang w:val="en-MY" w:eastAsia="en-AU"/>
        </w:rPr>
        <w:t>A range of reasons were reported for these variations, including the influence of geography (being at a service delivery site far from places of detention</w:t>
      </w:r>
      <w:r w:rsidR="00311D93">
        <w:rPr>
          <w:rFonts w:cstheme="minorHAnsi"/>
          <w:lang w:val="en-MY" w:eastAsia="en-AU"/>
        </w:rPr>
        <w:t>, which inhibit</w:t>
      </w:r>
      <w:r w:rsidR="00A121E6">
        <w:rPr>
          <w:rFonts w:cstheme="minorHAnsi"/>
          <w:lang w:val="en-MY" w:eastAsia="en-AU"/>
        </w:rPr>
        <w:t>s</w:t>
      </w:r>
      <w:r w:rsidR="00311D93">
        <w:rPr>
          <w:rFonts w:cstheme="minorHAnsi"/>
          <w:lang w:val="en-MY" w:eastAsia="en-AU"/>
        </w:rPr>
        <w:t xml:space="preserve"> pre-release engagement</w:t>
      </w:r>
      <w:r>
        <w:rPr>
          <w:rFonts w:cstheme="minorHAnsi"/>
          <w:lang w:val="en-MY" w:eastAsia="en-AU"/>
        </w:rPr>
        <w:t>)</w:t>
      </w:r>
      <w:r w:rsidR="006F242F">
        <w:rPr>
          <w:rFonts w:cstheme="minorHAnsi"/>
          <w:lang w:val="en-MY" w:eastAsia="en-AU"/>
        </w:rPr>
        <w:t xml:space="preserve"> </w:t>
      </w:r>
      <w:r>
        <w:rPr>
          <w:rFonts w:cstheme="minorHAnsi"/>
          <w:lang w:val="en-MY" w:eastAsia="en-AU"/>
        </w:rPr>
        <w:t xml:space="preserve">and the </w:t>
      </w:r>
      <w:r w:rsidR="00A121E6">
        <w:rPr>
          <w:rFonts w:cstheme="minorHAnsi"/>
          <w:lang w:val="en-MY" w:eastAsia="en-AU"/>
        </w:rPr>
        <w:t xml:space="preserve">need to address </w:t>
      </w:r>
      <w:r w:rsidR="0004004C">
        <w:rPr>
          <w:rFonts w:cstheme="minorHAnsi"/>
          <w:lang w:val="en-MY" w:eastAsia="en-AU"/>
        </w:rPr>
        <w:t xml:space="preserve">particular </w:t>
      </w:r>
      <w:r>
        <w:rPr>
          <w:rFonts w:cstheme="minorHAnsi"/>
          <w:lang w:val="en-MY" w:eastAsia="en-AU"/>
        </w:rPr>
        <w:t xml:space="preserve">support needs of </w:t>
      </w:r>
      <w:r w:rsidR="00E45528">
        <w:rPr>
          <w:rFonts w:cstheme="minorHAnsi"/>
          <w:lang w:val="en-MY" w:eastAsia="en-AU"/>
        </w:rPr>
        <w:t xml:space="preserve">the most </w:t>
      </w:r>
      <w:r w:rsidR="00870B35">
        <w:rPr>
          <w:rFonts w:cstheme="minorHAnsi"/>
          <w:lang w:val="en-MY" w:eastAsia="en-AU"/>
        </w:rPr>
        <w:t xml:space="preserve">vulnerable </w:t>
      </w:r>
      <w:r>
        <w:rPr>
          <w:rFonts w:cstheme="minorHAnsi"/>
          <w:lang w:val="en-MY" w:eastAsia="en-AU"/>
        </w:rPr>
        <w:t>client groups.</w:t>
      </w:r>
      <w:r w:rsidR="00FA7746">
        <w:rPr>
          <w:rFonts w:cstheme="minorHAnsi"/>
          <w:lang w:val="en-MY" w:eastAsia="en-AU"/>
        </w:rPr>
        <w:t xml:space="preserve"> </w:t>
      </w:r>
      <w:r w:rsidR="00A121E6">
        <w:rPr>
          <w:rFonts w:cstheme="minorHAnsi"/>
          <w:lang w:val="en-MY" w:eastAsia="en-AU"/>
        </w:rPr>
        <w:t xml:space="preserve">Service providers </w:t>
      </w:r>
      <w:r w:rsidR="00E45528">
        <w:rPr>
          <w:rFonts w:cstheme="minorHAnsi"/>
          <w:lang w:val="en-MY" w:eastAsia="en-AU"/>
        </w:rPr>
        <w:t xml:space="preserve">therefore </w:t>
      </w:r>
      <w:r w:rsidR="00A121E6">
        <w:rPr>
          <w:rFonts w:cstheme="minorHAnsi"/>
          <w:lang w:val="en-MY" w:eastAsia="en-AU"/>
        </w:rPr>
        <w:t>reported varying program eligibility requirements in response to client circumstances or to address perceived gaps in the prescribed service model. C</w:t>
      </w:r>
      <w:r w:rsidR="00A121E6" w:rsidRPr="00EE52FE">
        <w:rPr>
          <w:rFonts w:cstheme="minorHAnsi"/>
          <w:lang w:val="en-MY" w:eastAsia="en-AU"/>
        </w:rPr>
        <w:t>lients who are on remand or on bail in the community</w:t>
      </w:r>
      <w:r w:rsidR="00A121E6">
        <w:rPr>
          <w:rFonts w:cstheme="minorHAnsi"/>
          <w:lang w:val="en-MY" w:eastAsia="en-AU"/>
        </w:rPr>
        <w:t xml:space="preserve">, </w:t>
      </w:r>
      <w:r w:rsidR="00FA7746">
        <w:rPr>
          <w:rFonts w:cstheme="minorHAnsi"/>
          <w:lang w:val="en-MY" w:eastAsia="en-AU"/>
        </w:rPr>
        <w:t xml:space="preserve">or who </w:t>
      </w:r>
      <w:r w:rsidR="00FA7746" w:rsidRPr="00EE52FE">
        <w:rPr>
          <w:rFonts w:cstheme="minorHAnsi"/>
          <w:lang w:val="en-MY" w:eastAsia="en-AU"/>
        </w:rPr>
        <w:t>receive shorter sentences</w:t>
      </w:r>
      <w:r w:rsidR="00FA7746">
        <w:rPr>
          <w:rFonts w:cstheme="minorHAnsi"/>
          <w:lang w:val="en-MY" w:eastAsia="en-AU"/>
        </w:rPr>
        <w:t>,</w:t>
      </w:r>
      <w:r w:rsidR="00FA7746" w:rsidRPr="00EE52FE">
        <w:rPr>
          <w:rFonts w:cstheme="minorHAnsi"/>
          <w:lang w:val="en-MY" w:eastAsia="en-AU"/>
        </w:rPr>
        <w:t xml:space="preserve"> </w:t>
      </w:r>
      <w:r w:rsidR="00E45528">
        <w:rPr>
          <w:rFonts w:cstheme="minorHAnsi"/>
          <w:lang w:val="en-MY" w:eastAsia="en-AU"/>
        </w:rPr>
        <w:t xml:space="preserve">for example, </w:t>
      </w:r>
      <w:r w:rsidR="00A121E6">
        <w:rPr>
          <w:rFonts w:cstheme="minorHAnsi"/>
          <w:lang w:val="en-MY" w:eastAsia="en-AU"/>
        </w:rPr>
        <w:t xml:space="preserve">were also found to be in receipt of through-care services, despite being technically ineligibility for the program. </w:t>
      </w:r>
      <w:r w:rsidR="00FA7746">
        <w:rPr>
          <w:rFonts w:cstheme="minorHAnsi"/>
          <w:lang w:val="en-MY" w:eastAsia="en-AU"/>
        </w:rPr>
        <w:t xml:space="preserve">It was reported by service managers that this is a significant issues for females and youth, who </w:t>
      </w:r>
      <w:r w:rsidR="00FA7746" w:rsidRPr="00EE52FE">
        <w:rPr>
          <w:rFonts w:cstheme="minorHAnsi"/>
          <w:lang w:val="en-MY" w:eastAsia="en-AU"/>
        </w:rPr>
        <w:t xml:space="preserve">may </w:t>
      </w:r>
      <w:r w:rsidR="00FA7746">
        <w:rPr>
          <w:rFonts w:cstheme="minorHAnsi"/>
          <w:lang w:val="en-MY" w:eastAsia="en-AU"/>
        </w:rPr>
        <w:t xml:space="preserve">otherwise </w:t>
      </w:r>
      <w:r w:rsidR="00FA7746" w:rsidRPr="00EE52FE">
        <w:rPr>
          <w:rFonts w:cstheme="minorHAnsi"/>
          <w:lang w:val="en-MY" w:eastAsia="en-AU"/>
        </w:rPr>
        <w:t xml:space="preserve">have difficulty receiving </w:t>
      </w:r>
      <w:r w:rsidR="00FA7746">
        <w:rPr>
          <w:rFonts w:cstheme="minorHAnsi"/>
          <w:lang w:val="en-MY" w:eastAsia="en-AU"/>
        </w:rPr>
        <w:t xml:space="preserve">through-care </w:t>
      </w:r>
      <w:r w:rsidR="00FA7746" w:rsidRPr="00EE52FE">
        <w:rPr>
          <w:rFonts w:cstheme="minorHAnsi"/>
          <w:lang w:val="en-MY" w:eastAsia="en-AU"/>
        </w:rPr>
        <w:t>services</w:t>
      </w:r>
      <w:r w:rsidR="00E45528">
        <w:rPr>
          <w:rFonts w:cstheme="minorHAnsi"/>
          <w:lang w:val="en-MY" w:eastAsia="en-AU"/>
        </w:rPr>
        <w:t xml:space="preserve"> </w:t>
      </w:r>
      <w:r w:rsidR="00FA7746">
        <w:rPr>
          <w:rFonts w:cstheme="minorHAnsi"/>
          <w:lang w:val="en-MY" w:eastAsia="en-AU"/>
        </w:rPr>
        <w:t>intended for prisoner</w:t>
      </w:r>
      <w:r w:rsidR="00E45528">
        <w:rPr>
          <w:rFonts w:cstheme="minorHAnsi"/>
          <w:lang w:val="en-MY" w:eastAsia="en-AU"/>
        </w:rPr>
        <w:t>s</w:t>
      </w:r>
      <w:r w:rsidR="00FA7746">
        <w:rPr>
          <w:rFonts w:cstheme="minorHAnsi"/>
          <w:lang w:val="en-MY" w:eastAsia="en-AU"/>
        </w:rPr>
        <w:t xml:space="preserve"> on longer sentences.</w:t>
      </w:r>
    </w:p>
    <w:p w14:paraId="6D92F860" w14:textId="77942F5A" w:rsidR="00FA7746" w:rsidRDefault="00FA7746" w:rsidP="00870B35">
      <w:pPr>
        <w:spacing w:before="120" w:after="120"/>
        <w:jc w:val="both"/>
        <w:rPr>
          <w:rFonts w:cstheme="minorHAnsi"/>
          <w:lang w:val="en-MY" w:eastAsia="en-AU"/>
        </w:rPr>
      </w:pPr>
      <w:r>
        <w:rPr>
          <w:rFonts w:cstheme="minorHAnsi"/>
          <w:lang w:val="en-MY" w:eastAsia="en-AU"/>
        </w:rPr>
        <w:t>S</w:t>
      </w:r>
      <w:r w:rsidR="00CF03C4">
        <w:rPr>
          <w:rFonts w:cstheme="minorHAnsi"/>
          <w:lang w:val="en-MY" w:eastAsia="en-AU"/>
        </w:rPr>
        <w:t>uch variations</w:t>
      </w:r>
      <w:r>
        <w:rPr>
          <w:rFonts w:cstheme="minorHAnsi"/>
          <w:lang w:val="en-MY" w:eastAsia="en-AU"/>
        </w:rPr>
        <w:t xml:space="preserve">, however, were not </w:t>
      </w:r>
      <w:r w:rsidR="00CF03C4">
        <w:rPr>
          <w:rFonts w:cstheme="minorHAnsi"/>
          <w:lang w:val="en-MY" w:eastAsia="en-AU"/>
        </w:rPr>
        <w:t xml:space="preserve">found to be detrimental to client outcomes. </w:t>
      </w:r>
      <w:r w:rsidR="00870B35">
        <w:rPr>
          <w:rFonts w:cstheme="minorHAnsi"/>
          <w:lang w:val="en-MY" w:eastAsia="en-AU"/>
        </w:rPr>
        <w:t xml:space="preserve">While the ABT model emphasises the importance of pre-release engagement, </w:t>
      </w:r>
      <w:r>
        <w:rPr>
          <w:rFonts w:cstheme="minorHAnsi"/>
          <w:lang w:val="en-MY" w:eastAsia="en-AU"/>
        </w:rPr>
        <w:t xml:space="preserve">based on stakeholder consultations, </w:t>
      </w:r>
      <w:r w:rsidR="00870B35">
        <w:rPr>
          <w:rFonts w:cstheme="minorHAnsi"/>
          <w:lang w:val="en-MY" w:eastAsia="en-AU"/>
        </w:rPr>
        <w:t>there is little evidence to support the hypothesis that post-release commencements are less effective in the long-term (with outcomes more dependent on the client’s motivation and the development of a trusting relationship with their case</w:t>
      </w:r>
      <w:r w:rsidR="00694565">
        <w:rPr>
          <w:rFonts w:cstheme="minorHAnsi"/>
          <w:lang w:val="en-MY" w:eastAsia="en-AU"/>
        </w:rPr>
        <w:t xml:space="preserve"> </w:t>
      </w:r>
      <w:r w:rsidR="00870B35">
        <w:rPr>
          <w:rFonts w:cstheme="minorHAnsi"/>
          <w:lang w:val="en-MY" w:eastAsia="en-AU"/>
        </w:rPr>
        <w:t>worker). Moreover, where the length of case management is limited to two years, clients reported being less able to achieve their long term goals and a greater level of independence</w:t>
      </w:r>
      <w:r w:rsidR="005B14E4">
        <w:rPr>
          <w:rFonts w:cstheme="minorHAnsi"/>
          <w:lang w:val="en-MY" w:eastAsia="en-AU"/>
        </w:rPr>
        <w:t>, when compared to clients benefiting from a longer period of service</w:t>
      </w:r>
      <w:r>
        <w:rPr>
          <w:rFonts w:cstheme="minorHAnsi"/>
          <w:lang w:val="en-MY" w:eastAsia="en-AU"/>
        </w:rPr>
        <w:t>. S</w:t>
      </w:r>
      <w:r w:rsidR="00D541B6">
        <w:rPr>
          <w:rFonts w:cstheme="minorHAnsi"/>
          <w:lang w:val="en-MY" w:eastAsia="en-AU"/>
        </w:rPr>
        <w:t xml:space="preserve">ervice providers delivering through-care to a youth cohort using ATC funding were </w:t>
      </w:r>
      <w:r>
        <w:rPr>
          <w:rFonts w:cstheme="minorHAnsi"/>
          <w:lang w:val="en-MY" w:eastAsia="en-AU"/>
        </w:rPr>
        <w:t xml:space="preserve">also </w:t>
      </w:r>
      <w:r w:rsidR="00D541B6">
        <w:rPr>
          <w:rFonts w:cstheme="minorHAnsi"/>
          <w:lang w:val="en-MY" w:eastAsia="en-AU"/>
        </w:rPr>
        <w:t>found to benefit youth clients transitioning to adulthood – who might otherwise cease to receive services</w:t>
      </w:r>
      <w:r>
        <w:rPr>
          <w:rFonts w:cstheme="minorHAnsi"/>
          <w:lang w:val="en-MY" w:eastAsia="en-AU"/>
        </w:rPr>
        <w:t xml:space="preserve"> (noting also the finding that </w:t>
      </w:r>
      <w:r w:rsidRPr="00EE52FE">
        <w:rPr>
          <w:rFonts w:cstheme="minorHAnsi"/>
          <w:lang w:val="en-MY" w:eastAsia="en-AU"/>
        </w:rPr>
        <w:t>clients aged 16 years and older tended to be more engaged,</w:t>
      </w:r>
      <w:r>
        <w:rPr>
          <w:rFonts w:cstheme="minorHAnsi"/>
          <w:lang w:val="en-MY" w:eastAsia="en-AU"/>
        </w:rPr>
        <w:t xml:space="preserve"> with </w:t>
      </w:r>
      <w:r w:rsidRPr="00EE52FE">
        <w:rPr>
          <w:rFonts w:cstheme="minorHAnsi"/>
          <w:lang w:val="en-MY" w:eastAsia="en-AU"/>
        </w:rPr>
        <w:t xml:space="preserve">younger teens and adolescents </w:t>
      </w:r>
      <w:r>
        <w:rPr>
          <w:rFonts w:cstheme="minorHAnsi"/>
          <w:lang w:val="en-MY" w:eastAsia="en-AU"/>
        </w:rPr>
        <w:t xml:space="preserve">reported to be </w:t>
      </w:r>
      <w:r w:rsidRPr="00EE52FE">
        <w:rPr>
          <w:rFonts w:cstheme="minorHAnsi"/>
          <w:lang w:val="en-MY" w:eastAsia="en-AU"/>
        </w:rPr>
        <w:t>at greater risk of re-offending</w:t>
      </w:r>
      <w:r>
        <w:rPr>
          <w:rFonts w:cstheme="minorHAnsi"/>
          <w:lang w:val="en-MY" w:eastAsia="en-AU"/>
        </w:rPr>
        <w:t>)</w:t>
      </w:r>
      <w:r w:rsidR="00CF03C4">
        <w:rPr>
          <w:rFonts w:cstheme="minorHAnsi"/>
          <w:lang w:val="en-MY" w:eastAsia="en-AU"/>
        </w:rPr>
        <w:t>.</w:t>
      </w:r>
      <w:r w:rsidR="00A41C48">
        <w:rPr>
          <w:rFonts w:cstheme="minorHAnsi"/>
          <w:lang w:val="en-MY" w:eastAsia="en-AU"/>
        </w:rPr>
        <w:t xml:space="preserve"> </w:t>
      </w:r>
      <w:r w:rsidR="005B14E4">
        <w:rPr>
          <w:rFonts w:cstheme="minorHAnsi"/>
          <w:lang w:val="en-MY" w:eastAsia="en-AU"/>
        </w:rPr>
        <w:t>Ultimately, w</w:t>
      </w:r>
      <w:r w:rsidR="00A41C48">
        <w:rPr>
          <w:rFonts w:cstheme="minorHAnsi"/>
          <w:lang w:val="en-MY" w:eastAsia="en-AU"/>
        </w:rPr>
        <w:t>here gaps in the ability of service models to meet client</w:t>
      </w:r>
      <w:r>
        <w:rPr>
          <w:rFonts w:cstheme="minorHAnsi"/>
          <w:lang w:val="en-MY" w:eastAsia="en-AU"/>
        </w:rPr>
        <w:t xml:space="preserve"> </w:t>
      </w:r>
      <w:r w:rsidR="00A41C48">
        <w:rPr>
          <w:rFonts w:cstheme="minorHAnsi"/>
          <w:lang w:val="en-MY" w:eastAsia="en-AU"/>
        </w:rPr>
        <w:t>needs were identified, for example, with respect to clients on shorter sentences or on remand, services were attempting to fill these, subject to available resources.</w:t>
      </w:r>
    </w:p>
    <w:p w14:paraId="4AE5AD20" w14:textId="37A80FC1" w:rsidR="00A41C48" w:rsidRPr="00207EDD" w:rsidRDefault="00870B35" w:rsidP="00207EDD">
      <w:pPr>
        <w:spacing w:before="120" w:after="120"/>
        <w:jc w:val="both"/>
        <w:rPr>
          <w:rFonts w:cstheme="minorHAnsi"/>
          <w:lang w:val="en-MY" w:eastAsia="en-AU"/>
        </w:rPr>
      </w:pPr>
      <w:r>
        <w:rPr>
          <w:rFonts w:cstheme="minorHAnsi"/>
          <w:lang w:val="en-MY" w:eastAsia="en-AU"/>
        </w:rPr>
        <w:t>Overall, t</w:t>
      </w:r>
      <w:r w:rsidR="00F30DAD">
        <w:rPr>
          <w:rFonts w:cstheme="minorHAnsi"/>
          <w:lang w:val="en-MY" w:eastAsia="en-AU"/>
        </w:rPr>
        <w:t xml:space="preserve">he implementation of IAS funded through-care </w:t>
      </w:r>
      <w:r w:rsidR="00F30DAD" w:rsidRPr="00D35B9B">
        <w:rPr>
          <w:rFonts w:cstheme="minorHAnsi"/>
          <w:lang w:val="en-MY" w:eastAsia="en-AU"/>
        </w:rPr>
        <w:t>service</w:t>
      </w:r>
      <w:r w:rsidR="00F30DAD">
        <w:rPr>
          <w:rFonts w:cstheme="minorHAnsi"/>
          <w:lang w:val="en-MY" w:eastAsia="en-AU"/>
        </w:rPr>
        <w:t>s</w:t>
      </w:r>
      <w:r w:rsidR="00F30DAD" w:rsidRPr="00D35B9B">
        <w:rPr>
          <w:rFonts w:cstheme="minorHAnsi"/>
          <w:lang w:val="en-MY" w:eastAsia="en-AU"/>
        </w:rPr>
        <w:t xml:space="preserve"> </w:t>
      </w:r>
      <w:r w:rsidR="00F30DAD">
        <w:rPr>
          <w:rFonts w:cstheme="minorHAnsi"/>
          <w:lang w:val="en-MY" w:eastAsia="en-AU"/>
        </w:rPr>
        <w:t>was</w:t>
      </w:r>
      <w:r w:rsidR="005B14E4">
        <w:rPr>
          <w:rFonts w:cstheme="minorHAnsi"/>
          <w:lang w:val="en-MY" w:eastAsia="en-AU"/>
        </w:rPr>
        <w:t xml:space="preserve"> </w:t>
      </w:r>
      <w:r w:rsidR="00F30DAD">
        <w:rPr>
          <w:rFonts w:cstheme="minorHAnsi"/>
          <w:lang w:val="en-MY" w:eastAsia="en-AU"/>
        </w:rPr>
        <w:t xml:space="preserve">found to be largely </w:t>
      </w:r>
      <w:r w:rsidR="00F30DAD" w:rsidRPr="00D35B9B">
        <w:rPr>
          <w:rFonts w:cstheme="minorHAnsi"/>
          <w:lang w:val="en-MY" w:eastAsia="en-AU"/>
        </w:rPr>
        <w:t xml:space="preserve">strengths-based and client-centred, </w:t>
      </w:r>
      <w:r w:rsidR="00F30DAD">
        <w:rPr>
          <w:rFonts w:cstheme="minorHAnsi"/>
          <w:lang w:val="en-MY" w:eastAsia="en-AU"/>
        </w:rPr>
        <w:t xml:space="preserve">as well as </w:t>
      </w:r>
      <w:r w:rsidR="00F30DAD" w:rsidRPr="00D35B9B">
        <w:rPr>
          <w:rFonts w:cstheme="minorHAnsi"/>
          <w:lang w:val="en-MY" w:eastAsia="en-AU"/>
        </w:rPr>
        <w:t>culturally respectful and safe.</w:t>
      </w:r>
      <w:r w:rsidR="00F30DAD">
        <w:rPr>
          <w:rFonts w:cstheme="minorHAnsi"/>
          <w:lang w:val="en-MY" w:eastAsia="en-AU"/>
        </w:rPr>
        <w:t xml:space="preserve"> </w:t>
      </w:r>
      <w:r w:rsidR="00F30DAD" w:rsidRPr="00D35B9B">
        <w:rPr>
          <w:rFonts w:cstheme="minorHAnsi"/>
          <w:lang w:val="en-MY" w:eastAsia="en-AU"/>
        </w:rPr>
        <w:t>Both YTC and ATC c</w:t>
      </w:r>
      <w:r w:rsidR="00F30DAD">
        <w:rPr>
          <w:rFonts w:cstheme="minorHAnsi"/>
          <w:lang w:val="en-MY" w:eastAsia="en-AU"/>
        </w:rPr>
        <w:t xml:space="preserve">lients </w:t>
      </w:r>
      <w:r w:rsidR="00F30DAD" w:rsidRPr="00D35B9B">
        <w:rPr>
          <w:rFonts w:cstheme="minorHAnsi"/>
          <w:lang w:val="en-MY" w:eastAsia="en-AU"/>
        </w:rPr>
        <w:t>consistently stated that the</w:t>
      </w:r>
      <w:r w:rsidR="00F30DAD">
        <w:rPr>
          <w:rFonts w:cstheme="minorHAnsi"/>
          <w:lang w:val="en-MY" w:eastAsia="en-AU"/>
        </w:rPr>
        <w:t xml:space="preserve">ir case workers </w:t>
      </w:r>
      <w:r w:rsidR="00F30DAD" w:rsidRPr="00D35B9B">
        <w:rPr>
          <w:rFonts w:cstheme="minorHAnsi"/>
          <w:lang w:val="en-MY" w:eastAsia="en-AU"/>
        </w:rPr>
        <w:t>worked “alongside</w:t>
      </w:r>
      <w:r w:rsidR="00F30DAD">
        <w:rPr>
          <w:rFonts w:cstheme="minorHAnsi"/>
          <w:lang w:val="en-MY" w:eastAsia="en-AU"/>
        </w:rPr>
        <w:t xml:space="preserve"> them</w:t>
      </w:r>
      <w:r w:rsidR="00F30DAD" w:rsidRPr="00D35B9B">
        <w:rPr>
          <w:rFonts w:cstheme="minorHAnsi"/>
          <w:lang w:val="en-MY" w:eastAsia="en-AU"/>
        </w:rPr>
        <w:t>”</w:t>
      </w:r>
      <w:r w:rsidR="00F30DAD">
        <w:rPr>
          <w:rFonts w:cstheme="minorHAnsi"/>
          <w:lang w:val="en-MY" w:eastAsia="en-AU"/>
        </w:rPr>
        <w:t xml:space="preserve">, with the case worker’s </w:t>
      </w:r>
      <w:r w:rsidR="00F30DAD" w:rsidRPr="00D35B9B">
        <w:rPr>
          <w:rFonts w:cstheme="minorHAnsi"/>
          <w:lang w:val="en-MY" w:eastAsia="en-AU"/>
        </w:rPr>
        <w:t xml:space="preserve">ability to “listen without judgement” </w:t>
      </w:r>
      <w:r w:rsidR="00F30DAD">
        <w:rPr>
          <w:rFonts w:cstheme="minorHAnsi"/>
          <w:lang w:val="en-MY" w:eastAsia="en-AU"/>
        </w:rPr>
        <w:t xml:space="preserve">being </w:t>
      </w:r>
      <w:r w:rsidR="00F30DAD" w:rsidRPr="00D35B9B">
        <w:rPr>
          <w:rFonts w:cstheme="minorHAnsi"/>
          <w:lang w:val="en-MY" w:eastAsia="en-AU"/>
        </w:rPr>
        <w:t>the foundation for a strengths-based approach.</w:t>
      </w:r>
      <w:r w:rsidR="00F30DAD">
        <w:rPr>
          <w:rFonts w:cstheme="minorHAnsi"/>
          <w:lang w:val="en-MY" w:eastAsia="en-AU"/>
        </w:rPr>
        <w:t xml:space="preserve"> </w:t>
      </w:r>
      <w:r w:rsidR="00A41C48">
        <w:rPr>
          <w:rFonts w:cstheme="minorHAnsi"/>
          <w:kern w:val="0"/>
          <w:lang w:val="en-MY" w:eastAsia="en-AU"/>
          <w14:ligatures w14:val="none"/>
        </w:rPr>
        <w:t>The potential of programs and services which strengthen cultural identity and which connect clients with country and kin was also consistently acknowledged by service providers and clients to be a driver of success, particularly for adults and especially adult males</w:t>
      </w:r>
      <w:r w:rsidR="00A41C48">
        <w:rPr>
          <w:rFonts w:ascii="Calibri" w:eastAsiaTheme="minorEastAsia" w:hAnsi="Calibri" w:cs="Calibri"/>
          <w:kern w:val="0"/>
          <w14:ligatures w14:val="none"/>
        </w:rPr>
        <w:t>.</w:t>
      </w:r>
      <w:r w:rsidR="00A41C48">
        <w:rPr>
          <w:rFonts w:cstheme="minorHAnsi"/>
          <w:lang w:val="en-MY" w:eastAsia="en-AU"/>
        </w:rPr>
        <w:t xml:space="preserve"> S</w:t>
      </w:r>
      <w:r w:rsidR="00F30DAD">
        <w:rPr>
          <w:rFonts w:cstheme="minorHAnsi"/>
          <w:lang w:val="en-MY" w:eastAsia="en-AU"/>
        </w:rPr>
        <w:t xml:space="preserve">ervices models were also found, on the basis of workforce and governance factors, to </w:t>
      </w:r>
      <w:r w:rsidR="00F30DAD" w:rsidRPr="002C317F">
        <w:rPr>
          <w:rFonts w:cstheme="minorHAnsi"/>
          <w:lang w:val="en-MY" w:eastAsia="en-AU"/>
        </w:rPr>
        <w:t>represent an Indigenous approach</w:t>
      </w:r>
      <w:r w:rsidR="00A41C48">
        <w:rPr>
          <w:rFonts w:cstheme="minorHAnsi"/>
          <w:lang w:val="en-MY" w:eastAsia="en-AU"/>
        </w:rPr>
        <w:t xml:space="preserve">, </w:t>
      </w:r>
      <w:r w:rsidR="00A41C48">
        <w:rPr>
          <w:rFonts w:cstheme="minorHAnsi"/>
          <w:kern w:val="0"/>
          <w:lang w:val="en-MY" w:eastAsia="en-AU"/>
          <w14:ligatures w14:val="none"/>
        </w:rPr>
        <w:t xml:space="preserve">with most IAS through-care services being led by </w:t>
      </w:r>
      <w:r w:rsidR="00BC119F">
        <w:rPr>
          <w:rFonts w:cstheme="minorHAnsi"/>
          <w:kern w:val="0"/>
          <w:lang w:val="en-MY" w:eastAsia="en-AU"/>
          <w14:ligatures w14:val="none"/>
        </w:rPr>
        <w:t xml:space="preserve">service </w:t>
      </w:r>
      <w:r w:rsidR="00A41C48">
        <w:rPr>
          <w:rFonts w:cstheme="minorHAnsi"/>
          <w:kern w:val="0"/>
          <w:lang w:val="en-MY" w:eastAsia="en-AU"/>
          <w14:ligatures w14:val="none"/>
        </w:rPr>
        <w:t>providers with majority Indigenous boards and by management teams who are led by Indigenous people.</w:t>
      </w:r>
      <w:r w:rsidR="00A41C48">
        <w:rPr>
          <w:rFonts w:cstheme="minorHAnsi"/>
          <w:lang w:val="en-MY" w:eastAsia="en-AU"/>
        </w:rPr>
        <w:t xml:space="preserve"> </w:t>
      </w:r>
    </w:p>
    <w:p w14:paraId="4319634D" w14:textId="77777777" w:rsidR="005641BE" w:rsidRPr="00EE52FE" w:rsidRDefault="005641BE" w:rsidP="00851230">
      <w:pPr>
        <w:pStyle w:val="SUBHEAD2"/>
        <w:rPr>
          <w:rFonts w:asciiTheme="minorHAnsi" w:hAnsiTheme="minorHAnsi" w:cstheme="minorHAnsi"/>
          <w:lang w:val="en-MY" w:eastAsia="en-AU"/>
        </w:rPr>
      </w:pPr>
      <w:r w:rsidRPr="00EE52FE">
        <w:rPr>
          <w:rFonts w:asciiTheme="minorHAnsi" w:hAnsiTheme="minorHAnsi" w:cstheme="minorHAnsi"/>
          <w:lang w:val="en-MY" w:eastAsia="en-AU"/>
        </w:rPr>
        <w:t>Service Collaboration</w:t>
      </w:r>
    </w:p>
    <w:p w14:paraId="7F30F7B7" w14:textId="55C715A0" w:rsidR="00C36B76" w:rsidRDefault="00BC119F" w:rsidP="00C36B76">
      <w:pPr>
        <w:spacing w:before="120" w:after="120"/>
        <w:jc w:val="both"/>
        <w:rPr>
          <w:rFonts w:cstheme="minorHAnsi"/>
          <w:lang w:val="en-MY" w:eastAsia="en-AU"/>
        </w:rPr>
      </w:pPr>
      <w:r>
        <w:rPr>
          <w:rFonts w:cstheme="minorHAnsi"/>
          <w:lang w:val="en-MY" w:eastAsia="en-AU"/>
        </w:rPr>
        <w:t xml:space="preserve">Consistent with the ABT model, </w:t>
      </w:r>
      <w:r w:rsidR="00E45528">
        <w:rPr>
          <w:rFonts w:cstheme="minorHAnsi"/>
          <w:lang w:val="en-MY" w:eastAsia="en-AU"/>
        </w:rPr>
        <w:t>service</w:t>
      </w:r>
      <w:r w:rsidR="002201D4">
        <w:rPr>
          <w:rFonts w:cstheme="minorHAnsi"/>
          <w:lang w:val="en-MY" w:eastAsia="en-AU"/>
        </w:rPr>
        <w:t xml:space="preserve"> providers </w:t>
      </w:r>
      <w:r w:rsidR="00E45528">
        <w:rPr>
          <w:rFonts w:cstheme="minorHAnsi"/>
          <w:lang w:val="en-MY" w:eastAsia="en-AU"/>
        </w:rPr>
        <w:t xml:space="preserve">reported </w:t>
      </w:r>
      <w:r w:rsidR="002201D4" w:rsidRPr="00EE52FE">
        <w:rPr>
          <w:rFonts w:cstheme="minorHAnsi"/>
          <w:lang w:val="en-MY" w:eastAsia="en-AU"/>
        </w:rPr>
        <w:t xml:space="preserve">that effective through-care service </w:t>
      </w:r>
      <w:r>
        <w:rPr>
          <w:rFonts w:cstheme="minorHAnsi"/>
          <w:lang w:val="en-MY" w:eastAsia="en-AU"/>
        </w:rPr>
        <w:t xml:space="preserve">delivery </w:t>
      </w:r>
      <w:r w:rsidR="003A143A">
        <w:rPr>
          <w:rFonts w:cstheme="minorHAnsi"/>
          <w:lang w:val="en-MY" w:eastAsia="en-AU"/>
        </w:rPr>
        <w:t xml:space="preserve">should </w:t>
      </w:r>
      <w:r w:rsidR="00E45528">
        <w:rPr>
          <w:rFonts w:cstheme="minorHAnsi"/>
          <w:lang w:val="en-MY" w:eastAsia="en-AU"/>
        </w:rPr>
        <w:t xml:space="preserve">be </w:t>
      </w:r>
      <w:r w:rsidR="002201D4" w:rsidRPr="00EE52FE">
        <w:rPr>
          <w:rFonts w:cstheme="minorHAnsi"/>
          <w:lang w:val="en-MY" w:eastAsia="en-AU"/>
        </w:rPr>
        <w:t>holistic</w:t>
      </w:r>
      <w:r w:rsidR="00E45528">
        <w:rPr>
          <w:rFonts w:cstheme="minorHAnsi"/>
          <w:lang w:val="en-MY" w:eastAsia="en-AU"/>
        </w:rPr>
        <w:t>,</w:t>
      </w:r>
      <w:r w:rsidR="002201D4" w:rsidRPr="00EE52FE">
        <w:rPr>
          <w:rFonts w:cstheme="minorHAnsi"/>
          <w:lang w:val="en-MY" w:eastAsia="en-AU"/>
        </w:rPr>
        <w:t xml:space="preserve"> involving the coordination and collaboration of secondary </w:t>
      </w:r>
      <w:r w:rsidR="003A143A">
        <w:rPr>
          <w:rFonts w:cstheme="minorHAnsi"/>
          <w:lang w:val="en-MY" w:eastAsia="en-AU"/>
        </w:rPr>
        <w:t xml:space="preserve">support </w:t>
      </w:r>
      <w:r w:rsidR="002201D4" w:rsidRPr="00EE52FE">
        <w:rPr>
          <w:rFonts w:cstheme="minorHAnsi"/>
          <w:lang w:val="en-MY" w:eastAsia="en-AU"/>
        </w:rPr>
        <w:t>services</w:t>
      </w:r>
      <w:r w:rsidR="00E45528">
        <w:rPr>
          <w:rFonts w:cstheme="minorHAnsi"/>
          <w:lang w:val="en-MY" w:eastAsia="en-AU"/>
        </w:rPr>
        <w:t xml:space="preserve"> to meet the needs of clients</w:t>
      </w:r>
      <w:r w:rsidR="002201D4" w:rsidRPr="00EE52FE">
        <w:rPr>
          <w:rFonts w:cstheme="minorHAnsi"/>
          <w:lang w:val="en-MY" w:eastAsia="en-AU"/>
        </w:rPr>
        <w:t xml:space="preserve">, facilitated by </w:t>
      </w:r>
      <w:r w:rsidR="003A143A">
        <w:rPr>
          <w:rFonts w:cstheme="minorHAnsi"/>
          <w:lang w:val="en-MY" w:eastAsia="en-AU"/>
        </w:rPr>
        <w:t xml:space="preserve">established </w:t>
      </w:r>
      <w:r w:rsidR="002201D4" w:rsidRPr="00EE52FE">
        <w:rPr>
          <w:rFonts w:cstheme="minorHAnsi"/>
          <w:lang w:val="en-MY" w:eastAsia="en-AU"/>
        </w:rPr>
        <w:t xml:space="preserve">relationships </w:t>
      </w:r>
      <w:r w:rsidR="002201D4">
        <w:rPr>
          <w:rFonts w:cstheme="minorHAnsi"/>
          <w:lang w:val="en-MY" w:eastAsia="en-AU"/>
        </w:rPr>
        <w:t xml:space="preserve">with the </w:t>
      </w:r>
      <w:r>
        <w:rPr>
          <w:rFonts w:cstheme="minorHAnsi"/>
          <w:lang w:val="en-MY" w:eastAsia="en-AU"/>
        </w:rPr>
        <w:t xml:space="preserve">third-party </w:t>
      </w:r>
      <w:r w:rsidR="002201D4">
        <w:rPr>
          <w:rFonts w:cstheme="minorHAnsi"/>
          <w:lang w:val="en-MY" w:eastAsia="en-AU"/>
        </w:rPr>
        <w:t>service provider</w:t>
      </w:r>
      <w:r w:rsidR="002201D4" w:rsidRPr="00EE52FE">
        <w:rPr>
          <w:rFonts w:cstheme="minorHAnsi"/>
          <w:lang w:val="en-MY" w:eastAsia="en-AU"/>
        </w:rPr>
        <w:t>.</w:t>
      </w:r>
      <w:r w:rsidR="002201D4">
        <w:rPr>
          <w:rFonts w:cstheme="minorHAnsi"/>
          <w:lang w:val="en-MY" w:eastAsia="en-AU"/>
        </w:rPr>
        <w:t xml:space="preserve"> In particular, for client’s commencing pre-release, </w:t>
      </w:r>
      <w:r w:rsidR="002201D4" w:rsidRPr="00EE52FE">
        <w:rPr>
          <w:rFonts w:cstheme="minorHAnsi"/>
          <w:lang w:val="en-MY" w:eastAsia="en-AU"/>
        </w:rPr>
        <w:t xml:space="preserve">close relationships with prison staff (especially Indigenous Liaison Officers) </w:t>
      </w:r>
      <w:r w:rsidR="002201D4">
        <w:rPr>
          <w:rFonts w:cstheme="minorHAnsi"/>
          <w:lang w:val="en-MY" w:eastAsia="en-AU"/>
        </w:rPr>
        <w:t xml:space="preserve">were </w:t>
      </w:r>
      <w:r w:rsidR="0027286D">
        <w:rPr>
          <w:rFonts w:cstheme="minorHAnsi"/>
          <w:lang w:val="en-MY" w:eastAsia="en-AU"/>
        </w:rPr>
        <w:t>re</w:t>
      </w:r>
      <w:r w:rsidR="00C36B76">
        <w:rPr>
          <w:rFonts w:cstheme="minorHAnsi"/>
          <w:lang w:val="en-MY" w:eastAsia="en-AU"/>
        </w:rPr>
        <w:t>garded as</w:t>
      </w:r>
      <w:r w:rsidR="002201D4">
        <w:rPr>
          <w:rFonts w:cstheme="minorHAnsi"/>
          <w:lang w:val="en-MY" w:eastAsia="en-AU"/>
        </w:rPr>
        <w:t xml:space="preserve"> </w:t>
      </w:r>
      <w:r w:rsidR="00C36B76">
        <w:rPr>
          <w:rFonts w:cstheme="minorHAnsi"/>
          <w:lang w:val="en-MY" w:eastAsia="en-AU"/>
        </w:rPr>
        <w:t xml:space="preserve">important </w:t>
      </w:r>
      <w:r w:rsidR="002201D4">
        <w:rPr>
          <w:rFonts w:cstheme="minorHAnsi"/>
          <w:lang w:val="en-MY" w:eastAsia="en-AU"/>
        </w:rPr>
        <w:t xml:space="preserve">for </w:t>
      </w:r>
      <w:r w:rsidR="002201D4" w:rsidRPr="00EE52FE">
        <w:rPr>
          <w:rFonts w:cstheme="minorHAnsi"/>
          <w:lang w:val="en-MY" w:eastAsia="en-AU"/>
        </w:rPr>
        <w:t>identif</w:t>
      </w:r>
      <w:r w:rsidR="002201D4">
        <w:rPr>
          <w:rFonts w:cstheme="minorHAnsi"/>
          <w:lang w:val="en-MY" w:eastAsia="en-AU"/>
        </w:rPr>
        <w:t>ying</w:t>
      </w:r>
      <w:r w:rsidR="002201D4" w:rsidRPr="00EE52FE">
        <w:rPr>
          <w:rFonts w:cstheme="minorHAnsi"/>
          <w:lang w:val="en-MY" w:eastAsia="en-AU"/>
        </w:rPr>
        <w:t xml:space="preserve"> and </w:t>
      </w:r>
      <w:r w:rsidR="003A143A">
        <w:rPr>
          <w:rFonts w:cstheme="minorHAnsi"/>
          <w:lang w:val="en-MY" w:eastAsia="en-AU"/>
        </w:rPr>
        <w:t xml:space="preserve">developing relationships with clients </w:t>
      </w:r>
      <w:r w:rsidR="00C36B76">
        <w:rPr>
          <w:rFonts w:cstheme="minorHAnsi"/>
          <w:lang w:val="en-MY" w:eastAsia="en-AU"/>
        </w:rPr>
        <w:t>early;</w:t>
      </w:r>
      <w:r w:rsidR="00E45528">
        <w:rPr>
          <w:rFonts w:cstheme="minorHAnsi"/>
          <w:lang w:val="en-MY" w:eastAsia="en-AU"/>
        </w:rPr>
        <w:t xml:space="preserve"> </w:t>
      </w:r>
      <w:r w:rsidR="002201D4">
        <w:rPr>
          <w:rFonts w:cstheme="minorHAnsi"/>
          <w:lang w:val="en-MY" w:eastAsia="en-AU"/>
        </w:rPr>
        <w:t xml:space="preserve">while </w:t>
      </w:r>
      <w:r w:rsidR="002201D4" w:rsidRPr="00EE52FE">
        <w:rPr>
          <w:rFonts w:cstheme="minorHAnsi"/>
          <w:lang w:val="en-MY" w:eastAsia="en-AU"/>
        </w:rPr>
        <w:t xml:space="preserve">collaborative case management practices for </w:t>
      </w:r>
      <w:r w:rsidR="002201D4">
        <w:rPr>
          <w:rFonts w:cstheme="minorHAnsi"/>
          <w:lang w:val="en-MY" w:eastAsia="en-AU"/>
        </w:rPr>
        <w:t xml:space="preserve">youth were </w:t>
      </w:r>
      <w:r w:rsidR="00C36B76">
        <w:rPr>
          <w:rFonts w:cstheme="minorHAnsi"/>
          <w:lang w:val="en-MY" w:eastAsia="en-AU"/>
        </w:rPr>
        <w:t>seen as</w:t>
      </w:r>
      <w:r w:rsidR="00C764DC">
        <w:rPr>
          <w:rFonts w:cstheme="minorHAnsi"/>
          <w:lang w:val="en-MY" w:eastAsia="en-AU"/>
        </w:rPr>
        <w:t xml:space="preserve"> essential </w:t>
      </w:r>
      <w:r w:rsidR="00E45528">
        <w:rPr>
          <w:rFonts w:cstheme="minorHAnsi"/>
          <w:lang w:val="en-MY" w:eastAsia="en-AU"/>
        </w:rPr>
        <w:t xml:space="preserve">when working with </w:t>
      </w:r>
      <w:r w:rsidR="00AD15B0">
        <w:rPr>
          <w:rFonts w:cstheme="minorHAnsi"/>
          <w:lang w:val="en-MY" w:eastAsia="en-AU"/>
        </w:rPr>
        <w:t>statutory services</w:t>
      </w:r>
      <w:r w:rsidR="00C764DC">
        <w:rPr>
          <w:rFonts w:cstheme="minorHAnsi"/>
          <w:lang w:val="en-MY" w:eastAsia="en-AU"/>
        </w:rPr>
        <w:t>, particularly for youth aged less than 14 years</w:t>
      </w:r>
      <w:r w:rsidR="00AD15B0" w:rsidRPr="00EE52FE">
        <w:rPr>
          <w:rFonts w:cstheme="minorHAnsi"/>
          <w:lang w:val="en-MY" w:eastAsia="en-AU"/>
        </w:rPr>
        <w:t xml:space="preserve">. </w:t>
      </w:r>
      <w:r w:rsidR="0027286D">
        <w:rPr>
          <w:rFonts w:cstheme="minorHAnsi"/>
          <w:lang w:val="en-MY" w:eastAsia="en-AU"/>
        </w:rPr>
        <w:t xml:space="preserve">Post-release, </w:t>
      </w:r>
      <w:r w:rsidR="00C36B76">
        <w:rPr>
          <w:rFonts w:cstheme="minorHAnsi"/>
          <w:lang w:val="en-MY" w:eastAsia="en-AU"/>
        </w:rPr>
        <w:t xml:space="preserve">in cases where </w:t>
      </w:r>
      <w:r w:rsidR="003A143A">
        <w:rPr>
          <w:rFonts w:cstheme="minorHAnsi"/>
          <w:lang w:val="en-MY" w:eastAsia="en-AU"/>
        </w:rPr>
        <w:t xml:space="preserve">the service system contains a range of high quality services </w:t>
      </w:r>
      <w:r w:rsidR="00C36B76">
        <w:rPr>
          <w:rFonts w:cstheme="minorHAnsi"/>
          <w:lang w:val="en-MY" w:eastAsia="en-AU"/>
        </w:rPr>
        <w:t xml:space="preserve">with whom </w:t>
      </w:r>
      <w:r w:rsidR="003A143A" w:rsidRPr="00EE52FE">
        <w:rPr>
          <w:rFonts w:cstheme="minorHAnsi"/>
          <w:lang w:val="en-MY" w:eastAsia="en-AU"/>
        </w:rPr>
        <w:t xml:space="preserve">relationships are </w:t>
      </w:r>
      <w:r w:rsidR="003A143A">
        <w:rPr>
          <w:rFonts w:cstheme="minorHAnsi"/>
          <w:lang w:val="en-MY" w:eastAsia="en-AU"/>
        </w:rPr>
        <w:t>productive</w:t>
      </w:r>
      <w:r w:rsidR="00AD15B0" w:rsidRPr="00EE52FE">
        <w:rPr>
          <w:rFonts w:cstheme="minorHAnsi"/>
          <w:lang w:val="en-MY" w:eastAsia="en-AU"/>
        </w:rPr>
        <w:t>, service</w:t>
      </w:r>
      <w:r w:rsidR="003A143A">
        <w:rPr>
          <w:rFonts w:cstheme="minorHAnsi"/>
          <w:lang w:val="en-MY" w:eastAsia="en-AU"/>
        </w:rPr>
        <w:t xml:space="preserve"> delivery</w:t>
      </w:r>
      <w:r w:rsidR="00AD15B0" w:rsidRPr="00EE52FE">
        <w:rPr>
          <w:rFonts w:cstheme="minorHAnsi"/>
          <w:lang w:val="en-MY" w:eastAsia="en-AU"/>
        </w:rPr>
        <w:t xml:space="preserve"> </w:t>
      </w:r>
      <w:r w:rsidR="003A143A">
        <w:rPr>
          <w:rFonts w:cstheme="minorHAnsi"/>
          <w:lang w:val="en-MY" w:eastAsia="en-AU"/>
        </w:rPr>
        <w:t xml:space="preserve">can </w:t>
      </w:r>
      <w:r w:rsidR="00AD15B0" w:rsidRPr="00EE52FE">
        <w:rPr>
          <w:rFonts w:cstheme="minorHAnsi"/>
          <w:lang w:val="en-MY" w:eastAsia="en-AU"/>
        </w:rPr>
        <w:t>appear seamless</w:t>
      </w:r>
      <w:r w:rsidR="00C36B76">
        <w:rPr>
          <w:rFonts w:cstheme="minorHAnsi"/>
          <w:lang w:val="en-MY" w:eastAsia="en-AU"/>
        </w:rPr>
        <w:t xml:space="preserve"> to clients</w:t>
      </w:r>
      <w:r w:rsidR="003A143A">
        <w:rPr>
          <w:rFonts w:cstheme="minorHAnsi"/>
          <w:lang w:val="en-MY" w:eastAsia="en-AU"/>
        </w:rPr>
        <w:t xml:space="preserve">, </w:t>
      </w:r>
      <w:r w:rsidR="00AD15B0" w:rsidRPr="00EE52FE">
        <w:rPr>
          <w:rFonts w:cstheme="minorHAnsi"/>
          <w:lang w:val="en-MY" w:eastAsia="en-AU"/>
        </w:rPr>
        <w:t>lead</w:t>
      </w:r>
      <w:r w:rsidR="003A143A">
        <w:rPr>
          <w:rFonts w:cstheme="minorHAnsi"/>
          <w:lang w:val="en-MY" w:eastAsia="en-AU"/>
        </w:rPr>
        <w:t>ing</w:t>
      </w:r>
      <w:r w:rsidR="00AD15B0" w:rsidRPr="00EE52FE">
        <w:rPr>
          <w:rFonts w:cstheme="minorHAnsi"/>
          <w:lang w:val="en-MY" w:eastAsia="en-AU"/>
        </w:rPr>
        <w:t xml:space="preserve"> to increased trust and voluntary connection to the program.</w:t>
      </w:r>
    </w:p>
    <w:p w14:paraId="4622E015" w14:textId="0AE9754D" w:rsidR="00C36B76" w:rsidRDefault="003A143A" w:rsidP="00C36B76">
      <w:pPr>
        <w:spacing w:before="120" w:after="120"/>
        <w:jc w:val="both"/>
        <w:rPr>
          <w:rFonts w:cstheme="minorHAnsi"/>
          <w:lang w:val="en-MY" w:eastAsia="en-AU"/>
        </w:rPr>
      </w:pPr>
      <w:r>
        <w:rPr>
          <w:rFonts w:cstheme="minorHAnsi"/>
          <w:lang w:val="en-MY" w:eastAsia="en-AU"/>
        </w:rPr>
        <w:t>Despite acknowledging the importance of service delivery partnerships, s</w:t>
      </w:r>
      <w:r w:rsidR="00AD15B0" w:rsidRPr="00EE52FE">
        <w:rPr>
          <w:rFonts w:cstheme="minorHAnsi"/>
          <w:lang w:val="en-MY" w:eastAsia="en-AU"/>
        </w:rPr>
        <w:t xml:space="preserve">ervice providers </w:t>
      </w:r>
      <w:r>
        <w:rPr>
          <w:rFonts w:cstheme="minorHAnsi"/>
          <w:lang w:val="en-MY" w:eastAsia="en-AU"/>
        </w:rPr>
        <w:t xml:space="preserve">overall, </w:t>
      </w:r>
      <w:r w:rsidR="00AD15B0">
        <w:rPr>
          <w:rFonts w:cstheme="minorHAnsi"/>
          <w:lang w:val="en-MY" w:eastAsia="en-AU"/>
        </w:rPr>
        <w:t xml:space="preserve">however, </w:t>
      </w:r>
      <w:r w:rsidR="00AD15B0" w:rsidRPr="00EE52FE">
        <w:rPr>
          <w:rFonts w:cstheme="minorHAnsi"/>
          <w:lang w:val="en-MY" w:eastAsia="en-AU"/>
        </w:rPr>
        <w:t>report</w:t>
      </w:r>
      <w:r>
        <w:rPr>
          <w:rFonts w:cstheme="minorHAnsi"/>
          <w:lang w:val="en-MY" w:eastAsia="en-AU"/>
        </w:rPr>
        <w:t>ed</w:t>
      </w:r>
      <w:r w:rsidR="00AD15B0">
        <w:rPr>
          <w:rFonts w:cstheme="minorHAnsi"/>
          <w:lang w:val="en-MY" w:eastAsia="en-AU"/>
        </w:rPr>
        <w:t xml:space="preserve"> </w:t>
      </w:r>
      <w:r w:rsidR="00AD15B0" w:rsidRPr="00EE52FE">
        <w:rPr>
          <w:rFonts w:cstheme="minorHAnsi"/>
          <w:lang w:val="en-MY" w:eastAsia="en-AU"/>
        </w:rPr>
        <w:t xml:space="preserve">a lack of capacity to </w:t>
      </w:r>
      <w:r>
        <w:rPr>
          <w:rFonts w:cstheme="minorHAnsi"/>
          <w:lang w:val="en-MY" w:eastAsia="en-AU"/>
        </w:rPr>
        <w:t xml:space="preserve">sustain their relationships </w:t>
      </w:r>
      <w:r w:rsidR="00AD15B0" w:rsidRPr="00EE52FE">
        <w:rPr>
          <w:rFonts w:cstheme="minorHAnsi"/>
          <w:lang w:val="en-MY" w:eastAsia="en-AU"/>
        </w:rPr>
        <w:t xml:space="preserve">with secondary services </w:t>
      </w:r>
      <w:r>
        <w:rPr>
          <w:rFonts w:cstheme="minorHAnsi"/>
          <w:lang w:val="en-MY" w:eastAsia="en-AU"/>
        </w:rPr>
        <w:t xml:space="preserve">to </w:t>
      </w:r>
      <w:r w:rsidR="00AD15B0" w:rsidRPr="00EE52FE">
        <w:rPr>
          <w:rFonts w:cstheme="minorHAnsi"/>
          <w:lang w:val="en-MY" w:eastAsia="en-AU"/>
        </w:rPr>
        <w:t>drive an holistic, integrated</w:t>
      </w:r>
      <w:r w:rsidR="00AD15B0">
        <w:rPr>
          <w:rFonts w:cstheme="minorHAnsi"/>
          <w:lang w:val="en-MY" w:eastAsia="en-AU"/>
        </w:rPr>
        <w:t xml:space="preserve">, </w:t>
      </w:r>
      <w:r w:rsidR="00AD15B0" w:rsidRPr="00EE52FE">
        <w:rPr>
          <w:rFonts w:cstheme="minorHAnsi"/>
          <w:lang w:val="en-MY" w:eastAsia="en-AU"/>
        </w:rPr>
        <w:t>and intensive respons</w:t>
      </w:r>
      <w:r w:rsidR="0027286D">
        <w:rPr>
          <w:rFonts w:cstheme="minorHAnsi"/>
          <w:lang w:val="en-MY" w:eastAsia="en-AU"/>
        </w:rPr>
        <w:t>e</w:t>
      </w:r>
      <w:r w:rsidR="00AD15B0" w:rsidRPr="00EE52FE">
        <w:rPr>
          <w:rFonts w:cstheme="minorHAnsi"/>
          <w:lang w:val="en-MY" w:eastAsia="en-AU"/>
        </w:rPr>
        <w:t xml:space="preserve">. </w:t>
      </w:r>
      <w:r w:rsidR="0027286D">
        <w:rPr>
          <w:rFonts w:cstheme="minorHAnsi"/>
          <w:lang w:val="en-MY" w:eastAsia="en-AU"/>
        </w:rPr>
        <w:t>T</w:t>
      </w:r>
      <w:r w:rsidR="0027286D" w:rsidRPr="00EE52FE">
        <w:rPr>
          <w:rFonts w:cstheme="minorHAnsi"/>
          <w:lang w:val="en-MY" w:eastAsia="en-AU"/>
        </w:rPr>
        <w:t xml:space="preserve">he extent to which service pathways are collaborative or integrated </w:t>
      </w:r>
      <w:r w:rsidR="0027286D">
        <w:rPr>
          <w:rFonts w:cstheme="minorHAnsi"/>
          <w:lang w:val="en-MY" w:eastAsia="en-AU"/>
        </w:rPr>
        <w:t xml:space="preserve">was found to be </w:t>
      </w:r>
      <w:r w:rsidR="0027286D" w:rsidRPr="00EE52FE">
        <w:rPr>
          <w:rFonts w:cstheme="minorHAnsi"/>
          <w:lang w:val="en-MY" w:eastAsia="en-AU"/>
        </w:rPr>
        <w:t xml:space="preserve">mixed, with </w:t>
      </w:r>
      <w:r w:rsidR="007C02C8">
        <w:rPr>
          <w:rFonts w:cstheme="minorHAnsi"/>
          <w:lang w:val="en-MY" w:eastAsia="en-AU"/>
        </w:rPr>
        <w:t>a service provider</w:t>
      </w:r>
      <w:r w:rsidR="00E45528">
        <w:rPr>
          <w:rFonts w:cstheme="minorHAnsi"/>
          <w:lang w:val="en-MY" w:eastAsia="en-AU"/>
        </w:rPr>
        <w:t>’</w:t>
      </w:r>
      <w:r w:rsidR="007C02C8">
        <w:rPr>
          <w:rFonts w:cstheme="minorHAnsi"/>
          <w:lang w:val="en-MY" w:eastAsia="en-AU"/>
        </w:rPr>
        <w:t xml:space="preserve">s ability to collaborate with justice or corrective services often hindered by geography </w:t>
      </w:r>
      <w:r w:rsidR="00E45528">
        <w:rPr>
          <w:rFonts w:cstheme="minorHAnsi"/>
          <w:lang w:val="en-MY" w:eastAsia="en-AU"/>
        </w:rPr>
        <w:t xml:space="preserve">or </w:t>
      </w:r>
      <w:r w:rsidR="007C02C8">
        <w:rPr>
          <w:rFonts w:cstheme="minorHAnsi"/>
          <w:lang w:val="en-MY" w:eastAsia="en-AU"/>
        </w:rPr>
        <w:t>weak relationships with parole officers, which has limited the capacity of case</w:t>
      </w:r>
      <w:r w:rsidR="00694565">
        <w:rPr>
          <w:rFonts w:cstheme="minorHAnsi"/>
          <w:lang w:val="en-MY" w:eastAsia="en-AU"/>
        </w:rPr>
        <w:t xml:space="preserve"> </w:t>
      </w:r>
      <w:r w:rsidR="007C02C8">
        <w:rPr>
          <w:rFonts w:cstheme="minorHAnsi"/>
          <w:lang w:val="en-MY" w:eastAsia="en-AU"/>
        </w:rPr>
        <w:t xml:space="preserve">workers to </w:t>
      </w:r>
      <w:r w:rsidR="00E45528">
        <w:rPr>
          <w:rFonts w:cstheme="minorHAnsi"/>
          <w:lang w:val="en-MY" w:eastAsia="en-AU"/>
        </w:rPr>
        <w:t xml:space="preserve">establish pre-release relationships, or else work around </w:t>
      </w:r>
      <w:r w:rsidR="007C02C8">
        <w:rPr>
          <w:rFonts w:cstheme="minorHAnsi"/>
          <w:lang w:val="en-MY" w:eastAsia="en-AU"/>
        </w:rPr>
        <w:t>the more inflexible parole requirements</w:t>
      </w:r>
      <w:r w:rsidR="00E45528">
        <w:rPr>
          <w:rFonts w:cstheme="minorHAnsi"/>
          <w:lang w:val="en-MY" w:eastAsia="en-AU"/>
        </w:rPr>
        <w:t xml:space="preserve"> post-release</w:t>
      </w:r>
      <w:r w:rsidR="007C02C8">
        <w:rPr>
          <w:rFonts w:cstheme="minorHAnsi"/>
          <w:lang w:val="en-MY" w:eastAsia="en-AU"/>
        </w:rPr>
        <w:t>.</w:t>
      </w:r>
    </w:p>
    <w:p w14:paraId="00B5CAAB" w14:textId="3945CA23" w:rsidR="005650CA" w:rsidRDefault="007C02C8" w:rsidP="00C36B76">
      <w:pPr>
        <w:spacing w:before="120" w:after="120"/>
        <w:jc w:val="both"/>
        <w:rPr>
          <w:rFonts w:cstheme="minorHAnsi"/>
          <w:lang w:val="en-MY" w:eastAsia="en-AU"/>
        </w:rPr>
      </w:pPr>
      <w:r>
        <w:rPr>
          <w:rFonts w:cstheme="minorHAnsi"/>
          <w:lang w:val="en-MY" w:eastAsia="en-AU"/>
        </w:rPr>
        <w:t>A</w:t>
      </w:r>
      <w:r w:rsidR="0027286D" w:rsidRPr="00EE52FE">
        <w:rPr>
          <w:rFonts w:cstheme="minorHAnsi"/>
          <w:lang w:val="en-MY" w:eastAsia="en-AU"/>
        </w:rPr>
        <w:t xml:space="preserve">ccess to </w:t>
      </w:r>
      <w:r>
        <w:rPr>
          <w:rFonts w:cstheme="minorHAnsi"/>
          <w:lang w:val="en-MY" w:eastAsia="en-AU"/>
        </w:rPr>
        <w:t xml:space="preserve">external </w:t>
      </w:r>
      <w:r w:rsidR="0027286D" w:rsidRPr="00EE52FE">
        <w:rPr>
          <w:rFonts w:cstheme="minorHAnsi"/>
          <w:lang w:val="en-MY" w:eastAsia="en-AU"/>
        </w:rPr>
        <w:t xml:space="preserve">services such as </w:t>
      </w:r>
      <w:r w:rsidR="00DA6236">
        <w:rPr>
          <w:rFonts w:cstheme="minorHAnsi"/>
          <w:lang w:val="en-MY" w:eastAsia="en-AU"/>
        </w:rPr>
        <w:t xml:space="preserve">safe and secure </w:t>
      </w:r>
      <w:r w:rsidR="0027286D" w:rsidRPr="00EE52FE">
        <w:rPr>
          <w:rFonts w:cstheme="minorHAnsi"/>
          <w:lang w:val="en-MY" w:eastAsia="en-AU"/>
        </w:rPr>
        <w:t xml:space="preserve">housing, </w:t>
      </w:r>
      <w:r w:rsidR="00DA6236">
        <w:rPr>
          <w:rFonts w:cstheme="minorHAnsi"/>
          <w:lang w:val="en-MY" w:eastAsia="en-AU"/>
        </w:rPr>
        <w:t xml:space="preserve">AoD rehabilitation </w:t>
      </w:r>
      <w:r w:rsidR="0027286D" w:rsidRPr="00EE52FE">
        <w:rPr>
          <w:rFonts w:cstheme="minorHAnsi"/>
          <w:lang w:val="en-MY" w:eastAsia="en-AU"/>
        </w:rPr>
        <w:t xml:space="preserve">or </w:t>
      </w:r>
      <w:r w:rsidR="00DA6236">
        <w:rPr>
          <w:rFonts w:cstheme="minorHAnsi"/>
          <w:lang w:val="en-MY" w:eastAsia="en-AU"/>
        </w:rPr>
        <w:t xml:space="preserve">counselling </w:t>
      </w:r>
      <w:r>
        <w:rPr>
          <w:rFonts w:cstheme="minorHAnsi"/>
          <w:lang w:val="en-MY" w:eastAsia="en-AU"/>
        </w:rPr>
        <w:t xml:space="preserve">were also </w:t>
      </w:r>
      <w:r w:rsidR="0027286D" w:rsidRPr="00EE52FE">
        <w:rPr>
          <w:rFonts w:cstheme="minorHAnsi"/>
          <w:lang w:val="en-MY" w:eastAsia="en-AU"/>
        </w:rPr>
        <w:t xml:space="preserve">seen </w:t>
      </w:r>
      <w:r w:rsidR="00E45528">
        <w:rPr>
          <w:rFonts w:cstheme="minorHAnsi"/>
          <w:lang w:val="en-MY" w:eastAsia="en-AU"/>
        </w:rPr>
        <w:t xml:space="preserve">to be </w:t>
      </w:r>
      <w:r w:rsidR="00C36B76">
        <w:rPr>
          <w:rFonts w:cstheme="minorHAnsi"/>
          <w:lang w:val="en-MY" w:eastAsia="en-AU"/>
        </w:rPr>
        <w:t xml:space="preserve">somewhat </w:t>
      </w:r>
      <w:r w:rsidR="0027286D" w:rsidRPr="00EE52FE">
        <w:rPr>
          <w:rFonts w:cstheme="minorHAnsi"/>
          <w:lang w:val="en-MY" w:eastAsia="en-AU"/>
        </w:rPr>
        <w:t>ad hoc</w:t>
      </w:r>
      <w:r w:rsidR="0027286D">
        <w:rPr>
          <w:rFonts w:cstheme="minorHAnsi"/>
          <w:lang w:val="en-MY" w:eastAsia="en-AU"/>
        </w:rPr>
        <w:t xml:space="preserve">, and based </w:t>
      </w:r>
      <w:r w:rsidR="00311D93">
        <w:rPr>
          <w:rFonts w:cstheme="minorHAnsi"/>
          <w:lang w:val="en-MY" w:eastAsia="en-AU"/>
        </w:rPr>
        <w:t>up</w:t>
      </w:r>
      <w:r w:rsidR="0027286D">
        <w:rPr>
          <w:rFonts w:cstheme="minorHAnsi"/>
          <w:lang w:val="en-MY" w:eastAsia="en-AU"/>
        </w:rPr>
        <w:t xml:space="preserve">on loose networks of individual and informal relationships rather than being systematic. </w:t>
      </w:r>
      <w:r>
        <w:rPr>
          <w:rFonts w:cstheme="minorHAnsi"/>
          <w:lang w:val="en-MY" w:eastAsia="en-AU"/>
        </w:rPr>
        <w:t xml:space="preserve">In addition to </w:t>
      </w:r>
      <w:r w:rsidR="00E45528">
        <w:rPr>
          <w:rFonts w:cstheme="minorHAnsi"/>
          <w:lang w:val="en-MY" w:eastAsia="en-AU"/>
        </w:rPr>
        <w:t xml:space="preserve">crucial </w:t>
      </w:r>
      <w:r>
        <w:rPr>
          <w:rFonts w:cstheme="minorHAnsi"/>
          <w:lang w:val="en-MY" w:eastAsia="en-AU"/>
        </w:rPr>
        <w:t>housing support, p</w:t>
      </w:r>
      <w:r w:rsidR="00E028ED">
        <w:rPr>
          <w:rFonts w:cstheme="minorHAnsi"/>
          <w:lang w:val="en-MY" w:eastAsia="en-AU"/>
        </w:rPr>
        <w:t xml:space="preserve">ressing gaps were reported with regards to the NDIS, with reportedly few clients accessing this benefit, despite the potential for significant resources and associated support services to be accessed. </w:t>
      </w:r>
      <w:r w:rsidR="0027286D">
        <w:rPr>
          <w:rFonts w:cstheme="minorHAnsi"/>
          <w:lang w:val="en-MY" w:eastAsia="en-AU"/>
        </w:rPr>
        <w:t xml:space="preserve">Few formal mechanisms or forums for </w:t>
      </w:r>
      <w:r w:rsidR="0027286D" w:rsidRPr="00EE52FE">
        <w:rPr>
          <w:rFonts w:cstheme="minorHAnsi"/>
          <w:lang w:val="en-MY" w:eastAsia="en-AU"/>
        </w:rPr>
        <w:t xml:space="preserve">interagency </w:t>
      </w:r>
      <w:r w:rsidR="0027286D">
        <w:rPr>
          <w:rFonts w:cstheme="minorHAnsi"/>
          <w:lang w:val="en-MY" w:eastAsia="en-AU"/>
        </w:rPr>
        <w:t>collaboration exist, while case</w:t>
      </w:r>
      <w:r w:rsidR="00694565">
        <w:rPr>
          <w:rFonts w:cstheme="minorHAnsi"/>
          <w:lang w:val="en-MY" w:eastAsia="en-AU"/>
        </w:rPr>
        <w:t xml:space="preserve"> </w:t>
      </w:r>
      <w:r w:rsidR="0027286D">
        <w:rPr>
          <w:rFonts w:cstheme="minorHAnsi"/>
          <w:lang w:val="en-MY" w:eastAsia="en-AU"/>
        </w:rPr>
        <w:t xml:space="preserve">workers tend </w:t>
      </w:r>
      <w:r w:rsidR="0027286D" w:rsidRPr="00EE52FE">
        <w:rPr>
          <w:rFonts w:cstheme="minorHAnsi"/>
          <w:lang w:val="en-MY" w:eastAsia="en-AU"/>
        </w:rPr>
        <w:t xml:space="preserve">not </w:t>
      </w:r>
      <w:r w:rsidR="0027286D">
        <w:rPr>
          <w:rFonts w:cstheme="minorHAnsi"/>
          <w:lang w:val="en-MY" w:eastAsia="en-AU"/>
        </w:rPr>
        <w:t xml:space="preserve">to be </w:t>
      </w:r>
      <w:r w:rsidR="0027286D" w:rsidRPr="00EE52FE">
        <w:rPr>
          <w:rFonts w:cstheme="minorHAnsi"/>
          <w:lang w:val="en-MY" w:eastAsia="en-AU"/>
        </w:rPr>
        <w:t>actively or strategically developi</w:t>
      </w:r>
      <w:r w:rsidR="0027286D">
        <w:rPr>
          <w:rFonts w:cstheme="minorHAnsi"/>
          <w:lang w:val="en-MY" w:eastAsia="en-AU"/>
        </w:rPr>
        <w:t>ng</w:t>
      </w:r>
      <w:r w:rsidR="0027286D" w:rsidRPr="00EE52FE">
        <w:rPr>
          <w:rFonts w:cstheme="minorHAnsi"/>
          <w:lang w:val="en-MY" w:eastAsia="en-AU"/>
        </w:rPr>
        <w:t xml:space="preserve"> service partnerships in their regions</w:t>
      </w:r>
      <w:r w:rsidR="005650CA">
        <w:rPr>
          <w:rFonts w:cstheme="minorHAnsi"/>
          <w:lang w:val="en-MY" w:eastAsia="en-AU"/>
        </w:rPr>
        <w:t xml:space="preserve"> </w:t>
      </w:r>
      <w:r w:rsidR="005650CA" w:rsidRPr="00470F3B">
        <w:rPr>
          <w:rFonts w:cstheme="minorHAnsi"/>
          <w:lang w:val="en-MY" w:eastAsia="en-AU"/>
        </w:rPr>
        <w:t xml:space="preserve">given resource constraints, the maturity of management and planning systems, and the responsive, crisis-driven, way in which services are typically delivered. </w:t>
      </w:r>
    </w:p>
    <w:p w14:paraId="42EF347E" w14:textId="45687F46" w:rsidR="00E028ED" w:rsidRDefault="0027286D" w:rsidP="005B14E4">
      <w:pPr>
        <w:spacing w:before="120" w:after="120"/>
        <w:jc w:val="both"/>
        <w:rPr>
          <w:rFonts w:cstheme="minorHAnsi"/>
          <w:lang w:val="en-MY" w:eastAsia="en-AU"/>
        </w:rPr>
      </w:pPr>
      <w:r>
        <w:rPr>
          <w:rFonts w:cstheme="minorHAnsi"/>
          <w:lang w:val="en-MY" w:eastAsia="en-AU"/>
        </w:rPr>
        <w:t xml:space="preserve">Several causal factors were reported to </w:t>
      </w:r>
      <w:r w:rsidR="005650CA">
        <w:rPr>
          <w:rFonts w:cstheme="minorHAnsi"/>
          <w:lang w:val="en-MY" w:eastAsia="en-AU"/>
        </w:rPr>
        <w:t xml:space="preserve">inhibit </w:t>
      </w:r>
      <w:r>
        <w:rPr>
          <w:rFonts w:cstheme="minorHAnsi"/>
          <w:lang w:val="en-MY" w:eastAsia="en-AU"/>
        </w:rPr>
        <w:t xml:space="preserve">the extent to which </w:t>
      </w:r>
      <w:r w:rsidR="005650CA">
        <w:rPr>
          <w:rFonts w:cstheme="minorHAnsi"/>
          <w:lang w:val="en-MY" w:eastAsia="en-AU"/>
        </w:rPr>
        <w:t xml:space="preserve">service providers can improve levels of service collaboration, including but not limited to </w:t>
      </w:r>
      <w:r w:rsidR="002201D4" w:rsidRPr="00EE52FE">
        <w:rPr>
          <w:rFonts w:cstheme="minorHAnsi"/>
          <w:lang w:val="en-MY" w:eastAsia="en-AU"/>
        </w:rPr>
        <w:t xml:space="preserve">staff turnover and </w:t>
      </w:r>
      <w:r w:rsidR="005650CA">
        <w:rPr>
          <w:rFonts w:cstheme="minorHAnsi"/>
          <w:lang w:val="en-MY" w:eastAsia="en-AU"/>
        </w:rPr>
        <w:t xml:space="preserve">the </w:t>
      </w:r>
      <w:r w:rsidR="002201D4" w:rsidRPr="00EE52FE">
        <w:rPr>
          <w:rFonts w:cstheme="minorHAnsi"/>
          <w:lang w:val="en-MY" w:eastAsia="en-AU"/>
        </w:rPr>
        <w:t xml:space="preserve">limited capacity </w:t>
      </w:r>
      <w:r w:rsidR="005650CA">
        <w:rPr>
          <w:rFonts w:cstheme="minorHAnsi"/>
          <w:lang w:val="en-MY" w:eastAsia="en-AU"/>
        </w:rPr>
        <w:t>of case</w:t>
      </w:r>
      <w:r w:rsidR="00694565">
        <w:rPr>
          <w:rFonts w:cstheme="minorHAnsi"/>
          <w:lang w:val="en-MY" w:eastAsia="en-AU"/>
        </w:rPr>
        <w:t xml:space="preserve"> </w:t>
      </w:r>
      <w:r w:rsidR="005650CA">
        <w:rPr>
          <w:rFonts w:cstheme="minorHAnsi"/>
          <w:lang w:val="en-MY" w:eastAsia="en-AU"/>
        </w:rPr>
        <w:t>workers to proactively develop service networks</w:t>
      </w:r>
      <w:r w:rsidR="002201D4" w:rsidRPr="00EE52FE">
        <w:rPr>
          <w:rFonts w:cstheme="minorHAnsi"/>
          <w:lang w:val="en-MY" w:eastAsia="en-AU"/>
        </w:rPr>
        <w:t xml:space="preserve">. </w:t>
      </w:r>
      <w:r w:rsidR="005641BE" w:rsidRPr="00EE52FE">
        <w:rPr>
          <w:rFonts w:cstheme="minorHAnsi"/>
          <w:lang w:val="en-MY" w:eastAsia="en-AU"/>
        </w:rPr>
        <w:t xml:space="preserve">The availability and quality of third-party services is </w:t>
      </w:r>
      <w:r w:rsidR="00DA6236">
        <w:rPr>
          <w:rFonts w:cstheme="minorHAnsi"/>
          <w:lang w:val="en-MY" w:eastAsia="en-AU"/>
        </w:rPr>
        <w:t xml:space="preserve">also </w:t>
      </w:r>
      <w:r w:rsidR="005641BE" w:rsidRPr="00EE52FE">
        <w:rPr>
          <w:rFonts w:cstheme="minorHAnsi"/>
          <w:lang w:val="en-MY" w:eastAsia="en-AU"/>
        </w:rPr>
        <w:t>often impacted by location. In more remote areas, there are likely to be service gaps which may be covered by outreach services, where service continuity and the development of trust may be problematic. Conversely, in urban locations</w:t>
      </w:r>
      <w:r w:rsidR="005650CA">
        <w:rPr>
          <w:rFonts w:cstheme="minorHAnsi"/>
          <w:lang w:val="en-MY" w:eastAsia="en-AU"/>
        </w:rPr>
        <w:t xml:space="preserve">, where service systems tend to be more congested, </w:t>
      </w:r>
      <w:r w:rsidR="005641BE" w:rsidRPr="00EE52FE">
        <w:rPr>
          <w:rFonts w:cstheme="minorHAnsi"/>
          <w:lang w:val="en-MY" w:eastAsia="en-AU"/>
        </w:rPr>
        <w:t xml:space="preserve">it </w:t>
      </w:r>
      <w:r w:rsidR="005650CA">
        <w:rPr>
          <w:rFonts w:cstheme="minorHAnsi"/>
          <w:lang w:val="en-MY" w:eastAsia="en-AU"/>
        </w:rPr>
        <w:t xml:space="preserve">may be </w:t>
      </w:r>
      <w:r w:rsidR="005641BE" w:rsidRPr="00EE52FE">
        <w:rPr>
          <w:rFonts w:cstheme="minorHAnsi"/>
          <w:lang w:val="en-MY" w:eastAsia="en-AU"/>
        </w:rPr>
        <w:t xml:space="preserve">harder to identify an appropriate provider who is suited to </w:t>
      </w:r>
      <w:r w:rsidR="00E45528">
        <w:rPr>
          <w:rFonts w:cstheme="minorHAnsi"/>
          <w:lang w:val="en-MY" w:eastAsia="en-AU"/>
        </w:rPr>
        <w:t xml:space="preserve">a </w:t>
      </w:r>
      <w:r w:rsidR="005650CA">
        <w:rPr>
          <w:rFonts w:cstheme="minorHAnsi"/>
          <w:lang w:val="en-MY" w:eastAsia="en-AU"/>
        </w:rPr>
        <w:t xml:space="preserve">particular </w:t>
      </w:r>
      <w:r w:rsidR="005641BE" w:rsidRPr="00EE52FE">
        <w:rPr>
          <w:rFonts w:cstheme="minorHAnsi"/>
          <w:lang w:val="en-MY" w:eastAsia="en-AU"/>
        </w:rPr>
        <w:t>client</w:t>
      </w:r>
      <w:r w:rsidR="005650CA">
        <w:rPr>
          <w:rFonts w:cstheme="minorHAnsi"/>
          <w:lang w:val="en-MY" w:eastAsia="en-AU"/>
        </w:rPr>
        <w:t xml:space="preserve">, or </w:t>
      </w:r>
      <w:r w:rsidR="00E45528">
        <w:rPr>
          <w:rFonts w:cstheme="minorHAnsi"/>
          <w:lang w:val="en-MY" w:eastAsia="en-AU"/>
        </w:rPr>
        <w:t xml:space="preserve">else </w:t>
      </w:r>
      <w:r w:rsidR="005650CA">
        <w:rPr>
          <w:rFonts w:cstheme="minorHAnsi"/>
          <w:lang w:val="en-MY" w:eastAsia="en-AU"/>
        </w:rPr>
        <w:t>a service that is culturally safe</w:t>
      </w:r>
      <w:r w:rsidR="005641BE" w:rsidRPr="00EE52FE">
        <w:rPr>
          <w:rFonts w:cstheme="minorHAnsi"/>
          <w:lang w:val="en-MY" w:eastAsia="en-AU"/>
        </w:rPr>
        <w:t>.</w:t>
      </w:r>
    </w:p>
    <w:p w14:paraId="284E100E" w14:textId="509CE770" w:rsidR="00E028ED" w:rsidRDefault="005650CA" w:rsidP="005B14E4">
      <w:pPr>
        <w:spacing w:before="120" w:after="120"/>
        <w:jc w:val="both"/>
        <w:rPr>
          <w:rFonts w:cstheme="minorHAnsi"/>
          <w:lang w:val="en-MY" w:eastAsia="en-AU"/>
        </w:rPr>
      </w:pPr>
      <w:r w:rsidRPr="00470F3B">
        <w:rPr>
          <w:rFonts w:cstheme="minorHAnsi"/>
          <w:lang w:val="en-MY" w:eastAsia="en-AU"/>
        </w:rPr>
        <w:t>The extent to which through-care services are duplicative of similar services was found, however, to be limited across all providers and locations, on the basis that through-care services are unique with respect to the intensity of personal support they are able to provide their clients</w:t>
      </w:r>
      <w:r w:rsidRPr="00A77F60">
        <w:rPr>
          <w:rFonts w:cstheme="minorHAnsi"/>
          <w:lang w:val="en-MY" w:eastAsia="en-AU"/>
        </w:rPr>
        <w:t xml:space="preserve">. </w:t>
      </w:r>
      <w:r>
        <w:rPr>
          <w:rFonts w:cstheme="minorHAnsi"/>
          <w:lang w:val="en-MY" w:eastAsia="en-AU"/>
        </w:rPr>
        <w:t xml:space="preserve">Where </w:t>
      </w:r>
      <w:r w:rsidR="001826D1">
        <w:rPr>
          <w:rFonts w:cstheme="minorHAnsi"/>
          <w:lang w:val="en-MY" w:eastAsia="en-AU"/>
        </w:rPr>
        <w:t>duplication was</w:t>
      </w:r>
      <w:r w:rsidR="005641BE" w:rsidRPr="00EE52FE">
        <w:rPr>
          <w:rFonts w:cstheme="minorHAnsi"/>
          <w:lang w:val="en-MY" w:eastAsia="en-AU"/>
        </w:rPr>
        <w:t xml:space="preserve"> reported</w:t>
      </w:r>
      <w:r>
        <w:rPr>
          <w:rFonts w:cstheme="minorHAnsi"/>
          <w:lang w:val="en-MY" w:eastAsia="en-AU"/>
        </w:rPr>
        <w:t>, this was usually</w:t>
      </w:r>
      <w:r w:rsidR="005641BE" w:rsidRPr="00EE52FE">
        <w:rPr>
          <w:rFonts w:cstheme="minorHAnsi"/>
          <w:lang w:val="en-MY" w:eastAsia="en-AU"/>
        </w:rPr>
        <w:t xml:space="preserve"> for clients receiving re-integration support from correctional service</w:t>
      </w:r>
      <w:r>
        <w:rPr>
          <w:rFonts w:cstheme="minorHAnsi"/>
          <w:lang w:val="en-MY" w:eastAsia="en-AU"/>
        </w:rPr>
        <w:t xml:space="preserve"> </w:t>
      </w:r>
      <w:r w:rsidR="005641BE" w:rsidRPr="00EE52FE">
        <w:rPr>
          <w:rFonts w:cstheme="minorHAnsi"/>
          <w:lang w:val="en-MY" w:eastAsia="en-AU"/>
        </w:rPr>
        <w:t>agencies</w:t>
      </w:r>
      <w:r w:rsidR="00DA6236">
        <w:rPr>
          <w:rFonts w:cstheme="minorHAnsi"/>
          <w:lang w:val="en-MY" w:eastAsia="en-AU"/>
        </w:rPr>
        <w:t xml:space="preserve">, </w:t>
      </w:r>
      <w:r w:rsidR="001826D1">
        <w:rPr>
          <w:rFonts w:cstheme="minorHAnsi"/>
          <w:lang w:val="en-MY" w:eastAsia="en-AU"/>
        </w:rPr>
        <w:t>w</w:t>
      </w:r>
      <w:r w:rsidR="00DA6236">
        <w:rPr>
          <w:rFonts w:cstheme="minorHAnsi"/>
          <w:lang w:val="en-MY" w:eastAsia="en-AU"/>
        </w:rPr>
        <w:t>ith both community corrections and through-care service providers supporting clients to meet their parole requirements</w:t>
      </w:r>
      <w:r w:rsidR="005641BE" w:rsidRPr="00EE52FE">
        <w:rPr>
          <w:rFonts w:cstheme="minorHAnsi"/>
          <w:lang w:val="en-MY" w:eastAsia="en-AU"/>
        </w:rPr>
        <w:t xml:space="preserve">. </w:t>
      </w:r>
      <w:r>
        <w:rPr>
          <w:rFonts w:cstheme="minorHAnsi"/>
          <w:lang w:val="en-MY" w:eastAsia="en-AU"/>
        </w:rPr>
        <w:t>The potential for duplication was also reported to be greate</w:t>
      </w:r>
      <w:r w:rsidR="001826D1">
        <w:rPr>
          <w:rFonts w:cstheme="minorHAnsi"/>
          <w:lang w:val="en-MY" w:eastAsia="en-AU"/>
        </w:rPr>
        <w:t>st</w:t>
      </w:r>
      <w:r>
        <w:rPr>
          <w:rFonts w:cstheme="minorHAnsi"/>
          <w:lang w:val="en-MY" w:eastAsia="en-AU"/>
        </w:rPr>
        <w:t xml:space="preserve"> in </w:t>
      </w:r>
      <w:r w:rsidR="005641BE" w:rsidRPr="00EE52FE">
        <w:rPr>
          <w:rFonts w:cstheme="minorHAnsi"/>
          <w:lang w:val="en-MY" w:eastAsia="en-AU"/>
        </w:rPr>
        <w:t>urban areas</w:t>
      </w:r>
      <w:r w:rsidR="001826D1">
        <w:rPr>
          <w:rFonts w:cstheme="minorHAnsi"/>
          <w:lang w:val="en-MY" w:eastAsia="en-AU"/>
        </w:rPr>
        <w:t xml:space="preserve"> </w:t>
      </w:r>
      <w:r>
        <w:rPr>
          <w:rFonts w:cstheme="minorHAnsi"/>
          <w:lang w:val="en-MY" w:eastAsia="en-AU"/>
        </w:rPr>
        <w:t xml:space="preserve">where </w:t>
      </w:r>
      <w:r w:rsidR="005641BE" w:rsidRPr="00EE52FE">
        <w:rPr>
          <w:rFonts w:cstheme="minorHAnsi"/>
          <w:lang w:val="en-MY" w:eastAsia="en-AU"/>
        </w:rPr>
        <w:t xml:space="preserve">there are more likely to be </w:t>
      </w:r>
      <w:r w:rsidR="001826D1">
        <w:rPr>
          <w:rFonts w:cstheme="minorHAnsi"/>
          <w:lang w:val="en-MY" w:eastAsia="en-AU"/>
        </w:rPr>
        <w:t xml:space="preserve">additional </w:t>
      </w:r>
      <w:r w:rsidR="005641BE" w:rsidRPr="00EE52FE">
        <w:rPr>
          <w:rFonts w:cstheme="minorHAnsi"/>
          <w:lang w:val="en-MY" w:eastAsia="en-AU"/>
        </w:rPr>
        <w:t xml:space="preserve">intensive case management services, </w:t>
      </w:r>
      <w:r>
        <w:rPr>
          <w:rFonts w:cstheme="minorHAnsi"/>
          <w:lang w:val="en-MY" w:eastAsia="en-AU"/>
        </w:rPr>
        <w:t xml:space="preserve">although any such service was not </w:t>
      </w:r>
      <w:r w:rsidR="001826D1">
        <w:rPr>
          <w:rFonts w:cstheme="minorHAnsi"/>
          <w:lang w:val="en-MY" w:eastAsia="en-AU"/>
        </w:rPr>
        <w:t>seen as</w:t>
      </w:r>
      <w:r>
        <w:rPr>
          <w:rFonts w:cstheme="minorHAnsi"/>
          <w:lang w:val="en-MY" w:eastAsia="en-AU"/>
        </w:rPr>
        <w:t xml:space="preserve"> ‘competition’</w:t>
      </w:r>
      <w:r w:rsidR="001826D1">
        <w:rPr>
          <w:rFonts w:cstheme="minorHAnsi"/>
          <w:lang w:val="en-MY" w:eastAsia="en-AU"/>
        </w:rPr>
        <w:t xml:space="preserve"> (reportedly being </w:t>
      </w:r>
      <w:r w:rsidR="001826D1" w:rsidRPr="00EE52FE">
        <w:rPr>
          <w:rFonts w:cstheme="minorHAnsi"/>
          <w:lang w:val="en-MY" w:eastAsia="en-AU"/>
        </w:rPr>
        <w:t>less flexible in the</w:t>
      </w:r>
      <w:r w:rsidR="001826D1">
        <w:rPr>
          <w:rFonts w:cstheme="minorHAnsi"/>
          <w:lang w:val="en-MY" w:eastAsia="en-AU"/>
        </w:rPr>
        <w:t>ir</w:t>
      </w:r>
      <w:r w:rsidR="001826D1" w:rsidRPr="00EE52FE">
        <w:rPr>
          <w:rFonts w:cstheme="minorHAnsi"/>
          <w:lang w:val="en-MY" w:eastAsia="en-AU"/>
        </w:rPr>
        <w:t xml:space="preserve"> approach </w:t>
      </w:r>
      <w:r w:rsidR="001826D1">
        <w:rPr>
          <w:rFonts w:cstheme="minorHAnsi"/>
          <w:lang w:val="en-MY" w:eastAsia="en-AU"/>
        </w:rPr>
        <w:t xml:space="preserve">to case management </w:t>
      </w:r>
      <w:r w:rsidR="001826D1" w:rsidRPr="00EE52FE">
        <w:rPr>
          <w:rFonts w:cstheme="minorHAnsi"/>
          <w:lang w:val="en-MY" w:eastAsia="en-AU"/>
        </w:rPr>
        <w:t>and time periods</w:t>
      </w:r>
      <w:r w:rsidR="001826D1">
        <w:rPr>
          <w:rFonts w:cstheme="minorHAnsi"/>
          <w:lang w:val="en-MY" w:eastAsia="en-AU"/>
        </w:rPr>
        <w:t xml:space="preserve">, as well as lacking </w:t>
      </w:r>
      <w:r w:rsidR="005641BE" w:rsidRPr="00EE52FE">
        <w:rPr>
          <w:rFonts w:cstheme="minorHAnsi"/>
          <w:lang w:val="en-MY" w:eastAsia="en-AU"/>
        </w:rPr>
        <w:t>connect</w:t>
      </w:r>
      <w:r w:rsidR="001826D1">
        <w:rPr>
          <w:rFonts w:cstheme="minorHAnsi"/>
          <w:lang w:val="en-MY" w:eastAsia="en-AU"/>
        </w:rPr>
        <w:t xml:space="preserve">ions into the </w:t>
      </w:r>
      <w:r w:rsidR="005641BE" w:rsidRPr="00EE52FE">
        <w:rPr>
          <w:rFonts w:cstheme="minorHAnsi"/>
          <w:lang w:val="en-MY" w:eastAsia="en-AU"/>
        </w:rPr>
        <w:t>community</w:t>
      </w:r>
      <w:r w:rsidR="001826D1">
        <w:rPr>
          <w:rFonts w:cstheme="minorHAnsi"/>
          <w:lang w:val="en-MY" w:eastAsia="en-AU"/>
        </w:rPr>
        <w:t>)</w:t>
      </w:r>
      <w:r w:rsidR="005B14E4" w:rsidRPr="00EE52FE">
        <w:rPr>
          <w:rFonts w:cstheme="minorHAnsi"/>
          <w:lang w:val="en-MY" w:eastAsia="en-AU"/>
        </w:rPr>
        <w:t>.</w:t>
      </w:r>
    </w:p>
    <w:p w14:paraId="31C867A2" w14:textId="54E7831C" w:rsidR="00160A8D" w:rsidRDefault="00160A8D" w:rsidP="00160A8D">
      <w:pPr>
        <w:spacing w:before="120" w:after="120"/>
        <w:jc w:val="both"/>
        <w:rPr>
          <w:rFonts w:cstheme="minorHAnsi"/>
          <w:lang w:val="en-MY" w:eastAsia="en-AU"/>
        </w:rPr>
      </w:pPr>
      <w:r w:rsidRPr="00160A8D">
        <w:rPr>
          <w:rFonts w:cstheme="minorHAnsi"/>
          <w:lang w:val="en-MY" w:eastAsia="en-AU"/>
        </w:rPr>
        <w:t xml:space="preserve">Since significant case worker time is directed </w:t>
      </w:r>
      <w:r>
        <w:rPr>
          <w:rFonts w:cstheme="minorHAnsi"/>
          <w:lang w:val="en-MY" w:eastAsia="en-AU"/>
        </w:rPr>
        <w:t xml:space="preserve">towards </w:t>
      </w:r>
      <w:r w:rsidRPr="00160A8D">
        <w:rPr>
          <w:rFonts w:cstheme="minorHAnsi"/>
          <w:lang w:val="en-MY" w:eastAsia="en-AU"/>
        </w:rPr>
        <w:t>supporting clients to meet parole conditions and transporting them to appointments</w:t>
      </w:r>
      <w:r>
        <w:rPr>
          <w:rFonts w:cstheme="minorHAnsi"/>
          <w:lang w:val="en-MY" w:eastAsia="en-AU"/>
        </w:rPr>
        <w:t>, a</w:t>
      </w:r>
      <w:r w:rsidR="00E028ED" w:rsidRPr="00BC3C26">
        <w:rPr>
          <w:rFonts w:cstheme="minorHAnsi"/>
          <w:lang w:val="en-MY" w:eastAsia="en-AU"/>
        </w:rPr>
        <w:t xml:space="preserve"> greater role for community corrections in supporting clients with their parole orders </w:t>
      </w:r>
      <w:r w:rsidR="00E028ED">
        <w:rPr>
          <w:rFonts w:cstheme="minorHAnsi"/>
          <w:lang w:val="en-MY" w:eastAsia="en-AU"/>
        </w:rPr>
        <w:t xml:space="preserve">is </w:t>
      </w:r>
      <w:r w:rsidR="00E028ED" w:rsidRPr="00BC3C26">
        <w:rPr>
          <w:rFonts w:cstheme="minorHAnsi"/>
          <w:lang w:val="en-MY" w:eastAsia="en-AU"/>
        </w:rPr>
        <w:t xml:space="preserve">needed, with the opportunity for service providers to elevate their relationship with these agencies from being ad hoc and responsive to being a more structured relationship based on formal MoUs. A similarly strategic approach is required with respect to the </w:t>
      </w:r>
      <w:r w:rsidR="00DA6236">
        <w:rPr>
          <w:rFonts w:cstheme="minorHAnsi"/>
          <w:lang w:val="en-MY" w:eastAsia="en-AU"/>
        </w:rPr>
        <w:t xml:space="preserve">housing and </w:t>
      </w:r>
      <w:r w:rsidR="00E028ED" w:rsidRPr="00BC3C26">
        <w:rPr>
          <w:rFonts w:cstheme="minorHAnsi"/>
          <w:lang w:val="en-MY" w:eastAsia="en-AU"/>
        </w:rPr>
        <w:t>disability sector</w:t>
      </w:r>
      <w:r>
        <w:rPr>
          <w:rFonts w:cstheme="minorHAnsi"/>
          <w:lang w:val="en-MY" w:eastAsia="en-AU"/>
        </w:rPr>
        <w:t xml:space="preserve">, </w:t>
      </w:r>
      <w:r w:rsidR="00E028ED" w:rsidRPr="00BC3C26">
        <w:rPr>
          <w:rFonts w:cstheme="minorHAnsi"/>
          <w:lang w:val="en-MY" w:eastAsia="en-AU"/>
        </w:rPr>
        <w:t>for through-care services to support clients who are eligible to benefit from the NDIS</w:t>
      </w:r>
      <w:r w:rsidR="00DA6236">
        <w:rPr>
          <w:rFonts w:cstheme="minorHAnsi"/>
          <w:lang w:val="en-MY" w:eastAsia="en-AU"/>
        </w:rPr>
        <w:t xml:space="preserve"> and to mitigate homelessness and transience</w:t>
      </w:r>
      <w:r>
        <w:rPr>
          <w:rFonts w:cstheme="minorHAnsi"/>
          <w:lang w:val="en-MY" w:eastAsia="en-AU"/>
        </w:rPr>
        <w:t xml:space="preserve"> (</w:t>
      </w:r>
      <w:r w:rsidR="00DA6236">
        <w:rPr>
          <w:rFonts w:cstheme="minorHAnsi"/>
          <w:lang w:val="en-MY" w:eastAsia="en-AU"/>
        </w:rPr>
        <w:t>which increases the risk of reoffending</w:t>
      </w:r>
      <w:r w:rsidR="00E028ED" w:rsidRPr="00BC3C26">
        <w:rPr>
          <w:rFonts w:cstheme="minorHAnsi"/>
          <w:lang w:val="en-MY" w:eastAsia="en-AU"/>
        </w:rPr>
        <w:t>)</w:t>
      </w:r>
      <w:r>
        <w:rPr>
          <w:rFonts w:cstheme="minorHAnsi"/>
          <w:lang w:val="en-MY" w:eastAsia="en-AU"/>
        </w:rPr>
        <w:t xml:space="preserve">. </w:t>
      </w:r>
      <w:r w:rsidRPr="00160A8D">
        <w:rPr>
          <w:rFonts w:cstheme="minorHAnsi"/>
          <w:lang w:val="en-MY" w:eastAsia="en-AU"/>
        </w:rPr>
        <w:t>Creating formal relationships with disability support providers will ensure clients receive best practice care for their condition</w:t>
      </w:r>
      <w:r>
        <w:rPr>
          <w:rFonts w:cstheme="minorHAnsi"/>
          <w:lang w:val="en-MY" w:eastAsia="en-AU"/>
        </w:rPr>
        <w:t xml:space="preserve">, </w:t>
      </w:r>
      <w:r w:rsidRPr="00160A8D">
        <w:rPr>
          <w:rFonts w:cstheme="minorHAnsi"/>
          <w:lang w:val="en-MY" w:eastAsia="en-AU"/>
        </w:rPr>
        <w:t xml:space="preserve">and </w:t>
      </w:r>
      <w:r>
        <w:rPr>
          <w:rFonts w:cstheme="minorHAnsi"/>
          <w:lang w:val="en-MY" w:eastAsia="en-AU"/>
        </w:rPr>
        <w:t xml:space="preserve">enables </w:t>
      </w:r>
      <w:r w:rsidRPr="00160A8D">
        <w:rPr>
          <w:rFonts w:cstheme="minorHAnsi"/>
          <w:lang w:val="en-MY" w:eastAsia="en-AU"/>
        </w:rPr>
        <w:t>case</w:t>
      </w:r>
      <w:r w:rsidR="00694565">
        <w:rPr>
          <w:rFonts w:cstheme="minorHAnsi"/>
          <w:lang w:val="en-MY" w:eastAsia="en-AU"/>
        </w:rPr>
        <w:t xml:space="preserve"> </w:t>
      </w:r>
      <w:r w:rsidRPr="00160A8D">
        <w:rPr>
          <w:rFonts w:cstheme="minorHAnsi"/>
          <w:lang w:val="en-MY" w:eastAsia="en-AU"/>
        </w:rPr>
        <w:t>workers to focus on holistic case management.</w:t>
      </w:r>
    </w:p>
    <w:p w14:paraId="7F624879" w14:textId="77777777" w:rsidR="005641BE" w:rsidRPr="00EE52FE" w:rsidRDefault="005641BE" w:rsidP="00851230">
      <w:pPr>
        <w:pStyle w:val="SUBHEAD2"/>
        <w:rPr>
          <w:rFonts w:asciiTheme="minorHAnsi" w:hAnsiTheme="minorHAnsi" w:cstheme="minorHAnsi"/>
          <w:lang w:val="en-MY" w:eastAsia="en-AU"/>
        </w:rPr>
      </w:pPr>
      <w:r w:rsidRPr="00EE52FE">
        <w:rPr>
          <w:rFonts w:asciiTheme="minorHAnsi" w:hAnsiTheme="minorHAnsi" w:cstheme="minorHAnsi"/>
          <w:lang w:val="en-MY" w:eastAsia="en-AU"/>
        </w:rPr>
        <w:t>Quality of Delivery</w:t>
      </w:r>
    </w:p>
    <w:p w14:paraId="51209FAA" w14:textId="509DAB7A" w:rsidR="008C09FA" w:rsidRDefault="00B85B68" w:rsidP="008C09FA">
      <w:pPr>
        <w:spacing w:before="120" w:after="120"/>
        <w:jc w:val="both"/>
        <w:rPr>
          <w:rFonts w:cstheme="minorHAnsi"/>
          <w:lang w:val="en-MY" w:eastAsia="en-AU"/>
        </w:rPr>
      </w:pPr>
      <w:r>
        <w:rPr>
          <w:rFonts w:cstheme="minorHAnsi"/>
          <w:lang w:val="en-MY" w:eastAsia="en-AU"/>
        </w:rPr>
        <w:t xml:space="preserve">Consistent with the ABT models, </w:t>
      </w:r>
      <w:r w:rsidR="005641BE" w:rsidRPr="00EE52FE">
        <w:rPr>
          <w:rFonts w:cstheme="minorHAnsi"/>
          <w:lang w:val="en-MY" w:eastAsia="en-AU"/>
        </w:rPr>
        <w:t xml:space="preserve">effective through-care </w:t>
      </w:r>
      <w:r w:rsidR="00DA6236">
        <w:rPr>
          <w:rFonts w:cstheme="minorHAnsi"/>
          <w:lang w:val="en-MY" w:eastAsia="en-AU"/>
        </w:rPr>
        <w:t>provision</w:t>
      </w:r>
      <w:r w:rsidR="008C09FA">
        <w:rPr>
          <w:rFonts w:cstheme="minorHAnsi"/>
          <w:lang w:val="en-MY" w:eastAsia="en-AU"/>
        </w:rPr>
        <w:t xml:space="preserve"> is </w:t>
      </w:r>
      <w:r w:rsidR="00C764DC">
        <w:rPr>
          <w:rFonts w:cstheme="minorHAnsi"/>
          <w:lang w:val="en-MY" w:eastAsia="en-AU"/>
        </w:rPr>
        <w:t xml:space="preserve">understood </w:t>
      </w:r>
      <w:r>
        <w:rPr>
          <w:rFonts w:cstheme="minorHAnsi"/>
          <w:lang w:val="en-MY" w:eastAsia="en-AU"/>
        </w:rPr>
        <w:t xml:space="preserve">by </w:t>
      </w:r>
      <w:r w:rsidR="005641BE" w:rsidRPr="00EE52FE">
        <w:rPr>
          <w:rFonts w:cstheme="minorHAnsi"/>
          <w:lang w:val="en-MY" w:eastAsia="en-AU"/>
        </w:rPr>
        <w:t>service</w:t>
      </w:r>
      <w:r>
        <w:rPr>
          <w:rFonts w:cstheme="minorHAnsi"/>
          <w:lang w:val="en-MY" w:eastAsia="en-AU"/>
        </w:rPr>
        <w:t xml:space="preserve"> provider</w:t>
      </w:r>
      <w:r w:rsidR="005641BE" w:rsidRPr="00EE52FE">
        <w:rPr>
          <w:rFonts w:cstheme="minorHAnsi"/>
          <w:lang w:val="en-MY" w:eastAsia="en-AU"/>
        </w:rPr>
        <w:t xml:space="preserve">s </w:t>
      </w:r>
      <w:r>
        <w:rPr>
          <w:rFonts w:cstheme="minorHAnsi"/>
          <w:lang w:val="en-MY" w:eastAsia="en-AU"/>
        </w:rPr>
        <w:t xml:space="preserve">to be dependent on </w:t>
      </w:r>
      <w:r w:rsidR="00DA6236">
        <w:rPr>
          <w:rFonts w:cstheme="minorHAnsi"/>
          <w:lang w:val="en-MY" w:eastAsia="en-AU"/>
        </w:rPr>
        <w:t xml:space="preserve">voluntary, </w:t>
      </w:r>
      <w:r>
        <w:rPr>
          <w:rFonts w:cstheme="minorHAnsi"/>
          <w:lang w:val="en-MY" w:eastAsia="en-AU"/>
        </w:rPr>
        <w:t xml:space="preserve">self-motivated clients, supported by case workers through </w:t>
      </w:r>
      <w:r w:rsidR="005641BE" w:rsidRPr="00EE52FE">
        <w:rPr>
          <w:rFonts w:cstheme="minorHAnsi"/>
          <w:lang w:val="en-MY" w:eastAsia="en-AU"/>
        </w:rPr>
        <w:t>intensive case management</w:t>
      </w:r>
      <w:r>
        <w:rPr>
          <w:rFonts w:cstheme="minorHAnsi"/>
          <w:lang w:val="en-MY" w:eastAsia="en-AU"/>
        </w:rPr>
        <w:t xml:space="preserve">, collaboration with external support services, and </w:t>
      </w:r>
      <w:r w:rsidR="005641BE" w:rsidRPr="00EE52FE">
        <w:rPr>
          <w:rFonts w:cstheme="minorHAnsi"/>
          <w:lang w:val="en-MY" w:eastAsia="en-AU"/>
        </w:rPr>
        <w:t>work</w:t>
      </w:r>
      <w:r>
        <w:rPr>
          <w:rFonts w:cstheme="minorHAnsi"/>
          <w:lang w:val="en-MY" w:eastAsia="en-AU"/>
        </w:rPr>
        <w:t>ing</w:t>
      </w:r>
      <w:r w:rsidR="005641BE" w:rsidRPr="00EE52FE">
        <w:rPr>
          <w:rFonts w:cstheme="minorHAnsi"/>
          <w:lang w:val="en-MY" w:eastAsia="en-AU"/>
        </w:rPr>
        <w:t xml:space="preserve"> with </w:t>
      </w:r>
      <w:r>
        <w:rPr>
          <w:rFonts w:cstheme="minorHAnsi"/>
          <w:lang w:val="en-MY" w:eastAsia="en-AU"/>
        </w:rPr>
        <w:t xml:space="preserve">culture, </w:t>
      </w:r>
      <w:r w:rsidR="005641BE" w:rsidRPr="00EE52FE">
        <w:rPr>
          <w:rFonts w:cstheme="minorHAnsi"/>
          <w:lang w:val="en-MY" w:eastAsia="en-AU"/>
        </w:rPr>
        <w:t>family and kin</w:t>
      </w:r>
      <w:r>
        <w:rPr>
          <w:rFonts w:cstheme="minorHAnsi"/>
          <w:lang w:val="en-MY" w:eastAsia="en-AU"/>
        </w:rPr>
        <w:t xml:space="preserve">, </w:t>
      </w:r>
      <w:r w:rsidR="008C09FA">
        <w:rPr>
          <w:rFonts w:cstheme="minorHAnsi"/>
          <w:lang w:val="en-MY" w:eastAsia="en-AU"/>
        </w:rPr>
        <w:t xml:space="preserve">as </w:t>
      </w:r>
      <w:r>
        <w:rPr>
          <w:rFonts w:cstheme="minorHAnsi"/>
          <w:lang w:val="en-MY" w:eastAsia="en-AU"/>
        </w:rPr>
        <w:t xml:space="preserve">appropriate. Although acknowledging the inherent flexibility in the approaches taken to implementation of these core service model elements as a strength, </w:t>
      </w:r>
      <w:r w:rsidR="008C09FA">
        <w:rPr>
          <w:rFonts w:cstheme="minorHAnsi"/>
          <w:lang w:val="en-MY" w:eastAsia="en-AU"/>
        </w:rPr>
        <w:t>success in this framework requires capable and committed case</w:t>
      </w:r>
      <w:r w:rsidR="00694565">
        <w:rPr>
          <w:rFonts w:cstheme="minorHAnsi"/>
          <w:lang w:val="en-MY" w:eastAsia="en-AU"/>
        </w:rPr>
        <w:t xml:space="preserve"> </w:t>
      </w:r>
      <w:r w:rsidR="008C09FA">
        <w:rPr>
          <w:rFonts w:cstheme="minorHAnsi"/>
          <w:lang w:val="en-MY" w:eastAsia="en-AU"/>
        </w:rPr>
        <w:t>workers, backed by effective management and other organisational and financial resources</w:t>
      </w:r>
      <w:r w:rsidR="005641BE" w:rsidRPr="00EE52FE">
        <w:rPr>
          <w:rFonts w:cstheme="minorHAnsi"/>
          <w:lang w:val="en-MY" w:eastAsia="en-AU"/>
        </w:rPr>
        <w:t>.</w:t>
      </w:r>
    </w:p>
    <w:p w14:paraId="07AC280C" w14:textId="77C37509" w:rsidR="006C6EA9" w:rsidRDefault="008C09FA" w:rsidP="006C6EA9">
      <w:pPr>
        <w:spacing w:before="120" w:after="120"/>
        <w:jc w:val="both"/>
        <w:rPr>
          <w:rFonts w:cstheme="minorHAnsi"/>
          <w:lang w:val="en-MY" w:eastAsia="en-AU"/>
        </w:rPr>
      </w:pPr>
      <w:r>
        <w:rPr>
          <w:rFonts w:cstheme="minorHAnsi"/>
          <w:lang w:val="en-MY" w:eastAsia="en-AU"/>
        </w:rPr>
        <w:t>T</w:t>
      </w:r>
      <w:r w:rsidR="00761E78" w:rsidRPr="008C09FA">
        <w:rPr>
          <w:rFonts w:cstheme="minorHAnsi"/>
          <w:lang w:val="en-MY" w:eastAsia="en-AU"/>
        </w:rPr>
        <w:t>he quality of case workers and the support they receive</w:t>
      </w:r>
      <w:r>
        <w:rPr>
          <w:rFonts w:cstheme="minorHAnsi"/>
          <w:lang w:val="en-MY" w:eastAsia="en-AU"/>
        </w:rPr>
        <w:t xml:space="preserve">, therefore, </w:t>
      </w:r>
      <w:r w:rsidR="00761E78" w:rsidRPr="008C09FA">
        <w:rPr>
          <w:rFonts w:cstheme="minorHAnsi"/>
          <w:lang w:val="en-MY" w:eastAsia="en-AU"/>
        </w:rPr>
        <w:t xml:space="preserve">was </w:t>
      </w:r>
      <w:r>
        <w:rPr>
          <w:rFonts w:cstheme="minorHAnsi"/>
          <w:lang w:val="en-MY" w:eastAsia="en-AU"/>
        </w:rPr>
        <w:t xml:space="preserve">reported to be </w:t>
      </w:r>
      <w:r w:rsidR="00761E78" w:rsidRPr="008C09FA">
        <w:rPr>
          <w:rFonts w:cstheme="minorHAnsi"/>
          <w:lang w:val="en-MY" w:eastAsia="en-AU"/>
        </w:rPr>
        <w:t xml:space="preserve">a key determinant of </w:t>
      </w:r>
      <w:r>
        <w:rPr>
          <w:rFonts w:cstheme="minorHAnsi"/>
          <w:lang w:val="en-MY" w:eastAsia="en-AU"/>
        </w:rPr>
        <w:t xml:space="preserve">program </w:t>
      </w:r>
      <w:r w:rsidR="00761E78" w:rsidRPr="008C09FA">
        <w:rPr>
          <w:rFonts w:cstheme="minorHAnsi"/>
          <w:lang w:val="en-MY" w:eastAsia="en-AU"/>
        </w:rPr>
        <w:t>success</w:t>
      </w:r>
      <w:r>
        <w:rPr>
          <w:rFonts w:cstheme="minorHAnsi"/>
          <w:lang w:val="en-MY" w:eastAsia="en-AU"/>
        </w:rPr>
        <w:t>, with the m</w:t>
      </w:r>
      <w:r w:rsidR="00761E78" w:rsidRPr="008C09FA">
        <w:rPr>
          <w:rFonts w:cstheme="minorHAnsi"/>
          <w:lang w:val="en-MY" w:eastAsia="en-AU"/>
        </w:rPr>
        <w:t xml:space="preserve">ore effective services </w:t>
      </w:r>
      <w:r>
        <w:rPr>
          <w:rFonts w:cstheme="minorHAnsi"/>
          <w:lang w:val="en-MY" w:eastAsia="en-AU"/>
        </w:rPr>
        <w:t>seeking to improve staff pay and conditions</w:t>
      </w:r>
      <w:r w:rsidR="00DA6236">
        <w:rPr>
          <w:rFonts w:cstheme="minorHAnsi"/>
          <w:lang w:val="en-MY" w:eastAsia="en-AU"/>
        </w:rPr>
        <w:t xml:space="preserve">, </w:t>
      </w:r>
      <w:r>
        <w:rPr>
          <w:rFonts w:cstheme="minorHAnsi"/>
          <w:lang w:val="en-MY" w:eastAsia="en-AU"/>
        </w:rPr>
        <w:t xml:space="preserve">and </w:t>
      </w:r>
      <w:r w:rsidR="00761E78" w:rsidRPr="008C09FA">
        <w:rPr>
          <w:rFonts w:cstheme="minorHAnsi"/>
          <w:lang w:val="en-MY" w:eastAsia="en-AU"/>
        </w:rPr>
        <w:t>provid</w:t>
      </w:r>
      <w:r>
        <w:rPr>
          <w:rFonts w:cstheme="minorHAnsi"/>
          <w:lang w:val="en-MY" w:eastAsia="en-AU"/>
        </w:rPr>
        <w:t>ing</w:t>
      </w:r>
      <w:r w:rsidR="00761E78" w:rsidRPr="008C09FA">
        <w:rPr>
          <w:rFonts w:cstheme="minorHAnsi"/>
          <w:lang w:val="en-MY" w:eastAsia="en-AU"/>
        </w:rPr>
        <w:t xml:space="preserve"> </w:t>
      </w:r>
      <w:r>
        <w:rPr>
          <w:rFonts w:cstheme="minorHAnsi"/>
          <w:lang w:val="en-MY" w:eastAsia="en-AU"/>
        </w:rPr>
        <w:t>case</w:t>
      </w:r>
      <w:r w:rsidR="00694565">
        <w:rPr>
          <w:rFonts w:cstheme="minorHAnsi"/>
          <w:lang w:val="en-MY" w:eastAsia="en-AU"/>
        </w:rPr>
        <w:t xml:space="preserve"> </w:t>
      </w:r>
      <w:r>
        <w:rPr>
          <w:rFonts w:cstheme="minorHAnsi"/>
          <w:lang w:val="en-MY" w:eastAsia="en-AU"/>
        </w:rPr>
        <w:t xml:space="preserve">workers </w:t>
      </w:r>
      <w:r w:rsidR="00761E78" w:rsidRPr="008C09FA">
        <w:rPr>
          <w:rFonts w:cstheme="minorHAnsi"/>
          <w:lang w:val="en-MY" w:eastAsia="en-AU"/>
        </w:rPr>
        <w:t>with access to clinical and cultural supervision</w:t>
      </w:r>
      <w:r>
        <w:rPr>
          <w:rFonts w:cstheme="minorHAnsi"/>
          <w:lang w:val="en-MY" w:eastAsia="en-AU"/>
        </w:rPr>
        <w:t xml:space="preserve">, </w:t>
      </w:r>
      <w:r w:rsidR="00761E78" w:rsidRPr="00EE52FE">
        <w:rPr>
          <w:rFonts w:cstheme="minorHAnsi"/>
          <w:lang w:val="en-MY" w:eastAsia="en-AU"/>
        </w:rPr>
        <w:t>comprehensive onboarding</w:t>
      </w:r>
      <w:r>
        <w:rPr>
          <w:rFonts w:cstheme="minorHAnsi"/>
          <w:lang w:val="en-MY" w:eastAsia="en-AU"/>
        </w:rPr>
        <w:t xml:space="preserve">, </w:t>
      </w:r>
      <w:r w:rsidRPr="00EE52FE">
        <w:rPr>
          <w:rFonts w:cstheme="minorHAnsi"/>
          <w:lang w:val="en-MY" w:eastAsia="en-AU"/>
        </w:rPr>
        <w:t>strong performance management practices</w:t>
      </w:r>
      <w:r>
        <w:rPr>
          <w:rFonts w:cstheme="minorHAnsi"/>
          <w:lang w:val="en-MY" w:eastAsia="en-AU"/>
        </w:rPr>
        <w:t>,</w:t>
      </w:r>
      <w:r w:rsidRPr="008C09FA">
        <w:rPr>
          <w:rFonts w:cstheme="minorHAnsi"/>
          <w:lang w:val="en-MY" w:eastAsia="en-AU"/>
        </w:rPr>
        <w:t xml:space="preserve"> </w:t>
      </w:r>
      <w:r>
        <w:rPr>
          <w:rFonts w:cstheme="minorHAnsi"/>
          <w:lang w:val="en-MY" w:eastAsia="en-AU"/>
        </w:rPr>
        <w:t xml:space="preserve">and </w:t>
      </w:r>
      <w:r w:rsidR="00761E78" w:rsidRPr="008C09FA">
        <w:rPr>
          <w:rFonts w:cstheme="minorHAnsi"/>
          <w:lang w:val="en-MY" w:eastAsia="en-AU"/>
        </w:rPr>
        <w:t>access to training and professional development</w:t>
      </w:r>
      <w:r>
        <w:rPr>
          <w:rFonts w:cstheme="minorHAnsi"/>
          <w:lang w:val="en-MY" w:eastAsia="en-AU"/>
        </w:rPr>
        <w:t>.</w:t>
      </w:r>
      <w:r w:rsidR="006C6EA9">
        <w:rPr>
          <w:rFonts w:cstheme="minorHAnsi"/>
          <w:lang w:val="en-MY" w:eastAsia="en-AU"/>
        </w:rPr>
        <w:t xml:space="preserve"> Accordingly, </w:t>
      </w:r>
      <w:r w:rsidR="00761E78" w:rsidRPr="00EE52FE">
        <w:rPr>
          <w:rFonts w:cstheme="minorHAnsi"/>
          <w:lang w:val="en-MY" w:eastAsia="en-AU"/>
        </w:rPr>
        <w:t>the most effective case</w:t>
      </w:r>
      <w:r w:rsidR="00694565">
        <w:rPr>
          <w:rFonts w:cstheme="minorHAnsi"/>
          <w:lang w:val="en-MY" w:eastAsia="en-AU"/>
        </w:rPr>
        <w:t xml:space="preserve"> </w:t>
      </w:r>
      <w:r w:rsidR="00761E78" w:rsidRPr="00EE52FE">
        <w:rPr>
          <w:rFonts w:cstheme="minorHAnsi"/>
          <w:lang w:val="en-MY" w:eastAsia="en-AU"/>
        </w:rPr>
        <w:t xml:space="preserve">workers </w:t>
      </w:r>
      <w:r w:rsidR="006C6EA9">
        <w:rPr>
          <w:rFonts w:cstheme="minorHAnsi"/>
          <w:lang w:val="en-MY" w:eastAsia="en-AU"/>
        </w:rPr>
        <w:t xml:space="preserve">were found to be both </w:t>
      </w:r>
      <w:r w:rsidR="00761E78" w:rsidRPr="00EE52FE">
        <w:rPr>
          <w:rFonts w:cstheme="minorHAnsi"/>
          <w:lang w:val="en-MY" w:eastAsia="en-AU"/>
        </w:rPr>
        <w:t>appropriately qualified</w:t>
      </w:r>
      <w:r w:rsidR="006C6EA9">
        <w:rPr>
          <w:rFonts w:cstheme="minorHAnsi"/>
          <w:lang w:val="en-MY" w:eastAsia="en-AU"/>
        </w:rPr>
        <w:t xml:space="preserve"> and </w:t>
      </w:r>
      <w:r w:rsidR="00761E78" w:rsidRPr="00EE52FE">
        <w:rPr>
          <w:rFonts w:cstheme="minorHAnsi"/>
          <w:lang w:val="en-MY" w:eastAsia="en-AU"/>
        </w:rPr>
        <w:t>experienced</w:t>
      </w:r>
      <w:r w:rsidR="006C6EA9">
        <w:rPr>
          <w:rFonts w:cstheme="minorHAnsi"/>
          <w:lang w:val="en-MY" w:eastAsia="en-AU"/>
        </w:rPr>
        <w:t xml:space="preserve"> (including lived experience of client trauma) as well as emotionally committed, with a client’s respect for, and trust in, such case</w:t>
      </w:r>
      <w:r w:rsidR="00694565">
        <w:rPr>
          <w:rFonts w:cstheme="minorHAnsi"/>
          <w:lang w:val="en-MY" w:eastAsia="en-AU"/>
        </w:rPr>
        <w:t xml:space="preserve"> </w:t>
      </w:r>
      <w:r w:rsidR="006C6EA9">
        <w:rPr>
          <w:rFonts w:cstheme="minorHAnsi"/>
          <w:lang w:val="en-MY" w:eastAsia="en-AU"/>
        </w:rPr>
        <w:t>workers, reported irrespective of the case</w:t>
      </w:r>
      <w:r w:rsidR="00694565">
        <w:rPr>
          <w:rFonts w:cstheme="minorHAnsi"/>
          <w:lang w:val="en-MY" w:eastAsia="en-AU"/>
        </w:rPr>
        <w:t xml:space="preserve"> </w:t>
      </w:r>
      <w:r w:rsidR="006C6EA9">
        <w:rPr>
          <w:rFonts w:cstheme="minorHAnsi"/>
          <w:lang w:val="en-MY" w:eastAsia="en-AU"/>
        </w:rPr>
        <w:t>worker’s indigeneity</w:t>
      </w:r>
      <w:r w:rsidR="00761E78" w:rsidRPr="00EE52FE">
        <w:rPr>
          <w:rFonts w:cstheme="minorHAnsi"/>
          <w:lang w:val="en-MY" w:eastAsia="en-AU"/>
        </w:rPr>
        <w:t>.</w:t>
      </w:r>
    </w:p>
    <w:p w14:paraId="49D9F709" w14:textId="77777777" w:rsidR="000E7272" w:rsidRDefault="00DA6236" w:rsidP="00761E78">
      <w:pPr>
        <w:spacing w:before="120" w:after="120"/>
        <w:jc w:val="both"/>
        <w:rPr>
          <w:rFonts w:cstheme="minorHAnsi"/>
          <w:lang w:val="en-MY" w:eastAsia="en-AU"/>
        </w:rPr>
      </w:pPr>
      <w:r>
        <w:rPr>
          <w:rFonts w:cstheme="minorHAnsi"/>
          <w:lang w:val="en-MY" w:eastAsia="en-AU"/>
        </w:rPr>
        <w:t>Although overall a strength at all service providers, t</w:t>
      </w:r>
      <w:r w:rsidRPr="006C6EA9">
        <w:rPr>
          <w:rFonts w:cstheme="minorHAnsi"/>
          <w:lang w:val="en-MY" w:eastAsia="en-AU"/>
        </w:rPr>
        <w:t xml:space="preserve">he quality of case worker support was </w:t>
      </w:r>
      <w:r>
        <w:rPr>
          <w:rFonts w:cstheme="minorHAnsi"/>
          <w:lang w:val="en-MY" w:eastAsia="en-AU"/>
        </w:rPr>
        <w:t xml:space="preserve">found to vary, both between sites at the same service and </w:t>
      </w:r>
      <w:r w:rsidR="00F035E0">
        <w:rPr>
          <w:rFonts w:cstheme="minorHAnsi"/>
          <w:lang w:val="en-MY" w:eastAsia="en-AU"/>
        </w:rPr>
        <w:t xml:space="preserve">between </w:t>
      </w:r>
      <w:r>
        <w:rPr>
          <w:rFonts w:cstheme="minorHAnsi"/>
          <w:lang w:val="en-MY" w:eastAsia="en-AU"/>
        </w:rPr>
        <w:t>services.</w:t>
      </w:r>
      <w:r w:rsidRPr="006C6EA9">
        <w:rPr>
          <w:rFonts w:cstheme="minorHAnsi"/>
          <w:lang w:val="en-MY" w:eastAsia="en-AU"/>
        </w:rPr>
        <w:t xml:space="preserve"> </w:t>
      </w:r>
      <w:r w:rsidR="00F035E0">
        <w:rPr>
          <w:rFonts w:cstheme="minorHAnsi"/>
          <w:lang w:val="en-MY" w:eastAsia="en-AU"/>
        </w:rPr>
        <w:t>G</w:t>
      </w:r>
      <w:r>
        <w:rPr>
          <w:rFonts w:cstheme="minorHAnsi"/>
          <w:lang w:val="en-MY" w:eastAsia="en-AU"/>
        </w:rPr>
        <w:t xml:space="preserve">eographic isolation and </w:t>
      </w:r>
      <w:r w:rsidRPr="00BA0ABC">
        <w:rPr>
          <w:rFonts w:cstheme="minorHAnsi"/>
          <w:lang w:val="en-MY" w:eastAsia="en-AU"/>
        </w:rPr>
        <w:t xml:space="preserve">the level of </w:t>
      </w:r>
      <w:r>
        <w:rPr>
          <w:rFonts w:cstheme="minorHAnsi"/>
          <w:lang w:val="en-MY" w:eastAsia="en-AU"/>
        </w:rPr>
        <w:t xml:space="preserve">support </w:t>
      </w:r>
      <w:r w:rsidR="00F035E0">
        <w:rPr>
          <w:rFonts w:cstheme="minorHAnsi"/>
          <w:lang w:val="en-MY" w:eastAsia="en-AU"/>
        </w:rPr>
        <w:t xml:space="preserve">provided </w:t>
      </w:r>
      <w:r>
        <w:rPr>
          <w:rFonts w:cstheme="minorHAnsi"/>
          <w:lang w:val="en-MY" w:eastAsia="en-AU"/>
        </w:rPr>
        <w:t xml:space="preserve">to the </w:t>
      </w:r>
      <w:r w:rsidR="00F035E0">
        <w:rPr>
          <w:rFonts w:cstheme="minorHAnsi"/>
          <w:lang w:val="en-MY" w:eastAsia="en-AU"/>
        </w:rPr>
        <w:t xml:space="preserve">service </w:t>
      </w:r>
      <w:r>
        <w:rPr>
          <w:rFonts w:cstheme="minorHAnsi"/>
          <w:lang w:val="en-MY" w:eastAsia="en-AU"/>
        </w:rPr>
        <w:t>by the host organisation were identified as important contributing factors</w:t>
      </w:r>
      <w:r w:rsidRPr="00BA0ABC">
        <w:rPr>
          <w:rFonts w:cstheme="minorHAnsi"/>
          <w:lang w:val="en-MY" w:eastAsia="en-AU"/>
        </w:rPr>
        <w:t>.</w:t>
      </w:r>
      <w:r>
        <w:rPr>
          <w:rFonts w:cstheme="minorHAnsi"/>
          <w:lang w:val="en-MY" w:eastAsia="en-AU"/>
        </w:rPr>
        <w:t xml:space="preserve"> </w:t>
      </w:r>
      <w:r w:rsidRPr="00F0653B">
        <w:rPr>
          <w:rFonts w:cstheme="minorHAnsi"/>
          <w:lang w:val="en-MY" w:eastAsia="en-AU"/>
        </w:rPr>
        <w:t>In larger services, where through-care is regarded as ancillary to core legal services, there has historically been a high turnover of managerial leadership and case workers</w:t>
      </w:r>
      <w:r w:rsidR="00F035E0">
        <w:rPr>
          <w:rFonts w:cstheme="minorHAnsi"/>
          <w:lang w:val="en-MY" w:eastAsia="en-AU"/>
        </w:rPr>
        <w:t xml:space="preserve">, with management structures and </w:t>
      </w:r>
      <w:r w:rsidR="00F035E0" w:rsidRPr="006C6EA9">
        <w:rPr>
          <w:rFonts w:cstheme="minorHAnsi"/>
          <w:lang w:val="en-MY" w:eastAsia="en-AU"/>
        </w:rPr>
        <w:t xml:space="preserve">pay </w:t>
      </w:r>
      <w:r w:rsidR="00F035E0">
        <w:rPr>
          <w:rFonts w:cstheme="minorHAnsi"/>
          <w:lang w:val="en-MY" w:eastAsia="en-AU"/>
        </w:rPr>
        <w:t xml:space="preserve">levels </w:t>
      </w:r>
      <w:r w:rsidR="00F035E0" w:rsidRPr="006C6EA9">
        <w:rPr>
          <w:rFonts w:cstheme="minorHAnsi"/>
          <w:lang w:val="en-MY" w:eastAsia="en-AU"/>
        </w:rPr>
        <w:t xml:space="preserve">reported to be the primary issue driving </w:t>
      </w:r>
      <w:r w:rsidR="00F035E0">
        <w:rPr>
          <w:rFonts w:cstheme="minorHAnsi"/>
          <w:lang w:val="en-MY" w:eastAsia="en-AU"/>
        </w:rPr>
        <w:t xml:space="preserve">historically high rates of </w:t>
      </w:r>
      <w:r w:rsidR="00F035E0" w:rsidRPr="006C6EA9">
        <w:rPr>
          <w:rFonts w:cstheme="minorHAnsi"/>
          <w:lang w:val="en-MY" w:eastAsia="en-AU"/>
        </w:rPr>
        <w:t>staff turnover</w:t>
      </w:r>
      <w:r w:rsidR="00F035E0">
        <w:rPr>
          <w:rFonts w:cstheme="minorHAnsi"/>
          <w:lang w:val="en-MY" w:eastAsia="en-AU"/>
        </w:rPr>
        <w:t xml:space="preserve">. </w:t>
      </w:r>
      <w:r w:rsidR="00761E78" w:rsidRPr="006C6EA9">
        <w:rPr>
          <w:rFonts w:cstheme="minorHAnsi"/>
          <w:lang w:val="en-MY" w:eastAsia="en-AU"/>
        </w:rPr>
        <w:t>Attracting Indigenous staff has also prove</w:t>
      </w:r>
      <w:r w:rsidR="00F035E0">
        <w:rPr>
          <w:rFonts w:cstheme="minorHAnsi"/>
          <w:lang w:val="en-MY" w:eastAsia="en-AU"/>
        </w:rPr>
        <w:t>n</w:t>
      </w:r>
      <w:r w:rsidR="00761E78" w:rsidRPr="006C6EA9">
        <w:rPr>
          <w:rFonts w:cstheme="minorHAnsi"/>
          <w:lang w:val="en-MY" w:eastAsia="en-AU"/>
        </w:rPr>
        <w:t xml:space="preserve"> difficult, with </w:t>
      </w:r>
      <w:r w:rsidR="00F035E0">
        <w:rPr>
          <w:rFonts w:cstheme="minorHAnsi"/>
          <w:lang w:val="en-MY" w:eastAsia="en-AU"/>
        </w:rPr>
        <w:t xml:space="preserve">a reported lack of resources and support to </w:t>
      </w:r>
      <w:r w:rsidR="000E7272">
        <w:rPr>
          <w:rFonts w:cstheme="minorHAnsi"/>
          <w:lang w:val="en-MY" w:eastAsia="en-AU"/>
        </w:rPr>
        <w:t xml:space="preserve">acquire </w:t>
      </w:r>
      <w:r w:rsidR="00761E78" w:rsidRPr="006C6EA9">
        <w:rPr>
          <w:rFonts w:cstheme="minorHAnsi"/>
          <w:lang w:val="en-MY" w:eastAsia="en-AU"/>
        </w:rPr>
        <w:t>qualifications</w:t>
      </w:r>
      <w:r w:rsidR="000E7272">
        <w:rPr>
          <w:rFonts w:cstheme="minorHAnsi"/>
          <w:lang w:val="en-MY" w:eastAsia="en-AU"/>
        </w:rPr>
        <w:t xml:space="preserve">, </w:t>
      </w:r>
      <w:r w:rsidR="00761E78" w:rsidRPr="006C6EA9">
        <w:rPr>
          <w:rFonts w:cstheme="minorHAnsi"/>
          <w:lang w:val="en-MY" w:eastAsia="en-AU"/>
        </w:rPr>
        <w:t xml:space="preserve">or </w:t>
      </w:r>
      <w:r w:rsidR="000E7272">
        <w:rPr>
          <w:rFonts w:cstheme="minorHAnsi"/>
          <w:lang w:val="en-MY" w:eastAsia="en-AU"/>
        </w:rPr>
        <w:t xml:space="preserve">other obstacles such as an inability to obtain </w:t>
      </w:r>
      <w:r w:rsidR="00761E78" w:rsidRPr="006C6EA9">
        <w:rPr>
          <w:rFonts w:cstheme="minorHAnsi"/>
          <w:lang w:val="en-MY" w:eastAsia="en-AU"/>
        </w:rPr>
        <w:t>clearances to work with youth or in prisons.</w:t>
      </w:r>
    </w:p>
    <w:p w14:paraId="248B5971" w14:textId="69934710" w:rsidR="006A5F3A" w:rsidRPr="000E7272" w:rsidRDefault="00440FD6" w:rsidP="006A5F3A">
      <w:pPr>
        <w:spacing w:before="120" w:after="120"/>
        <w:jc w:val="both"/>
        <w:rPr>
          <w:rFonts w:cstheme="minorHAnsi"/>
          <w:lang w:val="en-MY" w:eastAsia="en-AU"/>
        </w:rPr>
      </w:pPr>
      <w:r>
        <w:rPr>
          <w:rFonts w:cstheme="minorHAnsi"/>
          <w:lang w:val="en-MY" w:eastAsia="en-AU"/>
        </w:rPr>
        <w:t>That said, despite these limitations, in almost all cases clients felt that their case</w:t>
      </w:r>
      <w:r w:rsidR="00694565">
        <w:rPr>
          <w:rFonts w:cstheme="minorHAnsi"/>
          <w:lang w:val="en-MY" w:eastAsia="en-AU"/>
        </w:rPr>
        <w:t xml:space="preserve"> </w:t>
      </w:r>
      <w:r>
        <w:rPr>
          <w:rFonts w:cstheme="minorHAnsi"/>
          <w:lang w:val="en-MY" w:eastAsia="en-AU"/>
        </w:rPr>
        <w:t xml:space="preserve">worker was effective and had </w:t>
      </w:r>
      <w:r w:rsidR="005641BE" w:rsidRPr="00761E78">
        <w:rPr>
          <w:rFonts w:cstheme="minorHAnsi"/>
          <w:lang w:val="en-MY" w:eastAsia="en-AU"/>
        </w:rPr>
        <w:t xml:space="preserve">gone </w:t>
      </w:r>
      <w:r>
        <w:rPr>
          <w:rFonts w:cstheme="minorHAnsi"/>
          <w:lang w:val="en-MY" w:eastAsia="en-AU"/>
        </w:rPr>
        <w:t>‘</w:t>
      </w:r>
      <w:r w:rsidR="005641BE" w:rsidRPr="00761E78">
        <w:rPr>
          <w:rFonts w:cstheme="minorHAnsi"/>
          <w:lang w:val="en-MY" w:eastAsia="en-AU"/>
        </w:rPr>
        <w:t>above and beyond</w:t>
      </w:r>
      <w:r>
        <w:rPr>
          <w:rFonts w:cstheme="minorHAnsi"/>
          <w:lang w:val="en-MY" w:eastAsia="en-AU"/>
        </w:rPr>
        <w:t>’</w:t>
      </w:r>
      <w:r w:rsidR="005641BE" w:rsidRPr="00761E78">
        <w:rPr>
          <w:rFonts w:cstheme="minorHAnsi"/>
          <w:lang w:val="en-MY" w:eastAsia="en-AU"/>
        </w:rPr>
        <w:t xml:space="preserve"> </w:t>
      </w:r>
      <w:r>
        <w:rPr>
          <w:rFonts w:cstheme="minorHAnsi"/>
          <w:lang w:val="en-MY" w:eastAsia="en-AU"/>
        </w:rPr>
        <w:t>to assist in meeting their needs, with clients who develop a close relationship with their case</w:t>
      </w:r>
      <w:r w:rsidR="00694565">
        <w:rPr>
          <w:rFonts w:cstheme="minorHAnsi"/>
          <w:lang w:val="en-MY" w:eastAsia="en-AU"/>
        </w:rPr>
        <w:t xml:space="preserve"> </w:t>
      </w:r>
      <w:r>
        <w:rPr>
          <w:rFonts w:cstheme="minorHAnsi"/>
          <w:lang w:val="en-MY" w:eastAsia="en-AU"/>
        </w:rPr>
        <w:t xml:space="preserve">worker reportedly more likely to </w:t>
      </w:r>
      <w:r w:rsidR="005641BE" w:rsidRPr="00761E78">
        <w:rPr>
          <w:rFonts w:cstheme="minorHAnsi"/>
          <w:lang w:val="en-MY" w:eastAsia="en-AU"/>
        </w:rPr>
        <w:t xml:space="preserve">stay connected to the program and report higher levels of satisfaction with the service. </w:t>
      </w:r>
      <w:r>
        <w:rPr>
          <w:rFonts w:cstheme="minorHAnsi"/>
          <w:lang w:val="en-MY" w:eastAsia="en-AU"/>
        </w:rPr>
        <w:t>Strong client-case</w:t>
      </w:r>
      <w:r w:rsidR="00694565">
        <w:rPr>
          <w:rFonts w:cstheme="minorHAnsi"/>
          <w:lang w:val="en-MY" w:eastAsia="en-AU"/>
        </w:rPr>
        <w:t xml:space="preserve"> </w:t>
      </w:r>
      <w:r>
        <w:rPr>
          <w:rFonts w:cstheme="minorHAnsi"/>
          <w:lang w:val="en-MY" w:eastAsia="en-AU"/>
        </w:rPr>
        <w:t>worker relationships could reportedly be achieved both</w:t>
      </w:r>
      <w:r w:rsidR="005641BE" w:rsidRPr="000E7272">
        <w:rPr>
          <w:rFonts w:cstheme="minorHAnsi"/>
          <w:lang w:val="en-MY" w:eastAsia="en-AU"/>
        </w:rPr>
        <w:t xml:space="preserve"> </w:t>
      </w:r>
      <w:r>
        <w:rPr>
          <w:rFonts w:cstheme="minorHAnsi"/>
          <w:lang w:val="en-MY" w:eastAsia="en-AU"/>
        </w:rPr>
        <w:t xml:space="preserve">during </w:t>
      </w:r>
      <w:r w:rsidR="005641BE" w:rsidRPr="000E7272">
        <w:rPr>
          <w:rFonts w:cstheme="minorHAnsi"/>
          <w:lang w:val="en-MY" w:eastAsia="en-AU"/>
        </w:rPr>
        <w:t>pre-release support</w:t>
      </w:r>
      <w:r>
        <w:rPr>
          <w:rFonts w:cstheme="minorHAnsi"/>
          <w:lang w:val="en-MY" w:eastAsia="en-AU"/>
        </w:rPr>
        <w:t xml:space="preserve">, </w:t>
      </w:r>
      <w:r w:rsidRPr="000E7272">
        <w:rPr>
          <w:rFonts w:cstheme="minorHAnsi"/>
          <w:lang w:val="en-MY" w:eastAsia="en-AU"/>
        </w:rPr>
        <w:t>whe</w:t>
      </w:r>
      <w:r>
        <w:rPr>
          <w:rFonts w:cstheme="minorHAnsi"/>
          <w:lang w:val="en-MY" w:eastAsia="en-AU"/>
        </w:rPr>
        <w:t xml:space="preserve">n </w:t>
      </w:r>
      <w:r w:rsidRPr="000E7272">
        <w:rPr>
          <w:rFonts w:cstheme="minorHAnsi"/>
          <w:lang w:val="en-MY" w:eastAsia="en-AU"/>
        </w:rPr>
        <w:t>client</w:t>
      </w:r>
      <w:r w:rsidR="006A5F3A">
        <w:rPr>
          <w:rFonts w:cstheme="minorHAnsi"/>
          <w:lang w:val="en-MY" w:eastAsia="en-AU"/>
        </w:rPr>
        <w:t>s</w:t>
      </w:r>
      <w:r w:rsidRPr="000E7272">
        <w:rPr>
          <w:rFonts w:cstheme="minorHAnsi"/>
          <w:lang w:val="en-MY" w:eastAsia="en-AU"/>
        </w:rPr>
        <w:t xml:space="preserve"> </w:t>
      </w:r>
      <w:r w:rsidR="006A5F3A">
        <w:rPr>
          <w:rFonts w:cstheme="minorHAnsi"/>
          <w:lang w:val="en-MY" w:eastAsia="en-AU"/>
        </w:rPr>
        <w:t xml:space="preserve">are </w:t>
      </w:r>
      <w:r>
        <w:rPr>
          <w:rFonts w:cstheme="minorHAnsi"/>
          <w:lang w:val="en-MY" w:eastAsia="en-AU"/>
        </w:rPr>
        <w:t>likely l</w:t>
      </w:r>
      <w:r w:rsidRPr="000E7272">
        <w:rPr>
          <w:rFonts w:cstheme="minorHAnsi"/>
          <w:lang w:val="en-MY" w:eastAsia="en-AU"/>
        </w:rPr>
        <w:t>ess distracted</w:t>
      </w:r>
      <w:r w:rsidR="006A5F3A">
        <w:rPr>
          <w:rFonts w:cstheme="minorHAnsi"/>
          <w:lang w:val="en-MY" w:eastAsia="en-AU"/>
        </w:rPr>
        <w:t xml:space="preserve"> but anxious for support</w:t>
      </w:r>
      <w:r>
        <w:rPr>
          <w:rFonts w:cstheme="minorHAnsi"/>
          <w:lang w:val="en-MY" w:eastAsia="en-AU"/>
        </w:rPr>
        <w:t xml:space="preserve">, as well as </w:t>
      </w:r>
      <w:r w:rsidR="005641BE" w:rsidRPr="000E7272">
        <w:rPr>
          <w:rFonts w:cstheme="minorHAnsi"/>
          <w:lang w:val="en-MY" w:eastAsia="en-AU"/>
        </w:rPr>
        <w:t>post-release</w:t>
      </w:r>
      <w:r>
        <w:rPr>
          <w:rFonts w:cstheme="minorHAnsi"/>
          <w:lang w:val="en-MY" w:eastAsia="en-AU"/>
        </w:rPr>
        <w:t xml:space="preserve">, when </w:t>
      </w:r>
      <w:r w:rsidR="006A5F3A">
        <w:rPr>
          <w:rFonts w:cstheme="minorHAnsi"/>
          <w:lang w:val="en-MY" w:eastAsia="en-AU"/>
        </w:rPr>
        <w:t xml:space="preserve">often practical </w:t>
      </w:r>
      <w:r>
        <w:rPr>
          <w:rFonts w:cstheme="minorHAnsi"/>
          <w:lang w:val="en-MY" w:eastAsia="en-AU"/>
        </w:rPr>
        <w:t xml:space="preserve">and </w:t>
      </w:r>
      <w:r w:rsidR="005641BE" w:rsidRPr="000E7272">
        <w:rPr>
          <w:rFonts w:cstheme="minorHAnsi"/>
          <w:lang w:val="en-MY" w:eastAsia="en-AU"/>
        </w:rPr>
        <w:t>short-term goals</w:t>
      </w:r>
      <w:r>
        <w:rPr>
          <w:rFonts w:cstheme="minorHAnsi"/>
          <w:lang w:val="en-MY" w:eastAsia="en-AU"/>
        </w:rPr>
        <w:t xml:space="preserve"> </w:t>
      </w:r>
      <w:r w:rsidR="006A5F3A">
        <w:rPr>
          <w:rFonts w:cstheme="minorHAnsi"/>
          <w:lang w:val="en-MY" w:eastAsia="en-AU"/>
        </w:rPr>
        <w:t>are worked on</w:t>
      </w:r>
      <w:r>
        <w:rPr>
          <w:rFonts w:cstheme="minorHAnsi"/>
          <w:lang w:val="en-MY" w:eastAsia="en-AU"/>
        </w:rPr>
        <w:t xml:space="preserve"> and achieved </w:t>
      </w:r>
      <w:r w:rsidR="005641BE" w:rsidRPr="000E7272">
        <w:rPr>
          <w:rFonts w:cstheme="minorHAnsi"/>
          <w:lang w:val="en-MY" w:eastAsia="en-AU"/>
        </w:rPr>
        <w:t>to build a trust</w:t>
      </w:r>
      <w:r w:rsidR="006A5F3A">
        <w:rPr>
          <w:rFonts w:cstheme="minorHAnsi"/>
          <w:lang w:val="en-MY" w:eastAsia="en-AU"/>
        </w:rPr>
        <w:t>ing</w:t>
      </w:r>
      <w:r w:rsidR="005641BE" w:rsidRPr="000E7272">
        <w:rPr>
          <w:rFonts w:cstheme="minorHAnsi"/>
          <w:lang w:val="en-MY" w:eastAsia="en-AU"/>
        </w:rPr>
        <w:t xml:space="preserve"> relationship</w:t>
      </w:r>
      <w:r w:rsidR="006A5F3A">
        <w:rPr>
          <w:rFonts w:cstheme="minorHAnsi"/>
          <w:lang w:val="en-MY" w:eastAsia="en-AU"/>
        </w:rPr>
        <w:t>. Notwithstanding the commitment of case</w:t>
      </w:r>
      <w:r w:rsidR="00694565">
        <w:rPr>
          <w:rFonts w:cstheme="minorHAnsi"/>
          <w:lang w:val="en-MY" w:eastAsia="en-AU"/>
        </w:rPr>
        <w:t xml:space="preserve"> </w:t>
      </w:r>
      <w:r w:rsidR="006A5F3A">
        <w:rPr>
          <w:rFonts w:cstheme="minorHAnsi"/>
          <w:lang w:val="en-MY" w:eastAsia="en-AU"/>
        </w:rPr>
        <w:t>workers, however, in addition to organisational determinants, the influence of geography continue</w:t>
      </w:r>
      <w:r w:rsidR="00CE698A">
        <w:rPr>
          <w:rFonts w:cstheme="minorHAnsi"/>
          <w:lang w:val="en-MY" w:eastAsia="en-AU"/>
        </w:rPr>
        <w:t>d</w:t>
      </w:r>
      <w:r w:rsidR="006A5F3A">
        <w:rPr>
          <w:rFonts w:cstheme="minorHAnsi"/>
          <w:lang w:val="en-MY" w:eastAsia="en-AU"/>
        </w:rPr>
        <w:t xml:space="preserve"> to be a mitigating factor, with the ability of case</w:t>
      </w:r>
      <w:r w:rsidR="00694565">
        <w:rPr>
          <w:rFonts w:cstheme="minorHAnsi"/>
          <w:lang w:val="en-MY" w:eastAsia="en-AU"/>
        </w:rPr>
        <w:t xml:space="preserve"> </w:t>
      </w:r>
      <w:r w:rsidR="006A5F3A">
        <w:rPr>
          <w:rFonts w:cstheme="minorHAnsi"/>
          <w:lang w:val="en-MY" w:eastAsia="en-AU"/>
        </w:rPr>
        <w:t>workers to establish client relationships</w:t>
      </w:r>
      <w:r w:rsidR="00CE698A">
        <w:rPr>
          <w:rFonts w:cstheme="minorHAnsi"/>
          <w:lang w:val="en-MY" w:eastAsia="en-AU"/>
        </w:rPr>
        <w:t xml:space="preserve">, </w:t>
      </w:r>
      <w:r w:rsidR="006A5F3A">
        <w:rPr>
          <w:rFonts w:cstheme="minorHAnsi"/>
          <w:lang w:val="en-MY" w:eastAsia="en-AU"/>
        </w:rPr>
        <w:t>pre-release</w:t>
      </w:r>
      <w:r w:rsidR="00CE698A">
        <w:rPr>
          <w:rFonts w:cstheme="minorHAnsi"/>
          <w:lang w:val="en-MY" w:eastAsia="en-AU"/>
        </w:rPr>
        <w:t xml:space="preserve">, </w:t>
      </w:r>
      <w:r w:rsidR="006A5F3A">
        <w:rPr>
          <w:rFonts w:cstheme="minorHAnsi"/>
          <w:lang w:val="en-MY" w:eastAsia="en-AU"/>
        </w:rPr>
        <w:t xml:space="preserve">dependent on their </w:t>
      </w:r>
      <w:r w:rsidR="000E7272" w:rsidRPr="000E7272">
        <w:rPr>
          <w:rFonts w:cstheme="minorHAnsi"/>
          <w:lang w:val="en-MY" w:eastAsia="en-AU"/>
        </w:rPr>
        <w:t xml:space="preserve">proximity to </w:t>
      </w:r>
      <w:r w:rsidR="006A5F3A">
        <w:rPr>
          <w:rFonts w:cstheme="minorHAnsi"/>
          <w:lang w:val="en-MY" w:eastAsia="en-AU"/>
        </w:rPr>
        <w:t xml:space="preserve">a </w:t>
      </w:r>
      <w:r w:rsidR="000E7272" w:rsidRPr="000E7272">
        <w:rPr>
          <w:rFonts w:cstheme="minorHAnsi"/>
          <w:lang w:val="en-MY" w:eastAsia="en-AU"/>
        </w:rPr>
        <w:t>prison or</w:t>
      </w:r>
      <w:r w:rsidR="006A5F3A">
        <w:rPr>
          <w:rFonts w:cstheme="minorHAnsi"/>
          <w:lang w:val="en-MY" w:eastAsia="en-AU"/>
        </w:rPr>
        <w:t xml:space="preserve"> </w:t>
      </w:r>
      <w:r w:rsidR="000E7272" w:rsidRPr="000E7272">
        <w:rPr>
          <w:rFonts w:cstheme="minorHAnsi"/>
          <w:lang w:val="en-MY" w:eastAsia="en-AU"/>
        </w:rPr>
        <w:t>detention</w:t>
      </w:r>
      <w:r w:rsidR="006A5F3A">
        <w:rPr>
          <w:rFonts w:cstheme="minorHAnsi"/>
          <w:lang w:val="en-MY" w:eastAsia="en-AU"/>
        </w:rPr>
        <w:t xml:space="preserve"> centre</w:t>
      </w:r>
      <w:r w:rsidR="00CE698A">
        <w:rPr>
          <w:rFonts w:cstheme="minorHAnsi"/>
          <w:lang w:val="en-MY" w:eastAsia="en-AU"/>
        </w:rPr>
        <w:t xml:space="preserve">; </w:t>
      </w:r>
      <w:r w:rsidR="006A5F3A">
        <w:rPr>
          <w:rFonts w:cstheme="minorHAnsi"/>
          <w:lang w:val="en-MY" w:eastAsia="en-AU"/>
        </w:rPr>
        <w:t xml:space="preserve">and distance from the </w:t>
      </w:r>
      <w:r w:rsidR="000E7272" w:rsidRPr="000E7272">
        <w:rPr>
          <w:rFonts w:cstheme="minorHAnsi"/>
          <w:lang w:val="en-MY" w:eastAsia="en-AU"/>
        </w:rPr>
        <w:t>client’s home community reduc</w:t>
      </w:r>
      <w:r w:rsidR="006A5F3A">
        <w:rPr>
          <w:rFonts w:cstheme="minorHAnsi"/>
          <w:lang w:val="en-MY" w:eastAsia="en-AU"/>
        </w:rPr>
        <w:t xml:space="preserve">ing both </w:t>
      </w:r>
      <w:r w:rsidR="000E7272" w:rsidRPr="000E7272">
        <w:rPr>
          <w:rFonts w:cstheme="minorHAnsi"/>
          <w:lang w:val="en-MY" w:eastAsia="en-AU"/>
        </w:rPr>
        <w:t>the visibility of</w:t>
      </w:r>
      <w:r w:rsidR="006A5F3A">
        <w:rPr>
          <w:rFonts w:cstheme="minorHAnsi"/>
          <w:lang w:val="en-MY" w:eastAsia="en-AU"/>
        </w:rPr>
        <w:t xml:space="preserve"> clients and </w:t>
      </w:r>
      <w:r w:rsidR="00CE698A">
        <w:rPr>
          <w:rFonts w:cstheme="minorHAnsi"/>
          <w:lang w:val="en-MY" w:eastAsia="en-AU"/>
        </w:rPr>
        <w:t>the case</w:t>
      </w:r>
      <w:r w:rsidR="00694565">
        <w:rPr>
          <w:rFonts w:cstheme="minorHAnsi"/>
          <w:lang w:val="en-MY" w:eastAsia="en-AU"/>
        </w:rPr>
        <w:t xml:space="preserve"> </w:t>
      </w:r>
      <w:r w:rsidR="00CE698A">
        <w:rPr>
          <w:rFonts w:cstheme="minorHAnsi"/>
          <w:lang w:val="en-MY" w:eastAsia="en-AU"/>
        </w:rPr>
        <w:t xml:space="preserve">worker’s </w:t>
      </w:r>
      <w:r w:rsidR="006A5F3A">
        <w:rPr>
          <w:rFonts w:cstheme="minorHAnsi"/>
          <w:lang w:val="en-MY" w:eastAsia="en-AU"/>
        </w:rPr>
        <w:t>ability to coordinate supporting services</w:t>
      </w:r>
      <w:r w:rsidR="000E7272" w:rsidRPr="000E7272">
        <w:rPr>
          <w:rFonts w:cstheme="minorHAnsi"/>
          <w:lang w:val="en-MY" w:eastAsia="en-AU"/>
        </w:rPr>
        <w:t xml:space="preserve">. </w:t>
      </w:r>
      <w:r w:rsidR="006A5F3A">
        <w:rPr>
          <w:rFonts w:cstheme="minorHAnsi"/>
          <w:lang w:val="en-MY" w:eastAsia="en-AU"/>
        </w:rPr>
        <w:t>Intensive case management in such circumstances was regarded as difficult to achieve, requiring travel across large distances to maintain relationships</w:t>
      </w:r>
      <w:r w:rsidR="00454EED">
        <w:rPr>
          <w:rFonts w:cstheme="minorHAnsi"/>
          <w:lang w:val="en-MY" w:eastAsia="en-AU"/>
        </w:rPr>
        <w:t>.</w:t>
      </w:r>
    </w:p>
    <w:p w14:paraId="508306AC" w14:textId="4F75D38B" w:rsidR="00DA6236" w:rsidRPr="000E7272" w:rsidRDefault="005529E9" w:rsidP="000E7272">
      <w:pPr>
        <w:spacing w:before="120" w:after="120"/>
        <w:jc w:val="both"/>
        <w:rPr>
          <w:rFonts w:cstheme="minorHAnsi"/>
          <w:lang w:val="en-MY" w:eastAsia="en-AU"/>
        </w:rPr>
      </w:pPr>
      <w:r>
        <w:rPr>
          <w:rFonts w:cstheme="minorHAnsi"/>
          <w:lang w:val="en-MY" w:eastAsia="en-AU"/>
        </w:rPr>
        <w:t>An e</w:t>
      </w:r>
      <w:r w:rsidR="004D3AD1">
        <w:rPr>
          <w:rFonts w:cstheme="minorHAnsi"/>
          <w:lang w:val="en-MY" w:eastAsia="en-AU"/>
        </w:rPr>
        <w:t>qually</w:t>
      </w:r>
      <w:r>
        <w:rPr>
          <w:rFonts w:cstheme="minorHAnsi"/>
          <w:lang w:val="en-MY" w:eastAsia="en-AU"/>
        </w:rPr>
        <w:t xml:space="preserve"> crucial dimension to</w:t>
      </w:r>
      <w:r w:rsidR="004D3AD1">
        <w:rPr>
          <w:rFonts w:cstheme="minorHAnsi"/>
          <w:lang w:val="en-MY" w:eastAsia="en-AU"/>
        </w:rPr>
        <w:t xml:space="preserve"> the quality of service delivery, is the role of culture, </w:t>
      </w:r>
      <w:r w:rsidR="004D3AD1" w:rsidRPr="000E7272">
        <w:rPr>
          <w:rFonts w:cstheme="minorHAnsi"/>
          <w:lang w:val="en-MY" w:eastAsia="en-AU"/>
        </w:rPr>
        <w:t>family</w:t>
      </w:r>
      <w:r w:rsidR="004D3AD1">
        <w:rPr>
          <w:rFonts w:cstheme="minorHAnsi"/>
          <w:lang w:val="en-MY" w:eastAsia="en-AU"/>
        </w:rPr>
        <w:t xml:space="preserve"> and kin</w:t>
      </w:r>
      <w:r w:rsidR="00936195">
        <w:rPr>
          <w:rFonts w:cstheme="minorHAnsi"/>
          <w:lang w:val="en-MY" w:eastAsia="en-AU"/>
        </w:rPr>
        <w:t>, and c</w:t>
      </w:r>
      <w:r w:rsidR="004D3AD1">
        <w:rPr>
          <w:rFonts w:cstheme="minorHAnsi"/>
          <w:lang w:val="en-MY" w:eastAsia="en-AU"/>
        </w:rPr>
        <w:t xml:space="preserve">onsistent with the ABT model, </w:t>
      </w:r>
      <w:r w:rsidR="005641BE" w:rsidRPr="000E7272">
        <w:rPr>
          <w:rFonts w:cstheme="minorHAnsi"/>
          <w:lang w:val="en-MY" w:eastAsia="en-AU"/>
        </w:rPr>
        <w:t xml:space="preserve">family </w:t>
      </w:r>
      <w:r w:rsidR="004D3AD1">
        <w:rPr>
          <w:rFonts w:cstheme="minorHAnsi"/>
          <w:lang w:val="en-MY" w:eastAsia="en-AU"/>
        </w:rPr>
        <w:t xml:space="preserve">were </w:t>
      </w:r>
      <w:r w:rsidR="00936195">
        <w:rPr>
          <w:rFonts w:cstheme="minorHAnsi"/>
          <w:lang w:val="en-MY" w:eastAsia="en-AU"/>
        </w:rPr>
        <w:t xml:space="preserve">frequently involved in </w:t>
      </w:r>
      <w:r w:rsidR="005641BE" w:rsidRPr="000E7272">
        <w:rPr>
          <w:rFonts w:cstheme="minorHAnsi"/>
          <w:lang w:val="en-MY" w:eastAsia="en-AU"/>
        </w:rPr>
        <w:t xml:space="preserve">supporting </w:t>
      </w:r>
      <w:r w:rsidR="00936195">
        <w:rPr>
          <w:rFonts w:cstheme="minorHAnsi"/>
          <w:lang w:val="en-MY" w:eastAsia="en-AU"/>
        </w:rPr>
        <w:t>clients through their re-integration journey</w:t>
      </w:r>
      <w:r w:rsidR="005641BE" w:rsidRPr="000E7272">
        <w:rPr>
          <w:rFonts w:cstheme="minorHAnsi"/>
          <w:lang w:val="en-MY" w:eastAsia="en-AU"/>
        </w:rPr>
        <w:t xml:space="preserve">. </w:t>
      </w:r>
      <w:r w:rsidR="00936195">
        <w:rPr>
          <w:rFonts w:cstheme="minorHAnsi"/>
          <w:lang w:val="en-MY" w:eastAsia="en-AU"/>
        </w:rPr>
        <w:t>In all cases case</w:t>
      </w:r>
      <w:r w:rsidR="00694565">
        <w:rPr>
          <w:rFonts w:cstheme="minorHAnsi"/>
          <w:lang w:val="en-MY" w:eastAsia="en-AU"/>
        </w:rPr>
        <w:t xml:space="preserve"> </w:t>
      </w:r>
      <w:r w:rsidR="00936195">
        <w:rPr>
          <w:rFonts w:cstheme="minorHAnsi"/>
          <w:lang w:val="en-MY" w:eastAsia="en-AU"/>
        </w:rPr>
        <w:t xml:space="preserve">workers recognised the importance of re-establishing or leveraging client relationships with family, and would generally discuss with clients ways in which family might be </w:t>
      </w:r>
      <w:r>
        <w:rPr>
          <w:rFonts w:cstheme="minorHAnsi"/>
          <w:lang w:val="en-MY" w:eastAsia="en-AU"/>
        </w:rPr>
        <w:t xml:space="preserve">appropriately </w:t>
      </w:r>
      <w:r w:rsidR="00936195">
        <w:rPr>
          <w:rFonts w:cstheme="minorHAnsi"/>
          <w:lang w:val="en-MY" w:eastAsia="en-AU"/>
        </w:rPr>
        <w:t xml:space="preserve">involved. </w:t>
      </w:r>
      <w:r>
        <w:rPr>
          <w:rFonts w:cstheme="minorHAnsi"/>
          <w:lang w:val="en-MY" w:eastAsia="en-AU"/>
        </w:rPr>
        <w:t>Notwithstanding</w:t>
      </w:r>
      <w:r w:rsidR="00936195">
        <w:rPr>
          <w:rFonts w:cstheme="minorHAnsi"/>
          <w:lang w:val="en-MY" w:eastAsia="en-AU"/>
        </w:rPr>
        <w:t xml:space="preserve"> the inherent flexibility of the service model, which acknowledges the need for judgement and a provisionally cautious approach in regards to family</w:t>
      </w:r>
      <w:r w:rsidR="00CE698A">
        <w:rPr>
          <w:rFonts w:cstheme="minorHAnsi"/>
          <w:lang w:val="en-MY" w:eastAsia="en-AU"/>
        </w:rPr>
        <w:t xml:space="preserve"> involvement</w:t>
      </w:r>
      <w:r w:rsidR="00936195">
        <w:rPr>
          <w:rFonts w:cstheme="minorHAnsi"/>
          <w:lang w:val="en-MY" w:eastAsia="en-AU"/>
        </w:rPr>
        <w:t xml:space="preserve"> </w:t>
      </w:r>
      <w:r w:rsidR="00CE698A">
        <w:rPr>
          <w:rFonts w:cstheme="minorHAnsi"/>
          <w:lang w:val="en-MY" w:eastAsia="en-AU"/>
        </w:rPr>
        <w:t>(</w:t>
      </w:r>
      <w:r w:rsidR="00936195">
        <w:rPr>
          <w:rFonts w:cstheme="minorHAnsi"/>
          <w:lang w:val="en-MY" w:eastAsia="en-AU"/>
        </w:rPr>
        <w:t xml:space="preserve">which may be regarded as a negative influence </w:t>
      </w:r>
      <w:r>
        <w:rPr>
          <w:rFonts w:cstheme="minorHAnsi"/>
          <w:lang w:val="en-MY" w:eastAsia="en-AU"/>
        </w:rPr>
        <w:t xml:space="preserve">or be prohibited </w:t>
      </w:r>
      <w:r w:rsidR="00936195">
        <w:rPr>
          <w:rFonts w:cstheme="minorHAnsi"/>
          <w:lang w:val="en-MY" w:eastAsia="en-AU"/>
        </w:rPr>
        <w:t>in some circumstances</w:t>
      </w:r>
      <w:r w:rsidR="00CE698A">
        <w:rPr>
          <w:rFonts w:cstheme="minorHAnsi"/>
          <w:lang w:val="en-MY" w:eastAsia="en-AU"/>
        </w:rPr>
        <w:t xml:space="preserve">) </w:t>
      </w:r>
      <w:r>
        <w:rPr>
          <w:rFonts w:cstheme="minorHAnsi"/>
          <w:lang w:val="en-MY" w:eastAsia="en-AU"/>
        </w:rPr>
        <w:t>case</w:t>
      </w:r>
      <w:r w:rsidR="00694565">
        <w:rPr>
          <w:rFonts w:cstheme="minorHAnsi"/>
          <w:lang w:val="en-MY" w:eastAsia="en-AU"/>
        </w:rPr>
        <w:t xml:space="preserve"> </w:t>
      </w:r>
      <w:r>
        <w:rPr>
          <w:rFonts w:cstheme="minorHAnsi"/>
          <w:lang w:val="en-MY" w:eastAsia="en-AU"/>
        </w:rPr>
        <w:t xml:space="preserve">workers across all services were seen to vary their practices from a standard approach. This meant working holistically with the family unit, rather than simply the individual client, in cases where the client was dependent on a parent, grandparent, spouse or carer; or else expanding the definition of family to include groupings of peers, in cases where these relationships were regarded as </w:t>
      </w:r>
      <w:r w:rsidR="00CE698A">
        <w:rPr>
          <w:rFonts w:cstheme="minorHAnsi"/>
          <w:lang w:val="en-MY" w:eastAsia="en-AU"/>
        </w:rPr>
        <w:t xml:space="preserve">especially </w:t>
      </w:r>
      <w:r>
        <w:rPr>
          <w:rFonts w:cstheme="minorHAnsi"/>
          <w:lang w:val="en-MY" w:eastAsia="en-AU"/>
        </w:rPr>
        <w:t>important to the client’s identity and sense of wellbeing</w:t>
      </w:r>
      <w:r w:rsidR="00761E78" w:rsidRPr="000E7272">
        <w:rPr>
          <w:rFonts w:cstheme="minorHAnsi"/>
          <w:lang w:val="en-MY" w:eastAsia="en-AU"/>
        </w:rPr>
        <w:t>.</w:t>
      </w:r>
    </w:p>
    <w:p w14:paraId="1C8EC3B4" w14:textId="77777777" w:rsidR="003D005C" w:rsidRDefault="005641BE" w:rsidP="003D005C">
      <w:pPr>
        <w:pStyle w:val="SUBHEAD2"/>
        <w:rPr>
          <w:rFonts w:asciiTheme="minorHAnsi" w:hAnsiTheme="minorHAnsi" w:cstheme="minorHAnsi"/>
          <w:lang w:val="en-MY" w:eastAsia="en-AU"/>
        </w:rPr>
      </w:pPr>
      <w:r w:rsidRPr="00EE52FE">
        <w:rPr>
          <w:rFonts w:asciiTheme="minorHAnsi" w:hAnsiTheme="minorHAnsi" w:cstheme="minorHAnsi"/>
          <w:lang w:val="en-MY" w:eastAsia="en-AU"/>
        </w:rPr>
        <w:t>Resource Use</w:t>
      </w:r>
    </w:p>
    <w:p w14:paraId="64E9B950" w14:textId="4214E5B1" w:rsidR="00680E91" w:rsidRPr="00680E91" w:rsidRDefault="008A6538" w:rsidP="00680E91">
      <w:pPr>
        <w:spacing w:before="120" w:after="120"/>
        <w:jc w:val="both"/>
        <w:rPr>
          <w:rFonts w:cstheme="minorHAnsi"/>
          <w:lang w:val="en-MY" w:eastAsia="en-AU"/>
        </w:rPr>
      </w:pPr>
      <w:r>
        <w:rPr>
          <w:rFonts w:cstheme="minorHAnsi"/>
          <w:lang w:val="en-MY" w:eastAsia="en-AU"/>
        </w:rPr>
        <w:t>Managers from a</w:t>
      </w:r>
      <w:r w:rsidRPr="001A64BA">
        <w:rPr>
          <w:rFonts w:cstheme="minorHAnsi"/>
          <w:lang w:val="en-MY" w:eastAsia="en-AU"/>
        </w:rPr>
        <w:t>ll service providers a</w:t>
      </w:r>
      <w:r>
        <w:rPr>
          <w:rFonts w:cstheme="minorHAnsi"/>
          <w:lang w:val="en-MY" w:eastAsia="en-AU"/>
        </w:rPr>
        <w:t xml:space="preserve">cross </w:t>
      </w:r>
      <w:r w:rsidRPr="001A64BA">
        <w:rPr>
          <w:rFonts w:cstheme="minorHAnsi"/>
          <w:lang w:val="en-MY" w:eastAsia="en-AU"/>
        </w:rPr>
        <w:t>ATC and YTC programs</w:t>
      </w:r>
      <w:r>
        <w:rPr>
          <w:rFonts w:cstheme="minorHAnsi"/>
          <w:lang w:val="en-MY" w:eastAsia="en-AU"/>
        </w:rPr>
        <w:t>,</w:t>
      </w:r>
      <w:r w:rsidRPr="001A64BA">
        <w:rPr>
          <w:rFonts w:cstheme="minorHAnsi"/>
          <w:lang w:val="en-MY" w:eastAsia="en-AU"/>
        </w:rPr>
        <w:t xml:space="preserve"> stated that their services were under-resourced and </w:t>
      </w:r>
      <w:r>
        <w:rPr>
          <w:rFonts w:cstheme="minorHAnsi"/>
          <w:lang w:val="en-MY" w:eastAsia="en-AU"/>
        </w:rPr>
        <w:t xml:space="preserve">that additional funding was needed to meet client needs by recruiting more case workers, increasing brokerage expenditure, improving access </w:t>
      </w:r>
      <w:r w:rsidRPr="001A64BA">
        <w:rPr>
          <w:rFonts w:cstheme="minorHAnsi"/>
          <w:lang w:val="en-MY" w:eastAsia="en-AU"/>
        </w:rPr>
        <w:t>to high quality therapeutic programs</w:t>
      </w:r>
      <w:r>
        <w:rPr>
          <w:rFonts w:cstheme="minorHAnsi"/>
          <w:lang w:val="en-MY" w:eastAsia="en-AU"/>
        </w:rPr>
        <w:t xml:space="preserve">, and by improving the pay and conditions of case workers to </w:t>
      </w:r>
      <w:r w:rsidRPr="001A64BA">
        <w:rPr>
          <w:rFonts w:cstheme="minorHAnsi"/>
          <w:lang w:val="en-MY" w:eastAsia="en-AU"/>
        </w:rPr>
        <w:t>attract and retain high quality staff</w:t>
      </w:r>
      <w:r>
        <w:rPr>
          <w:rFonts w:cstheme="minorHAnsi"/>
          <w:lang w:val="en-MY" w:eastAsia="en-AU"/>
        </w:rPr>
        <w:t xml:space="preserve">. </w:t>
      </w:r>
      <w:r w:rsidR="00680E91" w:rsidRPr="00D83CBC">
        <w:rPr>
          <w:rFonts w:cstheme="minorHAnsi"/>
          <w:lang w:val="en-MY" w:eastAsia="en-AU"/>
        </w:rPr>
        <w:t>At all service providers, the pay levels of case workers was reported to be a key driver of high levels of staff turnover, challenges recruiting experienced, qualified, and committed staff, and in providing continuity of support to clients.</w:t>
      </w:r>
      <w:r w:rsidR="00680E91">
        <w:rPr>
          <w:rFonts w:cstheme="minorHAnsi"/>
          <w:lang w:val="en-MY" w:eastAsia="en-AU"/>
        </w:rPr>
        <w:t xml:space="preserve"> It is in the context of relatively poor levels of pay that the issue of discretionary b</w:t>
      </w:r>
      <w:r w:rsidR="00680E91" w:rsidRPr="00680E91">
        <w:rPr>
          <w:rFonts w:cstheme="minorHAnsi"/>
          <w:lang w:val="en-MY" w:eastAsia="en-AU"/>
        </w:rPr>
        <w:t>rokerage</w:t>
      </w:r>
      <w:r w:rsidR="00680E91">
        <w:rPr>
          <w:rFonts w:cstheme="minorHAnsi"/>
          <w:lang w:val="en-MY" w:eastAsia="en-AU"/>
        </w:rPr>
        <w:t xml:space="preserve"> expenditure has emerged as an important topic for case</w:t>
      </w:r>
      <w:r w:rsidR="00694565">
        <w:rPr>
          <w:rFonts w:cstheme="minorHAnsi"/>
          <w:lang w:val="en-MY" w:eastAsia="en-AU"/>
        </w:rPr>
        <w:t xml:space="preserve"> </w:t>
      </w:r>
      <w:r w:rsidR="00680E91">
        <w:rPr>
          <w:rFonts w:cstheme="minorHAnsi"/>
          <w:lang w:val="en-MY" w:eastAsia="en-AU"/>
        </w:rPr>
        <w:t>workers, given reports of case</w:t>
      </w:r>
      <w:r w:rsidR="00694565">
        <w:rPr>
          <w:rFonts w:cstheme="minorHAnsi"/>
          <w:lang w:val="en-MY" w:eastAsia="en-AU"/>
        </w:rPr>
        <w:t xml:space="preserve"> </w:t>
      </w:r>
      <w:r w:rsidR="00680E91">
        <w:rPr>
          <w:rFonts w:cstheme="minorHAnsi"/>
          <w:lang w:val="en-MY" w:eastAsia="en-AU"/>
        </w:rPr>
        <w:t>workers using their personal income to buy discretionary items for clients when brokerage money is either not available or else administratively challenging to access from the service provider</w:t>
      </w:r>
      <w:r w:rsidR="00680E91" w:rsidRPr="00680E91">
        <w:rPr>
          <w:rFonts w:cstheme="minorHAnsi"/>
          <w:lang w:val="en-MY" w:eastAsia="en-AU"/>
        </w:rPr>
        <w:t xml:space="preserve">. </w:t>
      </w:r>
    </w:p>
    <w:p w14:paraId="5B1A78D4" w14:textId="7E5AC3F5" w:rsidR="00680E91" w:rsidRPr="00E45C52" w:rsidRDefault="008A6538" w:rsidP="00E45C52">
      <w:pPr>
        <w:spacing w:before="120" w:after="120"/>
        <w:jc w:val="both"/>
        <w:rPr>
          <w:rFonts w:cstheme="minorHAnsi"/>
          <w:lang w:val="en-MY" w:eastAsia="en-AU"/>
        </w:rPr>
      </w:pPr>
      <w:r>
        <w:rPr>
          <w:rFonts w:cstheme="minorHAnsi"/>
          <w:lang w:val="en-MY" w:eastAsia="en-AU"/>
        </w:rPr>
        <w:t>Given the large number of Indigenous persons in prison or detention, compared to the number of through care places, it is difficult to refute the claim that more resources are needed</w:t>
      </w:r>
      <w:r w:rsidR="001B4D1E">
        <w:rPr>
          <w:rFonts w:cstheme="minorHAnsi"/>
          <w:lang w:val="en-MY" w:eastAsia="en-AU"/>
        </w:rPr>
        <w:t xml:space="preserve">. </w:t>
      </w:r>
      <w:r w:rsidR="001B4D1E" w:rsidRPr="00EE52FE">
        <w:rPr>
          <w:rFonts w:cstheme="minorHAnsi"/>
          <w:lang w:val="en-MY" w:eastAsia="en-AU"/>
        </w:rPr>
        <w:t>Virtually all case workers reported that their case</w:t>
      </w:r>
      <w:r w:rsidR="007E19B5">
        <w:rPr>
          <w:rFonts w:cstheme="minorHAnsi"/>
          <w:lang w:val="en-MY" w:eastAsia="en-AU"/>
        </w:rPr>
        <w:t>-</w:t>
      </w:r>
      <w:r w:rsidR="001B4D1E" w:rsidRPr="00EE52FE">
        <w:rPr>
          <w:rFonts w:cstheme="minorHAnsi"/>
          <w:lang w:val="en-MY" w:eastAsia="en-AU"/>
        </w:rPr>
        <w:t xml:space="preserve">load is too high to provide intensive and effective case management services. </w:t>
      </w:r>
      <w:r w:rsidR="001B4D1E">
        <w:rPr>
          <w:rFonts w:cstheme="minorHAnsi"/>
          <w:lang w:val="en-MY" w:eastAsia="en-AU"/>
        </w:rPr>
        <w:t>A</w:t>
      </w:r>
      <w:r>
        <w:rPr>
          <w:rFonts w:cstheme="minorHAnsi"/>
          <w:lang w:val="en-MY" w:eastAsia="en-AU"/>
        </w:rPr>
        <w:t xml:space="preserve">n analysis of service provider </w:t>
      </w:r>
      <w:r w:rsidRPr="00885EDD">
        <w:rPr>
          <w:rFonts w:cstheme="minorHAnsi"/>
          <w:lang w:val="en-MY" w:eastAsia="en-AU"/>
        </w:rPr>
        <w:t>case</w:t>
      </w:r>
      <w:r w:rsidR="00694565">
        <w:rPr>
          <w:rFonts w:cstheme="minorHAnsi"/>
          <w:lang w:val="en-MY" w:eastAsia="en-AU"/>
        </w:rPr>
        <w:t>-</w:t>
      </w:r>
      <w:r w:rsidRPr="00885EDD">
        <w:rPr>
          <w:rFonts w:cstheme="minorHAnsi"/>
          <w:lang w:val="en-MY" w:eastAsia="en-AU"/>
        </w:rPr>
        <w:t>loads</w:t>
      </w:r>
      <w:r w:rsidR="001B4D1E">
        <w:rPr>
          <w:rFonts w:cstheme="minorHAnsi"/>
          <w:lang w:val="en-MY" w:eastAsia="en-AU"/>
        </w:rPr>
        <w:t xml:space="preserve">, however, shows </w:t>
      </w:r>
      <w:r w:rsidRPr="00885EDD">
        <w:rPr>
          <w:rFonts w:cstheme="minorHAnsi"/>
          <w:lang w:val="en-MY" w:eastAsia="en-AU"/>
        </w:rPr>
        <w:t xml:space="preserve">a high degree variance </w:t>
      </w:r>
      <w:r w:rsidR="00680E91">
        <w:rPr>
          <w:rFonts w:cstheme="minorHAnsi"/>
          <w:lang w:val="en-MY" w:eastAsia="en-AU"/>
        </w:rPr>
        <w:t>in case</w:t>
      </w:r>
      <w:r w:rsidR="00694565">
        <w:rPr>
          <w:rFonts w:cstheme="minorHAnsi"/>
          <w:lang w:val="en-MY" w:eastAsia="en-AU"/>
        </w:rPr>
        <w:t>-</w:t>
      </w:r>
      <w:r w:rsidR="00680E91">
        <w:rPr>
          <w:rFonts w:cstheme="minorHAnsi"/>
          <w:lang w:val="en-MY" w:eastAsia="en-AU"/>
        </w:rPr>
        <w:t xml:space="preserve">loads </w:t>
      </w:r>
      <w:r w:rsidRPr="00885EDD">
        <w:rPr>
          <w:rFonts w:cstheme="minorHAnsi"/>
          <w:lang w:val="en-MY" w:eastAsia="en-AU"/>
        </w:rPr>
        <w:t>between providers and sites</w:t>
      </w:r>
      <w:r w:rsidRPr="00680E91">
        <w:rPr>
          <w:rFonts w:cstheme="minorHAnsi"/>
          <w:lang w:val="en-MY" w:eastAsia="en-AU"/>
        </w:rPr>
        <w:t xml:space="preserve">. </w:t>
      </w:r>
      <w:r w:rsidR="00680E91">
        <w:rPr>
          <w:rFonts w:cstheme="minorHAnsi"/>
          <w:lang w:val="en-MY" w:eastAsia="en-AU"/>
        </w:rPr>
        <w:t xml:space="preserve">When </w:t>
      </w:r>
      <w:r w:rsidRPr="00680E91">
        <w:rPr>
          <w:rFonts w:cstheme="minorHAnsi"/>
          <w:lang w:val="en-MY" w:eastAsia="en-AU"/>
        </w:rPr>
        <w:t>ratios are calculated using the available data, the recommended case</w:t>
      </w:r>
      <w:r w:rsidR="00694565">
        <w:rPr>
          <w:rFonts w:cstheme="minorHAnsi"/>
          <w:lang w:val="en-MY" w:eastAsia="en-AU"/>
        </w:rPr>
        <w:t>-</w:t>
      </w:r>
      <w:r w:rsidRPr="00680E91">
        <w:rPr>
          <w:rFonts w:cstheme="minorHAnsi"/>
          <w:lang w:val="en-MY" w:eastAsia="en-AU"/>
        </w:rPr>
        <w:t>load of 12 adult clients is exceeded for only one service</w:t>
      </w:r>
      <w:r w:rsidR="00680E91">
        <w:rPr>
          <w:rFonts w:cstheme="minorHAnsi"/>
          <w:lang w:val="en-MY" w:eastAsia="en-AU"/>
        </w:rPr>
        <w:t xml:space="preserve">, </w:t>
      </w:r>
      <w:r w:rsidRPr="00680E91">
        <w:rPr>
          <w:rFonts w:cstheme="minorHAnsi"/>
          <w:lang w:val="en-MY" w:eastAsia="en-AU"/>
        </w:rPr>
        <w:t>while the case</w:t>
      </w:r>
      <w:r w:rsidR="00694565">
        <w:rPr>
          <w:rFonts w:cstheme="minorHAnsi"/>
          <w:lang w:val="en-MY" w:eastAsia="en-AU"/>
        </w:rPr>
        <w:t>-</w:t>
      </w:r>
      <w:r w:rsidRPr="00680E91">
        <w:rPr>
          <w:rFonts w:cstheme="minorHAnsi"/>
          <w:lang w:val="en-MY" w:eastAsia="en-AU"/>
        </w:rPr>
        <w:t xml:space="preserve">loads for all YTC services approximate the recommended level. </w:t>
      </w:r>
      <w:r w:rsidR="001B4D1E">
        <w:rPr>
          <w:rFonts w:cstheme="minorHAnsi"/>
          <w:lang w:val="en-MY" w:eastAsia="en-AU"/>
        </w:rPr>
        <w:t xml:space="preserve">While </w:t>
      </w:r>
      <w:r w:rsidR="00680E91" w:rsidRPr="001B4D1E">
        <w:rPr>
          <w:rFonts w:cstheme="minorHAnsi"/>
          <w:lang w:val="en-MY" w:eastAsia="en-AU"/>
        </w:rPr>
        <w:t>case</w:t>
      </w:r>
      <w:r w:rsidR="00694565">
        <w:rPr>
          <w:rFonts w:cstheme="minorHAnsi"/>
          <w:lang w:val="en-MY" w:eastAsia="en-AU"/>
        </w:rPr>
        <w:t>-</w:t>
      </w:r>
      <w:r w:rsidR="00680E91" w:rsidRPr="001B4D1E">
        <w:rPr>
          <w:rFonts w:cstheme="minorHAnsi"/>
          <w:lang w:val="en-MY" w:eastAsia="en-AU"/>
        </w:rPr>
        <w:t xml:space="preserve">loads </w:t>
      </w:r>
      <w:r w:rsidR="001B4D1E">
        <w:rPr>
          <w:rFonts w:cstheme="minorHAnsi"/>
          <w:lang w:val="en-MY" w:eastAsia="en-AU"/>
        </w:rPr>
        <w:t xml:space="preserve">are </w:t>
      </w:r>
      <w:r w:rsidR="00680E91" w:rsidRPr="001B4D1E">
        <w:rPr>
          <w:rFonts w:cstheme="minorHAnsi"/>
          <w:lang w:val="en-MY" w:eastAsia="en-AU"/>
        </w:rPr>
        <w:t xml:space="preserve">driven by </w:t>
      </w:r>
      <w:r w:rsidR="001B4D1E">
        <w:rPr>
          <w:rFonts w:cstheme="minorHAnsi"/>
          <w:lang w:val="en-MY" w:eastAsia="en-AU"/>
        </w:rPr>
        <w:t xml:space="preserve">several </w:t>
      </w:r>
      <w:r w:rsidR="00680E91" w:rsidRPr="001B4D1E">
        <w:rPr>
          <w:rFonts w:cstheme="minorHAnsi"/>
          <w:lang w:val="en-MY" w:eastAsia="en-AU"/>
        </w:rPr>
        <w:t>factors, such as the complexity of client need</w:t>
      </w:r>
      <w:r w:rsidR="001B4D1E">
        <w:rPr>
          <w:rFonts w:cstheme="minorHAnsi"/>
          <w:lang w:val="en-MY" w:eastAsia="en-AU"/>
        </w:rPr>
        <w:t xml:space="preserve"> and </w:t>
      </w:r>
      <w:r w:rsidR="00680E91" w:rsidRPr="001B4D1E">
        <w:rPr>
          <w:rFonts w:cstheme="minorHAnsi"/>
          <w:lang w:val="en-MY" w:eastAsia="en-AU"/>
        </w:rPr>
        <w:t xml:space="preserve">the remoteness of the provider </w:t>
      </w:r>
      <w:r w:rsidR="001B4D1E">
        <w:rPr>
          <w:rFonts w:cstheme="minorHAnsi"/>
          <w:lang w:val="en-MY" w:eastAsia="en-AU"/>
        </w:rPr>
        <w:t xml:space="preserve">or </w:t>
      </w:r>
      <w:r w:rsidR="00680E91" w:rsidRPr="001B4D1E">
        <w:rPr>
          <w:rFonts w:cstheme="minorHAnsi"/>
          <w:lang w:val="en-MY" w:eastAsia="en-AU"/>
        </w:rPr>
        <w:t>client</w:t>
      </w:r>
      <w:r w:rsidR="001B4D1E">
        <w:rPr>
          <w:rFonts w:cstheme="minorHAnsi"/>
          <w:lang w:val="en-MY" w:eastAsia="en-AU"/>
        </w:rPr>
        <w:t>, it is likely therefore that case</w:t>
      </w:r>
      <w:r w:rsidR="00694565">
        <w:rPr>
          <w:rFonts w:cstheme="minorHAnsi"/>
          <w:lang w:val="en-MY" w:eastAsia="en-AU"/>
        </w:rPr>
        <w:t xml:space="preserve"> </w:t>
      </w:r>
      <w:r w:rsidR="001B4D1E">
        <w:rPr>
          <w:rFonts w:cstheme="minorHAnsi"/>
          <w:lang w:val="en-MY" w:eastAsia="en-AU"/>
        </w:rPr>
        <w:t>workers feel stretched, not simply because of high case</w:t>
      </w:r>
      <w:r w:rsidR="00694565">
        <w:rPr>
          <w:rFonts w:cstheme="minorHAnsi"/>
          <w:lang w:val="en-MY" w:eastAsia="en-AU"/>
        </w:rPr>
        <w:t>-</w:t>
      </w:r>
      <w:r w:rsidR="001B4D1E">
        <w:rPr>
          <w:rFonts w:cstheme="minorHAnsi"/>
          <w:lang w:val="en-MY" w:eastAsia="en-AU"/>
        </w:rPr>
        <w:t>loads</w:t>
      </w:r>
      <w:r w:rsidR="00E45C52">
        <w:rPr>
          <w:rFonts w:cstheme="minorHAnsi"/>
          <w:lang w:val="en-MY" w:eastAsia="en-AU"/>
        </w:rPr>
        <w:t xml:space="preserve"> driven by high levels of new client demand</w:t>
      </w:r>
      <w:r w:rsidR="001B4D1E">
        <w:rPr>
          <w:rFonts w:cstheme="minorHAnsi"/>
          <w:lang w:val="en-MY" w:eastAsia="en-AU"/>
        </w:rPr>
        <w:t xml:space="preserve">, but because of the fact that many clients are supported for lengthy periods beyond the </w:t>
      </w:r>
      <w:r w:rsidR="00E45C52">
        <w:rPr>
          <w:rFonts w:cstheme="minorHAnsi"/>
          <w:lang w:val="en-MY" w:eastAsia="en-AU"/>
        </w:rPr>
        <w:t xml:space="preserve">prescribed 18 months post-release. </w:t>
      </w:r>
      <w:r w:rsidR="00680E91" w:rsidRPr="00E45C52">
        <w:rPr>
          <w:rFonts w:ascii="Calibri" w:hAnsi="Calibri" w:cs="Calibri"/>
          <w:color w:val="212121"/>
        </w:rPr>
        <w:t xml:space="preserve">Although factors such as cognitive capacity and access to transport are strong mitigating factors, </w:t>
      </w:r>
      <w:r w:rsidR="00E45C52">
        <w:rPr>
          <w:rFonts w:ascii="Calibri" w:hAnsi="Calibri" w:cs="Calibri"/>
          <w:color w:val="212121"/>
        </w:rPr>
        <w:t xml:space="preserve">which increase the complexity of client need (and which cannot be resolved within 18 months) such extensions to the period of client support are often driven by the need to continue to support clients in meeting their parole obligations </w:t>
      </w:r>
      <w:r w:rsidR="00680E91" w:rsidRPr="00E45C52">
        <w:rPr>
          <w:rFonts w:ascii="Calibri" w:hAnsi="Calibri" w:cs="Calibri"/>
          <w:color w:val="212121"/>
        </w:rPr>
        <w:t>well beyond 18 months post-release</w:t>
      </w:r>
      <w:r w:rsidR="00E45C52">
        <w:rPr>
          <w:rFonts w:ascii="Calibri" w:hAnsi="Calibri" w:cs="Calibri"/>
          <w:color w:val="212121"/>
        </w:rPr>
        <w:t>.</w:t>
      </w:r>
    </w:p>
    <w:p w14:paraId="37B62282" w14:textId="6156AC97" w:rsidR="003D005C" w:rsidRDefault="005641BE" w:rsidP="003D005C">
      <w:pPr>
        <w:pStyle w:val="SUBHEAD2"/>
        <w:rPr>
          <w:rFonts w:asciiTheme="minorHAnsi" w:hAnsiTheme="minorHAnsi" w:cstheme="minorHAnsi"/>
          <w:lang w:val="en-MY" w:eastAsia="en-AU"/>
        </w:rPr>
      </w:pPr>
      <w:r w:rsidRPr="00EE52FE">
        <w:rPr>
          <w:rFonts w:asciiTheme="minorHAnsi" w:hAnsiTheme="minorHAnsi" w:cstheme="minorHAnsi"/>
          <w:lang w:val="en-MY" w:eastAsia="en-AU"/>
        </w:rPr>
        <w:t>Making Improvements</w:t>
      </w:r>
    </w:p>
    <w:p w14:paraId="511095BA" w14:textId="77777777" w:rsidR="00160A8D" w:rsidRDefault="003D005C" w:rsidP="005641BE">
      <w:pPr>
        <w:spacing w:before="120" w:after="120"/>
        <w:jc w:val="both"/>
        <w:rPr>
          <w:rFonts w:cstheme="minorHAnsi"/>
          <w:lang w:val="en-MY" w:eastAsia="en-AU"/>
        </w:rPr>
      </w:pPr>
      <w:r w:rsidRPr="003D005C">
        <w:rPr>
          <w:rFonts w:cstheme="minorHAnsi"/>
          <w:lang w:val="en-MY" w:eastAsia="en-AU"/>
        </w:rPr>
        <w:t xml:space="preserve">A range of opportunities exist for through-care services to strengthen and build upon elements of existing practice to improve the effectiveness of service delivery. The extent to which opportunities for improvement can be taken, however, is dependent not just on access to additional resources, but on the capacity of services to take a systematic and strategic approach to the way services collaborate with service partners, and support case workers to deliver an effective service. </w:t>
      </w:r>
      <w:r w:rsidRPr="00EE52FE">
        <w:rPr>
          <w:rFonts w:cstheme="minorHAnsi"/>
          <w:lang w:val="en-MY" w:eastAsia="en-AU"/>
        </w:rPr>
        <w:t>As part of the evaluation,</w:t>
      </w:r>
      <w:r>
        <w:rPr>
          <w:rFonts w:cstheme="minorHAnsi"/>
          <w:lang w:val="en-MY" w:eastAsia="en-AU"/>
        </w:rPr>
        <w:t xml:space="preserve"> several </w:t>
      </w:r>
      <w:r w:rsidRPr="00EE52FE">
        <w:rPr>
          <w:rFonts w:cstheme="minorHAnsi"/>
          <w:lang w:val="en-MY" w:eastAsia="en-AU"/>
        </w:rPr>
        <w:t>opportunities to improve practice were identified</w:t>
      </w:r>
      <w:r>
        <w:rPr>
          <w:rFonts w:cstheme="minorHAnsi"/>
          <w:lang w:val="en-MY" w:eastAsia="en-AU"/>
        </w:rPr>
        <w:t xml:space="preserve"> in feedback from stakeholders</w:t>
      </w:r>
      <w:r w:rsidRPr="00EE52FE">
        <w:rPr>
          <w:rFonts w:cstheme="minorHAnsi"/>
          <w:lang w:val="en-MY" w:eastAsia="en-AU"/>
        </w:rPr>
        <w:t>.</w:t>
      </w:r>
      <w:r>
        <w:rPr>
          <w:rFonts w:cstheme="minorHAnsi"/>
          <w:lang w:val="en-MY" w:eastAsia="en-AU"/>
        </w:rPr>
        <w:t xml:space="preserve"> Since </w:t>
      </w:r>
      <w:r w:rsidRPr="003D005C">
        <w:rPr>
          <w:rFonts w:cstheme="minorHAnsi"/>
          <w:lang w:val="en-MY" w:eastAsia="en-AU"/>
        </w:rPr>
        <w:t xml:space="preserve">many of the issues raised </w:t>
      </w:r>
      <w:r>
        <w:rPr>
          <w:rFonts w:cstheme="minorHAnsi"/>
          <w:lang w:val="en-MY" w:eastAsia="en-AU"/>
        </w:rPr>
        <w:t>in response to this area of inquiry are raised in other sections of this chapter they will not be repeated here (</w:t>
      </w:r>
      <w:r w:rsidR="00160A8D">
        <w:rPr>
          <w:rFonts w:cstheme="minorHAnsi"/>
          <w:lang w:val="en-MY" w:eastAsia="en-AU"/>
        </w:rPr>
        <w:t xml:space="preserve">for instance, </w:t>
      </w:r>
      <w:r>
        <w:rPr>
          <w:rFonts w:cstheme="minorHAnsi"/>
          <w:lang w:val="en-MY" w:eastAsia="en-AU"/>
        </w:rPr>
        <w:t>changes to client eligibility criteria, expansion of practices involving working with family</w:t>
      </w:r>
      <w:r w:rsidR="00160A8D">
        <w:rPr>
          <w:rFonts w:cstheme="minorHAnsi"/>
          <w:lang w:val="en-MY" w:eastAsia="en-AU"/>
        </w:rPr>
        <w:t xml:space="preserve"> and kin</w:t>
      </w:r>
      <w:r>
        <w:rPr>
          <w:rFonts w:cstheme="minorHAnsi"/>
          <w:lang w:val="en-MY" w:eastAsia="en-AU"/>
        </w:rPr>
        <w:t xml:space="preserve">, and developing </w:t>
      </w:r>
      <w:r w:rsidR="00160A8D">
        <w:rPr>
          <w:rFonts w:cstheme="minorHAnsi"/>
          <w:lang w:val="en-MY" w:eastAsia="en-AU"/>
        </w:rPr>
        <w:t xml:space="preserve">MoUs </w:t>
      </w:r>
      <w:r>
        <w:rPr>
          <w:rFonts w:cstheme="minorHAnsi"/>
          <w:lang w:val="en-MY" w:eastAsia="en-AU"/>
        </w:rPr>
        <w:t xml:space="preserve">with </w:t>
      </w:r>
      <w:r w:rsidR="00160A8D">
        <w:rPr>
          <w:rFonts w:cstheme="minorHAnsi"/>
          <w:lang w:val="en-MY" w:eastAsia="en-AU"/>
        </w:rPr>
        <w:t xml:space="preserve">service partners). </w:t>
      </w:r>
    </w:p>
    <w:p w14:paraId="363FBA2A" w14:textId="2B860F95" w:rsidR="005641BE" w:rsidRDefault="00160A8D" w:rsidP="005641BE">
      <w:pPr>
        <w:spacing w:before="120" w:after="120"/>
        <w:jc w:val="both"/>
        <w:rPr>
          <w:rFonts w:cstheme="minorHAnsi"/>
          <w:lang w:val="en-MY" w:eastAsia="en-AU"/>
        </w:rPr>
      </w:pPr>
      <w:r>
        <w:rPr>
          <w:rFonts w:cstheme="minorHAnsi"/>
          <w:lang w:val="en-MY" w:eastAsia="en-AU"/>
        </w:rPr>
        <w:t xml:space="preserve">The </w:t>
      </w:r>
      <w:r w:rsidRPr="003D005C">
        <w:rPr>
          <w:rFonts w:cstheme="minorHAnsi"/>
          <w:lang w:val="en-MY" w:eastAsia="en-AU"/>
        </w:rPr>
        <w:t xml:space="preserve">following additional </w:t>
      </w:r>
      <w:r>
        <w:rPr>
          <w:rFonts w:cstheme="minorHAnsi"/>
          <w:lang w:val="en-MY" w:eastAsia="en-AU"/>
        </w:rPr>
        <w:t>opportunities from this feedback are, however, noted:</w:t>
      </w:r>
    </w:p>
    <w:p w14:paraId="7BD738FB" w14:textId="7EBCF56F" w:rsidR="00AB7861" w:rsidRDefault="00AB7861" w:rsidP="00B77817">
      <w:pPr>
        <w:pStyle w:val="ListParagraph"/>
        <w:numPr>
          <w:ilvl w:val="0"/>
          <w:numId w:val="46"/>
        </w:numPr>
        <w:spacing w:before="120" w:after="120"/>
        <w:jc w:val="both"/>
        <w:rPr>
          <w:rFonts w:cstheme="minorHAnsi"/>
          <w:lang w:val="en-MY" w:eastAsia="en-AU"/>
        </w:rPr>
      </w:pPr>
      <w:r>
        <w:rPr>
          <w:rFonts w:cstheme="minorHAnsi"/>
          <w:lang w:val="en-MY" w:eastAsia="en-AU"/>
        </w:rPr>
        <w:t>With respect to model d</w:t>
      </w:r>
      <w:r w:rsidRPr="00EE52FE">
        <w:rPr>
          <w:rFonts w:cstheme="minorHAnsi"/>
          <w:lang w:val="en-MY" w:eastAsia="en-AU"/>
        </w:rPr>
        <w:t>esign</w:t>
      </w:r>
      <w:r>
        <w:rPr>
          <w:rFonts w:cstheme="minorHAnsi"/>
          <w:lang w:val="en-MY" w:eastAsia="en-AU"/>
        </w:rPr>
        <w:t xml:space="preserve">, in addition to </w:t>
      </w:r>
      <w:r w:rsidRPr="00EE52FE">
        <w:rPr>
          <w:rFonts w:cstheme="minorHAnsi"/>
          <w:lang w:val="en-MY" w:eastAsia="en-AU"/>
        </w:rPr>
        <w:t>refra</w:t>
      </w:r>
      <w:r>
        <w:rPr>
          <w:rFonts w:cstheme="minorHAnsi"/>
          <w:lang w:val="en-MY" w:eastAsia="en-AU"/>
        </w:rPr>
        <w:t xml:space="preserve">ming guidelines </w:t>
      </w:r>
      <w:r w:rsidRPr="00EE52FE">
        <w:rPr>
          <w:rFonts w:cstheme="minorHAnsi"/>
          <w:lang w:val="en-MY" w:eastAsia="en-AU"/>
        </w:rPr>
        <w:t xml:space="preserve">so that </w:t>
      </w:r>
      <w:r>
        <w:rPr>
          <w:rFonts w:cstheme="minorHAnsi"/>
          <w:lang w:val="en-MY" w:eastAsia="en-AU"/>
        </w:rPr>
        <w:t xml:space="preserve">the </w:t>
      </w:r>
      <w:r w:rsidRPr="00EE52FE">
        <w:rPr>
          <w:rFonts w:cstheme="minorHAnsi"/>
          <w:lang w:val="en-MY" w:eastAsia="en-AU"/>
        </w:rPr>
        <w:t xml:space="preserve">family </w:t>
      </w:r>
      <w:r>
        <w:rPr>
          <w:rFonts w:cstheme="minorHAnsi"/>
          <w:lang w:val="en-MY" w:eastAsia="en-AU"/>
        </w:rPr>
        <w:t xml:space="preserve">unit and peer groups </w:t>
      </w:r>
      <w:r w:rsidRPr="00EE52FE">
        <w:rPr>
          <w:rFonts w:cstheme="minorHAnsi"/>
          <w:lang w:val="en-MY" w:eastAsia="en-AU"/>
        </w:rPr>
        <w:t xml:space="preserve">can be </w:t>
      </w:r>
      <w:r>
        <w:rPr>
          <w:rFonts w:cstheme="minorHAnsi"/>
          <w:lang w:val="en-MY" w:eastAsia="en-AU"/>
        </w:rPr>
        <w:t xml:space="preserve">better supported (in unison with the individual </w:t>
      </w:r>
      <w:r w:rsidRPr="00EE52FE">
        <w:rPr>
          <w:rFonts w:cstheme="minorHAnsi"/>
          <w:lang w:val="en-MY" w:eastAsia="en-AU"/>
        </w:rPr>
        <w:t>client</w:t>
      </w:r>
      <w:r>
        <w:rPr>
          <w:rFonts w:cstheme="minorHAnsi"/>
          <w:lang w:val="en-MY" w:eastAsia="en-AU"/>
        </w:rPr>
        <w:t>)</w:t>
      </w:r>
      <w:r w:rsidRPr="00EE52FE">
        <w:rPr>
          <w:rFonts w:cstheme="minorHAnsi"/>
          <w:lang w:val="en-MY" w:eastAsia="en-AU"/>
        </w:rPr>
        <w:t xml:space="preserve"> </w:t>
      </w:r>
      <w:r>
        <w:rPr>
          <w:rFonts w:cstheme="minorHAnsi"/>
          <w:lang w:val="en-MY" w:eastAsia="en-AU"/>
        </w:rPr>
        <w:t>a</w:t>
      </w:r>
      <w:r w:rsidRPr="00EE52FE">
        <w:rPr>
          <w:rFonts w:cstheme="minorHAnsi"/>
          <w:lang w:val="en-MY" w:eastAsia="en-AU"/>
        </w:rPr>
        <w:t xml:space="preserve"> further suggestion was that the definition of ‘youth’ be </w:t>
      </w:r>
      <w:r>
        <w:rPr>
          <w:rFonts w:cstheme="minorHAnsi"/>
          <w:lang w:val="en-MY" w:eastAsia="en-AU"/>
        </w:rPr>
        <w:t xml:space="preserve">expanded from </w:t>
      </w:r>
      <w:r w:rsidRPr="00EE52FE">
        <w:rPr>
          <w:rFonts w:cstheme="minorHAnsi"/>
          <w:lang w:val="en-MY" w:eastAsia="en-AU"/>
        </w:rPr>
        <w:t xml:space="preserve">18 to 25 years </w:t>
      </w:r>
      <w:r>
        <w:rPr>
          <w:rFonts w:cstheme="minorHAnsi"/>
          <w:lang w:val="en-MY" w:eastAsia="en-AU"/>
        </w:rPr>
        <w:t xml:space="preserve">(in accordance with WHO definitions) </w:t>
      </w:r>
      <w:r w:rsidRPr="00EE52FE">
        <w:rPr>
          <w:rFonts w:cstheme="minorHAnsi"/>
          <w:lang w:val="en-MY" w:eastAsia="en-AU"/>
        </w:rPr>
        <w:t xml:space="preserve">to ensure continuity of care </w:t>
      </w:r>
      <w:r>
        <w:rPr>
          <w:rFonts w:cstheme="minorHAnsi"/>
          <w:lang w:val="en-MY" w:eastAsia="en-AU"/>
        </w:rPr>
        <w:t xml:space="preserve">post-18 years </w:t>
      </w:r>
      <w:r w:rsidRPr="00EE52FE">
        <w:rPr>
          <w:rFonts w:cstheme="minorHAnsi"/>
          <w:lang w:val="en-MY" w:eastAsia="en-AU"/>
        </w:rPr>
        <w:t xml:space="preserve">and </w:t>
      </w:r>
      <w:r>
        <w:rPr>
          <w:rFonts w:cstheme="minorHAnsi"/>
          <w:lang w:val="en-MY" w:eastAsia="en-AU"/>
        </w:rPr>
        <w:t xml:space="preserve">to better </w:t>
      </w:r>
      <w:r w:rsidRPr="00EE52FE">
        <w:rPr>
          <w:rFonts w:cstheme="minorHAnsi"/>
          <w:lang w:val="en-MY" w:eastAsia="en-AU"/>
        </w:rPr>
        <w:t>align with other youth care services.</w:t>
      </w:r>
    </w:p>
    <w:p w14:paraId="7C8D2C20" w14:textId="77777777" w:rsidR="009F008C" w:rsidRPr="00EE52FE" w:rsidRDefault="009F008C" w:rsidP="009F008C">
      <w:pPr>
        <w:pStyle w:val="ListParagraph"/>
        <w:spacing w:before="120" w:after="120"/>
        <w:jc w:val="both"/>
        <w:rPr>
          <w:rFonts w:cstheme="minorHAnsi"/>
          <w:lang w:val="en-MY" w:eastAsia="en-AU"/>
        </w:rPr>
      </w:pPr>
    </w:p>
    <w:p w14:paraId="2783FADF" w14:textId="7BA2DD8A" w:rsidR="00AB7861" w:rsidRDefault="00160A8D" w:rsidP="00B77817">
      <w:pPr>
        <w:pStyle w:val="ListParagraph"/>
        <w:numPr>
          <w:ilvl w:val="0"/>
          <w:numId w:val="46"/>
        </w:numPr>
        <w:spacing w:before="120" w:after="120"/>
        <w:jc w:val="both"/>
        <w:rPr>
          <w:rFonts w:cstheme="minorHAnsi"/>
          <w:lang w:val="en-MY" w:eastAsia="en-AU"/>
        </w:rPr>
      </w:pPr>
      <w:r>
        <w:rPr>
          <w:rFonts w:cstheme="minorHAnsi"/>
          <w:lang w:val="en-MY" w:eastAsia="en-AU"/>
        </w:rPr>
        <w:t>With respect to service collaboration and the negotiation of MoUs, it is further noted by youth service providers that</w:t>
      </w:r>
      <w:r w:rsidR="00AB7861">
        <w:rPr>
          <w:rFonts w:cstheme="minorHAnsi"/>
          <w:lang w:val="en-MY" w:eastAsia="en-AU"/>
        </w:rPr>
        <w:t xml:space="preserve"> opportunities exist to formalise relationships </w:t>
      </w:r>
      <w:r w:rsidRPr="00AB7861">
        <w:rPr>
          <w:rFonts w:cstheme="minorHAnsi"/>
          <w:lang w:val="en-MY" w:eastAsia="en-AU"/>
        </w:rPr>
        <w:t>with youth diversionary services</w:t>
      </w:r>
      <w:r w:rsidR="00AB7861">
        <w:rPr>
          <w:rFonts w:cstheme="minorHAnsi"/>
          <w:lang w:val="en-MY" w:eastAsia="en-AU"/>
        </w:rPr>
        <w:t xml:space="preserve">, who may be able to address a gap in services to youth </w:t>
      </w:r>
      <w:r w:rsidRPr="00AB7861">
        <w:rPr>
          <w:rFonts w:cstheme="minorHAnsi"/>
          <w:lang w:val="en-MY" w:eastAsia="en-AU"/>
        </w:rPr>
        <w:t>on weekends and after normal business hours when through-care case</w:t>
      </w:r>
      <w:r w:rsidR="00694565">
        <w:rPr>
          <w:rFonts w:cstheme="minorHAnsi"/>
          <w:lang w:val="en-MY" w:eastAsia="en-AU"/>
        </w:rPr>
        <w:t xml:space="preserve"> </w:t>
      </w:r>
      <w:r w:rsidRPr="00AB7861">
        <w:rPr>
          <w:rFonts w:cstheme="minorHAnsi"/>
          <w:lang w:val="en-MY" w:eastAsia="en-AU"/>
        </w:rPr>
        <w:t xml:space="preserve">workers </w:t>
      </w:r>
      <w:r w:rsidR="00AB7861">
        <w:rPr>
          <w:rFonts w:cstheme="minorHAnsi"/>
          <w:lang w:val="en-MY" w:eastAsia="en-AU"/>
        </w:rPr>
        <w:t xml:space="preserve">are not usually </w:t>
      </w:r>
      <w:r w:rsidRPr="00AB7861">
        <w:rPr>
          <w:rFonts w:cstheme="minorHAnsi"/>
          <w:lang w:val="en-MY" w:eastAsia="en-AU"/>
        </w:rPr>
        <w:t>working.</w:t>
      </w:r>
    </w:p>
    <w:p w14:paraId="52101CAD" w14:textId="77777777" w:rsidR="009F008C" w:rsidRDefault="009F008C" w:rsidP="009F008C">
      <w:pPr>
        <w:pStyle w:val="ListParagraph"/>
        <w:spacing w:before="120" w:after="120"/>
        <w:jc w:val="both"/>
        <w:rPr>
          <w:rFonts w:cstheme="minorHAnsi"/>
          <w:lang w:val="en-MY" w:eastAsia="en-AU"/>
        </w:rPr>
      </w:pPr>
    </w:p>
    <w:p w14:paraId="2E82E3D2" w14:textId="3219F0E4" w:rsidR="008A6538" w:rsidRPr="00AB7861" w:rsidRDefault="00AB7861" w:rsidP="00B77817">
      <w:pPr>
        <w:pStyle w:val="ListParagraph"/>
        <w:numPr>
          <w:ilvl w:val="0"/>
          <w:numId w:val="46"/>
        </w:numPr>
        <w:spacing w:before="120" w:after="120"/>
        <w:jc w:val="both"/>
        <w:rPr>
          <w:rFonts w:cstheme="minorHAnsi"/>
          <w:lang w:val="en-MY" w:eastAsia="en-AU"/>
        </w:rPr>
      </w:pPr>
      <w:r>
        <w:rPr>
          <w:rFonts w:cstheme="minorHAnsi"/>
          <w:lang w:val="en-MY" w:eastAsia="en-AU"/>
        </w:rPr>
        <w:t>With respect to p</w:t>
      </w:r>
      <w:r w:rsidR="005641BE" w:rsidRPr="00AB7861">
        <w:rPr>
          <w:rFonts w:cstheme="minorHAnsi"/>
          <w:lang w:val="en-MY" w:eastAsia="en-AU"/>
        </w:rPr>
        <w:t xml:space="preserve">rogram </w:t>
      </w:r>
      <w:r>
        <w:rPr>
          <w:rFonts w:cstheme="minorHAnsi"/>
          <w:lang w:val="en-MY" w:eastAsia="en-AU"/>
        </w:rPr>
        <w:t>i</w:t>
      </w:r>
      <w:r w:rsidR="005641BE" w:rsidRPr="00AB7861">
        <w:rPr>
          <w:rFonts w:cstheme="minorHAnsi"/>
          <w:lang w:val="en-MY" w:eastAsia="en-AU"/>
        </w:rPr>
        <w:t>mplementation</w:t>
      </w:r>
      <w:r>
        <w:rPr>
          <w:rFonts w:cstheme="minorHAnsi"/>
          <w:lang w:val="en-MY" w:eastAsia="en-AU"/>
        </w:rPr>
        <w:t>, there was additionally</w:t>
      </w:r>
      <w:r w:rsidR="005641BE" w:rsidRPr="00AB7861">
        <w:rPr>
          <w:rFonts w:cstheme="minorHAnsi"/>
          <w:lang w:val="en-MY" w:eastAsia="en-AU"/>
        </w:rPr>
        <w:t xml:space="preserve"> </w:t>
      </w:r>
      <w:r>
        <w:rPr>
          <w:rFonts w:cstheme="minorHAnsi"/>
          <w:lang w:val="en-MY" w:eastAsia="en-AU"/>
        </w:rPr>
        <w:t xml:space="preserve">a </w:t>
      </w:r>
      <w:r w:rsidR="005641BE" w:rsidRPr="00AB7861">
        <w:rPr>
          <w:rFonts w:cstheme="minorHAnsi"/>
          <w:lang w:val="en-MY" w:eastAsia="en-AU"/>
        </w:rPr>
        <w:t xml:space="preserve">suggestion that service providers (especially larger </w:t>
      </w:r>
      <w:r>
        <w:rPr>
          <w:rFonts w:cstheme="minorHAnsi"/>
          <w:lang w:val="en-MY" w:eastAsia="en-AU"/>
        </w:rPr>
        <w:t>service providers</w:t>
      </w:r>
      <w:r w:rsidR="005641BE" w:rsidRPr="00AB7861">
        <w:rPr>
          <w:rFonts w:cstheme="minorHAnsi"/>
          <w:lang w:val="en-MY" w:eastAsia="en-AU"/>
        </w:rPr>
        <w:t>) create a team leader role (or similar) to coordinate local service delivery, improve accountability, support case workers and streamline internal processes</w:t>
      </w:r>
      <w:r>
        <w:rPr>
          <w:rFonts w:cstheme="minorHAnsi"/>
          <w:lang w:val="en-MY" w:eastAsia="en-AU"/>
        </w:rPr>
        <w:t xml:space="preserve"> across all service sites</w:t>
      </w:r>
      <w:r w:rsidR="005641BE" w:rsidRPr="00AB7861">
        <w:rPr>
          <w:rFonts w:cstheme="minorHAnsi"/>
          <w:lang w:val="en-MY" w:eastAsia="en-AU"/>
        </w:rPr>
        <w:t>.</w:t>
      </w:r>
      <w:r>
        <w:rPr>
          <w:rFonts w:cstheme="minorHAnsi"/>
          <w:lang w:val="en-MY" w:eastAsia="en-AU"/>
        </w:rPr>
        <w:t xml:space="preserve"> Service p</w:t>
      </w:r>
      <w:r w:rsidR="005641BE" w:rsidRPr="00AB7861">
        <w:rPr>
          <w:rFonts w:cstheme="minorHAnsi"/>
          <w:lang w:val="en-MY" w:eastAsia="en-AU"/>
        </w:rPr>
        <w:t xml:space="preserve">roviders would also like to see the </w:t>
      </w:r>
      <w:r>
        <w:rPr>
          <w:rFonts w:cstheme="minorHAnsi"/>
          <w:lang w:val="en-MY" w:eastAsia="en-AU"/>
        </w:rPr>
        <w:t xml:space="preserve">creation of a </w:t>
      </w:r>
      <w:r w:rsidR="005641BE" w:rsidRPr="00AB7861">
        <w:rPr>
          <w:rFonts w:cstheme="minorHAnsi"/>
          <w:lang w:val="en-MY" w:eastAsia="en-AU"/>
        </w:rPr>
        <w:t>through-care community of practice to support case</w:t>
      </w:r>
      <w:r w:rsidR="00694565">
        <w:rPr>
          <w:rFonts w:cstheme="minorHAnsi"/>
          <w:lang w:val="en-MY" w:eastAsia="en-AU"/>
        </w:rPr>
        <w:t xml:space="preserve"> </w:t>
      </w:r>
      <w:r w:rsidR="005641BE" w:rsidRPr="00AB7861">
        <w:rPr>
          <w:rFonts w:cstheme="minorHAnsi"/>
          <w:lang w:val="en-MY" w:eastAsia="en-AU"/>
        </w:rPr>
        <w:t xml:space="preserve">workers </w:t>
      </w:r>
      <w:r>
        <w:rPr>
          <w:rFonts w:cstheme="minorHAnsi"/>
          <w:lang w:val="en-MY" w:eastAsia="en-AU"/>
        </w:rPr>
        <w:t xml:space="preserve">to identify and share </w:t>
      </w:r>
      <w:r w:rsidRPr="00AB7861">
        <w:rPr>
          <w:rFonts w:cstheme="minorHAnsi"/>
          <w:lang w:val="en-MY" w:eastAsia="en-AU"/>
        </w:rPr>
        <w:t>areas of good practice</w:t>
      </w:r>
      <w:r>
        <w:rPr>
          <w:rFonts w:cstheme="minorHAnsi"/>
          <w:lang w:val="en-MY" w:eastAsia="en-AU"/>
        </w:rPr>
        <w:t>, innovate in developing strategies of support, and to better contex</w:t>
      </w:r>
      <w:r w:rsidR="00371781">
        <w:rPr>
          <w:rFonts w:cstheme="minorHAnsi"/>
          <w:lang w:val="en-MY" w:eastAsia="en-AU"/>
        </w:rPr>
        <w:t>t</w:t>
      </w:r>
      <w:r>
        <w:rPr>
          <w:rFonts w:cstheme="minorHAnsi"/>
          <w:lang w:val="en-MY" w:eastAsia="en-AU"/>
        </w:rPr>
        <w:t>ualise their role</w:t>
      </w:r>
      <w:r w:rsidR="005641BE" w:rsidRPr="00AB7861">
        <w:rPr>
          <w:rFonts w:cstheme="minorHAnsi"/>
          <w:lang w:val="en-MY" w:eastAsia="en-AU"/>
        </w:rPr>
        <w:t>.</w:t>
      </w:r>
    </w:p>
    <w:p w14:paraId="6C7BDF85" w14:textId="77777777" w:rsidR="00F21BAA" w:rsidRDefault="00F21BAA" w:rsidP="00EC273E">
      <w:pPr>
        <w:rPr>
          <w:lang w:val="en-MY" w:eastAsia="en-AU"/>
        </w:rPr>
      </w:pPr>
    </w:p>
    <w:p w14:paraId="1E82CDFA" w14:textId="1F5A765F" w:rsidR="005641BE" w:rsidRPr="00EE52FE" w:rsidRDefault="005641BE" w:rsidP="00851230">
      <w:pPr>
        <w:pStyle w:val="SUBHEAD2"/>
        <w:rPr>
          <w:rFonts w:asciiTheme="minorHAnsi" w:hAnsiTheme="minorHAnsi" w:cstheme="minorHAnsi"/>
          <w:lang w:val="en-MY" w:eastAsia="en-AU"/>
        </w:rPr>
      </w:pPr>
      <w:r w:rsidRPr="00EE52FE">
        <w:rPr>
          <w:rFonts w:asciiTheme="minorHAnsi" w:hAnsiTheme="minorHAnsi" w:cstheme="minorHAnsi"/>
          <w:lang w:val="en-MY" w:eastAsia="en-AU"/>
        </w:rPr>
        <w:t>Achieving Outcomes</w:t>
      </w:r>
    </w:p>
    <w:p w14:paraId="3B600B45" w14:textId="45E5EEAF" w:rsidR="00076833" w:rsidRPr="00076833" w:rsidRDefault="008A6538" w:rsidP="00076833">
      <w:pPr>
        <w:spacing w:before="120" w:after="120"/>
        <w:jc w:val="both"/>
        <w:rPr>
          <w:rFonts w:cstheme="minorHAnsi"/>
          <w:lang w:val="en-MY" w:eastAsia="en-AU"/>
        </w:rPr>
      </w:pPr>
      <w:r w:rsidRPr="004650AE">
        <w:rPr>
          <w:rFonts w:cstheme="minorHAnsi"/>
          <w:lang w:val="en-MY" w:eastAsia="en-AU"/>
        </w:rPr>
        <w:t xml:space="preserve">Through-care clients at all services reported a high degree of satisfaction with the services provided, </w:t>
      </w:r>
      <w:r>
        <w:rPr>
          <w:rFonts w:cstheme="minorHAnsi"/>
          <w:lang w:val="en-MY" w:eastAsia="en-AU"/>
        </w:rPr>
        <w:t xml:space="preserve">grounded in </w:t>
      </w:r>
      <w:r w:rsidRPr="004650AE">
        <w:rPr>
          <w:rFonts w:cstheme="minorHAnsi"/>
          <w:lang w:val="en-MY" w:eastAsia="en-AU"/>
        </w:rPr>
        <w:t xml:space="preserve">strong relationships with case workers and satisfaction with the secondary services they had been referred to. </w:t>
      </w:r>
      <w:r w:rsidR="00371781" w:rsidRPr="00EE52FE">
        <w:rPr>
          <w:rFonts w:cstheme="minorHAnsi"/>
          <w:lang w:val="en-MY" w:eastAsia="en-AU"/>
        </w:rPr>
        <w:t xml:space="preserve">Client feedback </w:t>
      </w:r>
      <w:r w:rsidR="00371781">
        <w:rPr>
          <w:rFonts w:cstheme="minorHAnsi"/>
          <w:lang w:val="en-MY" w:eastAsia="en-AU"/>
        </w:rPr>
        <w:t>indicates</w:t>
      </w:r>
      <w:r w:rsidR="00371781" w:rsidRPr="00EE52FE">
        <w:rPr>
          <w:rFonts w:cstheme="minorHAnsi"/>
          <w:lang w:val="en-MY" w:eastAsia="en-AU"/>
        </w:rPr>
        <w:t xml:space="preserve"> </w:t>
      </w:r>
      <w:r w:rsidR="00371781">
        <w:rPr>
          <w:rFonts w:cstheme="minorHAnsi"/>
          <w:lang w:val="en-MY" w:eastAsia="en-AU"/>
        </w:rPr>
        <w:t xml:space="preserve">strong </w:t>
      </w:r>
      <w:r w:rsidR="00371781" w:rsidRPr="00EE52FE">
        <w:rPr>
          <w:rFonts w:cstheme="minorHAnsi"/>
          <w:lang w:val="en-MY" w:eastAsia="en-AU"/>
        </w:rPr>
        <w:t>satisf</w:t>
      </w:r>
      <w:r w:rsidR="00371781">
        <w:rPr>
          <w:rFonts w:cstheme="minorHAnsi"/>
          <w:lang w:val="en-MY" w:eastAsia="en-AU"/>
        </w:rPr>
        <w:t>action</w:t>
      </w:r>
      <w:r w:rsidR="00371781" w:rsidRPr="00EE52FE">
        <w:rPr>
          <w:rFonts w:cstheme="minorHAnsi"/>
          <w:lang w:val="en-MY" w:eastAsia="en-AU"/>
        </w:rPr>
        <w:t xml:space="preserve"> with the services received and the importance of a strong and trust</w:t>
      </w:r>
      <w:r w:rsidR="00371781">
        <w:rPr>
          <w:rFonts w:cstheme="minorHAnsi"/>
          <w:lang w:val="en-MY" w:eastAsia="en-AU"/>
        </w:rPr>
        <w:t>ing</w:t>
      </w:r>
      <w:r w:rsidR="00371781" w:rsidRPr="00EE52FE">
        <w:rPr>
          <w:rFonts w:cstheme="minorHAnsi"/>
          <w:lang w:val="en-MY" w:eastAsia="en-AU"/>
        </w:rPr>
        <w:t xml:space="preserve"> bond with case workers.</w:t>
      </w:r>
      <w:r w:rsidR="00371781">
        <w:rPr>
          <w:rFonts w:cstheme="minorHAnsi"/>
          <w:lang w:val="en-MY" w:eastAsia="en-AU"/>
        </w:rPr>
        <w:t xml:space="preserve"> These outcomes, qualitatively reported, are backed by quantitative evidence to some extent, although the poor quality and limited availability of service level performance data limits confidence, while the evidence of positive outcomes is not systematic across the program. </w:t>
      </w:r>
      <w:r w:rsidR="00371781" w:rsidRPr="00EE52FE">
        <w:rPr>
          <w:rFonts w:cstheme="minorHAnsi"/>
          <w:lang w:val="en-MY" w:eastAsia="en-AU"/>
        </w:rPr>
        <w:t>A range of data provided against key program metrics</w:t>
      </w:r>
      <w:r w:rsidR="00371781">
        <w:rPr>
          <w:rFonts w:cstheme="minorHAnsi"/>
          <w:lang w:val="en-MY" w:eastAsia="en-AU"/>
        </w:rPr>
        <w:t xml:space="preserve"> </w:t>
      </w:r>
      <w:r w:rsidR="00371781" w:rsidRPr="00EE52FE">
        <w:rPr>
          <w:rFonts w:cstheme="minorHAnsi"/>
          <w:lang w:val="en-MY" w:eastAsia="en-AU"/>
        </w:rPr>
        <w:t>show</w:t>
      </w:r>
      <w:r w:rsidR="00371781">
        <w:rPr>
          <w:rFonts w:cstheme="minorHAnsi"/>
          <w:lang w:val="en-MY" w:eastAsia="en-AU"/>
        </w:rPr>
        <w:t>s</w:t>
      </w:r>
      <w:r w:rsidR="00371781" w:rsidRPr="00EE52FE">
        <w:rPr>
          <w:rFonts w:cstheme="minorHAnsi"/>
          <w:lang w:val="en-MY" w:eastAsia="en-AU"/>
        </w:rPr>
        <w:t xml:space="preserve"> some mild positive outcomes that often compared favourably with national averages</w:t>
      </w:r>
      <w:r w:rsidR="009B0EAB">
        <w:rPr>
          <w:rFonts w:cstheme="minorHAnsi"/>
          <w:lang w:val="en-MY" w:eastAsia="en-AU"/>
        </w:rPr>
        <w:t>. H</w:t>
      </w:r>
      <w:r w:rsidR="00371781">
        <w:rPr>
          <w:rFonts w:cstheme="minorHAnsi"/>
          <w:lang w:val="en-MY" w:eastAsia="en-AU"/>
        </w:rPr>
        <w:t>ighlights includ</w:t>
      </w:r>
      <w:r w:rsidR="009B0EAB">
        <w:rPr>
          <w:rFonts w:cstheme="minorHAnsi"/>
          <w:lang w:val="en-MY" w:eastAsia="en-AU"/>
        </w:rPr>
        <w:t>e</w:t>
      </w:r>
      <w:r w:rsidR="00371781">
        <w:rPr>
          <w:rFonts w:cstheme="minorHAnsi"/>
          <w:lang w:val="en-MY" w:eastAsia="en-AU"/>
        </w:rPr>
        <w:t xml:space="preserve"> </w:t>
      </w:r>
      <w:r w:rsidR="00076833">
        <w:rPr>
          <w:rFonts w:cstheme="minorHAnsi"/>
          <w:lang w:val="en-MY" w:eastAsia="en-AU"/>
        </w:rPr>
        <w:t>d</w:t>
      </w:r>
      <w:r w:rsidR="00076833" w:rsidRPr="00076833">
        <w:rPr>
          <w:rFonts w:cstheme="minorHAnsi"/>
          <w:lang w:val="en-MY" w:eastAsia="en-AU"/>
        </w:rPr>
        <w:t xml:space="preserve">ata around the proportion of clients ‘who have been convicted or charged with a new criminal offence’, </w:t>
      </w:r>
      <w:r w:rsidR="009B0EAB">
        <w:rPr>
          <w:rFonts w:cstheme="minorHAnsi"/>
          <w:lang w:val="en-MY" w:eastAsia="en-AU"/>
        </w:rPr>
        <w:t xml:space="preserve">which </w:t>
      </w:r>
      <w:r w:rsidR="00076833" w:rsidRPr="00076833">
        <w:rPr>
          <w:rFonts w:cstheme="minorHAnsi"/>
          <w:lang w:val="en-MY" w:eastAsia="en-AU"/>
        </w:rPr>
        <w:t>averages 43 percent across the ATC program, and compares well with Productivity Commission data for 2020-21 showing that 57 percent of Aboriginal and Torres Strait Islander adults released from prison returned to prison within 2 years</w:t>
      </w:r>
      <w:r w:rsidR="009B0EAB">
        <w:rPr>
          <w:rFonts w:cstheme="minorHAnsi"/>
          <w:lang w:val="en-MY" w:eastAsia="en-AU"/>
        </w:rPr>
        <w:t xml:space="preserve">. Moreover, </w:t>
      </w:r>
      <w:r w:rsidR="00076833" w:rsidRPr="00076833">
        <w:rPr>
          <w:rFonts w:cstheme="minorHAnsi"/>
          <w:lang w:val="en-MY" w:eastAsia="en-AU"/>
        </w:rPr>
        <w:t xml:space="preserve">69 percent of client offences committed </w:t>
      </w:r>
      <w:r w:rsidR="009B0EAB">
        <w:rPr>
          <w:rFonts w:cstheme="minorHAnsi"/>
          <w:lang w:val="en-MY" w:eastAsia="en-AU"/>
        </w:rPr>
        <w:t>while on case</w:t>
      </w:r>
      <w:r w:rsidR="00694565">
        <w:rPr>
          <w:rFonts w:cstheme="minorHAnsi"/>
          <w:lang w:val="en-MY" w:eastAsia="en-AU"/>
        </w:rPr>
        <w:t>-</w:t>
      </w:r>
      <w:r w:rsidR="009B0EAB">
        <w:rPr>
          <w:rFonts w:cstheme="minorHAnsi"/>
          <w:lang w:val="en-MY" w:eastAsia="en-AU"/>
        </w:rPr>
        <w:t xml:space="preserve">loads </w:t>
      </w:r>
      <w:r w:rsidR="00076833" w:rsidRPr="00076833">
        <w:rPr>
          <w:rFonts w:cstheme="minorHAnsi"/>
          <w:lang w:val="en-MY" w:eastAsia="en-AU"/>
        </w:rPr>
        <w:t>were of a less serious nature than the original offence.</w:t>
      </w:r>
    </w:p>
    <w:p w14:paraId="25BA4073" w14:textId="5C4EDDCD" w:rsidR="005641BE" w:rsidRDefault="00371781" w:rsidP="005641BE">
      <w:pPr>
        <w:spacing w:before="120" w:after="120"/>
        <w:jc w:val="both"/>
        <w:rPr>
          <w:rFonts w:cstheme="minorHAnsi"/>
          <w:lang w:val="en-MY" w:eastAsia="en-AU"/>
        </w:rPr>
      </w:pPr>
      <w:r w:rsidRPr="004650AE">
        <w:rPr>
          <w:rFonts w:cstheme="minorHAnsi"/>
          <w:lang w:val="en-MY" w:eastAsia="en-AU"/>
        </w:rPr>
        <w:t xml:space="preserve">While </w:t>
      </w:r>
      <w:r>
        <w:rPr>
          <w:rFonts w:cstheme="minorHAnsi"/>
          <w:lang w:val="en-MY" w:eastAsia="en-AU"/>
        </w:rPr>
        <w:t xml:space="preserve">services </w:t>
      </w:r>
      <w:r w:rsidRPr="004650AE">
        <w:rPr>
          <w:rFonts w:cstheme="minorHAnsi"/>
          <w:lang w:val="en-MY" w:eastAsia="en-AU"/>
        </w:rPr>
        <w:t xml:space="preserve">believe </w:t>
      </w:r>
      <w:r>
        <w:rPr>
          <w:rFonts w:cstheme="minorHAnsi"/>
          <w:lang w:val="en-MY" w:eastAsia="en-AU"/>
        </w:rPr>
        <w:t xml:space="preserve">that overall </w:t>
      </w:r>
      <w:r w:rsidRPr="004650AE">
        <w:rPr>
          <w:rFonts w:cstheme="minorHAnsi"/>
          <w:lang w:val="en-MY" w:eastAsia="en-AU"/>
        </w:rPr>
        <w:t xml:space="preserve">they </w:t>
      </w:r>
      <w:r>
        <w:rPr>
          <w:rFonts w:cstheme="minorHAnsi"/>
          <w:lang w:val="en-MY" w:eastAsia="en-AU"/>
        </w:rPr>
        <w:t xml:space="preserve">are </w:t>
      </w:r>
      <w:r w:rsidRPr="004650AE">
        <w:rPr>
          <w:rFonts w:cstheme="minorHAnsi"/>
          <w:lang w:val="en-MY" w:eastAsia="en-AU"/>
        </w:rPr>
        <w:t xml:space="preserve">making a positive difference, </w:t>
      </w:r>
      <w:r w:rsidR="009B0EAB">
        <w:rPr>
          <w:rFonts w:cstheme="minorHAnsi"/>
          <w:lang w:val="en-MY" w:eastAsia="en-AU"/>
        </w:rPr>
        <w:t xml:space="preserve">therefore, </w:t>
      </w:r>
      <w:r>
        <w:rPr>
          <w:rFonts w:cstheme="minorHAnsi"/>
          <w:lang w:val="en-MY" w:eastAsia="en-AU"/>
        </w:rPr>
        <w:t xml:space="preserve">it was </w:t>
      </w:r>
      <w:r w:rsidRPr="004650AE">
        <w:rPr>
          <w:rFonts w:cstheme="minorHAnsi"/>
          <w:lang w:val="en-MY" w:eastAsia="en-AU"/>
        </w:rPr>
        <w:t>acknowledged</w:t>
      </w:r>
      <w:r>
        <w:rPr>
          <w:rFonts w:cstheme="minorHAnsi"/>
          <w:lang w:val="en-MY" w:eastAsia="en-AU"/>
        </w:rPr>
        <w:t xml:space="preserve"> that examples of clients successfully exiting the program with long term outcomes such as employment, secure housing, reunified relationships and no re-offending, was limited by a range of </w:t>
      </w:r>
      <w:r w:rsidRPr="004650AE">
        <w:rPr>
          <w:rFonts w:cstheme="minorHAnsi"/>
          <w:lang w:val="en-MY" w:eastAsia="en-AU"/>
        </w:rPr>
        <w:t>mitigating factors</w:t>
      </w:r>
      <w:r>
        <w:rPr>
          <w:rFonts w:cstheme="minorHAnsi"/>
          <w:lang w:val="en-MY" w:eastAsia="en-AU"/>
        </w:rPr>
        <w:t>. These factors included underlying ‘human capital’ issues such as cognitive disabilities and poor mental health, addiction to alcohol and drugs</w:t>
      </w:r>
      <w:r w:rsidRPr="004650AE">
        <w:rPr>
          <w:rFonts w:cstheme="minorHAnsi"/>
          <w:lang w:val="en-MY" w:eastAsia="en-AU"/>
        </w:rPr>
        <w:t xml:space="preserve">, </w:t>
      </w:r>
      <w:r>
        <w:rPr>
          <w:rFonts w:cstheme="minorHAnsi"/>
          <w:lang w:val="en-MY" w:eastAsia="en-AU"/>
        </w:rPr>
        <w:t xml:space="preserve">and </w:t>
      </w:r>
      <w:r w:rsidRPr="004650AE">
        <w:rPr>
          <w:rFonts w:cstheme="minorHAnsi"/>
          <w:lang w:val="en-MY" w:eastAsia="en-AU"/>
        </w:rPr>
        <w:t>ongoing trauma</w:t>
      </w:r>
      <w:r>
        <w:rPr>
          <w:rFonts w:cstheme="minorHAnsi"/>
          <w:lang w:val="en-MY" w:eastAsia="en-AU"/>
        </w:rPr>
        <w:t xml:space="preserve">, in addition to deficiencies in ‘social capital’ like </w:t>
      </w:r>
      <w:r w:rsidRPr="004650AE">
        <w:rPr>
          <w:rFonts w:cstheme="minorHAnsi"/>
          <w:lang w:val="en-MY" w:eastAsia="en-AU"/>
        </w:rPr>
        <w:t>the influence of peers</w:t>
      </w:r>
      <w:r>
        <w:rPr>
          <w:rFonts w:cstheme="minorHAnsi"/>
          <w:lang w:val="en-MY" w:eastAsia="en-AU"/>
        </w:rPr>
        <w:t xml:space="preserve">, a </w:t>
      </w:r>
      <w:r w:rsidRPr="004650AE">
        <w:rPr>
          <w:rFonts w:cstheme="minorHAnsi"/>
          <w:lang w:val="en-MY" w:eastAsia="en-AU"/>
        </w:rPr>
        <w:t xml:space="preserve">lack of affordable housing, </w:t>
      </w:r>
      <w:r>
        <w:rPr>
          <w:rFonts w:cstheme="minorHAnsi"/>
          <w:lang w:val="en-MY" w:eastAsia="en-AU"/>
        </w:rPr>
        <w:t xml:space="preserve">and - particularly in remote areas - the absence of secondary support services and employment opportunities to enable long-term independence. According to available data, just </w:t>
      </w:r>
      <w:r w:rsidR="005641BE" w:rsidRPr="00EE52FE">
        <w:rPr>
          <w:rFonts w:cstheme="minorHAnsi"/>
          <w:lang w:val="en-MY" w:eastAsia="en-AU"/>
        </w:rPr>
        <w:t xml:space="preserve">18 percent of clients became employed while participating in the program, </w:t>
      </w:r>
      <w:r>
        <w:rPr>
          <w:rFonts w:cstheme="minorHAnsi"/>
          <w:lang w:val="en-MY" w:eastAsia="en-AU"/>
        </w:rPr>
        <w:t xml:space="preserve">with </w:t>
      </w:r>
      <w:r w:rsidR="005641BE" w:rsidRPr="00EE52FE">
        <w:rPr>
          <w:rFonts w:cstheme="minorHAnsi"/>
          <w:lang w:val="en-MY" w:eastAsia="en-AU"/>
        </w:rPr>
        <w:t>12 per cent of clients attended education or training. Where positive outcomes were realised this was often for older clients (those in their 40s and 50s).</w:t>
      </w:r>
    </w:p>
    <w:p w14:paraId="7EE844EB" w14:textId="283B3B1D" w:rsidR="001A707F" w:rsidRPr="00EE52FE" w:rsidRDefault="001A707F" w:rsidP="001A707F">
      <w:pPr>
        <w:spacing w:before="120" w:after="120"/>
        <w:jc w:val="both"/>
        <w:rPr>
          <w:rFonts w:cstheme="minorHAnsi"/>
          <w:lang w:val="en-MY" w:eastAsia="en-AU"/>
        </w:rPr>
      </w:pPr>
      <w:r>
        <w:rPr>
          <w:rFonts w:cstheme="minorHAnsi"/>
          <w:lang w:val="en-MY" w:eastAsia="en-AU"/>
        </w:rPr>
        <w:t>During discussions with c</w:t>
      </w:r>
      <w:r w:rsidRPr="00EE52FE">
        <w:rPr>
          <w:rFonts w:cstheme="minorHAnsi"/>
          <w:lang w:val="en-MY" w:eastAsia="en-AU"/>
        </w:rPr>
        <w:t>ase</w:t>
      </w:r>
      <w:r w:rsidR="00694565">
        <w:rPr>
          <w:rFonts w:cstheme="minorHAnsi"/>
          <w:lang w:val="en-MY" w:eastAsia="en-AU"/>
        </w:rPr>
        <w:t xml:space="preserve"> </w:t>
      </w:r>
      <w:r w:rsidRPr="00EE52FE">
        <w:rPr>
          <w:rFonts w:cstheme="minorHAnsi"/>
          <w:lang w:val="en-MY" w:eastAsia="en-AU"/>
        </w:rPr>
        <w:t xml:space="preserve">workers </w:t>
      </w:r>
      <w:r>
        <w:rPr>
          <w:rFonts w:cstheme="minorHAnsi"/>
          <w:lang w:val="en-MY" w:eastAsia="en-AU"/>
        </w:rPr>
        <w:t xml:space="preserve">many </w:t>
      </w:r>
      <w:r w:rsidRPr="00EE52FE">
        <w:rPr>
          <w:rFonts w:cstheme="minorHAnsi"/>
          <w:lang w:val="en-MY" w:eastAsia="en-AU"/>
        </w:rPr>
        <w:t xml:space="preserve">expressed a desire to see the focus of outcomes </w:t>
      </w:r>
      <w:r>
        <w:rPr>
          <w:rFonts w:cstheme="minorHAnsi"/>
          <w:lang w:val="en-MY" w:eastAsia="en-AU"/>
        </w:rPr>
        <w:t xml:space="preserve">defined in the current model to </w:t>
      </w:r>
      <w:r w:rsidRPr="00EE52FE">
        <w:rPr>
          <w:rFonts w:cstheme="minorHAnsi"/>
          <w:lang w:val="en-MY" w:eastAsia="en-AU"/>
        </w:rPr>
        <w:t>be shifted</w:t>
      </w:r>
      <w:r>
        <w:rPr>
          <w:rFonts w:cstheme="minorHAnsi"/>
          <w:lang w:val="en-MY" w:eastAsia="en-AU"/>
        </w:rPr>
        <w:t>,</w:t>
      </w:r>
      <w:r w:rsidRPr="00EE52FE">
        <w:rPr>
          <w:rFonts w:cstheme="minorHAnsi"/>
          <w:lang w:val="en-MY" w:eastAsia="en-AU"/>
        </w:rPr>
        <w:t xml:space="preserve"> to concentrate more on</w:t>
      </w:r>
      <w:r>
        <w:rPr>
          <w:rFonts w:cstheme="minorHAnsi"/>
          <w:lang w:val="en-MY" w:eastAsia="en-AU"/>
        </w:rPr>
        <w:t xml:space="preserve"> more immediate,</w:t>
      </w:r>
      <w:r w:rsidRPr="00EE52FE">
        <w:rPr>
          <w:rFonts w:cstheme="minorHAnsi"/>
          <w:lang w:val="en-MY" w:eastAsia="en-AU"/>
        </w:rPr>
        <w:t xml:space="preserve"> incremental changes</w:t>
      </w:r>
      <w:r>
        <w:rPr>
          <w:rFonts w:cstheme="minorHAnsi"/>
          <w:lang w:val="en-MY" w:eastAsia="en-AU"/>
        </w:rPr>
        <w:t>,</w:t>
      </w:r>
      <w:r w:rsidRPr="00EE52FE">
        <w:rPr>
          <w:rFonts w:cstheme="minorHAnsi"/>
          <w:lang w:val="en-MY" w:eastAsia="en-AU"/>
        </w:rPr>
        <w:t xml:space="preserve"> rather than </w:t>
      </w:r>
      <w:r>
        <w:rPr>
          <w:rFonts w:cstheme="minorHAnsi"/>
          <w:lang w:val="en-MY" w:eastAsia="en-AU"/>
        </w:rPr>
        <w:t xml:space="preserve">those driving at long-term rehabilitation or reintegration (such as, </w:t>
      </w:r>
      <w:r w:rsidRPr="001A707F">
        <w:rPr>
          <w:rFonts w:cstheme="minorHAnsi"/>
          <w:lang w:val="en-MY" w:eastAsia="en-AU"/>
        </w:rPr>
        <w:t>longer periods of being free from drugs and alcohol</w:t>
      </w:r>
      <w:r>
        <w:rPr>
          <w:rFonts w:cstheme="minorHAnsi"/>
          <w:lang w:val="en-MY" w:eastAsia="en-AU"/>
        </w:rPr>
        <w:t xml:space="preserve">, </w:t>
      </w:r>
      <w:r w:rsidRPr="001A707F">
        <w:rPr>
          <w:rFonts w:cstheme="minorHAnsi"/>
          <w:lang w:val="en-MY" w:eastAsia="en-AU"/>
        </w:rPr>
        <w:t>better and longer connection with families</w:t>
      </w:r>
      <w:r>
        <w:rPr>
          <w:rFonts w:cstheme="minorHAnsi"/>
          <w:lang w:val="en-MY" w:eastAsia="en-AU"/>
        </w:rPr>
        <w:t xml:space="preserve">, and </w:t>
      </w:r>
      <w:r w:rsidRPr="001A707F">
        <w:rPr>
          <w:rFonts w:cstheme="minorHAnsi"/>
          <w:lang w:val="en-MY" w:eastAsia="en-AU"/>
        </w:rPr>
        <w:t>self-reported improvements</w:t>
      </w:r>
      <w:r>
        <w:rPr>
          <w:rFonts w:cstheme="minorHAnsi"/>
          <w:lang w:val="en-MY" w:eastAsia="en-AU"/>
        </w:rPr>
        <w:t xml:space="preserve"> in </w:t>
      </w:r>
      <w:r w:rsidRPr="001A707F">
        <w:rPr>
          <w:rFonts w:cstheme="minorHAnsi"/>
          <w:lang w:val="en-MY" w:eastAsia="en-AU"/>
        </w:rPr>
        <w:t xml:space="preserve">social and emotional </w:t>
      </w:r>
      <w:r>
        <w:rPr>
          <w:rFonts w:cstheme="minorHAnsi"/>
          <w:lang w:val="en-MY" w:eastAsia="en-AU"/>
        </w:rPr>
        <w:t>well-being. Employment in particular, as an outcome, was criticised since many clients are reported to be either receiving a disability pension, lack the foundational human capital, or else live in remote areas where employment opportunities are more limited.</w:t>
      </w:r>
    </w:p>
    <w:p w14:paraId="71A527FE" w14:textId="77777777" w:rsidR="005641BE" w:rsidRPr="00EE52FE" w:rsidRDefault="005641BE" w:rsidP="00851230">
      <w:pPr>
        <w:pStyle w:val="SUBHEAD2"/>
        <w:rPr>
          <w:rFonts w:asciiTheme="minorHAnsi" w:hAnsiTheme="minorHAnsi" w:cstheme="minorHAnsi"/>
          <w:lang w:val="en-MY" w:eastAsia="en-AU"/>
        </w:rPr>
      </w:pPr>
      <w:r w:rsidRPr="00EE52FE">
        <w:rPr>
          <w:rFonts w:asciiTheme="minorHAnsi" w:hAnsiTheme="minorHAnsi" w:cstheme="minorHAnsi"/>
          <w:lang w:val="en-MY" w:eastAsia="en-AU"/>
        </w:rPr>
        <w:t>Unintended Consequences</w:t>
      </w:r>
    </w:p>
    <w:p w14:paraId="783F93F7" w14:textId="2F9B6A64" w:rsidR="00D66DD2" w:rsidRDefault="008A6538" w:rsidP="005641BE">
      <w:pPr>
        <w:spacing w:before="120" w:after="120"/>
        <w:jc w:val="both"/>
        <w:rPr>
          <w:rFonts w:cstheme="minorHAnsi"/>
          <w:lang w:val="en-MY" w:eastAsia="en-AU"/>
        </w:rPr>
      </w:pPr>
      <w:r>
        <w:rPr>
          <w:rFonts w:cstheme="minorHAnsi"/>
          <w:lang w:val="en-MY" w:eastAsia="en-AU"/>
        </w:rPr>
        <w:t>The</w:t>
      </w:r>
      <w:r w:rsidRPr="00F673AF">
        <w:rPr>
          <w:rFonts w:cstheme="minorHAnsi"/>
          <w:lang w:val="en-MY" w:eastAsia="en-AU"/>
        </w:rPr>
        <w:t xml:space="preserve"> client-centred nature of</w:t>
      </w:r>
      <w:r>
        <w:rPr>
          <w:rFonts w:cstheme="minorHAnsi"/>
          <w:lang w:val="en-MY" w:eastAsia="en-AU"/>
        </w:rPr>
        <w:t xml:space="preserve"> through-care</w:t>
      </w:r>
      <w:r w:rsidRPr="00F673AF">
        <w:rPr>
          <w:rFonts w:cstheme="minorHAnsi"/>
          <w:lang w:val="en-MY" w:eastAsia="en-AU"/>
        </w:rPr>
        <w:t xml:space="preserve"> delivery mean</w:t>
      </w:r>
      <w:r>
        <w:rPr>
          <w:rFonts w:cstheme="minorHAnsi"/>
          <w:lang w:val="en-MY" w:eastAsia="en-AU"/>
        </w:rPr>
        <w:t xml:space="preserve">s </w:t>
      </w:r>
      <w:r w:rsidRPr="00F673AF">
        <w:rPr>
          <w:rFonts w:cstheme="minorHAnsi"/>
          <w:lang w:val="en-MY" w:eastAsia="en-AU"/>
        </w:rPr>
        <w:t>that outcomes necessarily</w:t>
      </w:r>
      <w:r>
        <w:rPr>
          <w:rFonts w:cstheme="minorHAnsi"/>
          <w:lang w:val="en-MY" w:eastAsia="en-AU"/>
        </w:rPr>
        <w:t xml:space="preserve"> tend to be </w:t>
      </w:r>
      <w:r w:rsidRPr="00F673AF">
        <w:rPr>
          <w:rFonts w:cstheme="minorHAnsi"/>
          <w:lang w:val="en-MY" w:eastAsia="en-AU"/>
        </w:rPr>
        <w:t>intentional</w:t>
      </w:r>
      <w:r>
        <w:rPr>
          <w:rFonts w:cstheme="minorHAnsi"/>
          <w:lang w:val="en-MY" w:eastAsia="en-AU"/>
        </w:rPr>
        <w:t>, while unanticipated events are typically challenges or barriers to implementation outside case workers’ control</w:t>
      </w:r>
      <w:r w:rsidRPr="00F673AF">
        <w:rPr>
          <w:rFonts w:cstheme="minorHAnsi"/>
          <w:lang w:val="en-MY" w:eastAsia="en-AU"/>
        </w:rPr>
        <w:t xml:space="preserve">. That said, several unintended consequences </w:t>
      </w:r>
      <w:r>
        <w:rPr>
          <w:rFonts w:cstheme="minorHAnsi"/>
          <w:lang w:val="en-MY" w:eastAsia="en-AU"/>
        </w:rPr>
        <w:t>were inferred from stakeholder interviews</w:t>
      </w:r>
      <w:r w:rsidRPr="00F673AF">
        <w:rPr>
          <w:rFonts w:cstheme="minorHAnsi"/>
          <w:lang w:val="en-MY" w:eastAsia="en-AU"/>
        </w:rPr>
        <w:t>.</w:t>
      </w:r>
      <w:r>
        <w:rPr>
          <w:rFonts w:cstheme="minorHAnsi"/>
          <w:lang w:val="en-MY" w:eastAsia="en-AU"/>
        </w:rPr>
        <w:t xml:space="preserve"> Firstly, an unintended yet positive consequence was found in relation to </w:t>
      </w:r>
      <w:r w:rsidRPr="001931A2">
        <w:rPr>
          <w:rFonts w:cstheme="minorHAnsi"/>
          <w:lang w:val="en-MY" w:eastAsia="en-AU"/>
        </w:rPr>
        <w:t xml:space="preserve">young people in family settings with siblings, </w:t>
      </w:r>
      <w:r>
        <w:rPr>
          <w:rFonts w:cstheme="minorHAnsi"/>
          <w:lang w:val="en-MY" w:eastAsia="en-AU"/>
        </w:rPr>
        <w:t xml:space="preserve">whereby case workers </w:t>
      </w:r>
      <w:r w:rsidR="00D66DD2">
        <w:rPr>
          <w:rFonts w:cstheme="minorHAnsi"/>
          <w:lang w:val="en-MY" w:eastAsia="en-AU"/>
        </w:rPr>
        <w:t xml:space="preserve">with an </w:t>
      </w:r>
      <w:r w:rsidRPr="001931A2">
        <w:rPr>
          <w:rFonts w:cstheme="minorHAnsi"/>
          <w:lang w:val="en-MY" w:eastAsia="en-AU"/>
        </w:rPr>
        <w:t>opportunity to work holistically with clients and family</w:t>
      </w:r>
      <w:r>
        <w:rPr>
          <w:rFonts w:cstheme="minorHAnsi"/>
          <w:lang w:val="en-MY" w:eastAsia="en-AU"/>
        </w:rPr>
        <w:t xml:space="preserve">, </w:t>
      </w:r>
      <w:r w:rsidR="00D66DD2">
        <w:rPr>
          <w:rFonts w:cstheme="minorHAnsi"/>
          <w:lang w:val="en-MY" w:eastAsia="en-AU"/>
        </w:rPr>
        <w:t xml:space="preserve">took up </w:t>
      </w:r>
      <w:r w:rsidRPr="001931A2">
        <w:rPr>
          <w:rFonts w:cstheme="minorHAnsi"/>
          <w:lang w:val="en-MY" w:eastAsia="en-AU"/>
        </w:rPr>
        <w:t>opportunit</w:t>
      </w:r>
      <w:r>
        <w:rPr>
          <w:rFonts w:cstheme="minorHAnsi"/>
          <w:lang w:val="en-MY" w:eastAsia="en-AU"/>
        </w:rPr>
        <w:t xml:space="preserve">ies </w:t>
      </w:r>
      <w:r w:rsidRPr="001931A2">
        <w:rPr>
          <w:rFonts w:cstheme="minorHAnsi"/>
          <w:lang w:val="en-MY" w:eastAsia="en-AU"/>
        </w:rPr>
        <w:t xml:space="preserve">to </w:t>
      </w:r>
      <w:r>
        <w:rPr>
          <w:rFonts w:cstheme="minorHAnsi"/>
          <w:lang w:val="en-MY" w:eastAsia="en-AU"/>
        </w:rPr>
        <w:t xml:space="preserve">work with </w:t>
      </w:r>
      <w:r w:rsidR="00D66DD2">
        <w:rPr>
          <w:rFonts w:cstheme="minorHAnsi"/>
          <w:lang w:val="en-MY" w:eastAsia="en-AU"/>
        </w:rPr>
        <w:t xml:space="preserve">the </w:t>
      </w:r>
      <w:r>
        <w:rPr>
          <w:rFonts w:cstheme="minorHAnsi"/>
          <w:lang w:val="en-MY" w:eastAsia="en-AU"/>
        </w:rPr>
        <w:t xml:space="preserve">vulnerable </w:t>
      </w:r>
      <w:r w:rsidRPr="001931A2">
        <w:rPr>
          <w:rFonts w:cstheme="minorHAnsi"/>
          <w:lang w:val="en-MY" w:eastAsia="en-AU"/>
        </w:rPr>
        <w:t xml:space="preserve">siblings </w:t>
      </w:r>
      <w:r>
        <w:rPr>
          <w:rFonts w:cstheme="minorHAnsi"/>
          <w:lang w:val="en-MY" w:eastAsia="en-AU"/>
        </w:rPr>
        <w:t xml:space="preserve">of </w:t>
      </w:r>
      <w:r w:rsidR="00D66DD2">
        <w:rPr>
          <w:rFonts w:cstheme="minorHAnsi"/>
          <w:lang w:val="en-MY" w:eastAsia="en-AU"/>
        </w:rPr>
        <w:t xml:space="preserve">existing </w:t>
      </w:r>
      <w:r>
        <w:rPr>
          <w:rFonts w:cstheme="minorHAnsi"/>
          <w:lang w:val="en-MY" w:eastAsia="en-AU"/>
        </w:rPr>
        <w:t xml:space="preserve">clients, who were observed to be at </w:t>
      </w:r>
      <w:r w:rsidRPr="001931A2">
        <w:rPr>
          <w:rFonts w:cstheme="minorHAnsi"/>
          <w:lang w:val="en-MY" w:eastAsia="en-AU"/>
        </w:rPr>
        <w:t>risk of offending.</w:t>
      </w:r>
      <w:r>
        <w:rPr>
          <w:rFonts w:cstheme="minorHAnsi"/>
          <w:lang w:val="en-MY" w:eastAsia="en-AU"/>
        </w:rPr>
        <w:t xml:space="preserve"> </w:t>
      </w:r>
    </w:p>
    <w:p w14:paraId="2E963347" w14:textId="673AD651" w:rsidR="00F21BAA" w:rsidRDefault="008A6538" w:rsidP="00F21BAA">
      <w:pPr>
        <w:spacing w:before="120" w:after="120"/>
        <w:jc w:val="both"/>
        <w:rPr>
          <w:rFonts w:cstheme="minorHAnsi"/>
          <w:lang w:val="en-MY" w:eastAsia="en-AU"/>
        </w:rPr>
      </w:pPr>
      <w:r>
        <w:rPr>
          <w:rFonts w:cstheme="minorHAnsi"/>
          <w:lang w:val="en-MY" w:eastAsia="en-AU"/>
        </w:rPr>
        <w:t xml:space="preserve">Secondly, an unintended yet negative consequence was found, where there may be a tendency for vulnerable clients who have become dependent on their case worker, </w:t>
      </w:r>
      <w:r w:rsidRPr="001931A2">
        <w:rPr>
          <w:rFonts w:cstheme="minorHAnsi"/>
          <w:lang w:val="en-MY" w:eastAsia="en-AU"/>
        </w:rPr>
        <w:t xml:space="preserve">to make demands that </w:t>
      </w:r>
      <w:r>
        <w:rPr>
          <w:rFonts w:cstheme="minorHAnsi"/>
          <w:lang w:val="en-MY" w:eastAsia="en-AU"/>
        </w:rPr>
        <w:t xml:space="preserve">may inadvertently cause psychological harm or stress to the detriment of the case worker. </w:t>
      </w:r>
      <w:r w:rsidR="005641BE" w:rsidRPr="00EE52FE">
        <w:rPr>
          <w:rFonts w:cstheme="minorHAnsi"/>
          <w:lang w:val="en-MY" w:eastAsia="en-AU"/>
        </w:rPr>
        <w:t xml:space="preserve">This often manifests where the client will call outside of normal hours, especially is crisis situations, ask for support that is out-of-scope and may </w:t>
      </w:r>
      <w:r w:rsidR="00D66DD2">
        <w:rPr>
          <w:rFonts w:cstheme="minorHAnsi"/>
          <w:lang w:val="en-MY" w:eastAsia="en-AU"/>
        </w:rPr>
        <w:t xml:space="preserve">incur a financial </w:t>
      </w:r>
      <w:r w:rsidR="005641BE" w:rsidRPr="00EE52FE">
        <w:rPr>
          <w:rFonts w:cstheme="minorHAnsi"/>
          <w:lang w:val="en-MY" w:eastAsia="en-AU"/>
        </w:rPr>
        <w:t xml:space="preserve">cost to the case worker. The nature of the service and importance of the trusted relationship means that case workers have a hard time saying no, especially where no </w:t>
      </w:r>
      <w:r w:rsidR="00D66DD2">
        <w:rPr>
          <w:rFonts w:cstheme="minorHAnsi"/>
          <w:lang w:val="en-MY" w:eastAsia="en-AU"/>
        </w:rPr>
        <w:t xml:space="preserve">alternative </w:t>
      </w:r>
      <w:r w:rsidR="005641BE" w:rsidRPr="00EE52FE">
        <w:rPr>
          <w:rFonts w:cstheme="minorHAnsi"/>
          <w:lang w:val="en-MY" w:eastAsia="en-AU"/>
        </w:rPr>
        <w:t xml:space="preserve">support </w:t>
      </w:r>
      <w:r w:rsidR="00D66DD2">
        <w:rPr>
          <w:rFonts w:cstheme="minorHAnsi"/>
          <w:lang w:val="en-MY" w:eastAsia="en-AU"/>
        </w:rPr>
        <w:t xml:space="preserve">for the client </w:t>
      </w:r>
      <w:r w:rsidR="005641BE" w:rsidRPr="00EE52FE">
        <w:rPr>
          <w:rFonts w:cstheme="minorHAnsi"/>
          <w:lang w:val="en-MY" w:eastAsia="en-AU"/>
        </w:rPr>
        <w:t>is available.</w:t>
      </w:r>
    </w:p>
    <w:p w14:paraId="7D53F48F" w14:textId="0E8F6805" w:rsidR="005641BE" w:rsidRPr="00EE52FE" w:rsidRDefault="005641BE" w:rsidP="00851230">
      <w:pPr>
        <w:pStyle w:val="SUBHEAD2"/>
        <w:rPr>
          <w:rFonts w:asciiTheme="minorHAnsi" w:hAnsiTheme="minorHAnsi" w:cstheme="minorHAnsi"/>
          <w:lang w:val="en-MY" w:eastAsia="en-AU"/>
        </w:rPr>
      </w:pPr>
      <w:r w:rsidRPr="00EE52FE">
        <w:rPr>
          <w:rFonts w:asciiTheme="minorHAnsi" w:hAnsiTheme="minorHAnsi" w:cstheme="minorHAnsi"/>
          <w:lang w:val="en-MY" w:eastAsia="en-AU"/>
        </w:rPr>
        <w:t>Data Requirements</w:t>
      </w:r>
    </w:p>
    <w:p w14:paraId="251B8113" w14:textId="2B3370DF" w:rsidR="00311B6E" w:rsidRDefault="005F63FC" w:rsidP="00311B6E">
      <w:pPr>
        <w:spacing w:before="120" w:after="120"/>
        <w:jc w:val="both"/>
        <w:rPr>
          <w:rFonts w:cstheme="minorHAnsi"/>
          <w:lang w:val="en-MY" w:eastAsia="en-AU"/>
        </w:rPr>
      </w:pPr>
      <w:r>
        <w:rPr>
          <w:rFonts w:cstheme="minorHAnsi"/>
          <w:lang w:val="en-MY" w:eastAsia="en-AU"/>
        </w:rPr>
        <w:t xml:space="preserve">Service providers were unanimous in their criticism of existing data collection and reporting requirements for both the ATC and YTC programs, which were considered to be </w:t>
      </w:r>
      <w:r w:rsidR="00311B6E" w:rsidRPr="00EE52FE">
        <w:rPr>
          <w:rFonts w:cstheme="minorHAnsi"/>
          <w:lang w:val="en-MY" w:eastAsia="en-AU"/>
        </w:rPr>
        <w:t>time consuming, repetitive, contact driven</w:t>
      </w:r>
      <w:r w:rsidR="00311B6E">
        <w:rPr>
          <w:rFonts w:cstheme="minorHAnsi"/>
          <w:lang w:val="en-MY" w:eastAsia="en-AU"/>
        </w:rPr>
        <w:t xml:space="preserve">, </w:t>
      </w:r>
      <w:r>
        <w:rPr>
          <w:rFonts w:cstheme="minorHAnsi"/>
          <w:lang w:val="en-MY" w:eastAsia="en-AU"/>
        </w:rPr>
        <w:t>and rarely analysed and used to inform continuous improvement processes</w:t>
      </w:r>
      <w:r w:rsidR="00311B6E">
        <w:rPr>
          <w:rFonts w:cstheme="minorHAnsi"/>
          <w:lang w:val="en-MY" w:eastAsia="en-AU"/>
        </w:rPr>
        <w:t xml:space="preserve"> or ongoing </w:t>
      </w:r>
      <w:r w:rsidR="00311B6E" w:rsidRPr="00EE52FE">
        <w:rPr>
          <w:rFonts w:cstheme="minorHAnsi"/>
          <w:lang w:val="en-MY" w:eastAsia="en-AU"/>
        </w:rPr>
        <w:t>monitoring and evaluation needs of the program</w:t>
      </w:r>
      <w:r>
        <w:rPr>
          <w:rFonts w:cstheme="minorHAnsi"/>
          <w:lang w:val="en-MY" w:eastAsia="en-AU"/>
        </w:rPr>
        <w:t>. In particular, s</w:t>
      </w:r>
      <w:r w:rsidRPr="005F63FC">
        <w:rPr>
          <w:rFonts w:cstheme="minorHAnsi"/>
          <w:lang w:val="en-MY" w:eastAsia="en-AU"/>
        </w:rPr>
        <w:t xml:space="preserve">ervice providers were unanimous in concluding that </w:t>
      </w:r>
      <w:r w:rsidR="00311B6E" w:rsidRPr="00EE52FE">
        <w:rPr>
          <w:rFonts w:cstheme="minorHAnsi"/>
          <w:lang w:val="en-MY" w:eastAsia="en-AU"/>
        </w:rPr>
        <w:t>mandated</w:t>
      </w:r>
      <w:r w:rsidRPr="005F63FC">
        <w:rPr>
          <w:rFonts w:cstheme="minorHAnsi"/>
          <w:lang w:val="en-MY" w:eastAsia="en-AU"/>
        </w:rPr>
        <w:t xml:space="preserve"> data collection templates failed to capture a true picture of the types of </w:t>
      </w:r>
      <w:r w:rsidR="00311B6E" w:rsidRPr="00EE52FE">
        <w:rPr>
          <w:rFonts w:cstheme="minorHAnsi"/>
          <w:lang w:val="en-MY" w:eastAsia="en-AU"/>
        </w:rPr>
        <w:t>service activity and client outcomes they believed are representative of the program</w:t>
      </w:r>
      <w:r w:rsidRPr="005F63FC">
        <w:rPr>
          <w:rFonts w:cstheme="minorHAnsi"/>
          <w:lang w:val="en-MY" w:eastAsia="en-AU"/>
        </w:rPr>
        <w:t xml:space="preserve"> (which are incremental, reversible, and inherently difficult to quantify).</w:t>
      </w:r>
      <w:r w:rsidR="00311B6E">
        <w:rPr>
          <w:rFonts w:cstheme="minorHAnsi"/>
          <w:lang w:val="en-MY" w:eastAsia="en-AU"/>
        </w:rPr>
        <w:t xml:space="preserve"> </w:t>
      </w:r>
      <w:r w:rsidR="00311B6E" w:rsidRPr="00EE52FE">
        <w:rPr>
          <w:rFonts w:cstheme="minorHAnsi"/>
          <w:lang w:val="en-MY" w:eastAsia="en-AU"/>
        </w:rPr>
        <w:t>These criticisms are made worse by the lack of consistent data definitions</w:t>
      </w:r>
      <w:r w:rsidR="00311B6E">
        <w:rPr>
          <w:rFonts w:cstheme="minorHAnsi"/>
          <w:lang w:val="en-MY" w:eastAsia="en-AU"/>
        </w:rPr>
        <w:t>, with s</w:t>
      </w:r>
      <w:r w:rsidR="00311B6E" w:rsidRPr="00A3258A">
        <w:rPr>
          <w:rFonts w:cstheme="minorHAnsi"/>
          <w:lang w:val="en-MY" w:eastAsia="en-AU"/>
        </w:rPr>
        <w:t>ervice providers consistently stat</w:t>
      </w:r>
      <w:r w:rsidR="00311B6E">
        <w:rPr>
          <w:rFonts w:cstheme="minorHAnsi"/>
          <w:lang w:val="en-MY" w:eastAsia="en-AU"/>
        </w:rPr>
        <w:t xml:space="preserve">ing </w:t>
      </w:r>
      <w:r w:rsidR="00311B6E" w:rsidRPr="00A3258A">
        <w:rPr>
          <w:rFonts w:cstheme="minorHAnsi"/>
          <w:lang w:val="en-MY" w:eastAsia="en-AU"/>
        </w:rPr>
        <w:t>that data definitions in mandated statistical reports were either absent or unclear and therefore open to varying interpretations.</w:t>
      </w:r>
      <w:r w:rsidR="00311B6E">
        <w:rPr>
          <w:rStyle w:val="FootnoteReference"/>
          <w:rFonts w:cstheme="minorHAnsi"/>
          <w:lang w:val="en-MY" w:eastAsia="en-AU"/>
        </w:rPr>
        <w:footnoteReference w:id="124"/>
      </w:r>
      <w:r w:rsidR="00311B6E">
        <w:rPr>
          <w:rFonts w:cstheme="minorHAnsi"/>
          <w:lang w:val="en-MY" w:eastAsia="en-AU"/>
        </w:rPr>
        <w:t xml:space="preserve"> </w:t>
      </w:r>
    </w:p>
    <w:p w14:paraId="0FB924EC" w14:textId="7EBFB832" w:rsidR="005F63FC" w:rsidRPr="00EE52FE" w:rsidRDefault="00311B6E" w:rsidP="005F63FC">
      <w:pPr>
        <w:spacing w:before="120" w:after="120"/>
        <w:jc w:val="both"/>
        <w:rPr>
          <w:rFonts w:cstheme="minorHAnsi"/>
          <w:lang w:val="en-MY" w:eastAsia="en-AU"/>
        </w:rPr>
      </w:pPr>
      <w:r w:rsidRPr="00EE52FE">
        <w:rPr>
          <w:rFonts w:cstheme="minorHAnsi"/>
          <w:lang w:val="en-MY" w:eastAsia="en-AU"/>
        </w:rPr>
        <w:t xml:space="preserve">As a response to </w:t>
      </w:r>
      <w:r>
        <w:rPr>
          <w:rFonts w:cstheme="minorHAnsi"/>
          <w:lang w:val="en-MY" w:eastAsia="en-AU"/>
        </w:rPr>
        <w:t xml:space="preserve">the </w:t>
      </w:r>
      <w:r w:rsidRPr="00EE52FE">
        <w:rPr>
          <w:rFonts w:cstheme="minorHAnsi"/>
          <w:lang w:val="en-MY" w:eastAsia="en-AU"/>
        </w:rPr>
        <w:t>issues identified, some service providers have moved to the use of qualitative reporting and case studies as a means to demonstrate programmatic success. In addition, providers are developing online data collection and client relationship systems that may have longer-term benefits in terms of highlighting service performance.</w:t>
      </w:r>
      <w:r>
        <w:rPr>
          <w:rFonts w:cstheme="minorHAnsi"/>
          <w:lang w:val="en-MY" w:eastAsia="en-AU"/>
        </w:rPr>
        <w:t xml:space="preserve"> </w:t>
      </w:r>
      <w:r w:rsidR="005F63FC">
        <w:rPr>
          <w:rFonts w:cstheme="minorHAnsi"/>
          <w:lang w:val="en-MY" w:eastAsia="en-AU"/>
        </w:rPr>
        <w:t>Service p</w:t>
      </w:r>
      <w:r w:rsidR="005F63FC" w:rsidRPr="00EE52FE">
        <w:rPr>
          <w:rFonts w:cstheme="minorHAnsi"/>
          <w:lang w:val="en-MY" w:eastAsia="en-AU"/>
        </w:rPr>
        <w:t>roviders generally reported that the most effective application of data is where it used to manage clients at the individual level (e.g., case planning, scheduling of appointments</w:t>
      </w:r>
      <w:r w:rsidR="005F63FC">
        <w:rPr>
          <w:rFonts w:cstheme="minorHAnsi"/>
          <w:lang w:val="en-MY" w:eastAsia="en-AU"/>
        </w:rPr>
        <w:t xml:space="preserve">, </w:t>
      </w:r>
      <w:r w:rsidR="005F63FC" w:rsidRPr="00EE52FE">
        <w:rPr>
          <w:rFonts w:cstheme="minorHAnsi"/>
          <w:lang w:val="en-MY" w:eastAsia="en-AU"/>
        </w:rPr>
        <w:t>etc).</w:t>
      </w:r>
    </w:p>
    <w:p w14:paraId="64DE0258" w14:textId="3D691148" w:rsidR="005641BE" w:rsidRPr="00EE52FE" w:rsidRDefault="00311B6E" w:rsidP="005641BE">
      <w:pPr>
        <w:spacing w:before="120" w:after="120"/>
        <w:jc w:val="both"/>
        <w:rPr>
          <w:rFonts w:cstheme="minorHAnsi"/>
          <w:lang w:val="en-MY" w:eastAsia="en-AU"/>
        </w:rPr>
      </w:pPr>
      <w:r w:rsidRPr="00EE52FE">
        <w:rPr>
          <w:rFonts w:cstheme="minorHAnsi"/>
          <w:lang w:val="en-MY" w:eastAsia="en-AU"/>
        </w:rPr>
        <w:t xml:space="preserve">Data managers and administrators would </w:t>
      </w:r>
      <w:r>
        <w:rPr>
          <w:rFonts w:cstheme="minorHAnsi"/>
          <w:lang w:val="en-MY" w:eastAsia="en-AU"/>
        </w:rPr>
        <w:t xml:space="preserve">therefore </w:t>
      </w:r>
      <w:r w:rsidRPr="00EE52FE">
        <w:rPr>
          <w:rFonts w:cstheme="minorHAnsi"/>
          <w:lang w:val="en-MY" w:eastAsia="en-AU"/>
        </w:rPr>
        <w:t>like more clarity around data definitions to better use their time and imbue confidence that data will be used to help improve the program and offer feedback to providers as to how they are performing.</w:t>
      </w:r>
      <w:r>
        <w:rPr>
          <w:rFonts w:cstheme="minorHAnsi"/>
          <w:lang w:val="en-MY" w:eastAsia="en-AU"/>
        </w:rPr>
        <w:t xml:space="preserve"> </w:t>
      </w:r>
      <w:r w:rsidR="005641BE" w:rsidRPr="00EE52FE">
        <w:rPr>
          <w:rFonts w:cstheme="minorHAnsi"/>
          <w:lang w:val="en-MY" w:eastAsia="en-AU"/>
        </w:rPr>
        <w:t>Given the resources and time required to collect and collate data, increasing management or case worker capacity and providing training in data collection (and data definitions) will be useful to improve practices.</w:t>
      </w:r>
      <w:r>
        <w:rPr>
          <w:rFonts w:cstheme="minorHAnsi"/>
          <w:lang w:val="en-MY" w:eastAsia="en-AU"/>
        </w:rPr>
        <w:t xml:space="preserve"> </w:t>
      </w:r>
    </w:p>
    <w:p w14:paraId="340CD8A4" w14:textId="77777777" w:rsidR="005641BE" w:rsidRPr="00EE52FE" w:rsidRDefault="005641BE" w:rsidP="00EE52FE">
      <w:pPr>
        <w:pStyle w:val="Heading2"/>
        <w:tabs>
          <w:tab w:val="clear" w:pos="680"/>
        </w:tabs>
        <w:rPr>
          <w:rFonts w:cstheme="minorHAnsi"/>
          <w:lang w:val="en-MY" w:eastAsia="en-AU"/>
        </w:rPr>
      </w:pPr>
      <w:bookmarkStart w:id="36" w:name="_Toc150784210"/>
      <w:r w:rsidRPr="00EE52FE">
        <w:rPr>
          <w:rFonts w:cstheme="minorHAnsi"/>
          <w:lang w:val="en-MY" w:eastAsia="en-AU"/>
        </w:rPr>
        <w:t>Recommendations</w:t>
      </w:r>
      <w:bookmarkEnd w:id="36"/>
    </w:p>
    <w:p w14:paraId="31E4D87A" w14:textId="298F15E2" w:rsidR="00E847BF" w:rsidRDefault="00B11C34" w:rsidP="005641BE">
      <w:pPr>
        <w:spacing w:before="120" w:after="120"/>
        <w:jc w:val="both"/>
        <w:rPr>
          <w:rFonts w:cstheme="minorHAnsi"/>
          <w:lang w:val="en-MY" w:eastAsia="en-AU"/>
        </w:rPr>
      </w:pPr>
      <w:r>
        <w:rPr>
          <w:rFonts w:cstheme="minorHAnsi"/>
          <w:lang w:val="en-MY" w:eastAsia="en-AU"/>
        </w:rPr>
        <w:t>Six</w:t>
      </w:r>
      <w:r w:rsidR="005641BE" w:rsidRPr="00EE52FE">
        <w:rPr>
          <w:rFonts w:cstheme="minorHAnsi"/>
          <w:lang w:val="en-MY" w:eastAsia="en-AU"/>
        </w:rPr>
        <w:t xml:space="preserve"> recommendations have been </w:t>
      </w:r>
      <w:r w:rsidR="00EE52FE">
        <w:rPr>
          <w:rFonts w:cstheme="minorHAnsi"/>
          <w:lang w:val="en-MY" w:eastAsia="en-AU"/>
        </w:rPr>
        <w:t>developed to address the issues noted with respect to through-care program design and implementation</w:t>
      </w:r>
      <w:r w:rsidR="005641BE" w:rsidRPr="00EE52FE">
        <w:rPr>
          <w:rFonts w:cstheme="minorHAnsi"/>
          <w:lang w:val="en-MY" w:eastAsia="en-AU"/>
        </w:rPr>
        <w:t xml:space="preserve">. </w:t>
      </w:r>
      <w:r w:rsidR="00EE52FE">
        <w:rPr>
          <w:rFonts w:cstheme="minorHAnsi"/>
          <w:lang w:val="en-MY" w:eastAsia="en-AU"/>
        </w:rPr>
        <w:t>T</w:t>
      </w:r>
      <w:r w:rsidR="005641BE" w:rsidRPr="00EE52FE">
        <w:rPr>
          <w:rFonts w:cstheme="minorHAnsi"/>
          <w:lang w:val="en-MY" w:eastAsia="en-AU"/>
        </w:rPr>
        <w:t>h</w:t>
      </w:r>
      <w:r w:rsidR="00EE52FE">
        <w:rPr>
          <w:rFonts w:cstheme="minorHAnsi"/>
          <w:lang w:val="en-MY" w:eastAsia="en-AU"/>
        </w:rPr>
        <w:t xml:space="preserve">ese are intended to </w:t>
      </w:r>
      <w:r w:rsidR="005641BE" w:rsidRPr="00EE52FE">
        <w:rPr>
          <w:rFonts w:cstheme="minorHAnsi"/>
          <w:lang w:val="en-MY" w:eastAsia="en-AU"/>
        </w:rPr>
        <w:t xml:space="preserve">help </w:t>
      </w:r>
      <w:r w:rsidR="00EE52FE">
        <w:rPr>
          <w:rFonts w:cstheme="minorHAnsi"/>
          <w:lang w:val="en-MY" w:eastAsia="en-AU"/>
        </w:rPr>
        <w:t xml:space="preserve">further shape </w:t>
      </w:r>
      <w:r w:rsidR="005641BE" w:rsidRPr="00EE52FE">
        <w:rPr>
          <w:rFonts w:cstheme="minorHAnsi"/>
          <w:lang w:val="en-MY" w:eastAsia="en-AU"/>
        </w:rPr>
        <w:t xml:space="preserve">program guidelines and data collection, as well as the implementation of through-care services, in ways that address issues of service capacity and </w:t>
      </w:r>
      <w:r w:rsidR="00EE52FE">
        <w:rPr>
          <w:rFonts w:cstheme="minorHAnsi"/>
          <w:lang w:val="en-MY" w:eastAsia="en-AU"/>
        </w:rPr>
        <w:t xml:space="preserve">which </w:t>
      </w:r>
      <w:r w:rsidR="005641BE" w:rsidRPr="00EE52FE">
        <w:rPr>
          <w:rFonts w:cstheme="minorHAnsi"/>
          <w:lang w:val="en-MY" w:eastAsia="en-AU"/>
        </w:rPr>
        <w:t xml:space="preserve">enable high quality case work to flourish. </w:t>
      </w:r>
      <w:r w:rsidR="0017450A">
        <w:rPr>
          <w:rFonts w:cstheme="minorHAnsi"/>
          <w:lang w:val="en-MY" w:eastAsia="en-AU"/>
        </w:rPr>
        <w:t xml:space="preserve">As with any </w:t>
      </w:r>
      <w:r w:rsidR="00E847BF">
        <w:rPr>
          <w:rFonts w:cstheme="minorHAnsi"/>
          <w:lang w:val="en-MY" w:eastAsia="en-AU"/>
        </w:rPr>
        <w:t xml:space="preserve">such </w:t>
      </w:r>
      <w:r w:rsidR="0017450A">
        <w:rPr>
          <w:rFonts w:cstheme="minorHAnsi"/>
          <w:lang w:val="en-MY" w:eastAsia="en-AU"/>
        </w:rPr>
        <w:t>policy recommendations, it is prudent that implementation support be provided by NIAA to ensure the</w:t>
      </w:r>
      <w:r w:rsidR="00E847BF">
        <w:rPr>
          <w:rFonts w:cstheme="minorHAnsi"/>
          <w:lang w:val="en-MY" w:eastAsia="en-AU"/>
        </w:rPr>
        <w:t>ir</w:t>
      </w:r>
      <w:r w:rsidR="0017450A">
        <w:rPr>
          <w:rFonts w:cstheme="minorHAnsi"/>
          <w:lang w:val="en-MY" w:eastAsia="en-AU"/>
        </w:rPr>
        <w:t xml:space="preserve"> effective implementation by service providers, including by ensuring – where possible – that the resources required for implementation of </w:t>
      </w:r>
      <w:r w:rsidR="00E847BF">
        <w:rPr>
          <w:rFonts w:cstheme="minorHAnsi"/>
          <w:lang w:val="en-MY" w:eastAsia="en-AU"/>
        </w:rPr>
        <w:t xml:space="preserve">any </w:t>
      </w:r>
      <w:r w:rsidR="0017450A">
        <w:rPr>
          <w:rFonts w:cstheme="minorHAnsi"/>
          <w:lang w:val="en-MY" w:eastAsia="en-AU"/>
        </w:rPr>
        <w:t xml:space="preserve">new initiative does not reduce the </w:t>
      </w:r>
      <w:r w:rsidR="00E847BF">
        <w:rPr>
          <w:rFonts w:cstheme="minorHAnsi"/>
          <w:lang w:val="en-MY" w:eastAsia="en-AU"/>
        </w:rPr>
        <w:t xml:space="preserve">overall </w:t>
      </w:r>
      <w:r w:rsidR="0017450A">
        <w:rPr>
          <w:rFonts w:cstheme="minorHAnsi"/>
          <w:lang w:val="en-MY" w:eastAsia="en-AU"/>
        </w:rPr>
        <w:t xml:space="preserve">quantum of funding for front-line service delivery. </w:t>
      </w:r>
      <w:r w:rsidR="00E847BF">
        <w:rPr>
          <w:rFonts w:cstheme="minorHAnsi"/>
          <w:lang w:val="en-MY" w:eastAsia="en-AU"/>
        </w:rPr>
        <w:t xml:space="preserve">A role for NIAA will </w:t>
      </w:r>
      <w:r w:rsidR="007831C2">
        <w:rPr>
          <w:rFonts w:cstheme="minorHAnsi"/>
          <w:lang w:val="en-MY" w:eastAsia="en-AU"/>
        </w:rPr>
        <w:t xml:space="preserve">also </w:t>
      </w:r>
      <w:r w:rsidR="00E847BF">
        <w:rPr>
          <w:rFonts w:cstheme="minorHAnsi"/>
          <w:lang w:val="en-MY" w:eastAsia="en-AU"/>
        </w:rPr>
        <w:t xml:space="preserve">be critical </w:t>
      </w:r>
      <w:r w:rsidR="007831C2">
        <w:rPr>
          <w:rFonts w:cstheme="minorHAnsi"/>
          <w:lang w:val="en-MY" w:eastAsia="en-AU"/>
        </w:rPr>
        <w:t xml:space="preserve">in </w:t>
      </w:r>
      <w:r w:rsidR="00E847BF">
        <w:rPr>
          <w:rFonts w:cstheme="minorHAnsi"/>
          <w:lang w:val="en-MY" w:eastAsia="en-AU"/>
        </w:rPr>
        <w:t>support</w:t>
      </w:r>
      <w:r w:rsidR="007831C2">
        <w:rPr>
          <w:rFonts w:cstheme="minorHAnsi"/>
          <w:lang w:val="en-MY" w:eastAsia="en-AU"/>
        </w:rPr>
        <w:t>ing</w:t>
      </w:r>
      <w:r w:rsidR="00E847BF">
        <w:rPr>
          <w:rFonts w:cstheme="minorHAnsi"/>
          <w:lang w:val="en-MY" w:eastAsia="en-AU"/>
        </w:rPr>
        <w:t xml:space="preserve"> service providers</w:t>
      </w:r>
      <w:r w:rsidR="007831C2">
        <w:rPr>
          <w:rFonts w:cstheme="minorHAnsi"/>
          <w:lang w:val="en-MY" w:eastAsia="en-AU"/>
        </w:rPr>
        <w:t xml:space="preserve"> </w:t>
      </w:r>
      <w:r w:rsidR="00E847BF">
        <w:rPr>
          <w:rFonts w:cstheme="minorHAnsi"/>
          <w:lang w:val="en-MY" w:eastAsia="en-AU"/>
        </w:rPr>
        <w:t xml:space="preserve">in their advocacy for a better alignment of State and Territory </w:t>
      </w:r>
      <w:r w:rsidR="007831C2">
        <w:rPr>
          <w:rFonts w:cstheme="minorHAnsi"/>
          <w:lang w:val="en-MY" w:eastAsia="en-AU"/>
        </w:rPr>
        <w:t xml:space="preserve">community corrections policy (amongst other areas of policy) with effective through-care practices. </w:t>
      </w:r>
    </w:p>
    <w:p w14:paraId="3D1A1A51" w14:textId="77777777" w:rsidR="00E847BF" w:rsidRDefault="00E847BF" w:rsidP="005641BE">
      <w:pPr>
        <w:spacing w:before="120" w:after="120"/>
        <w:jc w:val="both"/>
        <w:rPr>
          <w:rFonts w:cstheme="minorHAnsi"/>
          <w:lang w:val="en-MY" w:eastAsia="en-AU"/>
        </w:rPr>
      </w:pPr>
    </w:p>
    <w:p w14:paraId="4B07F0CB" w14:textId="77777777" w:rsidR="00E847BF" w:rsidRDefault="00E847BF" w:rsidP="005641BE">
      <w:pPr>
        <w:spacing w:before="120" w:after="120"/>
        <w:jc w:val="both"/>
        <w:rPr>
          <w:rFonts w:cstheme="minorHAnsi"/>
          <w:lang w:val="en-MY" w:eastAsia="en-AU"/>
        </w:rPr>
      </w:pPr>
    </w:p>
    <w:p w14:paraId="3A261CF1" w14:textId="77777777" w:rsidR="00E847BF" w:rsidRDefault="00E847BF" w:rsidP="005641BE">
      <w:pPr>
        <w:spacing w:before="120" w:after="120"/>
        <w:jc w:val="both"/>
        <w:rPr>
          <w:rFonts w:cstheme="minorHAnsi"/>
          <w:lang w:val="en-MY" w:eastAsia="en-AU"/>
        </w:rPr>
      </w:pPr>
    </w:p>
    <w:p w14:paraId="6FB17ECA" w14:textId="77777777" w:rsidR="00E847BF" w:rsidRPr="00EE52FE" w:rsidRDefault="00E847BF" w:rsidP="005641BE">
      <w:pPr>
        <w:spacing w:before="120" w:after="120"/>
        <w:jc w:val="both"/>
        <w:rPr>
          <w:rFonts w:cstheme="minorHAnsi"/>
          <w:lang w:val="en-MY" w:eastAsia="en-AU"/>
        </w:rPr>
      </w:pPr>
    </w:p>
    <w:tbl>
      <w:tblPr>
        <w:tblStyle w:val="GridTable1Light"/>
        <w:tblW w:w="0" w:type="auto"/>
        <w:tblLook w:val="04A0" w:firstRow="1" w:lastRow="0" w:firstColumn="1" w:lastColumn="0" w:noHBand="0" w:noVBand="1"/>
        <w:tblCaption w:val="Recommendations"/>
        <w:tblDescription w:val="A table listing the recommendations of the evaluation and providing a detailed description/explanation (more detailed than the earlier recommendations table). The recommendations are numbered: 1) merge the ATC and YTC programs, 2) Revise through care program guidelines; - eligibility, - entry points, period of support. 3) Update program guidelines to enable case wokers to better support the family unit and peer to peer client interactions, 4) update funding agreements: - promote service coordination and partnerships, - reduce minimum case loads, - improve workforce conditions, - increase brokerage funding; 5) fund a through care community of practice; and 6) develop program outcome definitions. "/>
      </w:tblPr>
      <w:tblGrid>
        <w:gridCol w:w="1112"/>
        <w:gridCol w:w="2196"/>
        <w:gridCol w:w="5752"/>
      </w:tblGrid>
      <w:tr w:rsidR="00283910" w:rsidRPr="00283910" w14:paraId="77BA50EB" w14:textId="77777777" w:rsidTr="00283910">
        <w:trPr>
          <w:cnfStyle w:val="100000000000" w:firstRow="1" w:lastRow="0" w:firstColumn="0" w:lastColumn="0" w:oddVBand="0" w:evenVBand="0" w:oddHBand="0" w:evenHBand="0" w:firstRowFirstColumn="0" w:firstRowLastColumn="0" w:lastRowFirstColumn="0" w:lastRowLastColumn="0"/>
          <w:cantSplit/>
          <w:trHeight w:val="690"/>
          <w:tblHeader/>
        </w:trPr>
        <w:tc>
          <w:tcPr>
            <w:cnfStyle w:val="001000000000" w:firstRow="0" w:lastRow="0" w:firstColumn="1" w:lastColumn="0" w:oddVBand="0" w:evenVBand="0" w:oddHBand="0" w:evenHBand="0" w:firstRowFirstColumn="0" w:firstRowLastColumn="0" w:lastRowFirstColumn="0" w:lastRowLastColumn="0"/>
            <w:tcW w:w="1094" w:type="dxa"/>
          </w:tcPr>
          <w:p w14:paraId="3D953426" w14:textId="3824C089" w:rsidR="005641BE" w:rsidRPr="00283910" w:rsidRDefault="00B85546" w:rsidP="00283910">
            <w:pPr>
              <w:pStyle w:val="Heading4"/>
              <w:ind w:left="0" w:firstLine="0"/>
            </w:pPr>
            <w:r w:rsidRPr="00283910">
              <w:t>NUMBER</w:t>
            </w:r>
          </w:p>
        </w:tc>
        <w:tc>
          <w:tcPr>
            <w:tcW w:w="1739" w:type="dxa"/>
          </w:tcPr>
          <w:p w14:paraId="1FFE6874" w14:textId="48F8C65F" w:rsidR="005641BE" w:rsidRPr="00283910" w:rsidRDefault="001D31E3" w:rsidP="00283910">
            <w:pPr>
              <w:pStyle w:val="Heading4"/>
              <w:ind w:left="0" w:firstLine="0"/>
              <w:cnfStyle w:val="100000000000" w:firstRow="1" w:lastRow="0" w:firstColumn="0" w:lastColumn="0" w:oddVBand="0" w:evenVBand="0" w:oddHBand="0" w:evenHBand="0" w:firstRowFirstColumn="0" w:firstRowLastColumn="0" w:lastRowFirstColumn="0" w:lastRowLastColumn="0"/>
            </w:pPr>
            <w:r w:rsidRPr="00283910">
              <w:t>RECOMMENDATION</w:t>
            </w:r>
          </w:p>
        </w:tc>
        <w:tc>
          <w:tcPr>
            <w:tcW w:w="6219" w:type="dxa"/>
          </w:tcPr>
          <w:p w14:paraId="7DF9EB06" w14:textId="751CD0E3" w:rsidR="005641BE" w:rsidRPr="00283910" w:rsidRDefault="005641BE" w:rsidP="00283910">
            <w:pPr>
              <w:pStyle w:val="Heading4"/>
              <w:ind w:left="0" w:firstLine="0"/>
              <w:cnfStyle w:val="100000000000" w:firstRow="1" w:lastRow="0" w:firstColumn="0" w:lastColumn="0" w:oddVBand="0" w:evenVBand="0" w:oddHBand="0" w:evenHBand="0" w:firstRowFirstColumn="0" w:firstRowLastColumn="0" w:lastRowFirstColumn="0" w:lastRowLastColumn="0"/>
            </w:pPr>
            <w:r w:rsidRPr="00283910">
              <w:t>Description</w:t>
            </w:r>
          </w:p>
        </w:tc>
      </w:tr>
      <w:tr w:rsidR="00E12F4B" w:rsidRPr="00B3263C" w14:paraId="1830E5EB"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72D7DD8C" w14:textId="4F77431A" w:rsidR="00E12F4B" w:rsidRDefault="00E12F4B" w:rsidP="00E12F4B">
            <w:pPr>
              <w:spacing w:before="120" w:after="120"/>
              <w:jc w:val="center"/>
              <w:rPr>
                <w:rFonts w:cstheme="minorHAnsi"/>
              </w:rPr>
            </w:pPr>
            <w:r w:rsidRPr="00B3263C">
              <w:rPr>
                <w:rFonts w:cstheme="minorHAnsi"/>
              </w:rPr>
              <w:t>1</w:t>
            </w:r>
          </w:p>
        </w:tc>
        <w:tc>
          <w:tcPr>
            <w:tcW w:w="1739" w:type="dxa"/>
          </w:tcPr>
          <w:p w14:paraId="5E5B3766" w14:textId="330588B1" w:rsidR="00E12F4B" w:rsidRPr="00B3263C" w:rsidRDefault="00E12F4B" w:rsidP="00E12F4B">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Merge the ATC and YTC </w:t>
            </w:r>
            <w:r w:rsidR="00D02587">
              <w:rPr>
                <w:rFonts w:cstheme="minorHAnsi"/>
              </w:rPr>
              <w:t>p</w:t>
            </w:r>
            <w:r w:rsidRPr="00B3263C">
              <w:rPr>
                <w:rFonts w:cstheme="minorHAnsi"/>
              </w:rPr>
              <w:t>rograms</w:t>
            </w:r>
          </w:p>
        </w:tc>
        <w:tc>
          <w:tcPr>
            <w:tcW w:w="6219" w:type="dxa"/>
          </w:tcPr>
          <w:p w14:paraId="6C692157" w14:textId="4FED8986" w:rsidR="00E12F4B" w:rsidRPr="00B3263C" w:rsidRDefault="00E12F4B" w:rsidP="00E12F4B">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merge the ATC and YTC programs into a single through-care program, but maintain separate service requirements, activity</w:t>
            </w:r>
            <w:r w:rsidR="009152A8">
              <w:rPr>
                <w:rFonts w:cstheme="minorHAnsi"/>
              </w:rPr>
              <w:t>,</w:t>
            </w:r>
            <w:r w:rsidRPr="00B3263C">
              <w:rPr>
                <w:rFonts w:cstheme="minorHAnsi"/>
              </w:rPr>
              <w:t xml:space="preserve"> and outcomes data </w:t>
            </w:r>
            <w:r w:rsidR="009152A8">
              <w:rPr>
                <w:rFonts w:cstheme="minorHAnsi"/>
              </w:rPr>
              <w:t xml:space="preserve">as relevant to </w:t>
            </w:r>
            <w:r w:rsidRPr="00B3263C">
              <w:rPr>
                <w:rFonts w:cstheme="minorHAnsi"/>
              </w:rPr>
              <w:t xml:space="preserve">each cohort. Since through-care services delivering both programs have integrated these within operational and management systems and processes, it makes little sense for their continued separation in funding agreements, which </w:t>
            </w:r>
            <w:r w:rsidR="009152A8">
              <w:rPr>
                <w:rFonts w:cstheme="minorHAnsi"/>
              </w:rPr>
              <w:t xml:space="preserve">according to affected services </w:t>
            </w:r>
            <w:r w:rsidRPr="00B3263C">
              <w:rPr>
                <w:rFonts w:cstheme="minorHAnsi"/>
              </w:rPr>
              <w:t>adds to the</w:t>
            </w:r>
            <w:r w:rsidR="009152A8">
              <w:rPr>
                <w:rFonts w:cstheme="minorHAnsi"/>
              </w:rPr>
              <w:t>ir</w:t>
            </w:r>
            <w:r w:rsidRPr="00B3263C">
              <w:rPr>
                <w:rFonts w:cstheme="minorHAnsi"/>
              </w:rPr>
              <w:t xml:space="preserve"> administrative, budgeting and reporting burden. Moreover, several adult services in any case </w:t>
            </w:r>
            <w:r w:rsidR="009152A8">
              <w:rPr>
                <w:rFonts w:cstheme="minorHAnsi"/>
              </w:rPr>
              <w:t xml:space="preserve">already </w:t>
            </w:r>
            <w:r w:rsidRPr="00B3263C">
              <w:rPr>
                <w:rFonts w:cstheme="minorHAnsi"/>
              </w:rPr>
              <w:t>deliver youth services by agreement with NIAA, without this being delivered under a separate youth program</w:t>
            </w:r>
            <w:r w:rsidR="009152A8">
              <w:rPr>
                <w:rFonts w:cstheme="minorHAnsi"/>
              </w:rPr>
              <w:t>. Youth clients of these services are found to benefit from linkages to complimentary programs and services delivered by these providers, as well as continuity of service upon transition to adulthood</w:t>
            </w:r>
            <w:r w:rsidRPr="00B3263C">
              <w:rPr>
                <w:rFonts w:cstheme="minorHAnsi"/>
              </w:rPr>
              <w:t xml:space="preserve">, when services </w:t>
            </w:r>
            <w:r w:rsidR="009152A8">
              <w:rPr>
                <w:rFonts w:cstheme="minorHAnsi"/>
              </w:rPr>
              <w:t xml:space="preserve">delivered to </w:t>
            </w:r>
            <w:r w:rsidRPr="00B3263C">
              <w:rPr>
                <w:rFonts w:cstheme="minorHAnsi"/>
              </w:rPr>
              <w:t>youth are otherwise at risk of dropping-off.</w:t>
            </w:r>
          </w:p>
        </w:tc>
      </w:tr>
      <w:tr w:rsidR="005641BE" w:rsidRPr="00B3263C" w14:paraId="75A1B8AB"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21CF8FE6" w14:textId="45338CA1" w:rsidR="005641BE" w:rsidRPr="00B3263C" w:rsidRDefault="00A414E6" w:rsidP="00E22567">
            <w:pPr>
              <w:spacing w:before="120" w:after="120"/>
              <w:jc w:val="center"/>
              <w:rPr>
                <w:rFonts w:cstheme="minorHAnsi"/>
              </w:rPr>
            </w:pPr>
            <w:r>
              <w:rPr>
                <w:rFonts w:cstheme="minorHAnsi"/>
              </w:rPr>
              <w:t>2</w:t>
            </w:r>
          </w:p>
        </w:tc>
        <w:tc>
          <w:tcPr>
            <w:tcW w:w="1739" w:type="dxa"/>
          </w:tcPr>
          <w:p w14:paraId="32D020E1" w14:textId="53974221" w:rsidR="005641BE" w:rsidRPr="00B3263C" w:rsidRDefault="005641BE"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Revise </w:t>
            </w:r>
            <w:r w:rsidR="00D02587">
              <w:rPr>
                <w:rFonts w:cstheme="minorHAnsi"/>
              </w:rPr>
              <w:t>t</w:t>
            </w:r>
            <w:r w:rsidRPr="00B3263C">
              <w:rPr>
                <w:rFonts w:cstheme="minorHAnsi"/>
              </w:rPr>
              <w:t>hrough-</w:t>
            </w:r>
            <w:r w:rsidR="00D02587">
              <w:rPr>
                <w:rFonts w:cstheme="minorHAnsi"/>
              </w:rPr>
              <w:t>c</w:t>
            </w:r>
            <w:r w:rsidRPr="00B3263C">
              <w:rPr>
                <w:rFonts w:cstheme="minorHAnsi"/>
              </w:rPr>
              <w:t xml:space="preserve">are </w:t>
            </w:r>
            <w:r w:rsidR="00D02587">
              <w:rPr>
                <w:rFonts w:cstheme="minorHAnsi"/>
              </w:rPr>
              <w:t>program g</w:t>
            </w:r>
            <w:r w:rsidRPr="00B3263C">
              <w:rPr>
                <w:rFonts w:cstheme="minorHAnsi"/>
              </w:rPr>
              <w:t>uidelines:</w:t>
            </w:r>
          </w:p>
          <w:p w14:paraId="758A25A9" w14:textId="77777777" w:rsidR="005641BE" w:rsidRPr="00B3263C" w:rsidRDefault="005641BE"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Eligibility</w:t>
            </w:r>
          </w:p>
          <w:p w14:paraId="4FD3C100" w14:textId="77777777" w:rsidR="005641BE" w:rsidRPr="00B3263C" w:rsidRDefault="005641BE"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Entry Points</w:t>
            </w:r>
          </w:p>
          <w:p w14:paraId="099FF98A" w14:textId="77777777" w:rsidR="005641BE" w:rsidRPr="00B3263C" w:rsidRDefault="005641BE" w:rsidP="00B77817">
            <w:pPr>
              <w:pStyle w:val="ListParagraph"/>
              <w:numPr>
                <w:ilvl w:val="0"/>
                <w:numId w:val="42"/>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Period of Support</w:t>
            </w:r>
          </w:p>
          <w:p w14:paraId="5934E31F" w14:textId="77777777" w:rsidR="005641BE" w:rsidRPr="00B3263C" w:rsidRDefault="005641BE"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p>
        </w:tc>
        <w:tc>
          <w:tcPr>
            <w:tcW w:w="6219" w:type="dxa"/>
          </w:tcPr>
          <w:p w14:paraId="5CF9FABF" w14:textId="210289DD" w:rsidR="005641BE" w:rsidRPr="00B3263C" w:rsidRDefault="005641BE"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revise through-care program guidelines to clarify client eligibility criteria with respect to (i) post-release commencement, (ii) clients receiving short sentences or on remand and (iii) clients remaining on case</w:t>
            </w:r>
            <w:r w:rsidR="00694565">
              <w:rPr>
                <w:rFonts w:cstheme="minorHAnsi"/>
              </w:rPr>
              <w:t>-</w:t>
            </w:r>
            <w:r w:rsidRPr="00B3263C">
              <w:rPr>
                <w:rFonts w:cstheme="minorHAnsi"/>
              </w:rPr>
              <w:t xml:space="preserve">loads beyond 2 years. </w:t>
            </w:r>
          </w:p>
          <w:p w14:paraId="7D154D18" w14:textId="0155F4E7" w:rsidR="005641BE" w:rsidRPr="00B3263C" w:rsidRDefault="005641BE" w:rsidP="00B77817">
            <w:pPr>
              <w:pStyle w:val="ListParagraph"/>
              <w:numPr>
                <w:ilvl w:val="0"/>
                <w:numId w:val="43"/>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Most service providers will start working with </w:t>
            </w:r>
            <w:r w:rsidR="0089564A">
              <w:rPr>
                <w:rFonts w:cstheme="minorHAnsi"/>
              </w:rPr>
              <w:t xml:space="preserve">a mix of </w:t>
            </w:r>
            <w:r w:rsidRPr="00B3263C">
              <w:rPr>
                <w:rFonts w:cstheme="minorHAnsi"/>
              </w:rPr>
              <w:t xml:space="preserve">clients at pre-release and post-release stages. While </w:t>
            </w:r>
            <w:r w:rsidR="00B11C34">
              <w:rPr>
                <w:rFonts w:cstheme="minorHAnsi"/>
              </w:rPr>
              <w:t xml:space="preserve">there is some </w:t>
            </w:r>
            <w:r w:rsidRPr="00B3263C">
              <w:rPr>
                <w:rFonts w:cstheme="minorHAnsi"/>
              </w:rPr>
              <w:t xml:space="preserve">evidence in best-practice </w:t>
            </w:r>
            <w:r w:rsidR="00B11C34">
              <w:rPr>
                <w:rFonts w:cstheme="minorHAnsi"/>
              </w:rPr>
              <w:t xml:space="preserve">to </w:t>
            </w:r>
            <w:r w:rsidRPr="00B3263C">
              <w:rPr>
                <w:rFonts w:cstheme="minorHAnsi"/>
              </w:rPr>
              <w:t>suggest that pre-release commencements help foster space and time for relationship development, this should not preclude service providers from initiating post-release commencements if appropriate, for example, where the client has received a short sentence or is returning to a location (far from a place of detention) from which the through-care service was logistically unable to commence the client pre-release.</w:t>
            </w:r>
            <w:r w:rsidR="0089564A">
              <w:rPr>
                <w:rFonts w:cstheme="minorHAnsi"/>
              </w:rPr>
              <w:t xml:space="preserve"> The evaluation finds no evidence of diminished outcomes for post-release clients (compared to pre-release) with outcomes more contingent on factors such as the client’s personal motivation and trust in their case worker.       </w:t>
            </w:r>
          </w:p>
          <w:p w14:paraId="353B9E83" w14:textId="21671180" w:rsidR="005641BE" w:rsidRPr="00B3263C" w:rsidRDefault="005641BE" w:rsidP="00B77817">
            <w:pPr>
              <w:pStyle w:val="ListParagraph"/>
              <w:numPr>
                <w:ilvl w:val="0"/>
                <w:numId w:val="43"/>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Corollary to the above, and subject to preparation of clear guidance, service providers should not be prevented from commencing clients who received a short sentence (that is, less than 6 months) or those who have been placed on remand. This cohort of prospective clients was regarded by service providers to be no less vulnerable than clients with longer sentences, </w:t>
            </w:r>
            <w:r w:rsidR="00B11C34">
              <w:rPr>
                <w:rFonts w:cstheme="minorHAnsi"/>
              </w:rPr>
              <w:t xml:space="preserve">and consistent with best-practice literature </w:t>
            </w:r>
            <w:r w:rsidRPr="00B3263C">
              <w:rPr>
                <w:rFonts w:cstheme="minorHAnsi"/>
              </w:rPr>
              <w:t>present</w:t>
            </w:r>
            <w:r w:rsidR="00B11C34">
              <w:rPr>
                <w:rFonts w:cstheme="minorHAnsi"/>
              </w:rPr>
              <w:t>s</w:t>
            </w:r>
            <w:r w:rsidRPr="00B3263C">
              <w:rPr>
                <w:rFonts w:cstheme="minorHAnsi"/>
              </w:rPr>
              <w:t xml:space="preserve"> opportunities for earlier program intervention. Th</w:t>
            </w:r>
            <w:r w:rsidR="00B11C34">
              <w:rPr>
                <w:rFonts w:cstheme="minorHAnsi"/>
              </w:rPr>
              <w:t xml:space="preserve">e current inability of service providers to commence clients on short sentences </w:t>
            </w:r>
            <w:r w:rsidRPr="00B3263C">
              <w:rPr>
                <w:rFonts w:cstheme="minorHAnsi"/>
              </w:rPr>
              <w:t xml:space="preserve">was found to be </w:t>
            </w:r>
            <w:r w:rsidR="00B11C34">
              <w:rPr>
                <w:rFonts w:cstheme="minorHAnsi"/>
              </w:rPr>
              <w:t xml:space="preserve">particularly detrimental </w:t>
            </w:r>
            <w:r w:rsidRPr="00B3263C">
              <w:rPr>
                <w:rFonts w:cstheme="minorHAnsi"/>
              </w:rPr>
              <w:t xml:space="preserve">for </w:t>
            </w:r>
            <w:r w:rsidR="00B11C34">
              <w:rPr>
                <w:rFonts w:cstheme="minorHAnsi"/>
              </w:rPr>
              <w:t xml:space="preserve">prospective </w:t>
            </w:r>
            <w:r w:rsidRPr="00B3263C">
              <w:rPr>
                <w:rFonts w:cstheme="minorHAnsi"/>
              </w:rPr>
              <w:t>female and youth</w:t>
            </w:r>
            <w:r w:rsidR="00B11C34">
              <w:rPr>
                <w:rFonts w:cstheme="minorHAnsi"/>
              </w:rPr>
              <w:t xml:space="preserve"> clients</w:t>
            </w:r>
            <w:r w:rsidRPr="00B3263C">
              <w:rPr>
                <w:rFonts w:cstheme="minorHAnsi"/>
              </w:rPr>
              <w:t xml:space="preserve">, </w:t>
            </w:r>
            <w:r w:rsidR="00B11C34">
              <w:rPr>
                <w:rFonts w:cstheme="minorHAnsi"/>
              </w:rPr>
              <w:t xml:space="preserve">despite these groups being both </w:t>
            </w:r>
            <w:r w:rsidRPr="00B3263C">
              <w:rPr>
                <w:rFonts w:cstheme="minorHAnsi"/>
              </w:rPr>
              <w:t xml:space="preserve">high need and </w:t>
            </w:r>
            <w:r w:rsidR="00B11C34">
              <w:rPr>
                <w:rFonts w:cstheme="minorHAnsi"/>
              </w:rPr>
              <w:t xml:space="preserve">a </w:t>
            </w:r>
            <w:r w:rsidRPr="00B3263C">
              <w:rPr>
                <w:rFonts w:cstheme="minorHAnsi"/>
              </w:rPr>
              <w:t>growing source of latent demand.</w:t>
            </w:r>
          </w:p>
          <w:p w14:paraId="4B3CC6C1" w14:textId="4868A057" w:rsidR="005641BE" w:rsidRPr="00B3263C" w:rsidRDefault="005641BE" w:rsidP="00B77817">
            <w:pPr>
              <w:pStyle w:val="ListParagraph"/>
              <w:numPr>
                <w:ilvl w:val="0"/>
                <w:numId w:val="43"/>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Furthermore, it is recommended to extend the period of client eligibility for through-care services to 3 years, in circumstances where clients have complex needs but show evidence of progressing towards their goals incrementally. This change will ensure that clients who remain vulnerable to re-offending continue to receive support from service providers while removing the incentive for active clients to be recorded as new clients in case</w:t>
            </w:r>
            <w:r w:rsidR="00694565">
              <w:rPr>
                <w:rFonts w:cstheme="minorHAnsi"/>
              </w:rPr>
              <w:t>-</w:t>
            </w:r>
            <w:r w:rsidRPr="00B3263C">
              <w:rPr>
                <w:rFonts w:cstheme="minorHAnsi"/>
              </w:rPr>
              <w:t>loads.</w:t>
            </w:r>
            <w:r w:rsidR="006C1BD6">
              <w:rPr>
                <w:rFonts w:cstheme="minorHAnsi"/>
              </w:rPr>
              <w:t xml:space="preserve"> Extension of the period during which a client can receive services</w:t>
            </w:r>
            <w:r w:rsidR="00910166">
              <w:rPr>
                <w:rFonts w:cstheme="minorHAnsi"/>
              </w:rPr>
              <w:t xml:space="preserve"> is consistent with best-practice guidance</w:t>
            </w:r>
            <w:r w:rsidR="008D0FBD">
              <w:rPr>
                <w:rFonts w:cstheme="minorHAnsi"/>
              </w:rPr>
              <w:t xml:space="preserve"> (that refers to an optimal three year period), </w:t>
            </w:r>
            <w:r w:rsidR="006C1BD6">
              <w:rPr>
                <w:rFonts w:cstheme="minorHAnsi"/>
              </w:rPr>
              <w:t xml:space="preserve">enables service providers to better meet the needs of vulnerable clients, and reflects the existing practice of most through-care services.  </w:t>
            </w:r>
          </w:p>
        </w:tc>
      </w:tr>
      <w:tr w:rsidR="005641BE" w:rsidRPr="00B3263C" w14:paraId="211ACF0A"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5836812A" w14:textId="4C148AB7" w:rsidR="005641BE" w:rsidRPr="00B3263C" w:rsidRDefault="00A414E6" w:rsidP="00E22567">
            <w:pPr>
              <w:spacing w:before="120" w:after="120"/>
              <w:jc w:val="center"/>
              <w:rPr>
                <w:rFonts w:cstheme="minorHAnsi"/>
              </w:rPr>
            </w:pPr>
            <w:r>
              <w:rPr>
                <w:rFonts w:cstheme="minorHAnsi"/>
              </w:rPr>
              <w:t>3</w:t>
            </w:r>
          </w:p>
        </w:tc>
        <w:tc>
          <w:tcPr>
            <w:tcW w:w="1739" w:type="dxa"/>
          </w:tcPr>
          <w:p w14:paraId="3E060AA4" w14:textId="2DD01DCF" w:rsidR="005641BE" w:rsidRPr="00B3263C" w:rsidRDefault="00D02587"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Update program guidelines </w:t>
            </w:r>
            <w:r w:rsidR="005641BE" w:rsidRPr="00B3263C">
              <w:rPr>
                <w:rFonts w:cstheme="minorHAnsi"/>
              </w:rPr>
              <w:t>to</w:t>
            </w:r>
            <w:r>
              <w:rPr>
                <w:rFonts w:cstheme="minorHAnsi"/>
              </w:rPr>
              <w:t xml:space="preserve"> enable case workers to better support the family unit and </w:t>
            </w:r>
            <w:r w:rsidR="005641BE" w:rsidRPr="00B3263C">
              <w:rPr>
                <w:rFonts w:cstheme="minorHAnsi"/>
              </w:rPr>
              <w:t xml:space="preserve">peer-to-peer </w:t>
            </w:r>
            <w:r>
              <w:rPr>
                <w:rFonts w:cstheme="minorHAnsi"/>
              </w:rPr>
              <w:t xml:space="preserve">client </w:t>
            </w:r>
            <w:r w:rsidR="00EA6256">
              <w:rPr>
                <w:rFonts w:cstheme="minorHAnsi"/>
              </w:rPr>
              <w:t>interactions</w:t>
            </w:r>
          </w:p>
        </w:tc>
        <w:tc>
          <w:tcPr>
            <w:tcW w:w="6219" w:type="dxa"/>
          </w:tcPr>
          <w:p w14:paraId="08D2FC04" w14:textId="6331C2B8" w:rsidR="005641BE" w:rsidRPr="00B3263C" w:rsidRDefault="005641BE"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It is recommended that NIAA update through-care program guidelines to clarify and expand guidance with respect to working with family, </w:t>
            </w:r>
            <w:r w:rsidR="00B96C7E" w:rsidRPr="00B3263C">
              <w:rPr>
                <w:rFonts w:cstheme="minorHAnsi"/>
              </w:rPr>
              <w:t>culture,</w:t>
            </w:r>
            <w:r w:rsidRPr="00B3263C">
              <w:rPr>
                <w:rFonts w:cstheme="minorHAnsi"/>
              </w:rPr>
              <w:t xml:space="preserve"> and kin. While the current model has a focus on including family, culture and kin in support processes - and recognises that client perspectives and risks regarding connection to family, culture and kin, must be </w:t>
            </w:r>
            <w:r w:rsidR="00EA6256">
              <w:rPr>
                <w:rFonts w:cstheme="minorHAnsi"/>
              </w:rPr>
              <w:t xml:space="preserve">worked with </w:t>
            </w:r>
            <w:r w:rsidRPr="00B3263C">
              <w:rPr>
                <w:rFonts w:cstheme="minorHAnsi"/>
              </w:rPr>
              <w:t xml:space="preserve">– </w:t>
            </w:r>
            <w:r w:rsidR="00D02587">
              <w:rPr>
                <w:rFonts w:cstheme="minorHAnsi"/>
              </w:rPr>
              <w:t xml:space="preserve">based on service provider and client feedback </w:t>
            </w:r>
            <w:r w:rsidRPr="00B3263C">
              <w:rPr>
                <w:rFonts w:cstheme="minorHAnsi"/>
              </w:rPr>
              <w:t xml:space="preserve">there is a need to update guidance to </w:t>
            </w:r>
            <w:r w:rsidR="00EA6256">
              <w:rPr>
                <w:rFonts w:cstheme="minorHAnsi"/>
              </w:rPr>
              <w:t xml:space="preserve">enable </w:t>
            </w:r>
            <w:r w:rsidRPr="00B3263C">
              <w:rPr>
                <w:rFonts w:cstheme="minorHAnsi"/>
              </w:rPr>
              <w:t>greater levels of support to the family unit, rather than simply the individual client, a</w:t>
            </w:r>
            <w:r w:rsidR="00EA6256">
              <w:rPr>
                <w:rFonts w:cstheme="minorHAnsi"/>
              </w:rPr>
              <w:t xml:space="preserve">nd for </w:t>
            </w:r>
            <w:r w:rsidR="00D02587">
              <w:rPr>
                <w:rFonts w:cstheme="minorHAnsi"/>
              </w:rPr>
              <w:t xml:space="preserve">greater support for </w:t>
            </w:r>
            <w:r w:rsidRPr="00B3263C">
              <w:rPr>
                <w:rFonts w:cstheme="minorHAnsi"/>
              </w:rPr>
              <w:t xml:space="preserve">peer-to-peer client relationship development and </w:t>
            </w:r>
            <w:r w:rsidR="00D02587">
              <w:rPr>
                <w:rFonts w:cstheme="minorHAnsi"/>
              </w:rPr>
              <w:t xml:space="preserve">client </w:t>
            </w:r>
            <w:r w:rsidRPr="00B3263C">
              <w:rPr>
                <w:rFonts w:cstheme="minorHAnsi"/>
              </w:rPr>
              <w:t xml:space="preserve">support groups. </w:t>
            </w:r>
            <w:r w:rsidR="00D02587">
              <w:rPr>
                <w:rFonts w:cstheme="minorHAnsi"/>
              </w:rPr>
              <w:t>S</w:t>
            </w:r>
            <w:r w:rsidR="00910166">
              <w:rPr>
                <w:rFonts w:cstheme="minorHAnsi"/>
              </w:rPr>
              <w:t>ervice providers</w:t>
            </w:r>
            <w:r w:rsidR="00D02587">
              <w:rPr>
                <w:rFonts w:cstheme="minorHAnsi"/>
              </w:rPr>
              <w:t xml:space="preserve"> already working holistically with the family unit </w:t>
            </w:r>
            <w:r w:rsidR="00EA6256">
              <w:rPr>
                <w:rFonts w:cstheme="minorHAnsi"/>
              </w:rPr>
              <w:t xml:space="preserve">or encouraging client-peer interactions have reported notable successes with this approach but feel existing program guidelines fail to actively encourage this practice. </w:t>
            </w:r>
            <w:r w:rsidRPr="00B3263C">
              <w:rPr>
                <w:rFonts w:cstheme="minorHAnsi"/>
              </w:rPr>
              <w:t>In updating practice guidelines, it is recommended to move away from an individualistic approach to include supports that are more collective or relational, including practices that promote peer-to-peer interactions.</w:t>
            </w:r>
          </w:p>
        </w:tc>
      </w:tr>
      <w:tr w:rsidR="005641BE" w:rsidRPr="00B3263C" w14:paraId="24F359AA"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1C858535" w14:textId="4DAE1425" w:rsidR="005641BE" w:rsidRPr="00B3263C" w:rsidRDefault="00A414E6" w:rsidP="00E22567">
            <w:pPr>
              <w:spacing w:before="120" w:after="120"/>
              <w:jc w:val="center"/>
              <w:rPr>
                <w:rFonts w:cstheme="minorHAnsi"/>
              </w:rPr>
            </w:pPr>
            <w:r>
              <w:rPr>
                <w:rFonts w:cstheme="minorHAnsi"/>
              </w:rPr>
              <w:t>4</w:t>
            </w:r>
          </w:p>
        </w:tc>
        <w:tc>
          <w:tcPr>
            <w:tcW w:w="1739" w:type="dxa"/>
          </w:tcPr>
          <w:p w14:paraId="4953FC2C" w14:textId="77777777" w:rsidR="005641BE" w:rsidRPr="00B3263C" w:rsidRDefault="005641BE"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Update funding agreements:</w:t>
            </w:r>
          </w:p>
          <w:p w14:paraId="35FE0D7C" w14:textId="56ED3A49" w:rsidR="005641BE" w:rsidRPr="00B3263C" w:rsidRDefault="005641BE"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 xml:space="preserve">Promote Service Coordination and </w:t>
            </w:r>
            <w:r w:rsidR="004D0B94">
              <w:rPr>
                <w:rFonts w:cstheme="minorHAnsi"/>
              </w:rPr>
              <w:t>P</w:t>
            </w:r>
            <w:r w:rsidRPr="00B3263C">
              <w:rPr>
                <w:rFonts w:cstheme="minorHAnsi"/>
              </w:rPr>
              <w:t>artnerships</w:t>
            </w:r>
          </w:p>
          <w:p w14:paraId="6E581E4B" w14:textId="3A56FF78" w:rsidR="005641BE" w:rsidRPr="00B3263C" w:rsidRDefault="005641BE"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Reduce Minimum Case</w:t>
            </w:r>
            <w:r w:rsidR="00694565">
              <w:rPr>
                <w:rFonts w:cstheme="minorHAnsi"/>
              </w:rPr>
              <w:t>-</w:t>
            </w:r>
            <w:r w:rsidRPr="00B3263C">
              <w:rPr>
                <w:rFonts w:cstheme="minorHAnsi"/>
              </w:rPr>
              <w:t>loads</w:t>
            </w:r>
          </w:p>
          <w:p w14:paraId="458F11B1" w14:textId="77777777" w:rsidR="005641BE" w:rsidRPr="00B3263C" w:rsidRDefault="005641BE"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Improve Workforce Conditions and Capacity</w:t>
            </w:r>
          </w:p>
          <w:p w14:paraId="1CA6831A" w14:textId="77777777" w:rsidR="005641BE" w:rsidRPr="00B3263C" w:rsidRDefault="005641BE" w:rsidP="00B77817">
            <w:pPr>
              <w:pStyle w:val="ListParagraph"/>
              <w:numPr>
                <w:ilvl w:val="0"/>
                <w:numId w:val="44"/>
              </w:num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Increase Brokerage Funding</w:t>
            </w:r>
          </w:p>
        </w:tc>
        <w:tc>
          <w:tcPr>
            <w:tcW w:w="6219" w:type="dxa"/>
          </w:tcPr>
          <w:p w14:paraId="3B004115" w14:textId="4E022E72" w:rsidR="005641BE" w:rsidRPr="00B3263C" w:rsidRDefault="005641BE"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revise and update funding agreements to (i) address gaps in service coordination and partnerships arrangements, (ii) reduce minimum case</w:t>
            </w:r>
            <w:r w:rsidR="00694565">
              <w:rPr>
                <w:rFonts w:cstheme="minorHAnsi"/>
              </w:rPr>
              <w:t>-</w:t>
            </w:r>
            <w:r w:rsidRPr="00B3263C">
              <w:rPr>
                <w:rFonts w:cstheme="minorHAnsi"/>
              </w:rPr>
              <w:t>loads (iii) improve workforce conditions (iv) improve workforce capacity, and (v) increase discretionary brokerage funding.</w:t>
            </w:r>
          </w:p>
          <w:p w14:paraId="13CD84CB" w14:textId="2D71C981" w:rsidR="005641BE" w:rsidRPr="00B3263C" w:rsidRDefault="005641BE" w:rsidP="00B77817">
            <w:pPr>
              <w:pStyle w:val="ListParagraph"/>
              <w:numPr>
                <w:ilvl w:val="0"/>
                <w:numId w:val="45"/>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There is need for a more strategic approach to be taken in developing long-term service partnerships with clear and integrated pathways of support for clients. This requires a greater emphasis be placed on organisational and institutional capacity-building to establish formal partnerships and long-term relationships with external services, including investments in substantive coordination mechanisms, such as inter-agency planning groups and formalised MoUs.</w:t>
            </w:r>
            <w:r w:rsidR="004D0B94">
              <w:rPr>
                <w:rFonts w:cstheme="minorHAnsi"/>
              </w:rPr>
              <w:t xml:space="preserve"> To date only two service providers have developed formal MoUs, despite the benefits of structured partnerships being a feature of the best-practice literature.   </w:t>
            </w:r>
            <w:r w:rsidRPr="00B3263C">
              <w:rPr>
                <w:rFonts w:cstheme="minorHAnsi"/>
              </w:rPr>
              <w:t xml:space="preserve"> </w:t>
            </w:r>
          </w:p>
          <w:p w14:paraId="4E6C2222" w14:textId="175070C7" w:rsidR="005641BE" w:rsidRPr="00B3263C" w:rsidRDefault="005641BE" w:rsidP="00B77817">
            <w:pPr>
              <w:pStyle w:val="ListParagraph"/>
              <w:numPr>
                <w:ilvl w:val="0"/>
                <w:numId w:val="45"/>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minimum case</w:t>
            </w:r>
            <w:r w:rsidR="00694565">
              <w:rPr>
                <w:rFonts w:cstheme="minorHAnsi"/>
              </w:rPr>
              <w:t>-</w:t>
            </w:r>
            <w:r w:rsidRPr="00B3263C">
              <w:rPr>
                <w:rFonts w:cstheme="minorHAnsi"/>
              </w:rPr>
              <w:t>loads in service agreements be reviewed and potentially reduced from 8 to 15 (nominally 12) for adults and 8 to 12 (nominally 10) for youths, to 8 to 10 for adults and 6 to 8 for youth</w:t>
            </w:r>
            <w:r w:rsidR="00024565">
              <w:rPr>
                <w:rFonts w:cstheme="minorHAnsi"/>
              </w:rPr>
              <w:t xml:space="preserve"> (</w:t>
            </w:r>
            <w:r w:rsidR="008C11C7">
              <w:rPr>
                <w:rFonts w:cstheme="minorHAnsi"/>
              </w:rPr>
              <w:t>as averages across a service)</w:t>
            </w:r>
            <w:r w:rsidRPr="00B3263C">
              <w:rPr>
                <w:rFonts w:cstheme="minorHAnsi"/>
              </w:rPr>
              <w:t>.</w:t>
            </w:r>
            <w:r w:rsidR="00024565">
              <w:rPr>
                <w:rFonts w:cstheme="minorHAnsi"/>
              </w:rPr>
              <w:t xml:space="preserve"> </w:t>
            </w:r>
            <w:r w:rsidRPr="00B3263C">
              <w:rPr>
                <w:rFonts w:cstheme="minorHAnsi"/>
              </w:rPr>
              <w:t>While each service considered a different level of contact to be appropriate to constitute intensive case management, most case</w:t>
            </w:r>
            <w:r w:rsidR="00694565">
              <w:rPr>
                <w:rFonts w:cstheme="minorHAnsi"/>
              </w:rPr>
              <w:t xml:space="preserve"> </w:t>
            </w:r>
            <w:r w:rsidRPr="00B3263C">
              <w:rPr>
                <w:rFonts w:cstheme="minorHAnsi"/>
              </w:rPr>
              <w:t>workers, irrespective of their client cohort or service, believed that existing case</w:t>
            </w:r>
            <w:r w:rsidR="00694565">
              <w:rPr>
                <w:rFonts w:cstheme="minorHAnsi"/>
              </w:rPr>
              <w:t>-</w:t>
            </w:r>
            <w:r w:rsidRPr="00B3263C">
              <w:rPr>
                <w:rFonts w:cstheme="minorHAnsi"/>
              </w:rPr>
              <w:t>load requirements were too large to enable a truly intensive service for their clients.</w:t>
            </w:r>
          </w:p>
          <w:p w14:paraId="256649A5" w14:textId="3FB23C4D" w:rsidR="005641BE" w:rsidRPr="00B3263C" w:rsidRDefault="005641BE" w:rsidP="00B77817">
            <w:pPr>
              <w:pStyle w:val="ListParagraph"/>
              <w:numPr>
                <w:ilvl w:val="0"/>
                <w:numId w:val="45"/>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review funding levels to enable service providers to improve pay levels and working conditions for through-care staff, such that there is greater parity with equivalent occupations in government and elsewhere in the community services sector. Funding agreements may also be updated to include clauses with respect to training and professional development investments by service providers, such that a more consistent approach to identifying training needs and allocating expenditure is taken.</w:t>
            </w:r>
            <w:r w:rsidR="004D0B94">
              <w:rPr>
                <w:rFonts w:cstheme="minorHAnsi"/>
              </w:rPr>
              <w:t xml:space="preserve"> Poor pay and a lack of career development opportunities were reported by service providers to be the primary reason for high rates of staff turnover at several through-care services.</w:t>
            </w:r>
          </w:p>
          <w:p w14:paraId="602409DE" w14:textId="506FB8BB" w:rsidR="005641BE" w:rsidRPr="00B3263C" w:rsidRDefault="005641BE" w:rsidP="00B77817">
            <w:pPr>
              <w:pStyle w:val="ListParagraph"/>
              <w:numPr>
                <w:ilvl w:val="0"/>
                <w:numId w:val="45"/>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use funding agreements to ensure that all sites have a designated senior or coordinator position, and that larger sites have the capacity to recruit an ancillary case</w:t>
            </w:r>
            <w:r w:rsidR="00694565">
              <w:rPr>
                <w:rFonts w:cstheme="minorHAnsi"/>
              </w:rPr>
              <w:t xml:space="preserve"> </w:t>
            </w:r>
            <w:r w:rsidRPr="00B3263C">
              <w:rPr>
                <w:rFonts w:cstheme="minorHAnsi"/>
              </w:rPr>
              <w:t>worker support position. At present many sites lack coordinator roles to report to and coordinate across locations and have lacked dedicated time for the development of service partnerships, or to support junior and less experienced case workers on a day-to-day basis.</w:t>
            </w:r>
          </w:p>
          <w:p w14:paraId="619B7C10" w14:textId="1ECB37BC" w:rsidR="005641BE" w:rsidRPr="00B3263C" w:rsidRDefault="005641BE" w:rsidP="00B77817">
            <w:pPr>
              <w:pStyle w:val="ListParagraph"/>
              <w:numPr>
                <w:ilvl w:val="0"/>
                <w:numId w:val="45"/>
              </w:num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address gaps and inconsistencies in the way services manage discretionary brokerage funding. Case workers frequently cited a lack of brokerage monies as a barrier to meeting the material needs of clients, and either lacked the authorisation to buy necessary items, or would use their own income. It is suggested that the proportion of funds allocated for brokerage be increased and guidance be provided within service agreements to clarify the broad purposes to which these monies can be used, and to ensure an appropriate allocation of funds for this purpose.</w:t>
            </w:r>
            <w:r w:rsidR="004D0B94">
              <w:rPr>
                <w:rFonts w:cstheme="minorHAnsi"/>
              </w:rPr>
              <w:t xml:space="preserve"> Variations and inconsistencies in the way brokerage monies are used was noted as key operational impediment at most through-care services.</w:t>
            </w:r>
          </w:p>
        </w:tc>
      </w:tr>
      <w:tr w:rsidR="005641BE" w:rsidRPr="00B3263C" w14:paraId="76429509"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26C39F28" w14:textId="079F09FE" w:rsidR="005641BE" w:rsidRPr="00B3263C" w:rsidRDefault="00A414E6" w:rsidP="00E22567">
            <w:pPr>
              <w:spacing w:before="120" w:after="120"/>
              <w:jc w:val="center"/>
              <w:rPr>
                <w:rFonts w:cstheme="minorHAnsi"/>
              </w:rPr>
            </w:pPr>
            <w:r>
              <w:rPr>
                <w:rFonts w:cstheme="minorHAnsi"/>
              </w:rPr>
              <w:t>5</w:t>
            </w:r>
          </w:p>
        </w:tc>
        <w:tc>
          <w:tcPr>
            <w:tcW w:w="1739" w:type="dxa"/>
          </w:tcPr>
          <w:p w14:paraId="39BD978D" w14:textId="77777777" w:rsidR="005641BE" w:rsidRPr="00B3263C" w:rsidRDefault="005641BE"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Fund a Through-Care Community of Practice</w:t>
            </w:r>
          </w:p>
        </w:tc>
        <w:tc>
          <w:tcPr>
            <w:tcW w:w="6219" w:type="dxa"/>
          </w:tcPr>
          <w:p w14:paraId="396BC3C8" w14:textId="087F1C02" w:rsidR="005641BE" w:rsidRPr="00B3263C" w:rsidRDefault="005641BE"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a proportion of through-care program funding be utilised for the establishment and operation of a community of practice. This will inform the continuous improvement of through-care practice, including as a mechanism to identify and share areas of good practice and improve the consistency of implementation. This could be implemented, including online and conferencing components, by a suitable peak Aboriginal justice entity, or else be chaired on a rotational basis (noting that such peaks operate on a jurisdictional rather than national basis).</w:t>
            </w:r>
            <w:r w:rsidR="004D0B94">
              <w:rPr>
                <w:rFonts w:cstheme="minorHAnsi"/>
              </w:rPr>
              <w:t xml:space="preserve"> Such a community of practice was a recommendation of the ABT model and youth service trials, which has not been formally implemented despite the support of through-care providers. </w:t>
            </w:r>
          </w:p>
        </w:tc>
      </w:tr>
      <w:tr w:rsidR="005641BE" w:rsidRPr="00B3263C" w14:paraId="33166668"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735C821D" w14:textId="2165E70E" w:rsidR="005641BE" w:rsidRPr="00B3263C" w:rsidRDefault="00A414E6" w:rsidP="00E22567">
            <w:pPr>
              <w:spacing w:before="120" w:after="120"/>
              <w:jc w:val="center"/>
              <w:rPr>
                <w:rFonts w:cstheme="minorHAnsi"/>
              </w:rPr>
            </w:pPr>
            <w:r>
              <w:rPr>
                <w:rFonts w:cstheme="minorHAnsi"/>
              </w:rPr>
              <w:t>6</w:t>
            </w:r>
          </w:p>
        </w:tc>
        <w:tc>
          <w:tcPr>
            <w:tcW w:w="1739" w:type="dxa"/>
          </w:tcPr>
          <w:p w14:paraId="3EF87883" w14:textId="77777777" w:rsidR="005641BE" w:rsidRPr="00B3263C" w:rsidRDefault="005641BE"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Develop Program Outcome Definitions</w:t>
            </w:r>
          </w:p>
        </w:tc>
        <w:tc>
          <w:tcPr>
            <w:tcW w:w="6219" w:type="dxa"/>
          </w:tcPr>
          <w:p w14:paraId="5D341BAB" w14:textId="3DD456EB" w:rsidR="005641BE" w:rsidRPr="00B3263C" w:rsidRDefault="005641BE"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3263C">
              <w:rPr>
                <w:rFonts w:cstheme="minorHAnsi"/>
              </w:rPr>
              <w:t>It is recommended that NIAA work with through-care service providers to undertake a review of program outcome data types and definitions. Given the poor quality and patchy availability of data currently captured in service performance reports, there is a clear need for clarified and improved data definitions and supporting data tools, including data glossaries. All data fields in performance reports should be reviewed in consultation with service providers, and definitions be clarified and updated in program guidelines. As part of this task, it is recommended that the existing criminogenic needs index, which is regarded as subjective and pejorative, be revised in favour of a more culturally appropriate and strengths-based assessment tool that captures more nuanced outcomes (including longer periods of abstinence from alcohol, other drugs, or gambling; longer periods in contact with family; self-reported improvements in social and emotional well-being; or the simple fact of actually reaching out and acknowledging the need for support).</w:t>
            </w:r>
            <w:r w:rsidR="004D0B94">
              <w:rPr>
                <w:rFonts w:cstheme="minorHAnsi"/>
              </w:rPr>
              <w:t xml:space="preserve"> Service providers were unanimous in their support for a review of existing outcomes indicators and their measurement.   </w:t>
            </w:r>
          </w:p>
        </w:tc>
      </w:tr>
      <w:tr w:rsidR="00DD3701" w:rsidRPr="00B3263C" w14:paraId="0127F6D9"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6F9D6A5B" w14:textId="77777777" w:rsidR="00DD3701" w:rsidRDefault="00DD3701" w:rsidP="00E22567">
            <w:pPr>
              <w:spacing w:before="120" w:after="120"/>
              <w:jc w:val="center"/>
              <w:rPr>
                <w:rFonts w:cstheme="minorHAnsi"/>
              </w:rPr>
            </w:pPr>
          </w:p>
        </w:tc>
        <w:tc>
          <w:tcPr>
            <w:tcW w:w="1739" w:type="dxa"/>
          </w:tcPr>
          <w:p w14:paraId="05061947" w14:textId="77777777" w:rsidR="00DD3701" w:rsidRPr="00B3263C" w:rsidRDefault="00DD3701"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p>
        </w:tc>
        <w:tc>
          <w:tcPr>
            <w:tcW w:w="6219" w:type="dxa"/>
          </w:tcPr>
          <w:p w14:paraId="560461C7" w14:textId="77777777" w:rsidR="00DD3701" w:rsidRPr="00B3263C" w:rsidRDefault="00DD3701"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DD3701" w:rsidRPr="00B3263C" w14:paraId="26F2F35E" w14:textId="77777777" w:rsidTr="001D31E3">
        <w:tc>
          <w:tcPr>
            <w:cnfStyle w:val="001000000000" w:firstRow="0" w:lastRow="0" w:firstColumn="1" w:lastColumn="0" w:oddVBand="0" w:evenVBand="0" w:oddHBand="0" w:evenHBand="0" w:firstRowFirstColumn="0" w:firstRowLastColumn="0" w:lastRowFirstColumn="0" w:lastRowLastColumn="0"/>
            <w:tcW w:w="1094" w:type="dxa"/>
          </w:tcPr>
          <w:p w14:paraId="121B654B" w14:textId="77777777" w:rsidR="00DD3701" w:rsidRDefault="00DD3701" w:rsidP="00E22567">
            <w:pPr>
              <w:spacing w:before="120" w:after="120"/>
              <w:jc w:val="center"/>
              <w:rPr>
                <w:rFonts w:cstheme="minorHAnsi"/>
              </w:rPr>
            </w:pPr>
          </w:p>
        </w:tc>
        <w:tc>
          <w:tcPr>
            <w:tcW w:w="1739" w:type="dxa"/>
          </w:tcPr>
          <w:p w14:paraId="4009ABD6" w14:textId="77777777" w:rsidR="00DD3701" w:rsidRPr="00B3263C" w:rsidRDefault="00DD3701" w:rsidP="00E2256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p>
        </w:tc>
        <w:tc>
          <w:tcPr>
            <w:tcW w:w="6219" w:type="dxa"/>
          </w:tcPr>
          <w:p w14:paraId="4E12166B" w14:textId="77777777" w:rsidR="00DD3701" w:rsidRPr="00B3263C" w:rsidRDefault="00DD3701" w:rsidP="00E2256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14:paraId="57A8A244" w14:textId="77777777" w:rsidR="008F2610" w:rsidRPr="00B3263C" w:rsidRDefault="008F2610" w:rsidP="00EC273E"/>
    <w:p w14:paraId="11985C2B" w14:textId="77777777" w:rsidR="008F2610" w:rsidRPr="00B3263C" w:rsidRDefault="008F2610">
      <w:pPr>
        <w:spacing w:after="200" w:line="276" w:lineRule="auto"/>
        <w:jc w:val="both"/>
        <w:rPr>
          <w:rFonts w:cstheme="minorHAnsi"/>
          <w:b/>
          <w:smallCaps/>
          <w:color w:val="365F91" w:themeColor="accent1" w:themeShade="BF"/>
          <w:spacing w:val="5"/>
        </w:rPr>
      </w:pPr>
      <w:r w:rsidRPr="00B3263C">
        <w:rPr>
          <w:rFonts w:cstheme="minorHAnsi"/>
        </w:rPr>
        <w:br w:type="page"/>
      </w:r>
    </w:p>
    <w:p w14:paraId="213CCC45" w14:textId="7B65F5EC" w:rsidR="006603DD" w:rsidRPr="00F66F99" w:rsidRDefault="006603DD" w:rsidP="00F66F99">
      <w:pPr>
        <w:pStyle w:val="Heading1"/>
        <w:rPr>
          <w:rFonts w:cstheme="minorHAnsi"/>
        </w:rPr>
      </w:pPr>
      <w:bookmarkStart w:id="37" w:name="_Toc150784211"/>
      <w:r w:rsidRPr="00F66F99">
        <w:rPr>
          <w:rFonts w:cstheme="minorHAnsi"/>
        </w:rPr>
        <w:t>R</w:t>
      </w:r>
      <w:r w:rsidR="00F66F99">
        <w:rPr>
          <w:rFonts w:cstheme="minorHAnsi"/>
        </w:rPr>
        <w:t>eferences</w:t>
      </w:r>
      <w:bookmarkEnd w:id="37"/>
      <w:r w:rsidRPr="00F66F99">
        <w:rPr>
          <w:rFonts w:cstheme="minorHAnsi"/>
        </w:rPr>
        <w:t xml:space="preserve"> </w:t>
      </w:r>
    </w:p>
    <w:p w14:paraId="2F113238" w14:textId="3206A943" w:rsidR="008C45E2" w:rsidRDefault="008C45E2" w:rsidP="003C44C4">
      <w:pPr>
        <w:rPr>
          <w:rFonts w:eastAsiaTheme="minorEastAsia" w:cstheme="minorHAnsi"/>
          <w:u w:val="single"/>
        </w:rPr>
      </w:pPr>
      <w:r w:rsidRPr="003C44C4">
        <w:rPr>
          <w:rFonts w:eastAsiaTheme="minorEastAsia" w:cstheme="minorHAnsi"/>
        </w:rPr>
        <w:t xml:space="preserve">Abbott, P et al. (2017) </w:t>
      </w:r>
      <w:r w:rsidRPr="003C44C4">
        <w:rPr>
          <w:rFonts w:eastAsiaTheme="minorEastAsia" w:cstheme="minorHAnsi"/>
          <w:i/>
          <w:iCs/>
        </w:rPr>
        <w:t xml:space="preserve">Do programs for Aboriginal and Torres Strait Islander </w:t>
      </w:r>
      <w:r w:rsidR="00955E3F" w:rsidRPr="003C44C4">
        <w:rPr>
          <w:rFonts w:cstheme="minorHAnsi"/>
          <w:i/>
          <w:iCs/>
        </w:rPr>
        <w:t>P</w:t>
      </w:r>
      <w:r w:rsidRPr="003C44C4">
        <w:rPr>
          <w:rFonts w:eastAsiaTheme="minorEastAsia" w:cstheme="minorHAnsi"/>
          <w:i/>
          <w:iCs/>
        </w:rPr>
        <w:t xml:space="preserve">eople </w:t>
      </w:r>
      <w:r w:rsidR="00955E3F" w:rsidRPr="003C44C4">
        <w:rPr>
          <w:rFonts w:cstheme="minorHAnsi"/>
          <w:i/>
          <w:iCs/>
        </w:rPr>
        <w:t>L</w:t>
      </w:r>
      <w:r w:rsidRPr="003C44C4">
        <w:rPr>
          <w:rFonts w:eastAsiaTheme="minorEastAsia" w:cstheme="minorHAnsi"/>
          <w:i/>
          <w:iCs/>
        </w:rPr>
        <w:t xml:space="preserve">eaving </w:t>
      </w:r>
      <w:r w:rsidR="00955E3F" w:rsidRPr="003C44C4">
        <w:rPr>
          <w:rFonts w:cstheme="minorHAnsi"/>
          <w:i/>
          <w:iCs/>
        </w:rPr>
        <w:t>Pr</w:t>
      </w:r>
      <w:r w:rsidRPr="003C44C4">
        <w:rPr>
          <w:rFonts w:eastAsiaTheme="minorEastAsia" w:cstheme="minorHAnsi"/>
          <w:i/>
          <w:iCs/>
        </w:rPr>
        <w:t xml:space="preserve">ison </w:t>
      </w:r>
      <w:r w:rsidR="00955E3F" w:rsidRPr="003C44C4">
        <w:rPr>
          <w:rFonts w:cstheme="minorHAnsi"/>
          <w:i/>
          <w:iCs/>
        </w:rPr>
        <w:t>M</w:t>
      </w:r>
      <w:r w:rsidRPr="003C44C4">
        <w:rPr>
          <w:rFonts w:eastAsiaTheme="minorEastAsia" w:cstheme="minorHAnsi"/>
          <w:i/>
          <w:iCs/>
        </w:rPr>
        <w:t xml:space="preserve">eet their </w:t>
      </w:r>
      <w:r w:rsidR="00955E3F" w:rsidRPr="003C44C4">
        <w:rPr>
          <w:rFonts w:cstheme="minorHAnsi"/>
          <w:i/>
          <w:iCs/>
        </w:rPr>
        <w:t>H</w:t>
      </w:r>
      <w:r w:rsidRPr="003C44C4">
        <w:rPr>
          <w:rFonts w:eastAsiaTheme="minorEastAsia" w:cstheme="minorHAnsi"/>
          <w:i/>
          <w:iCs/>
        </w:rPr>
        <w:t xml:space="preserve">ealth and </w:t>
      </w:r>
      <w:r w:rsidR="00955E3F" w:rsidRPr="003C44C4">
        <w:rPr>
          <w:rFonts w:cstheme="minorHAnsi"/>
          <w:i/>
          <w:iCs/>
        </w:rPr>
        <w:t>S</w:t>
      </w:r>
      <w:r w:rsidRPr="003C44C4">
        <w:rPr>
          <w:rFonts w:eastAsiaTheme="minorEastAsia" w:cstheme="minorHAnsi"/>
          <w:i/>
          <w:iCs/>
        </w:rPr>
        <w:t xml:space="preserve">ocial </w:t>
      </w:r>
      <w:r w:rsidR="00955E3F" w:rsidRPr="003C44C4">
        <w:rPr>
          <w:rFonts w:cstheme="minorHAnsi"/>
          <w:i/>
          <w:iCs/>
        </w:rPr>
        <w:t>S</w:t>
      </w:r>
      <w:r w:rsidRPr="003C44C4">
        <w:rPr>
          <w:rFonts w:eastAsiaTheme="minorEastAsia" w:cstheme="minorHAnsi"/>
          <w:i/>
          <w:iCs/>
        </w:rPr>
        <w:t xml:space="preserve">upport </w:t>
      </w:r>
      <w:r w:rsidR="00955E3F" w:rsidRPr="003C44C4">
        <w:rPr>
          <w:rFonts w:cstheme="minorHAnsi"/>
          <w:i/>
          <w:iCs/>
        </w:rPr>
        <w:t>N</w:t>
      </w:r>
      <w:r w:rsidRPr="003C44C4">
        <w:rPr>
          <w:rFonts w:eastAsiaTheme="minorEastAsia" w:cstheme="minorHAnsi"/>
          <w:i/>
          <w:iCs/>
        </w:rPr>
        <w:t>eeds?</w:t>
      </w:r>
      <w:r w:rsidRPr="003C44C4">
        <w:rPr>
          <w:rFonts w:eastAsiaTheme="minorEastAsia" w:cstheme="minorHAnsi"/>
        </w:rPr>
        <w:t xml:space="preserve"> Australian Journal of Rural Health 26(1):6-13 </w:t>
      </w:r>
      <w:r w:rsidR="003C44C4" w:rsidRPr="003C44C4">
        <w:rPr>
          <w:rFonts w:eastAsiaTheme="minorEastAsia" w:cstheme="minorHAnsi"/>
          <w:u w:val="single"/>
        </w:rPr>
        <w:t>https://onlinelibrary.wiley.com/doi/abs/10.1111/ajr.12396</w:t>
      </w:r>
    </w:p>
    <w:p w14:paraId="32D3CAF7" w14:textId="77777777" w:rsidR="003C44C4" w:rsidRPr="003C44C4" w:rsidRDefault="003C44C4" w:rsidP="003C44C4">
      <w:pPr>
        <w:rPr>
          <w:rFonts w:cstheme="minorHAnsi"/>
        </w:rPr>
      </w:pPr>
    </w:p>
    <w:p w14:paraId="2A9BF670" w14:textId="77777777" w:rsidR="003C44C4" w:rsidRDefault="008C45E2" w:rsidP="003C44C4">
      <w:pPr>
        <w:rPr>
          <w:rFonts w:eastAsiaTheme="minorEastAsia" w:cstheme="minorHAnsi"/>
          <w:i/>
          <w:iCs/>
        </w:rPr>
      </w:pPr>
      <w:r w:rsidRPr="008C45E2">
        <w:rPr>
          <w:rFonts w:eastAsiaTheme="minorEastAsia" w:cstheme="minorHAnsi"/>
        </w:rPr>
        <w:t xml:space="preserve">ABT Associates (2021) </w:t>
      </w:r>
      <w:r w:rsidRPr="008C45E2">
        <w:rPr>
          <w:rFonts w:eastAsiaTheme="minorEastAsia" w:cstheme="minorHAnsi"/>
          <w:i/>
          <w:iCs/>
        </w:rPr>
        <w:t>Final Report - Youth Through-care Trial Jan 2020 - June 2021</w:t>
      </w:r>
    </w:p>
    <w:p w14:paraId="01F5ED80" w14:textId="73B96671" w:rsidR="008C45E2" w:rsidRPr="003C44C4" w:rsidRDefault="008C45E2" w:rsidP="003C44C4">
      <w:pPr>
        <w:rPr>
          <w:rFonts w:cstheme="minorHAnsi"/>
          <w:i/>
          <w:iCs/>
        </w:rPr>
      </w:pPr>
      <w:r w:rsidRPr="008C45E2">
        <w:rPr>
          <w:rFonts w:eastAsiaTheme="minorEastAsia" w:cstheme="minorHAnsi"/>
          <w:i/>
          <w:iCs/>
        </w:rPr>
        <w:t> </w:t>
      </w:r>
    </w:p>
    <w:p w14:paraId="321E24C1" w14:textId="77777777" w:rsidR="003C44C4" w:rsidRDefault="008C45E2" w:rsidP="003C44C4">
      <w:pPr>
        <w:rPr>
          <w:rFonts w:eastAsiaTheme="minorEastAsia" w:cstheme="minorHAnsi"/>
          <w:i/>
          <w:iCs/>
        </w:rPr>
      </w:pPr>
      <w:r w:rsidRPr="008C45E2">
        <w:rPr>
          <w:rFonts w:eastAsiaTheme="minorEastAsia" w:cstheme="minorHAnsi"/>
        </w:rPr>
        <w:t>ABT Associates (2021)</w:t>
      </w:r>
      <w:r w:rsidRPr="008C45E2">
        <w:rPr>
          <w:rFonts w:eastAsiaTheme="minorEastAsia" w:cstheme="minorHAnsi"/>
          <w:i/>
          <w:iCs/>
        </w:rPr>
        <w:t xml:space="preserve"> Adult Through-Care Model for Aboriginal and Torres Strait Islander Peoples</w:t>
      </w:r>
    </w:p>
    <w:p w14:paraId="0E4AE008" w14:textId="50499677" w:rsidR="008C45E2" w:rsidRPr="003C44C4" w:rsidRDefault="008C45E2" w:rsidP="003C44C4">
      <w:pPr>
        <w:rPr>
          <w:rFonts w:cstheme="minorHAnsi"/>
          <w:i/>
          <w:iCs/>
        </w:rPr>
      </w:pPr>
      <w:r w:rsidRPr="008C45E2">
        <w:rPr>
          <w:rFonts w:eastAsiaTheme="minorEastAsia" w:cstheme="minorHAnsi"/>
          <w:i/>
          <w:iCs/>
        </w:rPr>
        <w:t> </w:t>
      </w:r>
    </w:p>
    <w:p w14:paraId="53CF9F8B" w14:textId="77777777" w:rsidR="003C44C4" w:rsidRDefault="008C45E2" w:rsidP="003C44C4">
      <w:pPr>
        <w:rPr>
          <w:rFonts w:eastAsiaTheme="minorEastAsia" w:cstheme="minorHAnsi"/>
        </w:rPr>
      </w:pPr>
      <w:r w:rsidRPr="008C45E2">
        <w:rPr>
          <w:rFonts w:eastAsiaTheme="minorEastAsia" w:cstheme="minorHAnsi"/>
        </w:rPr>
        <w:t xml:space="preserve">ABT Associates (2021) </w:t>
      </w:r>
      <w:r w:rsidRPr="008C45E2">
        <w:rPr>
          <w:rFonts w:eastAsiaTheme="minorEastAsia" w:cstheme="minorHAnsi"/>
          <w:i/>
          <w:iCs/>
        </w:rPr>
        <w:t>Youth Through-Care Model for Aboriginal and Torres Strait Islander Peoples</w:t>
      </w:r>
    </w:p>
    <w:p w14:paraId="2DE41E2A" w14:textId="77777777" w:rsidR="003C44C4" w:rsidRDefault="003C44C4" w:rsidP="003C44C4">
      <w:pPr>
        <w:rPr>
          <w:rFonts w:eastAsiaTheme="minorEastAsia" w:cstheme="minorHAnsi"/>
        </w:rPr>
      </w:pPr>
    </w:p>
    <w:p w14:paraId="24A2ECE5" w14:textId="5F287382" w:rsidR="008C45E2" w:rsidRPr="003C44C4" w:rsidRDefault="008C45E2" w:rsidP="003C44C4">
      <w:pPr>
        <w:rPr>
          <w:rFonts w:eastAsiaTheme="minorEastAsia" w:cstheme="minorHAnsi"/>
        </w:rPr>
      </w:pPr>
      <w:r w:rsidRPr="003C44C4">
        <w:rPr>
          <w:rFonts w:cstheme="minorHAnsi"/>
        </w:rPr>
        <w:t xml:space="preserve">Bennett, B. and Gates, T. (2022) </w:t>
      </w:r>
      <w:r w:rsidRPr="003C44C4">
        <w:rPr>
          <w:rFonts w:cstheme="minorHAnsi"/>
          <w:i/>
          <w:iCs/>
        </w:rPr>
        <w:t xml:space="preserve">Decolonization and </w:t>
      </w:r>
      <w:r w:rsidR="00955E3F" w:rsidRPr="003C44C4">
        <w:rPr>
          <w:rFonts w:cstheme="minorHAnsi"/>
          <w:i/>
          <w:iCs/>
        </w:rPr>
        <w:t>T</w:t>
      </w:r>
      <w:r w:rsidRPr="003C44C4">
        <w:rPr>
          <w:rFonts w:cstheme="minorHAnsi"/>
          <w:i/>
          <w:iCs/>
        </w:rPr>
        <w:t xml:space="preserve">rauma-informed </w:t>
      </w:r>
      <w:r w:rsidR="00955E3F" w:rsidRPr="003C44C4">
        <w:rPr>
          <w:rFonts w:cstheme="minorHAnsi"/>
          <w:i/>
          <w:iCs/>
        </w:rPr>
        <w:t>T</w:t>
      </w:r>
      <w:r w:rsidRPr="003C44C4">
        <w:rPr>
          <w:rFonts w:cstheme="minorHAnsi"/>
          <w:i/>
          <w:iCs/>
        </w:rPr>
        <w:t xml:space="preserve">ruth-telling about Indigenous Australia in a </w:t>
      </w:r>
      <w:r w:rsidR="00955E3F" w:rsidRPr="003C44C4">
        <w:rPr>
          <w:rFonts w:cstheme="minorHAnsi"/>
          <w:i/>
          <w:iCs/>
        </w:rPr>
        <w:t>S</w:t>
      </w:r>
      <w:r w:rsidRPr="003C44C4">
        <w:rPr>
          <w:rFonts w:cstheme="minorHAnsi"/>
          <w:i/>
          <w:iCs/>
        </w:rPr>
        <w:t xml:space="preserve">ocial </w:t>
      </w:r>
      <w:r w:rsidR="00955E3F" w:rsidRPr="003C44C4">
        <w:rPr>
          <w:rFonts w:cstheme="minorHAnsi"/>
          <w:i/>
          <w:iCs/>
        </w:rPr>
        <w:t>W</w:t>
      </w:r>
      <w:r w:rsidRPr="003C44C4">
        <w:rPr>
          <w:rFonts w:cstheme="minorHAnsi"/>
          <w:i/>
          <w:iCs/>
        </w:rPr>
        <w:t xml:space="preserve">ork </w:t>
      </w:r>
      <w:r w:rsidR="00955E3F" w:rsidRPr="003C44C4">
        <w:rPr>
          <w:rFonts w:cstheme="minorHAnsi"/>
          <w:i/>
          <w:iCs/>
        </w:rPr>
        <w:t>D</w:t>
      </w:r>
      <w:r w:rsidRPr="003C44C4">
        <w:rPr>
          <w:rFonts w:cstheme="minorHAnsi"/>
          <w:i/>
          <w:iCs/>
        </w:rPr>
        <w:t xml:space="preserve">iversity </w:t>
      </w:r>
      <w:r w:rsidR="00955E3F" w:rsidRPr="003C44C4">
        <w:rPr>
          <w:rFonts w:cstheme="minorHAnsi"/>
          <w:i/>
          <w:iCs/>
        </w:rPr>
        <w:t>C</w:t>
      </w:r>
      <w:r w:rsidRPr="003C44C4">
        <w:rPr>
          <w:rFonts w:cstheme="minorHAnsi"/>
          <w:i/>
          <w:iCs/>
        </w:rPr>
        <w:t>ourse</w:t>
      </w:r>
      <w:r w:rsidRPr="003C44C4">
        <w:rPr>
          <w:rFonts w:cstheme="minorHAnsi"/>
        </w:rPr>
        <w:t xml:space="preserve">, Journal of Ethnic and Cultural Diversity in Social Work </w:t>
      </w:r>
      <w:r w:rsidRPr="003C44C4">
        <w:rPr>
          <w:rFonts w:cstheme="minorHAnsi"/>
          <w:u w:val="single"/>
        </w:rPr>
        <w:t>DOI: 10.1080/15313204.2022.2154882</w:t>
      </w:r>
    </w:p>
    <w:p w14:paraId="79BEBDDB" w14:textId="77777777" w:rsidR="003C44C4" w:rsidRPr="003C44C4" w:rsidRDefault="003C44C4" w:rsidP="003C44C4">
      <w:pPr>
        <w:rPr>
          <w:rFonts w:cstheme="minorHAnsi"/>
        </w:rPr>
      </w:pPr>
    </w:p>
    <w:p w14:paraId="0267A000" w14:textId="5A1CDAF0" w:rsidR="008C45E2" w:rsidRPr="003C44C4" w:rsidRDefault="008C45E2" w:rsidP="003C44C4">
      <w:pPr>
        <w:rPr>
          <w:rFonts w:cstheme="minorHAnsi"/>
        </w:rPr>
      </w:pPr>
      <w:r w:rsidRPr="003C44C4">
        <w:rPr>
          <w:rFonts w:cstheme="minorHAnsi"/>
        </w:rPr>
        <w:t>Berghuis, M. (2018)</w:t>
      </w:r>
      <w:r w:rsidR="00A53117" w:rsidRPr="003C44C4">
        <w:rPr>
          <w:rFonts w:cstheme="minorHAnsi"/>
        </w:rPr>
        <w:t xml:space="preserve"> </w:t>
      </w:r>
      <w:r w:rsidRPr="003C44C4">
        <w:rPr>
          <w:rFonts w:cstheme="minorHAnsi"/>
          <w:i/>
          <w:iCs/>
        </w:rPr>
        <w:t>Re</w:t>
      </w:r>
      <w:r w:rsidR="00955E3F" w:rsidRPr="003C44C4">
        <w:rPr>
          <w:rFonts w:cstheme="minorHAnsi"/>
          <w:i/>
          <w:iCs/>
        </w:rPr>
        <w:t>-</w:t>
      </w:r>
      <w:r w:rsidRPr="003C44C4">
        <w:rPr>
          <w:rFonts w:cstheme="minorHAnsi"/>
          <w:i/>
          <w:iCs/>
        </w:rPr>
        <w:t>entry Programs for Adult Male Offender Recidivism and Reintegration: A Systematic Review and Meta-Analysis</w:t>
      </w:r>
      <w:r w:rsidR="00955E3F" w:rsidRPr="003C44C4">
        <w:rPr>
          <w:rFonts w:cstheme="minorHAnsi"/>
        </w:rPr>
        <w:t xml:space="preserve">, </w:t>
      </w:r>
      <w:r w:rsidRPr="003C44C4">
        <w:rPr>
          <w:rFonts w:cstheme="minorHAnsi"/>
        </w:rPr>
        <w:t xml:space="preserve">International Journal of Offender Therapy and Comparative Criminology 62(3) </w:t>
      </w:r>
      <w:r w:rsidRPr="003C44C4">
        <w:rPr>
          <w:rFonts w:cstheme="minorHAnsi"/>
          <w:u w:val="single"/>
        </w:rPr>
        <w:t>https://www.researchgate.net/publication/325717707_Reentry_Programs_for_Adult_Male_Offender_Recidivism_and_Reintegration_A_Systematic_Review_and_Meta-Analysis</w:t>
      </w:r>
    </w:p>
    <w:p w14:paraId="6F77290E" w14:textId="77777777" w:rsidR="003C44C4" w:rsidRDefault="003C44C4" w:rsidP="003C44C4">
      <w:pPr>
        <w:rPr>
          <w:rFonts w:eastAsiaTheme="minorEastAsia" w:cstheme="minorHAnsi"/>
        </w:rPr>
      </w:pPr>
    </w:p>
    <w:p w14:paraId="5018CDE6" w14:textId="1CF206E7" w:rsidR="00A909AF" w:rsidRPr="00A909AF" w:rsidRDefault="00A909AF" w:rsidP="003C44C4">
      <w:pPr>
        <w:rPr>
          <w:rFonts w:eastAsiaTheme="minorEastAsia" w:cstheme="minorHAnsi"/>
        </w:rPr>
      </w:pPr>
      <w:r w:rsidRPr="00A909AF">
        <w:rPr>
          <w:rFonts w:eastAsiaTheme="minorEastAsia" w:cstheme="minorHAnsi"/>
        </w:rPr>
        <w:t>C</w:t>
      </w:r>
      <w:r>
        <w:rPr>
          <w:rFonts w:eastAsiaTheme="minorEastAsia" w:cstheme="minorHAnsi"/>
        </w:rPr>
        <w:t xml:space="preserve">ouncil of </w:t>
      </w:r>
      <w:r w:rsidRPr="00A909AF">
        <w:rPr>
          <w:rFonts w:eastAsiaTheme="minorEastAsia" w:cstheme="minorHAnsi"/>
        </w:rPr>
        <w:t>A</w:t>
      </w:r>
      <w:r>
        <w:rPr>
          <w:rFonts w:eastAsiaTheme="minorEastAsia" w:cstheme="minorHAnsi"/>
        </w:rPr>
        <w:t xml:space="preserve">ustralian </w:t>
      </w:r>
      <w:r w:rsidRPr="00A909AF">
        <w:rPr>
          <w:rFonts w:eastAsiaTheme="minorEastAsia" w:cstheme="minorHAnsi"/>
        </w:rPr>
        <w:t>G</w:t>
      </w:r>
      <w:r>
        <w:rPr>
          <w:rFonts w:eastAsiaTheme="minorEastAsia" w:cstheme="minorHAnsi"/>
        </w:rPr>
        <w:t>overnments</w:t>
      </w:r>
      <w:r w:rsidRPr="00A909AF">
        <w:rPr>
          <w:rFonts w:eastAsiaTheme="minorEastAsia" w:cstheme="minorHAnsi"/>
        </w:rPr>
        <w:t xml:space="preserve"> </w:t>
      </w:r>
      <w:r>
        <w:rPr>
          <w:rFonts w:eastAsiaTheme="minorEastAsia" w:cstheme="minorHAnsi"/>
        </w:rPr>
        <w:t xml:space="preserve">(2016) </w:t>
      </w:r>
      <w:r w:rsidRPr="00A909AF">
        <w:rPr>
          <w:rFonts w:eastAsiaTheme="minorEastAsia" w:cstheme="minorHAnsi"/>
        </w:rPr>
        <w:t>Prison to Work Report</w:t>
      </w:r>
      <w:r>
        <w:rPr>
          <w:rFonts w:eastAsiaTheme="minorEastAsia" w:cstheme="minorHAnsi"/>
        </w:rPr>
        <w:t xml:space="preserve">: </w:t>
      </w:r>
      <w:r w:rsidRPr="00A909AF">
        <w:rPr>
          <w:rFonts w:eastAsiaTheme="minorEastAsia" w:cstheme="minorHAnsi"/>
        </w:rPr>
        <w:t>coag.gov.au/sites/default/files/reports/prison-to-work-report.pdf.</w:t>
      </w:r>
    </w:p>
    <w:p w14:paraId="2660DF29" w14:textId="77777777" w:rsidR="00A909AF" w:rsidRDefault="00A909AF" w:rsidP="003C44C4"/>
    <w:p w14:paraId="1A66A9E2" w14:textId="629FC54C" w:rsidR="008C45E2" w:rsidRPr="003C44C4" w:rsidRDefault="008C45E2" w:rsidP="003C44C4">
      <w:pPr>
        <w:rPr>
          <w:rFonts w:cstheme="minorHAnsi"/>
        </w:rPr>
      </w:pPr>
      <w:r w:rsidRPr="003C44C4">
        <w:rPr>
          <w:rFonts w:eastAsiaTheme="minorEastAsia" w:cstheme="minorHAnsi"/>
        </w:rPr>
        <w:t>Cultural Indigenous Research Centre Australia</w:t>
      </w:r>
      <w:r w:rsidR="00955E3F" w:rsidRPr="003C44C4">
        <w:rPr>
          <w:rFonts w:cstheme="minorHAnsi"/>
        </w:rPr>
        <w:t xml:space="preserve"> </w:t>
      </w:r>
      <w:r w:rsidRPr="003C44C4">
        <w:rPr>
          <w:rFonts w:eastAsiaTheme="minorEastAsia" w:cstheme="minorHAnsi"/>
        </w:rPr>
        <w:t xml:space="preserve">(2013) </w:t>
      </w:r>
      <w:r w:rsidRPr="003C44C4">
        <w:rPr>
          <w:rFonts w:eastAsiaTheme="minorEastAsia" w:cstheme="minorHAnsi"/>
          <w:i/>
          <w:iCs/>
        </w:rPr>
        <w:t>Evaluation of Indigenous Justice Programs Project B: Offender Support and Reintegration</w:t>
      </w:r>
      <w:r w:rsidR="00955E3F" w:rsidRPr="003C44C4">
        <w:rPr>
          <w:rFonts w:cstheme="minorHAnsi"/>
        </w:rPr>
        <w:t xml:space="preserve">, </w:t>
      </w:r>
      <w:r w:rsidRPr="003C44C4">
        <w:rPr>
          <w:rFonts w:eastAsiaTheme="minorEastAsia" w:cstheme="minorHAnsi"/>
        </w:rPr>
        <w:t xml:space="preserve">Final </w:t>
      </w:r>
      <w:r w:rsidR="00955E3F" w:rsidRPr="003C44C4">
        <w:rPr>
          <w:rFonts w:cstheme="minorHAnsi"/>
        </w:rPr>
        <w:t>R</w:t>
      </w:r>
      <w:r w:rsidRPr="003C44C4">
        <w:rPr>
          <w:rFonts w:eastAsiaTheme="minorEastAsia" w:cstheme="minorHAnsi"/>
        </w:rPr>
        <w:t xml:space="preserve">eport </w:t>
      </w:r>
      <w:r w:rsidRPr="003C44C4">
        <w:rPr>
          <w:rFonts w:eastAsiaTheme="minorEastAsia" w:cstheme="minorHAnsi"/>
          <w:u w:val="single"/>
        </w:rPr>
        <w:t>https://www.circaresearch.com.au/wp-content/uploads/CIRCA-Project-B-Final-report.pdf</w:t>
      </w:r>
    </w:p>
    <w:p w14:paraId="417D35DF" w14:textId="77777777" w:rsidR="003C44C4" w:rsidRDefault="003C44C4" w:rsidP="003C44C4">
      <w:pPr>
        <w:rPr>
          <w:rFonts w:eastAsiaTheme="minorEastAsia" w:cstheme="minorHAnsi"/>
        </w:rPr>
      </w:pPr>
    </w:p>
    <w:p w14:paraId="54B7066C" w14:textId="496EFA18" w:rsidR="008C45E2" w:rsidRPr="003C44C4" w:rsidRDefault="008C45E2" w:rsidP="003C44C4">
      <w:pPr>
        <w:rPr>
          <w:rFonts w:cstheme="minorHAnsi"/>
        </w:rPr>
      </w:pPr>
      <w:r w:rsidRPr="003C44C4">
        <w:rPr>
          <w:rFonts w:eastAsiaTheme="minorEastAsia" w:cstheme="minorHAnsi"/>
        </w:rPr>
        <w:t>Day, A., Geia, L. and Tamatea, A. (2019)</w:t>
      </w:r>
      <w:r w:rsidR="00955E3F" w:rsidRPr="003C44C4">
        <w:rPr>
          <w:rFonts w:cstheme="minorHAnsi"/>
        </w:rPr>
        <w:t xml:space="preserve"> </w:t>
      </w:r>
      <w:r w:rsidRPr="003C44C4">
        <w:rPr>
          <w:rFonts w:eastAsiaTheme="minorEastAsia" w:cstheme="minorHAnsi"/>
          <w:i/>
          <w:iCs/>
        </w:rPr>
        <w:t xml:space="preserve">Towards </w:t>
      </w:r>
      <w:r w:rsidR="00955E3F" w:rsidRPr="003C44C4">
        <w:rPr>
          <w:rFonts w:cstheme="minorHAnsi"/>
          <w:i/>
          <w:iCs/>
        </w:rPr>
        <w:t>E</w:t>
      </w:r>
      <w:r w:rsidRPr="003C44C4">
        <w:rPr>
          <w:rFonts w:eastAsiaTheme="minorEastAsia" w:cstheme="minorHAnsi"/>
          <w:i/>
          <w:iCs/>
        </w:rPr>
        <w:t xml:space="preserve">ffective </w:t>
      </w:r>
      <w:r w:rsidR="00955E3F" w:rsidRPr="003C44C4">
        <w:rPr>
          <w:rFonts w:cstheme="minorHAnsi"/>
          <w:i/>
          <w:iCs/>
        </w:rPr>
        <w:t>T</w:t>
      </w:r>
      <w:r w:rsidRPr="003C44C4">
        <w:rPr>
          <w:rFonts w:eastAsiaTheme="minorEastAsia" w:cstheme="minorHAnsi"/>
          <w:i/>
          <w:iCs/>
        </w:rPr>
        <w:t xml:space="preserve">hroughcare </w:t>
      </w:r>
      <w:r w:rsidR="00955E3F" w:rsidRPr="003C44C4">
        <w:rPr>
          <w:rFonts w:cstheme="minorHAnsi"/>
          <w:i/>
          <w:iCs/>
        </w:rPr>
        <w:t>A</w:t>
      </w:r>
      <w:r w:rsidRPr="003C44C4">
        <w:rPr>
          <w:rFonts w:eastAsiaTheme="minorEastAsia" w:cstheme="minorHAnsi"/>
          <w:i/>
          <w:iCs/>
        </w:rPr>
        <w:t xml:space="preserve">pproaches for Indigenous </w:t>
      </w:r>
      <w:r w:rsidR="00955E3F" w:rsidRPr="003C44C4">
        <w:rPr>
          <w:rFonts w:cstheme="minorHAnsi"/>
          <w:i/>
          <w:iCs/>
        </w:rPr>
        <w:t>P</w:t>
      </w:r>
      <w:r w:rsidRPr="003C44C4">
        <w:rPr>
          <w:rFonts w:eastAsiaTheme="minorEastAsia" w:cstheme="minorHAnsi"/>
          <w:i/>
          <w:iCs/>
        </w:rPr>
        <w:t xml:space="preserve">eople </w:t>
      </w:r>
      <w:r w:rsidR="00955E3F" w:rsidRPr="003C44C4">
        <w:rPr>
          <w:rFonts w:cstheme="minorHAnsi"/>
          <w:i/>
          <w:iCs/>
        </w:rPr>
        <w:t>L</w:t>
      </w:r>
      <w:r w:rsidRPr="003C44C4">
        <w:rPr>
          <w:rFonts w:eastAsiaTheme="minorEastAsia" w:cstheme="minorHAnsi"/>
          <w:i/>
          <w:iCs/>
        </w:rPr>
        <w:t xml:space="preserve">eaving </w:t>
      </w:r>
      <w:r w:rsidR="00955E3F" w:rsidRPr="003C44C4">
        <w:rPr>
          <w:rFonts w:cstheme="minorHAnsi"/>
          <w:i/>
          <w:iCs/>
        </w:rPr>
        <w:t>P</w:t>
      </w:r>
      <w:r w:rsidRPr="003C44C4">
        <w:rPr>
          <w:rFonts w:eastAsiaTheme="minorEastAsia" w:cstheme="minorHAnsi"/>
          <w:i/>
          <w:iCs/>
        </w:rPr>
        <w:t>rison in Australia and New Zealand</w:t>
      </w:r>
      <w:r w:rsidR="00955E3F" w:rsidRPr="003C44C4">
        <w:rPr>
          <w:rFonts w:cstheme="minorHAnsi"/>
        </w:rPr>
        <w:t xml:space="preserve">, </w:t>
      </w:r>
      <w:r w:rsidRPr="003C44C4">
        <w:rPr>
          <w:rFonts w:eastAsiaTheme="minorEastAsia" w:cstheme="minorHAnsi"/>
        </w:rPr>
        <w:t>Research Brief 25</w:t>
      </w:r>
      <w:r w:rsidR="00955E3F" w:rsidRPr="003C44C4">
        <w:rPr>
          <w:rFonts w:cstheme="minorHAnsi"/>
        </w:rPr>
        <w:t>,</w:t>
      </w:r>
      <w:r w:rsidRPr="003C44C4">
        <w:rPr>
          <w:rFonts w:eastAsiaTheme="minorEastAsia" w:cstheme="minorHAnsi"/>
        </w:rPr>
        <w:t xml:space="preserve"> Indigenous Justice Clearinghouse </w:t>
      </w:r>
      <w:r w:rsidRPr="003C44C4">
        <w:rPr>
          <w:rFonts w:eastAsiaTheme="minorEastAsia" w:cstheme="minorHAnsi"/>
          <w:u w:val="single"/>
        </w:rPr>
        <w:t>https://www.indigenousjustice.gov.au/wp-content/uploads/mp/files/publications/files/ijc-effective-throughcare-approaches-research-brief-25.pdf</w:t>
      </w:r>
    </w:p>
    <w:p w14:paraId="2C6CCBFE" w14:textId="77777777" w:rsidR="003C44C4" w:rsidRDefault="003C44C4" w:rsidP="003C44C4">
      <w:pPr>
        <w:rPr>
          <w:rFonts w:eastAsiaTheme="minorEastAsia" w:cstheme="minorHAnsi"/>
        </w:rPr>
      </w:pPr>
    </w:p>
    <w:p w14:paraId="3BEAD59C" w14:textId="760102A5" w:rsidR="003C44C4" w:rsidRDefault="008C45E2" w:rsidP="003C44C4">
      <w:pPr>
        <w:rPr>
          <w:rFonts w:cstheme="minorHAnsi"/>
          <w:u w:val="single"/>
        </w:rPr>
      </w:pPr>
      <w:r w:rsidRPr="003C44C4">
        <w:rPr>
          <w:rFonts w:eastAsiaTheme="minorEastAsia" w:cstheme="minorHAnsi"/>
        </w:rPr>
        <w:t xml:space="preserve">Haswell, M. et al. (2014) </w:t>
      </w:r>
      <w:r w:rsidRPr="003C44C4">
        <w:rPr>
          <w:rFonts w:eastAsiaTheme="minorEastAsia" w:cstheme="minorHAnsi"/>
          <w:i/>
          <w:iCs/>
        </w:rPr>
        <w:t>Returning Home, Back to Community</w:t>
      </w:r>
      <w:r w:rsidR="00A53117" w:rsidRPr="003C44C4">
        <w:rPr>
          <w:rFonts w:cstheme="minorHAnsi"/>
          <w:i/>
          <w:iCs/>
        </w:rPr>
        <w:t xml:space="preserve"> - </w:t>
      </w:r>
      <w:r w:rsidRPr="003C44C4">
        <w:rPr>
          <w:rFonts w:eastAsiaTheme="minorEastAsia" w:cstheme="minorHAnsi"/>
          <w:i/>
          <w:iCs/>
        </w:rPr>
        <w:t xml:space="preserve">Custodial Care Learnings from the </w:t>
      </w:r>
      <w:r w:rsidR="00955E3F" w:rsidRPr="003C44C4">
        <w:rPr>
          <w:rFonts w:cstheme="minorHAnsi"/>
          <w:i/>
          <w:iCs/>
        </w:rPr>
        <w:t>Pilot</w:t>
      </w:r>
      <w:r w:rsidRPr="003C44C4">
        <w:rPr>
          <w:rFonts w:eastAsiaTheme="minorEastAsia" w:cstheme="minorHAnsi"/>
          <w:i/>
          <w:iCs/>
        </w:rPr>
        <w:t xml:space="preserve"> </w:t>
      </w:r>
      <w:r w:rsidR="00955E3F" w:rsidRPr="003C44C4">
        <w:rPr>
          <w:rFonts w:cstheme="minorHAnsi"/>
          <w:i/>
          <w:iCs/>
        </w:rPr>
        <w:t>P</w:t>
      </w:r>
      <w:r w:rsidRPr="003C44C4">
        <w:rPr>
          <w:rFonts w:eastAsiaTheme="minorEastAsia" w:cstheme="minorHAnsi"/>
          <w:i/>
          <w:iCs/>
        </w:rPr>
        <w:t xml:space="preserve">roject </w:t>
      </w:r>
      <w:r w:rsidR="00955E3F" w:rsidRPr="003C44C4">
        <w:rPr>
          <w:rFonts w:cstheme="minorHAnsi"/>
          <w:i/>
          <w:iCs/>
        </w:rPr>
        <w:t>E</w:t>
      </w:r>
      <w:r w:rsidRPr="003C44C4">
        <w:rPr>
          <w:rFonts w:eastAsiaTheme="minorEastAsia" w:cstheme="minorHAnsi"/>
          <w:i/>
          <w:iCs/>
        </w:rPr>
        <w:t xml:space="preserve">valuation of </w:t>
      </w:r>
      <w:r w:rsidR="00955E3F" w:rsidRPr="003C44C4">
        <w:rPr>
          <w:rFonts w:cstheme="minorHAnsi"/>
          <w:i/>
          <w:iCs/>
        </w:rPr>
        <w:t>T</w:t>
      </w:r>
      <w:r w:rsidRPr="003C44C4">
        <w:rPr>
          <w:rFonts w:eastAsiaTheme="minorEastAsia" w:cstheme="minorHAnsi"/>
          <w:i/>
          <w:iCs/>
        </w:rPr>
        <w:t xml:space="preserve">hree </w:t>
      </w:r>
      <w:r w:rsidR="00955E3F" w:rsidRPr="003C44C4">
        <w:rPr>
          <w:rFonts w:cstheme="minorHAnsi"/>
          <w:i/>
          <w:iCs/>
        </w:rPr>
        <w:t>S</w:t>
      </w:r>
      <w:r w:rsidRPr="003C44C4">
        <w:rPr>
          <w:rFonts w:eastAsiaTheme="minorEastAsia" w:cstheme="minorHAnsi"/>
          <w:i/>
          <w:iCs/>
        </w:rPr>
        <w:t xml:space="preserve">ites </w:t>
      </w:r>
      <w:r w:rsidR="00955E3F" w:rsidRPr="003C44C4">
        <w:rPr>
          <w:rFonts w:cstheme="minorHAnsi"/>
          <w:i/>
          <w:iCs/>
        </w:rPr>
        <w:t>A</w:t>
      </w:r>
      <w:r w:rsidRPr="003C44C4">
        <w:rPr>
          <w:rFonts w:eastAsiaTheme="minorEastAsia" w:cstheme="minorHAnsi"/>
          <w:i/>
          <w:iCs/>
        </w:rPr>
        <w:t>round Australia</w:t>
      </w:r>
      <w:r w:rsidR="00955E3F" w:rsidRPr="003C44C4">
        <w:rPr>
          <w:rFonts w:cstheme="minorHAnsi"/>
          <w:i/>
          <w:iCs/>
        </w:rPr>
        <w:t xml:space="preserve">, </w:t>
      </w:r>
      <w:r w:rsidRPr="003C44C4">
        <w:rPr>
          <w:rFonts w:eastAsiaTheme="minorEastAsia" w:cstheme="minorHAnsi"/>
        </w:rPr>
        <w:t xml:space="preserve">Muru Marri, School of Public Health and Community Medicine, UNSW Australia, Sydney </w:t>
      </w:r>
      <w:r w:rsidR="003C44C4" w:rsidRPr="003C44C4">
        <w:rPr>
          <w:rFonts w:eastAsiaTheme="minorEastAsia" w:cstheme="minorHAnsi"/>
          <w:u w:val="single"/>
        </w:rPr>
        <w:t>https://nceph.anu.edu.au/files/Returning%20Home%20FINAL%20report%20August%202014.pdf</w:t>
      </w:r>
    </w:p>
    <w:p w14:paraId="7F8087E6" w14:textId="77777777" w:rsidR="003C44C4" w:rsidRDefault="003C44C4" w:rsidP="003C44C4">
      <w:pPr>
        <w:rPr>
          <w:rFonts w:cstheme="minorHAnsi"/>
          <w:u w:val="single"/>
        </w:rPr>
      </w:pPr>
    </w:p>
    <w:p w14:paraId="601778A7" w14:textId="6F87E1D8" w:rsidR="003C44C4" w:rsidRDefault="008C45E2" w:rsidP="003C44C4">
      <w:pPr>
        <w:rPr>
          <w:rFonts w:cstheme="minorHAnsi"/>
          <w:u w:val="single"/>
        </w:rPr>
      </w:pPr>
      <w:r w:rsidRPr="008C45E2">
        <w:rPr>
          <w:rFonts w:eastAsiaTheme="minorEastAsia" w:cstheme="minorHAnsi"/>
        </w:rPr>
        <w:t xml:space="preserve">Kendall, S. et al.  (2018) </w:t>
      </w:r>
      <w:r w:rsidRPr="008C45E2">
        <w:rPr>
          <w:rFonts w:eastAsiaTheme="minorEastAsia" w:cstheme="minorHAnsi"/>
          <w:i/>
          <w:iCs/>
        </w:rPr>
        <w:t xml:space="preserve">Systematic </w:t>
      </w:r>
      <w:r w:rsidR="00955E3F" w:rsidRPr="003C44C4">
        <w:rPr>
          <w:rFonts w:cstheme="minorHAnsi"/>
          <w:i/>
          <w:iCs/>
        </w:rPr>
        <w:t>R</w:t>
      </w:r>
      <w:r w:rsidRPr="008C45E2">
        <w:rPr>
          <w:rFonts w:eastAsiaTheme="minorEastAsia" w:cstheme="minorHAnsi"/>
          <w:i/>
          <w:iCs/>
        </w:rPr>
        <w:t xml:space="preserve">eview of </w:t>
      </w:r>
      <w:r w:rsidR="00955E3F" w:rsidRPr="003C44C4">
        <w:rPr>
          <w:rFonts w:cstheme="minorHAnsi"/>
          <w:i/>
          <w:iCs/>
        </w:rPr>
        <w:t>Q</w:t>
      </w:r>
      <w:r w:rsidRPr="008C45E2">
        <w:rPr>
          <w:rFonts w:eastAsiaTheme="minorEastAsia" w:cstheme="minorHAnsi"/>
          <w:i/>
          <w:iCs/>
        </w:rPr>
        <w:t xml:space="preserve">ualitative </w:t>
      </w:r>
      <w:r w:rsidR="00955E3F" w:rsidRPr="003C44C4">
        <w:rPr>
          <w:rFonts w:cstheme="minorHAnsi"/>
          <w:i/>
          <w:iCs/>
        </w:rPr>
        <w:t>E</w:t>
      </w:r>
      <w:r w:rsidRPr="008C45E2">
        <w:rPr>
          <w:rFonts w:eastAsiaTheme="minorEastAsia" w:cstheme="minorHAnsi"/>
          <w:i/>
          <w:iCs/>
        </w:rPr>
        <w:t xml:space="preserve">valuations of </w:t>
      </w:r>
      <w:r w:rsidR="00955E3F" w:rsidRPr="003C44C4">
        <w:rPr>
          <w:rFonts w:cstheme="minorHAnsi"/>
          <w:i/>
          <w:iCs/>
        </w:rPr>
        <w:t>R</w:t>
      </w:r>
      <w:r w:rsidRPr="008C45E2">
        <w:rPr>
          <w:rFonts w:eastAsiaTheme="minorEastAsia" w:cstheme="minorHAnsi"/>
          <w:i/>
          <w:iCs/>
        </w:rPr>
        <w:t>e</w:t>
      </w:r>
      <w:r w:rsidR="00955E3F" w:rsidRPr="003C44C4">
        <w:rPr>
          <w:rFonts w:cstheme="minorHAnsi"/>
          <w:i/>
          <w:iCs/>
        </w:rPr>
        <w:t>-</w:t>
      </w:r>
      <w:r w:rsidRPr="008C45E2">
        <w:rPr>
          <w:rFonts w:eastAsiaTheme="minorEastAsia" w:cstheme="minorHAnsi"/>
          <w:i/>
          <w:iCs/>
        </w:rPr>
        <w:t xml:space="preserve">entry </w:t>
      </w:r>
      <w:r w:rsidR="00955E3F" w:rsidRPr="003C44C4">
        <w:rPr>
          <w:rFonts w:cstheme="minorHAnsi"/>
          <w:i/>
          <w:iCs/>
        </w:rPr>
        <w:t>P</w:t>
      </w:r>
      <w:r w:rsidRPr="008C45E2">
        <w:rPr>
          <w:rFonts w:eastAsiaTheme="minorEastAsia" w:cstheme="minorHAnsi"/>
          <w:i/>
          <w:iCs/>
        </w:rPr>
        <w:t xml:space="preserve">rograms </w:t>
      </w:r>
      <w:r w:rsidR="00955E3F" w:rsidRPr="003C44C4">
        <w:rPr>
          <w:rFonts w:cstheme="minorHAnsi"/>
          <w:i/>
          <w:iCs/>
        </w:rPr>
        <w:t>A</w:t>
      </w:r>
      <w:r w:rsidRPr="008C45E2">
        <w:rPr>
          <w:rFonts w:eastAsiaTheme="minorEastAsia" w:cstheme="minorHAnsi"/>
          <w:i/>
          <w:iCs/>
        </w:rPr>
        <w:t xml:space="preserve">ddressing </w:t>
      </w:r>
      <w:r w:rsidR="00955E3F" w:rsidRPr="003C44C4">
        <w:rPr>
          <w:rFonts w:cstheme="minorHAnsi"/>
          <w:i/>
          <w:iCs/>
        </w:rPr>
        <w:t>P</w:t>
      </w:r>
      <w:r w:rsidRPr="008C45E2">
        <w:rPr>
          <w:rFonts w:eastAsiaTheme="minorEastAsia" w:cstheme="minorHAnsi"/>
          <w:i/>
          <w:iCs/>
        </w:rPr>
        <w:t xml:space="preserve">roblematic </w:t>
      </w:r>
      <w:r w:rsidR="00955E3F" w:rsidRPr="003C44C4">
        <w:rPr>
          <w:rFonts w:cstheme="minorHAnsi"/>
          <w:i/>
          <w:iCs/>
        </w:rPr>
        <w:t>D</w:t>
      </w:r>
      <w:r w:rsidRPr="008C45E2">
        <w:rPr>
          <w:rFonts w:eastAsiaTheme="minorEastAsia" w:cstheme="minorHAnsi"/>
          <w:i/>
          <w:iCs/>
        </w:rPr>
        <w:t xml:space="preserve">rug </w:t>
      </w:r>
      <w:r w:rsidR="00955E3F" w:rsidRPr="003C44C4">
        <w:rPr>
          <w:rFonts w:cstheme="minorHAnsi"/>
          <w:i/>
          <w:iCs/>
        </w:rPr>
        <w:t>U</w:t>
      </w:r>
      <w:r w:rsidRPr="008C45E2">
        <w:rPr>
          <w:rFonts w:eastAsiaTheme="minorEastAsia" w:cstheme="minorHAnsi"/>
          <w:i/>
          <w:iCs/>
        </w:rPr>
        <w:t xml:space="preserve">se and </w:t>
      </w:r>
      <w:r w:rsidR="00955E3F" w:rsidRPr="003C44C4">
        <w:rPr>
          <w:rFonts w:cstheme="minorHAnsi"/>
          <w:i/>
          <w:iCs/>
        </w:rPr>
        <w:t>M</w:t>
      </w:r>
      <w:r w:rsidRPr="008C45E2">
        <w:rPr>
          <w:rFonts w:eastAsiaTheme="minorEastAsia" w:cstheme="minorHAnsi"/>
          <w:i/>
          <w:iCs/>
        </w:rPr>
        <w:t xml:space="preserve">ental </w:t>
      </w:r>
      <w:r w:rsidR="00955E3F" w:rsidRPr="003C44C4">
        <w:rPr>
          <w:rFonts w:cstheme="minorHAnsi"/>
          <w:i/>
          <w:iCs/>
        </w:rPr>
        <w:t>H</w:t>
      </w:r>
      <w:r w:rsidRPr="008C45E2">
        <w:rPr>
          <w:rFonts w:eastAsiaTheme="minorEastAsia" w:cstheme="minorHAnsi"/>
          <w:i/>
          <w:iCs/>
        </w:rPr>
        <w:t xml:space="preserve">ealth </w:t>
      </w:r>
      <w:r w:rsidR="00955E3F" w:rsidRPr="003C44C4">
        <w:rPr>
          <w:rFonts w:cstheme="minorHAnsi"/>
          <w:i/>
          <w:iCs/>
        </w:rPr>
        <w:t>D</w:t>
      </w:r>
      <w:r w:rsidRPr="008C45E2">
        <w:rPr>
          <w:rFonts w:eastAsiaTheme="minorEastAsia" w:cstheme="minorHAnsi"/>
          <w:i/>
          <w:iCs/>
        </w:rPr>
        <w:t xml:space="preserve">isorders </w:t>
      </w:r>
      <w:r w:rsidR="00955E3F" w:rsidRPr="003C44C4">
        <w:rPr>
          <w:rFonts w:cstheme="minorHAnsi"/>
          <w:i/>
          <w:iCs/>
        </w:rPr>
        <w:t>A</w:t>
      </w:r>
      <w:r w:rsidRPr="008C45E2">
        <w:rPr>
          <w:rFonts w:eastAsiaTheme="minorEastAsia" w:cstheme="minorHAnsi"/>
          <w:i/>
          <w:iCs/>
        </w:rPr>
        <w:t xml:space="preserve">mongst </w:t>
      </w:r>
      <w:r w:rsidR="00955E3F" w:rsidRPr="003C44C4">
        <w:rPr>
          <w:rFonts w:cstheme="minorHAnsi"/>
          <w:i/>
          <w:iCs/>
        </w:rPr>
        <w:t>P</w:t>
      </w:r>
      <w:r w:rsidRPr="008C45E2">
        <w:rPr>
          <w:rFonts w:eastAsiaTheme="minorEastAsia" w:cstheme="minorHAnsi"/>
          <w:i/>
          <w:iCs/>
        </w:rPr>
        <w:t xml:space="preserve">eople </w:t>
      </w:r>
      <w:r w:rsidR="00955E3F" w:rsidRPr="003C44C4">
        <w:rPr>
          <w:rFonts w:cstheme="minorHAnsi"/>
          <w:i/>
          <w:iCs/>
        </w:rPr>
        <w:t>T</w:t>
      </w:r>
      <w:r w:rsidRPr="008C45E2">
        <w:rPr>
          <w:rFonts w:eastAsiaTheme="minorEastAsia" w:cstheme="minorHAnsi"/>
          <w:i/>
          <w:iCs/>
        </w:rPr>
        <w:t xml:space="preserve">ransitioning from </w:t>
      </w:r>
      <w:r w:rsidR="00955E3F" w:rsidRPr="003C44C4">
        <w:rPr>
          <w:rFonts w:cstheme="minorHAnsi"/>
          <w:i/>
          <w:iCs/>
        </w:rPr>
        <w:t>P</w:t>
      </w:r>
      <w:r w:rsidRPr="008C45E2">
        <w:rPr>
          <w:rFonts w:eastAsiaTheme="minorEastAsia" w:cstheme="minorHAnsi"/>
          <w:i/>
          <w:iCs/>
        </w:rPr>
        <w:t xml:space="preserve">rison to </w:t>
      </w:r>
      <w:r w:rsidR="00955E3F" w:rsidRPr="003C44C4">
        <w:rPr>
          <w:rFonts w:cstheme="minorHAnsi"/>
          <w:i/>
          <w:iCs/>
        </w:rPr>
        <w:t>C</w:t>
      </w:r>
      <w:r w:rsidRPr="008C45E2">
        <w:rPr>
          <w:rFonts w:eastAsiaTheme="minorEastAsia" w:cstheme="minorHAnsi"/>
          <w:i/>
          <w:iCs/>
        </w:rPr>
        <w:t>ommunities</w:t>
      </w:r>
      <w:r w:rsidR="00955E3F" w:rsidRPr="003C44C4">
        <w:rPr>
          <w:rFonts w:cstheme="minorHAnsi"/>
          <w:i/>
          <w:iCs/>
        </w:rPr>
        <w:t>,</w:t>
      </w:r>
      <w:r w:rsidRPr="008C45E2">
        <w:rPr>
          <w:rFonts w:eastAsiaTheme="minorEastAsia" w:cstheme="minorHAnsi"/>
        </w:rPr>
        <w:t xml:space="preserve"> Health Justice 6</w:t>
      </w:r>
      <w:r w:rsidR="00A53117" w:rsidRPr="003C44C4">
        <w:rPr>
          <w:rFonts w:cstheme="minorHAnsi"/>
        </w:rPr>
        <w:t xml:space="preserve"> (</w:t>
      </w:r>
      <w:r w:rsidRPr="008C45E2">
        <w:rPr>
          <w:rFonts w:eastAsiaTheme="minorEastAsia" w:cstheme="minorHAnsi"/>
        </w:rPr>
        <w:t>4</w:t>
      </w:r>
      <w:r w:rsidR="00A53117" w:rsidRPr="003C44C4">
        <w:rPr>
          <w:rFonts w:cstheme="minorHAnsi"/>
        </w:rPr>
        <w:t>)</w:t>
      </w:r>
      <w:r w:rsidRPr="008C45E2">
        <w:rPr>
          <w:rFonts w:eastAsiaTheme="minorEastAsia" w:cstheme="minorHAnsi"/>
        </w:rPr>
        <w:t xml:space="preserve"> </w:t>
      </w:r>
      <w:r w:rsidR="003C44C4" w:rsidRPr="008C45E2">
        <w:rPr>
          <w:rFonts w:eastAsiaTheme="minorEastAsia" w:cstheme="minorHAnsi"/>
          <w:u w:val="single"/>
        </w:rPr>
        <w:t>https://healthandjusticejournal.biomedcentral.com/articles/10.1186/s40352-018-0063-8</w:t>
      </w:r>
    </w:p>
    <w:p w14:paraId="6A100C61" w14:textId="77777777" w:rsidR="003C44C4" w:rsidRDefault="003C44C4" w:rsidP="003C44C4">
      <w:pPr>
        <w:rPr>
          <w:rFonts w:cstheme="minorHAnsi"/>
          <w:u w:val="single"/>
        </w:rPr>
      </w:pPr>
    </w:p>
    <w:p w14:paraId="09850CFA" w14:textId="77777777" w:rsidR="003C44C4" w:rsidRDefault="008C45E2" w:rsidP="003C44C4">
      <w:pPr>
        <w:rPr>
          <w:rFonts w:cstheme="minorHAnsi"/>
          <w:u w:val="single"/>
        </w:rPr>
      </w:pPr>
      <w:r w:rsidRPr="008C45E2">
        <w:rPr>
          <w:rFonts w:eastAsiaTheme="minorEastAsia" w:cstheme="minorHAnsi"/>
        </w:rPr>
        <w:t>Queensland Government Statistician’s Office, Queensland Treasury</w:t>
      </w:r>
      <w:r w:rsidR="00955E3F" w:rsidRPr="003C44C4">
        <w:rPr>
          <w:rFonts w:cstheme="minorHAnsi"/>
        </w:rPr>
        <w:t xml:space="preserve"> </w:t>
      </w:r>
      <w:r w:rsidRPr="008C45E2">
        <w:rPr>
          <w:rFonts w:eastAsiaTheme="minorEastAsia" w:cstheme="minorHAnsi"/>
        </w:rPr>
        <w:t xml:space="preserve">(2021) </w:t>
      </w:r>
      <w:r w:rsidRPr="008C45E2">
        <w:rPr>
          <w:rFonts w:eastAsiaTheme="minorEastAsia" w:cstheme="minorHAnsi"/>
          <w:i/>
          <w:iCs/>
        </w:rPr>
        <w:t xml:space="preserve">Wise </w:t>
      </w:r>
      <w:r w:rsidR="00955E3F" w:rsidRPr="003C44C4">
        <w:rPr>
          <w:rFonts w:cstheme="minorHAnsi"/>
          <w:i/>
          <w:iCs/>
        </w:rPr>
        <w:t>P</w:t>
      </w:r>
      <w:r w:rsidRPr="008C45E2">
        <w:rPr>
          <w:rFonts w:eastAsiaTheme="minorEastAsia" w:cstheme="minorHAnsi"/>
          <w:i/>
          <w:iCs/>
        </w:rPr>
        <w:t xml:space="preserve">ractice for </w:t>
      </w:r>
      <w:r w:rsidR="00955E3F" w:rsidRPr="003C44C4">
        <w:rPr>
          <w:rFonts w:cstheme="minorHAnsi"/>
          <w:i/>
          <w:iCs/>
        </w:rPr>
        <w:t>D</w:t>
      </w:r>
      <w:r w:rsidRPr="008C45E2">
        <w:rPr>
          <w:rFonts w:eastAsiaTheme="minorEastAsia" w:cstheme="minorHAnsi"/>
          <w:i/>
          <w:iCs/>
        </w:rPr>
        <w:t xml:space="preserve">esigning and </w:t>
      </w:r>
      <w:r w:rsidR="00955E3F" w:rsidRPr="003C44C4">
        <w:rPr>
          <w:rFonts w:cstheme="minorHAnsi"/>
          <w:i/>
          <w:iCs/>
        </w:rPr>
        <w:t>I</w:t>
      </w:r>
      <w:r w:rsidRPr="008C45E2">
        <w:rPr>
          <w:rFonts w:eastAsiaTheme="minorEastAsia" w:cstheme="minorHAnsi"/>
          <w:i/>
          <w:iCs/>
        </w:rPr>
        <w:t xml:space="preserve">mplementing </w:t>
      </w:r>
      <w:r w:rsidR="00955E3F" w:rsidRPr="003C44C4">
        <w:rPr>
          <w:rFonts w:cstheme="minorHAnsi"/>
          <w:i/>
          <w:iCs/>
        </w:rPr>
        <w:t>C</w:t>
      </w:r>
      <w:r w:rsidRPr="008C45E2">
        <w:rPr>
          <w:rFonts w:eastAsiaTheme="minorEastAsia" w:cstheme="minorHAnsi"/>
          <w:i/>
          <w:iCs/>
        </w:rPr>
        <w:t xml:space="preserve">riminal </w:t>
      </w:r>
      <w:r w:rsidR="00955E3F" w:rsidRPr="003C44C4">
        <w:rPr>
          <w:rFonts w:cstheme="minorHAnsi"/>
          <w:i/>
          <w:iCs/>
        </w:rPr>
        <w:t>J</w:t>
      </w:r>
      <w:r w:rsidRPr="008C45E2">
        <w:rPr>
          <w:rFonts w:eastAsiaTheme="minorEastAsia" w:cstheme="minorHAnsi"/>
          <w:i/>
          <w:iCs/>
        </w:rPr>
        <w:t xml:space="preserve">ustice </w:t>
      </w:r>
      <w:r w:rsidR="00955E3F" w:rsidRPr="003C44C4">
        <w:rPr>
          <w:rFonts w:cstheme="minorHAnsi"/>
          <w:i/>
          <w:iCs/>
        </w:rPr>
        <w:t>P</w:t>
      </w:r>
      <w:r w:rsidRPr="008C45E2">
        <w:rPr>
          <w:rFonts w:eastAsiaTheme="minorEastAsia" w:cstheme="minorHAnsi"/>
          <w:i/>
          <w:iCs/>
        </w:rPr>
        <w:t xml:space="preserve">rograms for Aboriginal and Torres Strait Islander </w:t>
      </w:r>
      <w:r w:rsidR="00955E3F" w:rsidRPr="003C44C4">
        <w:rPr>
          <w:rFonts w:cstheme="minorHAnsi"/>
          <w:i/>
          <w:iCs/>
        </w:rPr>
        <w:t>P</w:t>
      </w:r>
      <w:r w:rsidRPr="008C45E2">
        <w:rPr>
          <w:rFonts w:eastAsiaTheme="minorEastAsia" w:cstheme="minorHAnsi"/>
          <w:i/>
          <w:iCs/>
        </w:rPr>
        <w:t>eoples</w:t>
      </w:r>
      <w:r w:rsidR="00955E3F" w:rsidRPr="003C44C4">
        <w:rPr>
          <w:rFonts w:cstheme="minorHAnsi"/>
          <w:i/>
          <w:iCs/>
        </w:rPr>
        <w:t>,</w:t>
      </w:r>
      <w:r w:rsidRPr="008C45E2">
        <w:rPr>
          <w:rFonts w:eastAsiaTheme="minorEastAsia" w:cstheme="minorHAnsi"/>
        </w:rPr>
        <w:t xml:space="preserve"> Research </w:t>
      </w:r>
      <w:r w:rsidR="00955E3F" w:rsidRPr="003C44C4">
        <w:rPr>
          <w:rFonts w:cstheme="minorHAnsi"/>
        </w:rPr>
        <w:t>R</w:t>
      </w:r>
      <w:r w:rsidRPr="008C45E2">
        <w:rPr>
          <w:rFonts w:eastAsiaTheme="minorEastAsia" w:cstheme="minorHAnsi"/>
        </w:rPr>
        <w:t>eport</w:t>
      </w:r>
      <w:r w:rsidR="00955E3F" w:rsidRPr="003C44C4">
        <w:rPr>
          <w:rFonts w:cstheme="minorHAnsi"/>
        </w:rPr>
        <w:t xml:space="preserve"> </w:t>
      </w:r>
      <w:r w:rsidRPr="008C45E2">
        <w:rPr>
          <w:rFonts w:eastAsiaTheme="minorEastAsia" w:cstheme="minorHAnsi"/>
          <w:u w:val="single"/>
        </w:rPr>
        <w:t>https://www.qgso.qld.gov.au/issues/10316/wise-practice-designing-implementing-criminal-justice-programs-aboriginal-torres-strait-islander-peoples-april-2021-edn.pdf</w:t>
      </w:r>
      <w:r w:rsidRPr="008C45E2">
        <w:rPr>
          <w:rFonts w:eastAsiaTheme="minorEastAsia" w:cstheme="minorHAnsi"/>
        </w:rPr>
        <w:t xml:space="preserve"> </w:t>
      </w:r>
    </w:p>
    <w:p w14:paraId="157B47CF" w14:textId="77777777" w:rsidR="003C44C4" w:rsidRDefault="003C44C4" w:rsidP="003C44C4">
      <w:pPr>
        <w:rPr>
          <w:rFonts w:cstheme="minorHAnsi"/>
          <w:u w:val="single"/>
        </w:rPr>
      </w:pPr>
    </w:p>
    <w:p w14:paraId="1B8AC7EE" w14:textId="1FCF71F9" w:rsidR="008C45E2" w:rsidRPr="008C45E2" w:rsidRDefault="008C45E2" w:rsidP="003C44C4">
      <w:pPr>
        <w:rPr>
          <w:rFonts w:cstheme="minorHAnsi"/>
          <w:u w:val="single"/>
        </w:rPr>
      </w:pPr>
      <w:r w:rsidRPr="008C45E2">
        <w:rPr>
          <w:rFonts w:eastAsiaTheme="minorEastAsia" w:cstheme="minorHAnsi"/>
        </w:rPr>
        <w:t xml:space="preserve">Malloch, M.S., McIvor, G., Schinkel, M.  and Armstrong, S. (2013) </w:t>
      </w:r>
      <w:r w:rsidRPr="008C45E2">
        <w:rPr>
          <w:rFonts w:eastAsiaTheme="minorEastAsia" w:cstheme="minorHAnsi"/>
          <w:i/>
          <w:iCs/>
        </w:rPr>
        <w:t>The Elements of Effective Through-care - Part 1: International Review</w:t>
      </w:r>
      <w:r w:rsidR="00A53117" w:rsidRPr="003C44C4">
        <w:rPr>
          <w:rFonts w:cstheme="minorHAnsi"/>
        </w:rPr>
        <w:t xml:space="preserve">, </w:t>
      </w:r>
      <w:r w:rsidRPr="008C45E2">
        <w:rPr>
          <w:rFonts w:eastAsiaTheme="minorEastAsia" w:cstheme="minorHAnsi"/>
        </w:rPr>
        <w:t>Scottish Government - Community Justice Services</w:t>
      </w:r>
      <w:r w:rsidR="00A53117" w:rsidRPr="003C44C4">
        <w:rPr>
          <w:rFonts w:cstheme="minorHAnsi"/>
        </w:rPr>
        <w:t xml:space="preserve">, </w:t>
      </w:r>
      <w:r w:rsidRPr="008C45E2">
        <w:rPr>
          <w:rFonts w:eastAsiaTheme="minorEastAsia" w:cstheme="minorHAnsi"/>
        </w:rPr>
        <w:t>Technical Report</w:t>
      </w:r>
      <w:r w:rsidR="00A53117" w:rsidRPr="003C44C4">
        <w:rPr>
          <w:rFonts w:cstheme="minorHAnsi"/>
        </w:rPr>
        <w:t xml:space="preserve">, </w:t>
      </w:r>
      <w:r w:rsidRPr="008C45E2">
        <w:rPr>
          <w:rFonts w:eastAsiaTheme="minorEastAsia" w:cstheme="minorHAnsi"/>
        </w:rPr>
        <w:t xml:space="preserve">Scottish Centre for Crime and Justice Research, Glasgow </w:t>
      </w:r>
      <w:r w:rsidRPr="008C45E2">
        <w:rPr>
          <w:rFonts w:eastAsiaTheme="minorEastAsia" w:cstheme="minorHAnsi"/>
          <w:u w:val="single"/>
        </w:rPr>
        <w:t>http://eprints.gla.ac.uk/116854/</w:t>
      </w:r>
      <w:r w:rsidRPr="008C45E2">
        <w:rPr>
          <w:rFonts w:eastAsiaTheme="minorEastAsia" w:cstheme="minorHAnsi"/>
        </w:rPr>
        <w:t xml:space="preserve"> </w:t>
      </w:r>
    </w:p>
    <w:p w14:paraId="55DB43FD" w14:textId="77777777" w:rsidR="003C44C4" w:rsidRDefault="003C44C4" w:rsidP="003C44C4">
      <w:pPr>
        <w:rPr>
          <w:rFonts w:eastAsiaTheme="minorEastAsia" w:cstheme="minorHAnsi"/>
        </w:rPr>
      </w:pPr>
    </w:p>
    <w:p w14:paraId="6C943B6A" w14:textId="357EA060" w:rsidR="008C45E2" w:rsidRPr="003C44C4" w:rsidRDefault="008C45E2" w:rsidP="003C44C4">
      <w:pPr>
        <w:rPr>
          <w:rFonts w:cstheme="minorHAnsi"/>
        </w:rPr>
      </w:pPr>
      <w:r w:rsidRPr="003C44C4">
        <w:rPr>
          <w:rFonts w:eastAsiaTheme="minorEastAsia" w:cstheme="minorHAnsi"/>
        </w:rPr>
        <w:t xml:space="preserve">PWC (2017). </w:t>
      </w:r>
      <w:r w:rsidRPr="003C44C4">
        <w:rPr>
          <w:rFonts w:eastAsiaTheme="minorEastAsia" w:cstheme="minorHAnsi"/>
          <w:i/>
          <w:iCs/>
        </w:rPr>
        <w:t xml:space="preserve">Indigenous </w:t>
      </w:r>
      <w:r w:rsidR="00A53117" w:rsidRPr="003C44C4">
        <w:rPr>
          <w:rFonts w:cstheme="minorHAnsi"/>
          <w:i/>
          <w:iCs/>
        </w:rPr>
        <w:t>I</w:t>
      </w:r>
      <w:r w:rsidRPr="003C44C4">
        <w:rPr>
          <w:rFonts w:eastAsiaTheme="minorEastAsia" w:cstheme="minorHAnsi"/>
          <w:i/>
          <w:iCs/>
        </w:rPr>
        <w:t xml:space="preserve">ncarceration: Unlock the </w:t>
      </w:r>
      <w:r w:rsidR="00A53117" w:rsidRPr="003C44C4">
        <w:rPr>
          <w:rFonts w:cstheme="minorHAnsi"/>
          <w:i/>
          <w:iCs/>
        </w:rPr>
        <w:t>F</w:t>
      </w:r>
      <w:r w:rsidRPr="003C44C4">
        <w:rPr>
          <w:rFonts w:eastAsiaTheme="minorEastAsia" w:cstheme="minorHAnsi"/>
          <w:i/>
          <w:iCs/>
        </w:rPr>
        <w:t>acts</w:t>
      </w:r>
      <w:r w:rsidR="00A53117" w:rsidRPr="003C44C4">
        <w:rPr>
          <w:rFonts w:cstheme="minorHAnsi"/>
          <w:i/>
          <w:iCs/>
        </w:rPr>
        <w:t>,</w:t>
      </w:r>
      <w:r w:rsidRPr="003C44C4">
        <w:rPr>
          <w:rFonts w:eastAsiaTheme="minorEastAsia" w:cstheme="minorHAnsi"/>
        </w:rPr>
        <w:t xml:space="preserve"> </w:t>
      </w:r>
      <w:r w:rsidRPr="003C44C4">
        <w:rPr>
          <w:rFonts w:eastAsiaTheme="minorEastAsia" w:cstheme="minorHAnsi"/>
          <w:u w:val="single"/>
        </w:rPr>
        <w:t>https://www.pwc.com.au/indigenous-consulting/assets/indigenous-incarceration-may17.pdf</w:t>
      </w:r>
    </w:p>
    <w:p w14:paraId="4B47F3A3" w14:textId="77777777" w:rsidR="003C44C4" w:rsidRDefault="003C44C4" w:rsidP="003C44C4">
      <w:pPr>
        <w:rPr>
          <w:rFonts w:eastAsiaTheme="minorEastAsia" w:cstheme="minorHAnsi"/>
        </w:rPr>
      </w:pPr>
    </w:p>
    <w:p w14:paraId="4E782BEF" w14:textId="3A38365D" w:rsidR="003C44C4" w:rsidRDefault="008C45E2" w:rsidP="003C44C4">
      <w:pPr>
        <w:rPr>
          <w:rFonts w:cstheme="minorHAnsi"/>
        </w:rPr>
      </w:pPr>
      <w:r w:rsidRPr="003C44C4">
        <w:rPr>
          <w:rFonts w:eastAsiaTheme="minorEastAsia" w:cstheme="minorHAnsi"/>
        </w:rPr>
        <w:t xml:space="preserve">Office of the Inspector of Custodial Services (2014) </w:t>
      </w:r>
      <w:r w:rsidRPr="003C44C4">
        <w:rPr>
          <w:rFonts w:eastAsiaTheme="minorEastAsia" w:cstheme="minorHAnsi"/>
          <w:i/>
          <w:iCs/>
        </w:rPr>
        <w:t xml:space="preserve">Recidivism </w:t>
      </w:r>
      <w:r w:rsidR="00A53117" w:rsidRPr="003C44C4">
        <w:rPr>
          <w:rFonts w:cstheme="minorHAnsi"/>
          <w:i/>
          <w:iCs/>
        </w:rPr>
        <w:t>R</w:t>
      </w:r>
      <w:r w:rsidRPr="003C44C4">
        <w:rPr>
          <w:rFonts w:eastAsiaTheme="minorEastAsia" w:cstheme="minorHAnsi"/>
          <w:i/>
          <w:iCs/>
        </w:rPr>
        <w:t xml:space="preserve">ates and the </w:t>
      </w:r>
      <w:r w:rsidR="00A53117" w:rsidRPr="003C44C4">
        <w:rPr>
          <w:rFonts w:cstheme="minorHAnsi"/>
          <w:i/>
          <w:iCs/>
        </w:rPr>
        <w:t>I</w:t>
      </w:r>
      <w:r w:rsidRPr="003C44C4">
        <w:rPr>
          <w:rFonts w:eastAsiaTheme="minorEastAsia" w:cstheme="minorHAnsi"/>
          <w:i/>
          <w:iCs/>
        </w:rPr>
        <w:t xml:space="preserve">mpact of </w:t>
      </w:r>
      <w:r w:rsidR="00A53117" w:rsidRPr="003C44C4">
        <w:rPr>
          <w:rFonts w:cstheme="minorHAnsi"/>
          <w:i/>
          <w:iCs/>
        </w:rPr>
        <w:t>T</w:t>
      </w:r>
      <w:r w:rsidRPr="003C44C4">
        <w:rPr>
          <w:rFonts w:eastAsiaTheme="minorEastAsia" w:cstheme="minorHAnsi"/>
          <w:i/>
          <w:iCs/>
        </w:rPr>
        <w:t xml:space="preserve">reatment </w:t>
      </w:r>
      <w:r w:rsidR="00A53117" w:rsidRPr="003C44C4">
        <w:rPr>
          <w:rFonts w:cstheme="minorHAnsi"/>
          <w:i/>
          <w:iCs/>
        </w:rPr>
        <w:t>P</w:t>
      </w:r>
      <w:r w:rsidRPr="003C44C4">
        <w:rPr>
          <w:rFonts w:eastAsiaTheme="minorEastAsia" w:cstheme="minorHAnsi"/>
          <w:i/>
          <w:iCs/>
        </w:rPr>
        <w:t>rograms</w:t>
      </w:r>
      <w:r w:rsidRPr="003C44C4">
        <w:rPr>
          <w:rFonts w:eastAsiaTheme="minorEastAsia" w:cstheme="minorHAnsi"/>
        </w:rPr>
        <w:t xml:space="preserve"> </w:t>
      </w:r>
      <w:r w:rsidR="003C44C4" w:rsidRPr="003C44C4">
        <w:rPr>
          <w:rFonts w:eastAsiaTheme="minorEastAsia" w:cstheme="minorHAnsi"/>
          <w:u w:val="single"/>
        </w:rPr>
        <w:t>https://www.parliament.wa.gov.au/publications/tabledpapers.nsf/displaypaper/3912295a35b28230ed9c541e48257d730008d551/$file/2295.pdf</w:t>
      </w:r>
    </w:p>
    <w:p w14:paraId="3529AC54" w14:textId="77777777" w:rsidR="003C44C4" w:rsidRDefault="003C44C4" w:rsidP="003C44C4">
      <w:pPr>
        <w:rPr>
          <w:rFonts w:cstheme="minorHAnsi"/>
        </w:rPr>
      </w:pPr>
    </w:p>
    <w:p w14:paraId="15AAA588" w14:textId="6852837D" w:rsidR="003C44C4" w:rsidRDefault="008C45E2" w:rsidP="003C44C4">
      <w:pPr>
        <w:rPr>
          <w:rFonts w:cstheme="minorHAnsi"/>
        </w:rPr>
      </w:pPr>
      <w:r w:rsidRPr="008C45E2">
        <w:rPr>
          <w:rFonts w:eastAsiaTheme="minorEastAsia" w:cstheme="minorHAnsi"/>
        </w:rPr>
        <w:t xml:space="preserve">Pegg, S. (2018) </w:t>
      </w:r>
      <w:r w:rsidRPr="008C45E2">
        <w:rPr>
          <w:rFonts w:eastAsiaTheme="minorEastAsia" w:cstheme="minorHAnsi"/>
          <w:i/>
          <w:iCs/>
        </w:rPr>
        <w:t>Literature Review: Current Practices in the Reintegration of High Needs Correctional Inmates</w:t>
      </w:r>
      <w:r w:rsidR="00A53117" w:rsidRPr="003C44C4">
        <w:rPr>
          <w:rFonts w:cstheme="minorHAnsi"/>
        </w:rPr>
        <w:t xml:space="preserve">, </w:t>
      </w:r>
      <w:r w:rsidRPr="008C45E2">
        <w:rPr>
          <w:rFonts w:eastAsiaTheme="minorEastAsia" w:cstheme="minorHAnsi"/>
        </w:rPr>
        <w:t xml:space="preserve">Inmate Health &amp; Housing Collective Impact Initiative, John Howard Society of Toronto </w:t>
      </w:r>
      <w:r w:rsidR="003C44C4" w:rsidRPr="008C45E2">
        <w:rPr>
          <w:rFonts w:eastAsiaTheme="minorEastAsia" w:cstheme="minorHAnsi"/>
          <w:u w:val="single"/>
        </w:rPr>
        <w:t>https://johnhoward.on.ca/toronto/wp-content/uploads/sites/5/2020/06/JHST-Collective-Impact-Literature-Review-September-2018.pdf</w:t>
      </w:r>
    </w:p>
    <w:p w14:paraId="654B432D" w14:textId="77777777" w:rsidR="003C44C4" w:rsidRDefault="003C44C4" w:rsidP="003C44C4">
      <w:pPr>
        <w:rPr>
          <w:rFonts w:cstheme="minorHAnsi"/>
        </w:rPr>
      </w:pPr>
    </w:p>
    <w:p w14:paraId="4B4A7FFB" w14:textId="77777777" w:rsidR="003C44C4" w:rsidRDefault="008C45E2" w:rsidP="003C44C4">
      <w:pPr>
        <w:rPr>
          <w:rFonts w:eastAsiaTheme="minorEastAsia" w:cstheme="minorHAnsi"/>
        </w:rPr>
      </w:pPr>
      <w:r w:rsidRPr="008C45E2">
        <w:rPr>
          <w:rFonts w:eastAsiaTheme="minorEastAsia" w:cstheme="minorHAnsi"/>
        </w:rPr>
        <w:t>Williams, M. (2015)</w:t>
      </w:r>
      <w:r w:rsidR="00A53117" w:rsidRPr="003C44C4">
        <w:rPr>
          <w:rFonts w:cstheme="minorHAnsi"/>
        </w:rPr>
        <w:t xml:space="preserve"> </w:t>
      </w:r>
      <w:r w:rsidRPr="008C45E2">
        <w:rPr>
          <w:rFonts w:eastAsiaTheme="minorEastAsia" w:cstheme="minorHAnsi"/>
          <w:i/>
          <w:iCs/>
        </w:rPr>
        <w:t xml:space="preserve">Connective </w:t>
      </w:r>
      <w:r w:rsidR="00A53117" w:rsidRPr="003C44C4">
        <w:rPr>
          <w:rFonts w:cstheme="minorHAnsi"/>
          <w:i/>
          <w:iCs/>
        </w:rPr>
        <w:t>S</w:t>
      </w:r>
      <w:r w:rsidRPr="008C45E2">
        <w:rPr>
          <w:rFonts w:eastAsiaTheme="minorEastAsia" w:cstheme="minorHAnsi"/>
          <w:i/>
          <w:iCs/>
        </w:rPr>
        <w:t xml:space="preserve">ervices: Post-prison </w:t>
      </w:r>
      <w:r w:rsidR="00A53117" w:rsidRPr="003C44C4">
        <w:rPr>
          <w:rFonts w:cstheme="minorHAnsi"/>
          <w:i/>
          <w:iCs/>
        </w:rPr>
        <w:t>R</w:t>
      </w:r>
      <w:r w:rsidRPr="008C45E2">
        <w:rPr>
          <w:rFonts w:eastAsiaTheme="minorEastAsia" w:cstheme="minorHAnsi"/>
          <w:i/>
          <w:iCs/>
        </w:rPr>
        <w:t xml:space="preserve">elease </w:t>
      </w:r>
      <w:r w:rsidR="00A53117" w:rsidRPr="003C44C4">
        <w:rPr>
          <w:rFonts w:cstheme="minorHAnsi"/>
          <w:i/>
          <w:iCs/>
        </w:rPr>
        <w:t>S</w:t>
      </w:r>
      <w:r w:rsidRPr="008C45E2">
        <w:rPr>
          <w:rFonts w:eastAsiaTheme="minorEastAsia" w:cstheme="minorHAnsi"/>
          <w:i/>
          <w:iCs/>
        </w:rPr>
        <w:t xml:space="preserve">upport in an </w:t>
      </w:r>
      <w:r w:rsidR="00A53117" w:rsidRPr="003C44C4">
        <w:rPr>
          <w:rFonts w:cstheme="minorHAnsi"/>
          <w:i/>
          <w:iCs/>
        </w:rPr>
        <w:t>U</w:t>
      </w:r>
      <w:r w:rsidRPr="008C45E2">
        <w:rPr>
          <w:rFonts w:eastAsiaTheme="minorEastAsia" w:cstheme="minorHAnsi"/>
          <w:i/>
          <w:iCs/>
        </w:rPr>
        <w:t xml:space="preserve">rban Aboriginal </w:t>
      </w:r>
      <w:r w:rsidR="00A53117" w:rsidRPr="003C44C4">
        <w:rPr>
          <w:rFonts w:cstheme="minorHAnsi"/>
          <w:i/>
          <w:iCs/>
        </w:rPr>
        <w:t>P</w:t>
      </w:r>
      <w:r w:rsidRPr="008C45E2">
        <w:rPr>
          <w:rFonts w:eastAsiaTheme="minorEastAsia" w:cstheme="minorHAnsi"/>
          <w:i/>
          <w:iCs/>
        </w:rPr>
        <w:t>opulation</w:t>
      </w:r>
      <w:r w:rsidR="00A53117" w:rsidRPr="003C44C4">
        <w:rPr>
          <w:rFonts w:cstheme="minorHAnsi"/>
          <w:i/>
          <w:iCs/>
        </w:rPr>
        <w:t>,</w:t>
      </w:r>
      <w:r w:rsidRPr="008C45E2">
        <w:rPr>
          <w:rFonts w:eastAsiaTheme="minorEastAsia" w:cstheme="minorHAnsi"/>
        </w:rPr>
        <w:t xml:space="preserve"> A thesis submitted in fulfilment of the requirements for the degree of Doctor of Philosophy</w:t>
      </w:r>
      <w:r w:rsidR="00A53117" w:rsidRPr="003C44C4">
        <w:rPr>
          <w:rFonts w:cstheme="minorHAnsi"/>
        </w:rPr>
        <w:t>,</w:t>
      </w:r>
      <w:r w:rsidRPr="008C45E2">
        <w:rPr>
          <w:rFonts w:eastAsiaTheme="minorEastAsia" w:cstheme="minorHAnsi"/>
        </w:rPr>
        <w:t xml:space="preserve"> Muru Marri School of Public Health and Community Medicine</w:t>
      </w:r>
    </w:p>
    <w:p w14:paraId="59FFB652" w14:textId="77777777" w:rsidR="003C44C4" w:rsidRDefault="003C44C4" w:rsidP="003C44C4">
      <w:pPr>
        <w:rPr>
          <w:rFonts w:eastAsiaTheme="minorEastAsia" w:cstheme="minorHAnsi"/>
        </w:rPr>
      </w:pPr>
    </w:p>
    <w:p w14:paraId="3A458051" w14:textId="0419E112" w:rsidR="003C44C4" w:rsidRDefault="008C45E2" w:rsidP="003C44C4">
      <w:pPr>
        <w:rPr>
          <w:rFonts w:cstheme="minorHAnsi"/>
        </w:rPr>
      </w:pPr>
      <w:r w:rsidRPr="008C45E2">
        <w:rPr>
          <w:rFonts w:eastAsiaTheme="minorEastAsia" w:cstheme="minorHAnsi"/>
        </w:rPr>
        <w:t>Rynne, J. &amp; Cassematis. P. (2015)</w:t>
      </w:r>
      <w:r w:rsidR="00A53117" w:rsidRPr="003C44C4">
        <w:rPr>
          <w:rFonts w:cstheme="minorHAnsi"/>
        </w:rPr>
        <w:t xml:space="preserve"> </w:t>
      </w:r>
      <w:r w:rsidRPr="008C45E2">
        <w:rPr>
          <w:rFonts w:eastAsiaTheme="minorEastAsia" w:cstheme="minorHAnsi"/>
          <w:i/>
          <w:iCs/>
        </w:rPr>
        <w:t xml:space="preserve">Assessing the </w:t>
      </w:r>
      <w:r w:rsidR="00A53117" w:rsidRPr="003C44C4">
        <w:rPr>
          <w:rFonts w:cstheme="minorHAnsi"/>
          <w:i/>
          <w:iCs/>
        </w:rPr>
        <w:t>P</w:t>
      </w:r>
      <w:r w:rsidRPr="008C45E2">
        <w:rPr>
          <w:rFonts w:eastAsiaTheme="minorEastAsia" w:cstheme="minorHAnsi"/>
          <w:i/>
          <w:iCs/>
        </w:rPr>
        <w:t xml:space="preserve">rison </w:t>
      </w:r>
      <w:r w:rsidR="00A53117" w:rsidRPr="003C44C4">
        <w:rPr>
          <w:rFonts w:cstheme="minorHAnsi"/>
          <w:i/>
          <w:iCs/>
        </w:rPr>
        <w:t>E</w:t>
      </w:r>
      <w:r w:rsidRPr="008C45E2">
        <w:rPr>
          <w:rFonts w:eastAsiaTheme="minorEastAsia" w:cstheme="minorHAnsi"/>
          <w:i/>
          <w:iCs/>
        </w:rPr>
        <w:t xml:space="preserve">xperience for Australian First Peoples: A </w:t>
      </w:r>
      <w:r w:rsidR="00A53117" w:rsidRPr="003C44C4">
        <w:rPr>
          <w:rFonts w:cstheme="minorHAnsi"/>
          <w:i/>
          <w:iCs/>
        </w:rPr>
        <w:t>P</w:t>
      </w:r>
      <w:r w:rsidRPr="008C45E2">
        <w:rPr>
          <w:rFonts w:eastAsiaTheme="minorEastAsia" w:cstheme="minorHAnsi"/>
          <w:i/>
          <w:iCs/>
        </w:rPr>
        <w:t xml:space="preserve">rospective </w:t>
      </w:r>
      <w:r w:rsidR="00A53117" w:rsidRPr="003C44C4">
        <w:rPr>
          <w:rFonts w:cstheme="minorHAnsi"/>
          <w:i/>
          <w:iCs/>
        </w:rPr>
        <w:t>R</w:t>
      </w:r>
      <w:r w:rsidRPr="008C45E2">
        <w:rPr>
          <w:rFonts w:eastAsiaTheme="minorEastAsia" w:cstheme="minorHAnsi"/>
          <w:i/>
          <w:iCs/>
        </w:rPr>
        <w:t xml:space="preserve">esearch </w:t>
      </w:r>
      <w:r w:rsidR="00A53117" w:rsidRPr="003C44C4">
        <w:rPr>
          <w:rFonts w:cstheme="minorHAnsi"/>
          <w:i/>
          <w:iCs/>
        </w:rPr>
        <w:t>A</w:t>
      </w:r>
      <w:r w:rsidRPr="008C45E2">
        <w:rPr>
          <w:rFonts w:eastAsiaTheme="minorEastAsia" w:cstheme="minorHAnsi"/>
          <w:i/>
          <w:iCs/>
        </w:rPr>
        <w:t>pproach</w:t>
      </w:r>
      <w:r w:rsidR="00A53117" w:rsidRPr="003C44C4">
        <w:rPr>
          <w:rFonts w:cstheme="minorHAnsi"/>
          <w:i/>
          <w:iCs/>
        </w:rPr>
        <w:t>,</w:t>
      </w:r>
      <w:r w:rsidRPr="008C45E2">
        <w:rPr>
          <w:rFonts w:eastAsiaTheme="minorEastAsia" w:cstheme="minorHAnsi"/>
        </w:rPr>
        <w:t xml:space="preserve"> International Journal for Crime, Justice and Social Democracy 4(1): 96-112 </w:t>
      </w:r>
      <w:r w:rsidR="003C44C4" w:rsidRPr="008C45E2">
        <w:rPr>
          <w:rFonts w:eastAsiaTheme="minorEastAsia" w:cstheme="minorHAnsi"/>
          <w:u w:val="single"/>
        </w:rPr>
        <w:t>https://www.crimejusticejournal.com/article/view/748</w:t>
      </w:r>
    </w:p>
    <w:p w14:paraId="46D01CAE" w14:textId="77777777" w:rsidR="003C44C4" w:rsidRDefault="003C44C4" w:rsidP="003C44C4">
      <w:pPr>
        <w:rPr>
          <w:rFonts w:cstheme="minorHAnsi"/>
        </w:rPr>
      </w:pPr>
    </w:p>
    <w:p w14:paraId="57548202" w14:textId="1C4E0C97" w:rsidR="003C44C4" w:rsidRDefault="008C45E2" w:rsidP="003C44C4">
      <w:pPr>
        <w:rPr>
          <w:rFonts w:cstheme="minorHAnsi"/>
        </w:rPr>
      </w:pPr>
      <w:r w:rsidRPr="008C45E2">
        <w:rPr>
          <w:rFonts w:eastAsiaTheme="minorEastAsia" w:cstheme="minorHAnsi"/>
        </w:rPr>
        <w:t>Schlager, M. D. (2018)</w:t>
      </w:r>
      <w:r w:rsidR="00A53117" w:rsidRPr="003C44C4">
        <w:rPr>
          <w:rFonts w:cstheme="minorHAnsi"/>
        </w:rPr>
        <w:t xml:space="preserve"> </w:t>
      </w:r>
      <w:r w:rsidRPr="008C45E2">
        <w:rPr>
          <w:rFonts w:eastAsiaTheme="minorEastAsia" w:cstheme="minorHAnsi"/>
          <w:i/>
          <w:iCs/>
        </w:rPr>
        <w:t>Through the Looking Glass: Taking Stock of Offender Re</w:t>
      </w:r>
      <w:r w:rsidR="00A53117" w:rsidRPr="003C44C4">
        <w:rPr>
          <w:rFonts w:cstheme="minorHAnsi"/>
          <w:i/>
          <w:iCs/>
        </w:rPr>
        <w:t>-</w:t>
      </w:r>
      <w:r w:rsidRPr="008C45E2">
        <w:rPr>
          <w:rFonts w:eastAsiaTheme="minorEastAsia" w:cstheme="minorHAnsi"/>
          <w:i/>
          <w:iCs/>
        </w:rPr>
        <w:t>entry</w:t>
      </w:r>
      <w:r w:rsidR="00A53117" w:rsidRPr="003C44C4">
        <w:rPr>
          <w:rFonts w:cstheme="minorHAnsi"/>
          <w:i/>
          <w:iCs/>
        </w:rPr>
        <w:t>,</w:t>
      </w:r>
      <w:r w:rsidRPr="008C45E2">
        <w:rPr>
          <w:rFonts w:eastAsiaTheme="minorEastAsia" w:cstheme="minorHAnsi"/>
          <w:i/>
          <w:iCs/>
        </w:rPr>
        <w:t xml:space="preserve"> </w:t>
      </w:r>
      <w:r w:rsidRPr="008C45E2">
        <w:rPr>
          <w:rFonts w:eastAsiaTheme="minorEastAsia" w:cstheme="minorHAnsi"/>
        </w:rPr>
        <w:t xml:space="preserve">Journal of Contemporary Criminal Justice, 34(1), 69–80. </w:t>
      </w:r>
      <w:r w:rsidR="003C44C4" w:rsidRPr="008C45E2">
        <w:rPr>
          <w:rFonts w:eastAsiaTheme="minorEastAsia" w:cstheme="minorHAnsi"/>
          <w:u w:val="single"/>
        </w:rPr>
        <w:t>https://doi.org/10.1177/1043986217750443</w:t>
      </w:r>
    </w:p>
    <w:p w14:paraId="70CA1060" w14:textId="77777777" w:rsidR="003C44C4" w:rsidRDefault="003C44C4" w:rsidP="003C44C4">
      <w:pPr>
        <w:rPr>
          <w:rFonts w:cstheme="minorHAnsi"/>
        </w:rPr>
      </w:pPr>
    </w:p>
    <w:p w14:paraId="6D89E07E" w14:textId="4095C8EA" w:rsidR="003C44C4" w:rsidRDefault="008C45E2" w:rsidP="003C44C4">
      <w:pPr>
        <w:rPr>
          <w:rFonts w:cstheme="minorHAnsi"/>
        </w:rPr>
      </w:pPr>
      <w:r w:rsidRPr="008C45E2">
        <w:rPr>
          <w:rFonts w:eastAsiaTheme="minorEastAsia" w:cstheme="minorHAnsi"/>
        </w:rPr>
        <w:t xml:space="preserve">Social Policy Research Centre (2016) </w:t>
      </w:r>
      <w:r w:rsidRPr="008C45E2">
        <w:rPr>
          <w:rFonts w:eastAsiaTheme="minorEastAsia" w:cstheme="minorHAnsi"/>
          <w:i/>
          <w:iCs/>
        </w:rPr>
        <w:t>Evaluation of Extended Throughcare Pilot Program: Evaluation Plan</w:t>
      </w:r>
      <w:r w:rsidRPr="008C45E2">
        <w:rPr>
          <w:rFonts w:eastAsiaTheme="minorEastAsia" w:cstheme="minorHAnsi"/>
        </w:rPr>
        <w:t xml:space="preserve"> </w:t>
      </w:r>
      <w:r w:rsidR="003C44C4" w:rsidRPr="008C45E2">
        <w:rPr>
          <w:rFonts w:eastAsiaTheme="minorEastAsia" w:cstheme="minorHAnsi"/>
          <w:u w:val="single"/>
        </w:rPr>
        <w:t>https://www.unsw.edu.au/content/dam/pdfs/unsw-adobe-websites/arts-design-architecture/ada-faculty/sprc/2021-06-Evaluation_of_Extended_Throughcare_Pilot_Program.pdf</w:t>
      </w:r>
    </w:p>
    <w:p w14:paraId="67A11CE3" w14:textId="77777777" w:rsidR="003C44C4" w:rsidRDefault="003C44C4" w:rsidP="003C44C4">
      <w:pPr>
        <w:rPr>
          <w:rFonts w:cstheme="minorHAnsi"/>
        </w:rPr>
      </w:pPr>
    </w:p>
    <w:p w14:paraId="64B3731A" w14:textId="67DC5870" w:rsidR="003C44C4" w:rsidRDefault="008C45E2" w:rsidP="003C44C4">
      <w:pPr>
        <w:rPr>
          <w:rFonts w:cstheme="minorHAnsi"/>
        </w:rPr>
      </w:pPr>
      <w:r w:rsidRPr="008C45E2">
        <w:rPr>
          <w:rFonts w:eastAsiaTheme="minorEastAsia" w:cstheme="minorHAnsi"/>
        </w:rPr>
        <w:t>Tubex, H. Rynne, J. and Blagg, H. (2020)</w:t>
      </w:r>
      <w:r w:rsidR="00A53117" w:rsidRPr="003C44C4">
        <w:rPr>
          <w:rFonts w:cstheme="minorHAnsi"/>
        </w:rPr>
        <w:t xml:space="preserve"> </w:t>
      </w:r>
      <w:r w:rsidRPr="008C45E2">
        <w:rPr>
          <w:rFonts w:eastAsiaTheme="minorEastAsia" w:cstheme="minorHAnsi"/>
          <w:i/>
          <w:iCs/>
        </w:rPr>
        <w:t xml:space="preserve">Building </w:t>
      </w:r>
      <w:r w:rsidR="00A53117" w:rsidRPr="003C44C4">
        <w:rPr>
          <w:rFonts w:cstheme="minorHAnsi"/>
          <w:i/>
          <w:iCs/>
        </w:rPr>
        <w:t>E</w:t>
      </w:r>
      <w:r w:rsidRPr="008C45E2">
        <w:rPr>
          <w:rFonts w:eastAsiaTheme="minorEastAsia" w:cstheme="minorHAnsi"/>
          <w:i/>
          <w:iCs/>
        </w:rPr>
        <w:t xml:space="preserve">ffective </w:t>
      </w:r>
      <w:r w:rsidR="00A53117" w:rsidRPr="003C44C4">
        <w:rPr>
          <w:rFonts w:cstheme="minorHAnsi"/>
          <w:i/>
          <w:iCs/>
        </w:rPr>
        <w:t>T</w:t>
      </w:r>
      <w:r w:rsidRPr="008C45E2">
        <w:rPr>
          <w:rFonts w:eastAsiaTheme="minorEastAsia" w:cstheme="minorHAnsi"/>
          <w:i/>
          <w:iCs/>
        </w:rPr>
        <w:t xml:space="preserve">hroughcare </w:t>
      </w:r>
      <w:r w:rsidR="00A53117" w:rsidRPr="003C44C4">
        <w:rPr>
          <w:rFonts w:cstheme="minorHAnsi"/>
          <w:i/>
          <w:iCs/>
        </w:rPr>
        <w:t>S</w:t>
      </w:r>
      <w:r w:rsidRPr="008C45E2">
        <w:rPr>
          <w:rFonts w:eastAsiaTheme="minorEastAsia" w:cstheme="minorHAnsi"/>
          <w:i/>
          <w:iCs/>
        </w:rPr>
        <w:t xml:space="preserve">trategies for Indigenous </w:t>
      </w:r>
      <w:r w:rsidR="00A53117" w:rsidRPr="003C44C4">
        <w:rPr>
          <w:rFonts w:cstheme="minorHAnsi"/>
          <w:i/>
          <w:iCs/>
        </w:rPr>
        <w:t>O</w:t>
      </w:r>
      <w:r w:rsidRPr="008C45E2">
        <w:rPr>
          <w:rFonts w:eastAsiaTheme="minorEastAsia" w:cstheme="minorHAnsi"/>
          <w:i/>
          <w:iCs/>
        </w:rPr>
        <w:t>ffenders in Western Australia and the Northern Territory</w:t>
      </w:r>
      <w:r w:rsidR="00A53117" w:rsidRPr="003C44C4">
        <w:rPr>
          <w:rFonts w:cstheme="minorHAnsi"/>
        </w:rPr>
        <w:t xml:space="preserve">, </w:t>
      </w:r>
      <w:r w:rsidRPr="008C45E2">
        <w:rPr>
          <w:rFonts w:eastAsiaTheme="minorEastAsia" w:cstheme="minorHAnsi"/>
        </w:rPr>
        <w:t xml:space="preserve">Report to the Criminology Research Advisory Council </w:t>
      </w:r>
      <w:r w:rsidR="003C44C4" w:rsidRPr="008C45E2">
        <w:rPr>
          <w:rFonts w:eastAsiaTheme="minorEastAsia" w:cstheme="minorHAnsi"/>
          <w:u w:val="single"/>
        </w:rPr>
        <w:t>https://www.aic.gov.au/sites/default/files/2020-05/CRG-23-15-16-with-cover-and-ISBN-040220.pdf</w:t>
      </w:r>
    </w:p>
    <w:p w14:paraId="7183B52B" w14:textId="77777777" w:rsidR="003C44C4" w:rsidRDefault="003C44C4" w:rsidP="003C44C4">
      <w:pPr>
        <w:rPr>
          <w:rFonts w:cstheme="minorHAnsi"/>
        </w:rPr>
      </w:pPr>
    </w:p>
    <w:p w14:paraId="31724F64" w14:textId="1FA0F053" w:rsidR="003C44C4" w:rsidRDefault="008C45E2" w:rsidP="003C44C4">
      <w:pPr>
        <w:rPr>
          <w:rFonts w:cstheme="minorHAnsi"/>
        </w:rPr>
      </w:pPr>
      <w:r w:rsidRPr="008C45E2">
        <w:rPr>
          <w:rFonts w:eastAsiaTheme="minorEastAsia" w:cstheme="minorHAnsi"/>
        </w:rPr>
        <w:t xml:space="preserve">Tubex, H. (2021) </w:t>
      </w:r>
      <w:r w:rsidRPr="008C45E2">
        <w:rPr>
          <w:rFonts w:eastAsiaTheme="minorEastAsia" w:cstheme="minorHAnsi"/>
          <w:i/>
          <w:iCs/>
        </w:rPr>
        <w:t>Throughcare for Indigenous Peoples Leaving Prison</w:t>
      </w:r>
      <w:r w:rsidR="00A53117" w:rsidRPr="003C44C4">
        <w:rPr>
          <w:rFonts w:cstheme="minorHAnsi"/>
        </w:rPr>
        <w:t xml:space="preserve">, </w:t>
      </w:r>
      <w:r w:rsidRPr="008C45E2">
        <w:rPr>
          <w:rFonts w:eastAsiaTheme="minorEastAsia" w:cstheme="minorHAnsi"/>
        </w:rPr>
        <w:t xml:space="preserve">Decolonization of Criminology and Justice, 3(1), 82-91   </w:t>
      </w:r>
      <w:r w:rsidR="003C44C4" w:rsidRPr="008C45E2">
        <w:rPr>
          <w:rFonts w:eastAsiaTheme="minorEastAsia" w:cstheme="minorHAnsi"/>
          <w:u w:val="single"/>
        </w:rPr>
        <w:t>https://www.researchgate.net/publication/351348886_Throughcare_for_Indigenous_Peoples_Leaving_Prison</w:t>
      </w:r>
    </w:p>
    <w:p w14:paraId="1C0AACDF" w14:textId="77777777" w:rsidR="003C44C4" w:rsidRDefault="003C44C4" w:rsidP="003C44C4">
      <w:pPr>
        <w:rPr>
          <w:rFonts w:cstheme="minorHAnsi"/>
        </w:rPr>
      </w:pPr>
    </w:p>
    <w:p w14:paraId="049E7252" w14:textId="77777777" w:rsidR="003C44C4" w:rsidRDefault="008C45E2" w:rsidP="003C44C4">
      <w:pPr>
        <w:rPr>
          <w:rFonts w:cstheme="minorHAnsi"/>
        </w:rPr>
      </w:pPr>
      <w:r w:rsidRPr="008C45E2">
        <w:rPr>
          <w:rFonts w:eastAsiaTheme="minorEastAsia" w:cstheme="minorHAnsi"/>
        </w:rPr>
        <w:t xml:space="preserve">Tujague, N, et. al. (2021) </w:t>
      </w:r>
      <w:r w:rsidRPr="008C45E2">
        <w:rPr>
          <w:rFonts w:eastAsiaTheme="minorEastAsia" w:cstheme="minorHAnsi"/>
          <w:i/>
          <w:iCs/>
        </w:rPr>
        <w:t xml:space="preserve">Ticking the </w:t>
      </w:r>
      <w:r w:rsidR="00A53117" w:rsidRPr="003C44C4">
        <w:rPr>
          <w:rFonts w:cstheme="minorHAnsi"/>
          <w:i/>
          <w:iCs/>
        </w:rPr>
        <w:t>B</w:t>
      </w:r>
      <w:r w:rsidRPr="008C45E2">
        <w:rPr>
          <w:rFonts w:eastAsiaTheme="minorEastAsia" w:cstheme="minorHAnsi"/>
          <w:i/>
          <w:iCs/>
        </w:rPr>
        <w:t xml:space="preserve">ox of </w:t>
      </w:r>
      <w:r w:rsidR="00A53117" w:rsidRPr="003C44C4">
        <w:rPr>
          <w:rFonts w:cstheme="minorHAnsi"/>
          <w:i/>
          <w:iCs/>
        </w:rPr>
        <w:t>C</w:t>
      </w:r>
      <w:r w:rsidRPr="008C45E2">
        <w:rPr>
          <w:rFonts w:eastAsiaTheme="minorEastAsia" w:cstheme="minorHAnsi"/>
          <w:i/>
          <w:iCs/>
        </w:rPr>
        <w:t xml:space="preserve">ultural </w:t>
      </w:r>
      <w:r w:rsidR="00A53117" w:rsidRPr="003C44C4">
        <w:rPr>
          <w:rFonts w:cstheme="minorHAnsi"/>
          <w:i/>
          <w:iCs/>
        </w:rPr>
        <w:t>S</w:t>
      </w:r>
      <w:r w:rsidRPr="008C45E2">
        <w:rPr>
          <w:rFonts w:eastAsiaTheme="minorEastAsia" w:cstheme="minorHAnsi"/>
          <w:i/>
          <w:iCs/>
        </w:rPr>
        <w:t xml:space="preserve">afety is </w:t>
      </w:r>
      <w:r w:rsidR="00A53117" w:rsidRPr="003C44C4">
        <w:rPr>
          <w:rFonts w:cstheme="minorHAnsi"/>
          <w:i/>
          <w:iCs/>
        </w:rPr>
        <w:t>N</w:t>
      </w:r>
      <w:r w:rsidRPr="008C45E2">
        <w:rPr>
          <w:rFonts w:eastAsiaTheme="minorEastAsia" w:cstheme="minorHAnsi"/>
          <w:i/>
          <w:iCs/>
        </w:rPr>
        <w:t xml:space="preserve">ot </w:t>
      </w:r>
      <w:r w:rsidR="00A53117" w:rsidRPr="003C44C4">
        <w:rPr>
          <w:rFonts w:cstheme="minorHAnsi"/>
          <w:i/>
          <w:iCs/>
        </w:rPr>
        <w:t>E</w:t>
      </w:r>
      <w:r w:rsidRPr="008C45E2">
        <w:rPr>
          <w:rFonts w:eastAsiaTheme="minorEastAsia" w:cstheme="minorHAnsi"/>
          <w:i/>
          <w:iCs/>
        </w:rPr>
        <w:t xml:space="preserve">nough: </w:t>
      </w:r>
      <w:r w:rsidR="00A53117" w:rsidRPr="003C44C4">
        <w:rPr>
          <w:rFonts w:cstheme="minorHAnsi"/>
          <w:i/>
          <w:iCs/>
        </w:rPr>
        <w:t>W</w:t>
      </w:r>
      <w:r w:rsidRPr="008C45E2">
        <w:rPr>
          <w:rFonts w:eastAsiaTheme="minorEastAsia" w:cstheme="minorHAnsi"/>
          <w:i/>
          <w:iCs/>
        </w:rPr>
        <w:t xml:space="preserve">hy </w:t>
      </w:r>
      <w:r w:rsidR="00A53117" w:rsidRPr="003C44C4">
        <w:rPr>
          <w:rFonts w:cstheme="minorHAnsi"/>
          <w:i/>
          <w:iCs/>
        </w:rPr>
        <w:t>T</w:t>
      </w:r>
      <w:r w:rsidRPr="008C45E2">
        <w:rPr>
          <w:rFonts w:eastAsiaTheme="minorEastAsia" w:cstheme="minorHAnsi"/>
          <w:i/>
          <w:iCs/>
        </w:rPr>
        <w:t xml:space="preserve">rauma-informed </w:t>
      </w:r>
      <w:r w:rsidR="00A53117" w:rsidRPr="003C44C4">
        <w:rPr>
          <w:rFonts w:cstheme="minorHAnsi"/>
          <w:i/>
          <w:iCs/>
        </w:rPr>
        <w:t>P</w:t>
      </w:r>
      <w:r w:rsidRPr="008C45E2">
        <w:rPr>
          <w:rFonts w:eastAsiaTheme="minorEastAsia" w:cstheme="minorHAnsi"/>
          <w:i/>
          <w:iCs/>
        </w:rPr>
        <w:t xml:space="preserve">ractice is </w:t>
      </w:r>
      <w:r w:rsidR="00A53117" w:rsidRPr="003C44C4">
        <w:rPr>
          <w:rFonts w:cstheme="minorHAnsi"/>
          <w:i/>
          <w:iCs/>
        </w:rPr>
        <w:t>C</w:t>
      </w:r>
      <w:r w:rsidRPr="008C45E2">
        <w:rPr>
          <w:rFonts w:eastAsiaTheme="minorEastAsia" w:cstheme="minorHAnsi"/>
          <w:i/>
          <w:iCs/>
        </w:rPr>
        <w:t xml:space="preserve">ritical to Indigenous </w:t>
      </w:r>
      <w:r w:rsidR="00A53117" w:rsidRPr="003C44C4">
        <w:rPr>
          <w:rFonts w:cstheme="minorHAnsi"/>
          <w:i/>
          <w:iCs/>
        </w:rPr>
        <w:t>H</w:t>
      </w:r>
      <w:r w:rsidRPr="008C45E2">
        <w:rPr>
          <w:rFonts w:eastAsiaTheme="minorEastAsia" w:cstheme="minorHAnsi"/>
          <w:i/>
          <w:iCs/>
        </w:rPr>
        <w:t>ealing,</w:t>
      </w:r>
      <w:r w:rsidRPr="008C45E2">
        <w:rPr>
          <w:rFonts w:eastAsiaTheme="minorEastAsia" w:cstheme="minorHAnsi"/>
        </w:rPr>
        <w:t xml:space="preserve"> Rural and Remote Health Townsville, Vol.21, Issue. 3.</w:t>
      </w:r>
    </w:p>
    <w:p w14:paraId="4E5F0F00" w14:textId="77777777" w:rsidR="003C44C4" w:rsidRDefault="003C44C4" w:rsidP="003C44C4">
      <w:pPr>
        <w:rPr>
          <w:rFonts w:cstheme="minorHAnsi"/>
        </w:rPr>
      </w:pPr>
    </w:p>
    <w:p w14:paraId="5B2E3D46" w14:textId="63858D52" w:rsidR="003C44C4" w:rsidRDefault="008C45E2" w:rsidP="003C44C4">
      <w:pPr>
        <w:rPr>
          <w:rFonts w:cstheme="minorHAnsi"/>
        </w:rPr>
      </w:pPr>
      <w:r w:rsidRPr="008C45E2">
        <w:rPr>
          <w:rFonts w:eastAsiaTheme="minorEastAsia" w:cstheme="minorHAnsi"/>
        </w:rPr>
        <w:t xml:space="preserve">United Nations Office on Drugs and Crime (2018). </w:t>
      </w:r>
      <w:r w:rsidRPr="008C45E2">
        <w:rPr>
          <w:rFonts w:eastAsiaTheme="minorEastAsia" w:cstheme="minorHAnsi"/>
          <w:i/>
          <w:iCs/>
        </w:rPr>
        <w:t>Introductory Handbook on the Prevention of Recidivism and the Social Reintegration of Offenders</w:t>
      </w:r>
      <w:r w:rsidR="00A53117" w:rsidRPr="003C44C4">
        <w:rPr>
          <w:rFonts w:cstheme="minorHAnsi"/>
          <w:i/>
          <w:iCs/>
        </w:rPr>
        <w:t>,</w:t>
      </w:r>
      <w:r w:rsidRPr="008C45E2">
        <w:rPr>
          <w:rFonts w:eastAsiaTheme="minorEastAsia" w:cstheme="minorHAnsi"/>
        </w:rPr>
        <w:t xml:space="preserve"> Criminal Justice Handbook Series </w:t>
      </w:r>
      <w:r w:rsidR="003C44C4" w:rsidRPr="008C45E2">
        <w:rPr>
          <w:rFonts w:eastAsiaTheme="minorEastAsia" w:cstheme="minorHAnsi"/>
          <w:u w:val="single"/>
        </w:rPr>
        <w:t>https://www.unodc.org/documents/justice-and-prison-reform/18-02303_ebook.pdf</w:t>
      </w:r>
    </w:p>
    <w:p w14:paraId="448914E4" w14:textId="77777777" w:rsidR="003C44C4" w:rsidRDefault="003C44C4" w:rsidP="003C44C4">
      <w:pPr>
        <w:rPr>
          <w:rFonts w:cstheme="minorHAnsi"/>
        </w:rPr>
      </w:pPr>
    </w:p>
    <w:p w14:paraId="0B097F4D" w14:textId="4B6A353C" w:rsidR="008C45E2" w:rsidRPr="008C45E2" w:rsidRDefault="008C45E2" w:rsidP="003C44C4">
      <w:pPr>
        <w:rPr>
          <w:rFonts w:cstheme="minorHAnsi"/>
        </w:rPr>
      </w:pPr>
      <w:r w:rsidRPr="008C45E2">
        <w:rPr>
          <w:rFonts w:eastAsiaTheme="minorEastAsia" w:cstheme="minorHAnsi"/>
        </w:rPr>
        <w:t>Visher, C. A., Lattimore, P. K., Barrick, K. &amp; Tueller, S. (2017)</w:t>
      </w:r>
      <w:r w:rsidR="00A53117" w:rsidRPr="003C44C4">
        <w:rPr>
          <w:rFonts w:cstheme="minorHAnsi"/>
        </w:rPr>
        <w:t xml:space="preserve"> </w:t>
      </w:r>
      <w:r w:rsidRPr="008C45E2">
        <w:rPr>
          <w:rFonts w:eastAsiaTheme="minorEastAsia" w:cstheme="minorHAnsi"/>
          <w:i/>
          <w:iCs/>
        </w:rPr>
        <w:t>Evaluating the Long-Term Effects of Prisoner Re</w:t>
      </w:r>
      <w:r w:rsidR="00A53117" w:rsidRPr="003C44C4">
        <w:rPr>
          <w:rFonts w:cstheme="minorHAnsi"/>
          <w:i/>
          <w:iCs/>
        </w:rPr>
        <w:t>-</w:t>
      </w:r>
      <w:r w:rsidRPr="008C45E2">
        <w:rPr>
          <w:rFonts w:eastAsiaTheme="minorEastAsia" w:cstheme="minorHAnsi"/>
          <w:i/>
          <w:iCs/>
        </w:rPr>
        <w:t>entry Services on Recidivism: What Types of Services Matter?</w:t>
      </w:r>
      <w:r w:rsidRPr="008C45E2">
        <w:rPr>
          <w:rFonts w:eastAsiaTheme="minorEastAsia" w:cstheme="minorHAnsi"/>
        </w:rPr>
        <w:t xml:space="preserve"> Justice Quarterly, 34:1, 136-165 </w:t>
      </w:r>
      <w:r w:rsidRPr="008C45E2">
        <w:rPr>
          <w:rFonts w:eastAsiaTheme="minorEastAsia" w:cstheme="minorHAnsi"/>
          <w:u w:val="single"/>
        </w:rPr>
        <w:t>https://www.tandfonline.com/doi/full/10.1080/07418825.2015.1115539?src=recsys</w:t>
      </w:r>
      <w:r w:rsidRPr="008C45E2">
        <w:rPr>
          <w:rFonts w:eastAsiaTheme="minorEastAsia" w:cstheme="minorHAnsi"/>
        </w:rPr>
        <w:t xml:space="preserve"> </w:t>
      </w:r>
    </w:p>
    <w:p w14:paraId="14FDF4AB" w14:textId="77777777" w:rsidR="008C45E2" w:rsidRPr="008C45E2" w:rsidRDefault="008C45E2" w:rsidP="008C45E2">
      <w:pPr>
        <w:spacing w:before="120" w:after="120"/>
        <w:jc w:val="both"/>
      </w:pPr>
    </w:p>
    <w:p w14:paraId="186EF5B2" w14:textId="77777777" w:rsidR="008C45E2" w:rsidRDefault="008C45E2" w:rsidP="008C45E2"/>
    <w:p w14:paraId="70D5D6FA" w14:textId="77777777" w:rsidR="008C45E2" w:rsidRPr="008C45E2" w:rsidRDefault="008C45E2" w:rsidP="008C45E2"/>
    <w:p w14:paraId="6EE3190D" w14:textId="77777777" w:rsidR="008C45E2" w:rsidRPr="008C45E2" w:rsidRDefault="008C45E2" w:rsidP="008C45E2"/>
    <w:p w14:paraId="3E81272D" w14:textId="77777777" w:rsidR="006159DC" w:rsidRDefault="006159DC" w:rsidP="00A2737F">
      <w:pPr>
        <w:pStyle w:val="Heading1"/>
        <w:sectPr w:rsidR="006159DC" w:rsidSect="00A04873">
          <w:pgSz w:w="11906" w:h="16838"/>
          <w:pgMar w:top="851" w:right="1418" w:bottom="1701" w:left="1418" w:header="1531" w:footer="737" w:gutter="0"/>
          <w:cols w:space="720"/>
          <w:docGrid w:linePitch="326"/>
        </w:sectPr>
      </w:pPr>
    </w:p>
    <w:p w14:paraId="09BF3A9E" w14:textId="538CE166" w:rsidR="00A2737F" w:rsidRDefault="00A2737F" w:rsidP="00F66F99">
      <w:pPr>
        <w:pStyle w:val="Heading1"/>
        <w:rPr>
          <w:rFonts w:cstheme="minorHAnsi"/>
          <w:lang w:val="en-MY" w:eastAsia="en-AU"/>
        </w:rPr>
      </w:pPr>
      <w:bookmarkStart w:id="38" w:name="_Toc150784212"/>
      <w:r w:rsidRPr="00F66F99">
        <w:rPr>
          <w:rFonts w:cstheme="minorHAnsi"/>
        </w:rPr>
        <w:t>APPENDIX A</w:t>
      </w:r>
      <w:r w:rsidR="006159DC" w:rsidRPr="00F66F99">
        <w:rPr>
          <w:rFonts w:cstheme="minorHAnsi"/>
        </w:rPr>
        <w:t xml:space="preserve">: </w:t>
      </w:r>
      <w:r w:rsidRPr="00F66F99">
        <w:rPr>
          <w:rFonts w:cstheme="minorHAnsi"/>
          <w:lang w:val="en-MY" w:eastAsia="en-AU"/>
        </w:rPr>
        <w:t>Evaluation Data Matrix</w:t>
      </w:r>
      <w:bookmarkEnd w:id="38"/>
    </w:p>
    <w:p w14:paraId="211D3F06" w14:textId="77777777" w:rsidR="00283910" w:rsidRDefault="00283910" w:rsidP="001D31E3">
      <w:pPr>
        <w:ind w:left="-284"/>
        <w:rPr>
          <w:b/>
          <w:lang w:val="en-US"/>
        </w:rPr>
      </w:pPr>
    </w:p>
    <w:p w14:paraId="5EAFE9C8" w14:textId="37390262" w:rsidR="001D31E3" w:rsidRPr="001D31E3" w:rsidRDefault="001D31E3" w:rsidP="001D31E3">
      <w:pPr>
        <w:ind w:left="-284"/>
        <w:rPr>
          <w:b/>
        </w:rPr>
      </w:pPr>
      <w:r w:rsidRPr="001D31E3">
        <w:rPr>
          <w:b/>
          <w:lang w:val="en-US"/>
        </w:rPr>
        <w:t xml:space="preserve">Evaluation Question 1: </w:t>
      </w:r>
      <w:r w:rsidRPr="001D31E3">
        <w:rPr>
          <w:b/>
        </w:rPr>
        <w:t>How appropriate is the design of both the ATC and YTC models to meet the needs of clients and stakeholders? To what extent are the models’ strengths based, culturally respectful and collaborative? To what extent do they represent an Indigenous approach?</w:t>
      </w:r>
    </w:p>
    <w:p w14:paraId="773D22E8" w14:textId="77777777" w:rsidR="001D31E3" w:rsidRPr="001D31E3" w:rsidRDefault="001D31E3" w:rsidP="001D31E3">
      <w:pPr>
        <w:rPr>
          <w:lang w:val="en-MY" w:eastAsia="en-AU"/>
        </w:rPr>
      </w:pPr>
    </w:p>
    <w:tbl>
      <w:tblPr>
        <w:tblStyle w:val="TableSG"/>
        <w:tblW w:w="9771" w:type="dxa"/>
        <w:tblLook w:val="0420" w:firstRow="1" w:lastRow="0" w:firstColumn="0" w:lastColumn="0" w:noHBand="0" w:noVBand="1"/>
        <w:tblCaption w:val="Evaluation Question 1 (table"/>
        <w:tblDescription w:val="This table sets out in 3 columns the data, data sources and collection tools used to answer evaluation question 1. "/>
      </w:tblPr>
      <w:tblGrid>
        <w:gridCol w:w="3251"/>
        <w:gridCol w:w="2845"/>
        <w:gridCol w:w="3675"/>
      </w:tblGrid>
      <w:tr w:rsidR="001D31E3" w:rsidRPr="00283910" w14:paraId="048700CF"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66ABDE69" w14:textId="77777777" w:rsidR="001D31E3" w:rsidRPr="00283910" w:rsidRDefault="001D31E3" w:rsidP="005D3EB7">
            <w:pPr>
              <w:pStyle w:val="Heading4"/>
              <w:ind w:hanging="1330"/>
            </w:pPr>
            <w:r w:rsidRPr="00283910">
              <w:rPr>
                <w:lang w:val="en-US"/>
              </w:rPr>
              <w:t>Data</w:t>
            </w:r>
          </w:p>
        </w:tc>
        <w:tc>
          <w:tcPr>
            <w:tcW w:w="2845" w:type="dxa"/>
            <w:hideMark/>
          </w:tcPr>
          <w:p w14:paraId="6A804D11" w14:textId="77ED000B" w:rsidR="001D31E3" w:rsidRPr="00283910" w:rsidRDefault="001D31E3" w:rsidP="00283910">
            <w:pPr>
              <w:pStyle w:val="Heading4"/>
              <w:ind w:left="0" w:firstLine="0"/>
            </w:pPr>
            <w:r w:rsidRPr="00283910">
              <w:rPr>
                <w:lang w:val="en-US"/>
              </w:rPr>
              <w:t>Data Sources</w:t>
            </w:r>
          </w:p>
        </w:tc>
        <w:tc>
          <w:tcPr>
            <w:tcW w:w="3675" w:type="dxa"/>
            <w:hideMark/>
          </w:tcPr>
          <w:p w14:paraId="571966BB" w14:textId="77777777" w:rsidR="001D31E3" w:rsidRPr="00283910" w:rsidRDefault="001D31E3" w:rsidP="00283910">
            <w:pPr>
              <w:pStyle w:val="Heading4"/>
              <w:ind w:left="0" w:firstLine="0"/>
            </w:pPr>
            <w:r w:rsidRPr="00283910">
              <w:rPr>
                <w:lang w:val="en-US"/>
              </w:rPr>
              <w:t>Collection Tool</w:t>
            </w:r>
          </w:p>
        </w:tc>
      </w:tr>
      <w:tr w:rsidR="00C74CD4" w:rsidRPr="00AF5C30" w14:paraId="74051FB2" w14:textId="77777777" w:rsidTr="000854A1">
        <w:trPr>
          <w:trHeight w:val="291"/>
        </w:trPr>
        <w:tc>
          <w:tcPr>
            <w:tcW w:w="3251" w:type="dxa"/>
          </w:tcPr>
          <w:p w14:paraId="1B47950E" w14:textId="54E0A7E5" w:rsidR="00C74CD4"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Observation that ATC and YTC model design is reflective of evidence in the research of what works in through-care program models</w:t>
            </w:r>
            <w:r w:rsidR="00AB669F">
              <w:rPr>
                <w:rFonts w:asciiTheme="minorHAnsi" w:eastAsiaTheme="minorEastAsia" w:hAnsiTheme="minorHAnsi" w:cstheme="minorHAnsi"/>
                <w:sz w:val="20"/>
                <w:szCs w:val="20"/>
              </w:rPr>
              <w:t>.</w:t>
            </w:r>
          </w:p>
          <w:p w14:paraId="32C23C07" w14:textId="29DCC437" w:rsidR="00AB669F" w:rsidRPr="00AB669F" w:rsidRDefault="00AB669F" w:rsidP="00AB669F">
            <w:pPr>
              <w:rPr>
                <w:rFonts w:asciiTheme="minorHAnsi" w:eastAsiaTheme="minorEastAsia" w:hAnsiTheme="minorHAnsi" w:cstheme="minorHAnsi"/>
                <w:sz w:val="20"/>
                <w:szCs w:val="20"/>
              </w:rPr>
            </w:pPr>
          </w:p>
        </w:tc>
        <w:tc>
          <w:tcPr>
            <w:tcW w:w="2845" w:type="dxa"/>
          </w:tcPr>
          <w:p w14:paraId="6085B694" w14:textId="156044A1" w:rsidR="00C74CD4" w:rsidRPr="00AB669F" w:rsidRDefault="00C74CD4"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AB669F">
              <w:rPr>
                <w:rFonts w:asciiTheme="minorHAnsi" w:eastAsiaTheme="minorEastAsia" w:hAnsiTheme="minorHAnsi" w:cstheme="minorHAnsi"/>
                <w:sz w:val="20"/>
                <w:szCs w:val="20"/>
                <w:lang w:val="en-US"/>
              </w:rPr>
              <w:t>Data Administrator</w:t>
            </w:r>
          </w:p>
        </w:tc>
        <w:tc>
          <w:tcPr>
            <w:tcW w:w="3675" w:type="dxa"/>
          </w:tcPr>
          <w:p w14:paraId="04BA2409" w14:textId="6D21E256" w:rsidR="00C74CD4" w:rsidRPr="00AB669F"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tc>
      </w:tr>
      <w:tr w:rsidR="00C74CD4" w:rsidRPr="00AF5C30" w14:paraId="110E34DE" w14:textId="77777777" w:rsidTr="000854A1">
        <w:trPr>
          <w:trHeight w:val="291"/>
        </w:trPr>
        <w:tc>
          <w:tcPr>
            <w:tcW w:w="3251" w:type="dxa"/>
            <w:hideMark/>
          </w:tcPr>
          <w:p w14:paraId="12F9683A" w14:textId="4995D5A8" w:rsid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from service providers that service implementation is guided by model design, including reference to the proposed program logic</w:t>
            </w:r>
            <w:r w:rsidR="00AB669F">
              <w:rPr>
                <w:rFonts w:asciiTheme="minorHAnsi" w:eastAsiaTheme="minorEastAsia" w:hAnsiTheme="minorHAnsi" w:cstheme="minorHAnsi"/>
                <w:sz w:val="20"/>
                <w:szCs w:val="20"/>
              </w:rPr>
              <w:t>.</w:t>
            </w:r>
          </w:p>
          <w:p w14:paraId="44D964B4" w14:textId="77777777" w:rsidR="00AF5C30" w:rsidRPr="00AF5C30" w:rsidRDefault="00AF5C30" w:rsidP="00AB669F">
            <w:pPr>
              <w:rPr>
                <w:rFonts w:asciiTheme="minorHAnsi" w:eastAsiaTheme="minorEastAsia" w:hAnsiTheme="minorHAnsi" w:cstheme="minorHAnsi"/>
                <w:sz w:val="20"/>
                <w:szCs w:val="20"/>
              </w:rPr>
            </w:pPr>
          </w:p>
        </w:tc>
        <w:tc>
          <w:tcPr>
            <w:tcW w:w="2845" w:type="dxa"/>
            <w:hideMark/>
          </w:tcPr>
          <w:p w14:paraId="62F91DDD" w14:textId="2E55E692" w:rsidR="00C74CD4" w:rsidRPr="00AB669F" w:rsidRDefault="00C74CD4" w:rsidP="00C71EF3">
            <w:pPr>
              <w:numPr>
                <w:ilvl w:val="0"/>
                <w:numId w:val="26"/>
              </w:numPr>
              <w:rPr>
                <w:rFonts w:asciiTheme="minorHAnsi" w:eastAsiaTheme="minorEastAsia" w:hAnsiTheme="minorHAnsi" w:cstheme="minorHAnsi"/>
                <w:sz w:val="20"/>
                <w:szCs w:val="20"/>
                <w:lang w:val="en-US"/>
              </w:rPr>
            </w:pPr>
            <w:r w:rsidRPr="00AB669F">
              <w:rPr>
                <w:rFonts w:asciiTheme="minorHAnsi" w:eastAsiaTheme="minorEastAsia" w:hAnsiTheme="minorHAnsi" w:cstheme="minorHAnsi"/>
                <w:sz w:val="20"/>
                <w:szCs w:val="20"/>
                <w:lang w:val="en-US"/>
              </w:rPr>
              <w:t>A</w:t>
            </w:r>
            <w:r w:rsidRPr="00DC40EE">
              <w:rPr>
                <w:rFonts w:asciiTheme="minorHAnsi" w:eastAsiaTheme="minorEastAsia" w:hAnsiTheme="minorHAnsi" w:cstheme="minorHAnsi"/>
                <w:sz w:val="20"/>
                <w:szCs w:val="20"/>
                <w:lang w:val="en-US"/>
              </w:rPr>
              <w:t xml:space="preserve">TC and YTC Manager and </w:t>
            </w:r>
            <w:r w:rsidRPr="00AB669F">
              <w:rPr>
                <w:rFonts w:asciiTheme="minorHAnsi" w:eastAsiaTheme="minorEastAsia" w:hAnsiTheme="minorHAnsi" w:cstheme="minorHAnsi"/>
                <w:sz w:val="20"/>
                <w:szCs w:val="20"/>
                <w:lang w:val="en-US"/>
              </w:rPr>
              <w:t>Data Administrator</w:t>
            </w:r>
          </w:p>
        </w:tc>
        <w:tc>
          <w:tcPr>
            <w:tcW w:w="3675" w:type="dxa"/>
            <w:hideMark/>
          </w:tcPr>
          <w:p w14:paraId="09FB8446"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Managers and Data Administrators</w:t>
            </w:r>
          </w:p>
        </w:tc>
      </w:tr>
      <w:tr w:rsidR="00C74CD4" w:rsidRPr="00AF5C30" w14:paraId="37436DB1" w14:textId="77777777" w:rsidTr="000854A1">
        <w:trPr>
          <w:trHeight w:val="291"/>
        </w:trPr>
        <w:tc>
          <w:tcPr>
            <w:tcW w:w="3251" w:type="dxa"/>
            <w:hideMark/>
          </w:tcPr>
          <w:p w14:paraId="0401FA35" w14:textId="77777777" w:rsidR="00A00FC5" w:rsidRDefault="00A00FC5" w:rsidP="00AB669F">
            <w:pPr>
              <w:rPr>
                <w:rFonts w:asciiTheme="minorHAnsi" w:eastAsiaTheme="minorEastAsia" w:hAnsiTheme="minorHAnsi" w:cstheme="minorHAnsi"/>
                <w:sz w:val="20"/>
                <w:szCs w:val="20"/>
              </w:rPr>
            </w:pPr>
          </w:p>
          <w:p w14:paraId="3ED2831A" w14:textId="4039C9DD" w:rsid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from clients and families that identifies the service model as meeting their needs</w:t>
            </w:r>
            <w:r w:rsidR="00AB669F">
              <w:rPr>
                <w:rFonts w:asciiTheme="minorHAnsi" w:eastAsiaTheme="minorEastAsia" w:hAnsiTheme="minorHAnsi" w:cstheme="minorHAnsi"/>
                <w:sz w:val="20"/>
                <w:szCs w:val="20"/>
              </w:rPr>
              <w:t>.</w:t>
            </w:r>
          </w:p>
          <w:p w14:paraId="690EEE68" w14:textId="77777777" w:rsidR="00AF5C30" w:rsidRPr="00AF5C30" w:rsidRDefault="00AF5C30" w:rsidP="00AB669F">
            <w:pPr>
              <w:rPr>
                <w:rFonts w:asciiTheme="minorHAnsi" w:eastAsiaTheme="minorEastAsia" w:hAnsiTheme="minorHAnsi" w:cstheme="minorHAnsi"/>
                <w:sz w:val="20"/>
                <w:szCs w:val="20"/>
              </w:rPr>
            </w:pPr>
          </w:p>
        </w:tc>
        <w:tc>
          <w:tcPr>
            <w:tcW w:w="2845" w:type="dxa"/>
            <w:hideMark/>
          </w:tcPr>
          <w:p w14:paraId="216AC944" w14:textId="77777777" w:rsidR="00A00FC5" w:rsidRDefault="00A00FC5" w:rsidP="00A00FC5">
            <w:pPr>
              <w:ind w:left="720"/>
              <w:rPr>
                <w:rFonts w:asciiTheme="minorHAnsi" w:eastAsiaTheme="minorEastAsia" w:hAnsiTheme="minorHAnsi" w:cstheme="minorHAnsi"/>
                <w:sz w:val="20"/>
                <w:szCs w:val="20"/>
                <w:lang w:val="en-US"/>
              </w:rPr>
            </w:pPr>
          </w:p>
          <w:p w14:paraId="7CDCE9BD" w14:textId="5AE86B5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Clients and Family</w:t>
            </w:r>
          </w:p>
          <w:p w14:paraId="41FFEF52" w14:textId="740402D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hideMark/>
          </w:tcPr>
          <w:p w14:paraId="052D579E" w14:textId="77777777" w:rsidR="00A00FC5" w:rsidRDefault="00A00FC5" w:rsidP="00A00FC5">
            <w:pPr>
              <w:ind w:left="720"/>
              <w:rPr>
                <w:rFonts w:asciiTheme="minorHAnsi" w:eastAsiaTheme="minorEastAsia" w:hAnsiTheme="minorHAnsi" w:cstheme="minorHAnsi"/>
                <w:sz w:val="20"/>
                <w:szCs w:val="20"/>
                <w:lang w:val="en-US"/>
              </w:rPr>
            </w:pPr>
          </w:p>
          <w:p w14:paraId="128CF9C7" w14:textId="2AD88205"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45570ABA" w14:textId="1A222D64"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tc>
      </w:tr>
      <w:tr w:rsidR="00C74CD4" w:rsidRPr="00AF5C30" w14:paraId="71B78C4E" w14:textId="77777777" w:rsidTr="000854A1">
        <w:trPr>
          <w:trHeight w:val="613"/>
        </w:trPr>
        <w:tc>
          <w:tcPr>
            <w:tcW w:w="3251" w:type="dxa"/>
            <w:hideMark/>
          </w:tcPr>
          <w:p w14:paraId="4AD6F382" w14:textId="77777777" w:rsidR="00A00FC5" w:rsidRDefault="00A00FC5" w:rsidP="00AB669F">
            <w:pPr>
              <w:rPr>
                <w:rFonts w:asciiTheme="minorHAnsi" w:eastAsiaTheme="minorEastAsia" w:hAnsiTheme="minorHAnsi" w:cstheme="minorHAnsi"/>
                <w:sz w:val="20"/>
                <w:szCs w:val="20"/>
              </w:rPr>
            </w:pPr>
          </w:p>
          <w:p w14:paraId="30D3FD43" w14:textId="0BD37909" w:rsidR="00AF5C30" w:rsidRP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that identifies service provider staff are satisfied that the service model is meeting client needs</w:t>
            </w:r>
            <w:r w:rsidR="00AB669F">
              <w:rPr>
                <w:rFonts w:asciiTheme="minorHAnsi" w:eastAsiaTheme="minorEastAsia" w:hAnsiTheme="minorHAnsi" w:cstheme="minorHAnsi"/>
                <w:sz w:val="20"/>
                <w:szCs w:val="20"/>
              </w:rPr>
              <w:t>.</w:t>
            </w:r>
          </w:p>
        </w:tc>
        <w:tc>
          <w:tcPr>
            <w:tcW w:w="2845" w:type="dxa"/>
            <w:hideMark/>
          </w:tcPr>
          <w:p w14:paraId="6F11C68C" w14:textId="77777777" w:rsidR="00A00FC5" w:rsidRDefault="00A00FC5" w:rsidP="00A00FC5">
            <w:pPr>
              <w:ind w:left="720"/>
              <w:rPr>
                <w:rFonts w:asciiTheme="minorHAnsi" w:eastAsiaTheme="minorEastAsia" w:hAnsiTheme="minorHAnsi" w:cstheme="minorHAnsi"/>
                <w:sz w:val="20"/>
                <w:szCs w:val="20"/>
                <w:lang w:val="en-US"/>
              </w:rPr>
            </w:pPr>
          </w:p>
          <w:p w14:paraId="4FA7C4A3" w14:textId="7E9D2E9A"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Case Workers</w:t>
            </w:r>
          </w:p>
          <w:p w14:paraId="722F7E20"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Manager and Data Administrator</w:t>
            </w:r>
          </w:p>
          <w:p w14:paraId="23067475" w14:textId="58EDDE4D"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p w14:paraId="49AE7675"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Correctional Services staff</w:t>
            </w:r>
          </w:p>
        </w:tc>
        <w:tc>
          <w:tcPr>
            <w:tcW w:w="3675" w:type="dxa"/>
            <w:hideMark/>
          </w:tcPr>
          <w:p w14:paraId="4F90BC86" w14:textId="77777777" w:rsidR="00A00FC5" w:rsidRDefault="00A00FC5" w:rsidP="00A00FC5">
            <w:pPr>
              <w:ind w:left="720"/>
              <w:rPr>
                <w:rFonts w:asciiTheme="minorHAnsi" w:eastAsiaTheme="minorEastAsia" w:hAnsiTheme="minorHAnsi" w:cstheme="minorHAnsi"/>
                <w:sz w:val="20"/>
                <w:szCs w:val="20"/>
                <w:lang w:val="en-US"/>
              </w:rPr>
            </w:pPr>
          </w:p>
          <w:p w14:paraId="45034B0F" w14:textId="3786F5CE"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Case Workers</w:t>
            </w:r>
          </w:p>
          <w:p w14:paraId="2A634F26"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Managers and Data Administrators</w:t>
            </w:r>
          </w:p>
          <w:p w14:paraId="3EE03055" w14:textId="7CC206C9"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Correcti</w:t>
            </w:r>
            <w:r w:rsidR="00C74CD4" w:rsidRPr="00AB669F">
              <w:rPr>
                <w:rFonts w:asciiTheme="minorHAnsi" w:eastAsiaTheme="minorEastAsia" w:hAnsiTheme="minorHAnsi" w:cstheme="minorHAnsi"/>
                <w:sz w:val="20"/>
                <w:szCs w:val="20"/>
                <w:lang w:val="en-US"/>
              </w:rPr>
              <w:t>ve Services</w:t>
            </w:r>
          </w:p>
          <w:p w14:paraId="6484A2D9" w14:textId="77777777" w:rsid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p w14:paraId="39AB0A51" w14:textId="65D4DAE4" w:rsidR="00AF5C30" w:rsidRPr="00AF5C30" w:rsidRDefault="00AF5C30" w:rsidP="00AB669F">
            <w:pPr>
              <w:ind w:left="720"/>
              <w:rPr>
                <w:rFonts w:asciiTheme="minorHAnsi" w:eastAsiaTheme="minorEastAsia" w:hAnsiTheme="minorHAnsi" w:cstheme="minorHAnsi"/>
                <w:sz w:val="20"/>
                <w:szCs w:val="20"/>
                <w:lang w:val="en-US"/>
              </w:rPr>
            </w:pPr>
          </w:p>
        </w:tc>
      </w:tr>
      <w:tr w:rsidR="00C74CD4" w:rsidRPr="00AF5C30" w14:paraId="499BC62D" w14:textId="77777777" w:rsidTr="000854A1">
        <w:trPr>
          <w:trHeight w:val="291"/>
        </w:trPr>
        <w:tc>
          <w:tcPr>
            <w:tcW w:w="3251" w:type="dxa"/>
            <w:hideMark/>
          </w:tcPr>
          <w:p w14:paraId="01AFB8D2" w14:textId="77777777" w:rsidR="00A00FC5" w:rsidRDefault="00A00FC5" w:rsidP="00AB669F">
            <w:pPr>
              <w:rPr>
                <w:rFonts w:asciiTheme="minorHAnsi" w:eastAsiaTheme="minorEastAsia" w:hAnsiTheme="minorHAnsi" w:cstheme="minorHAnsi"/>
                <w:sz w:val="20"/>
                <w:szCs w:val="20"/>
              </w:rPr>
            </w:pPr>
          </w:p>
          <w:p w14:paraId="70CAFCAF" w14:textId="43DC9E3F" w:rsid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from clients and families that identifies the service model as being culturally respectful and culturally safe</w:t>
            </w:r>
            <w:r w:rsidR="00AB669F">
              <w:rPr>
                <w:rFonts w:asciiTheme="minorHAnsi" w:eastAsiaTheme="minorEastAsia" w:hAnsiTheme="minorHAnsi" w:cstheme="minorHAnsi"/>
                <w:sz w:val="20"/>
                <w:szCs w:val="20"/>
              </w:rPr>
              <w:t>.</w:t>
            </w:r>
          </w:p>
          <w:p w14:paraId="298E8619" w14:textId="77777777" w:rsidR="00AF5C30" w:rsidRPr="00AF5C30" w:rsidRDefault="00AF5C30" w:rsidP="00AB669F">
            <w:pPr>
              <w:rPr>
                <w:rFonts w:asciiTheme="minorHAnsi" w:eastAsiaTheme="minorEastAsia" w:hAnsiTheme="minorHAnsi" w:cstheme="minorHAnsi"/>
                <w:sz w:val="20"/>
                <w:szCs w:val="20"/>
              </w:rPr>
            </w:pPr>
          </w:p>
        </w:tc>
        <w:tc>
          <w:tcPr>
            <w:tcW w:w="2845" w:type="dxa"/>
            <w:hideMark/>
          </w:tcPr>
          <w:p w14:paraId="1159FA1B" w14:textId="77777777" w:rsidR="00A00FC5" w:rsidRDefault="00A00FC5" w:rsidP="00A00FC5">
            <w:pPr>
              <w:ind w:left="720"/>
              <w:rPr>
                <w:rFonts w:asciiTheme="minorHAnsi" w:eastAsiaTheme="minorEastAsia" w:hAnsiTheme="minorHAnsi" w:cstheme="minorHAnsi"/>
                <w:sz w:val="20"/>
                <w:szCs w:val="20"/>
                <w:lang w:val="en-US"/>
              </w:rPr>
            </w:pPr>
          </w:p>
          <w:p w14:paraId="5BBB2700" w14:textId="1CC01E60"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Clients and Family</w:t>
            </w:r>
          </w:p>
          <w:p w14:paraId="35D41480" w14:textId="387614E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hideMark/>
          </w:tcPr>
          <w:p w14:paraId="103357E8" w14:textId="77777777" w:rsidR="00A00FC5" w:rsidRDefault="00A00FC5" w:rsidP="00A00FC5">
            <w:pPr>
              <w:ind w:left="720"/>
              <w:rPr>
                <w:rFonts w:asciiTheme="minorHAnsi" w:eastAsiaTheme="minorEastAsia" w:hAnsiTheme="minorHAnsi" w:cstheme="minorHAnsi"/>
                <w:sz w:val="20"/>
                <w:szCs w:val="20"/>
                <w:lang w:val="en-US"/>
              </w:rPr>
            </w:pPr>
          </w:p>
          <w:p w14:paraId="50248188"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77C487D4" w14:textId="3720160F"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tc>
      </w:tr>
      <w:tr w:rsidR="00C74CD4" w:rsidRPr="00AF5C30" w14:paraId="1DD98BED" w14:textId="77777777" w:rsidTr="000854A1">
        <w:trPr>
          <w:trHeight w:val="291"/>
        </w:trPr>
        <w:tc>
          <w:tcPr>
            <w:tcW w:w="3251" w:type="dxa"/>
            <w:hideMark/>
          </w:tcPr>
          <w:p w14:paraId="60BA4D1B" w14:textId="77777777" w:rsidR="00A00FC5" w:rsidRDefault="00A00FC5" w:rsidP="00AB669F">
            <w:pPr>
              <w:rPr>
                <w:rFonts w:asciiTheme="minorHAnsi" w:eastAsiaTheme="minorEastAsia" w:hAnsiTheme="minorHAnsi" w:cstheme="minorHAnsi"/>
                <w:sz w:val="20"/>
                <w:szCs w:val="20"/>
              </w:rPr>
            </w:pPr>
          </w:p>
          <w:p w14:paraId="780E976B" w14:textId="4D521346" w:rsidR="00AF5C30" w:rsidRP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from clients and families that identifies the service model as being strengths-based</w:t>
            </w:r>
            <w:r w:rsidR="00AB669F">
              <w:rPr>
                <w:rFonts w:asciiTheme="minorHAnsi" w:eastAsiaTheme="minorEastAsia" w:hAnsiTheme="minorHAnsi" w:cstheme="minorHAnsi"/>
                <w:sz w:val="20"/>
                <w:szCs w:val="20"/>
              </w:rPr>
              <w:t>.</w:t>
            </w:r>
          </w:p>
        </w:tc>
        <w:tc>
          <w:tcPr>
            <w:tcW w:w="2845" w:type="dxa"/>
            <w:hideMark/>
          </w:tcPr>
          <w:p w14:paraId="646BC0B2" w14:textId="77777777" w:rsidR="00A00FC5" w:rsidRDefault="00A00FC5" w:rsidP="00A00FC5">
            <w:pPr>
              <w:ind w:left="720"/>
              <w:rPr>
                <w:rFonts w:asciiTheme="minorHAnsi" w:eastAsiaTheme="minorEastAsia" w:hAnsiTheme="minorHAnsi" w:cstheme="minorHAnsi"/>
                <w:sz w:val="20"/>
                <w:szCs w:val="20"/>
                <w:lang w:val="en-US"/>
              </w:rPr>
            </w:pPr>
          </w:p>
          <w:p w14:paraId="62D3D35D" w14:textId="662CEC22"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Clients and Family</w:t>
            </w:r>
          </w:p>
          <w:p w14:paraId="73607B69" w14:textId="250CAF19"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hideMark/>
          </w:tcPr>
          <w:p w14:paraId="7F79A956" w14:textId="77777777" w:rsidR="00A00FC5" w:rsidRDefault="00A00FC5" w:rsidP="00A00FC5">
            <w:pPr>
              <w:ind w:left="720"/>
              <w:rPr>
                <w:rFonts w:asciiTheme="minorHAnsi" w:eastAsiaTheme="minorEastAsia" w:hAnsiTheme="minorHAnsi" w:cstheme="minorHAnsi"/>
                <w:sz w:val="20"/>
                <w:szCs w:val="20"/>
                <w:lang w:val="en-US"/>
              </w:rPr>
            </w:pPr>
          </w:p>
          <w:p w14:paraId="238A2B94"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4EAEAAC1" w14:textId="0D7D3D4B"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tc>
      </w:tr>
      <w:tr w:rsidR="00C74CD4" w:rsidRPr="00AF5C30" w14:paraId="596A173D" w14:textId="77777777" w:rsidTr="000854A1">
        <w:trPr>
          <w:trHeight w:val="613"/>
        </w:trPr>
        <w:tc>
          <w:tcPr>
            <w:tcW w:w="3251" w:type="dxa"/>
            <w:hideMark/>
          </w:tcPr>
          <w:p w14:paraId="3DD9C675" w14:textId="784523A5" w:rsidR="00AF5C30" w:rsidRP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that identifies service provider staff are satisfied that the service model is culturally respectful and culturally safe</w:t>
            </w:r>
            <w:r w:rsidR="00AB669F">
              <w:rPr>
                <w:rFonts w:asciiTheme="minorHAnsi" w:eastAsiaTheme="minorEastAsia" w:hAnsiTheme="minorHAnsi" w:cstheme="minorHAnsi"/>
                <w:sz w:val="20"/>
                <w:szCs w:val="20"/>
              </w:rPr>
              <w:t>.</w:t>
            </w:r>
          </w:p>
        </w:tc>
        <w:tc>
          <w:tcPr>
            <w:tcW w:w="2845" w:type="dxa"/>
            <w:hideMark/>
          </w:tcPr>
          <w:p w14:paraId="669F5BA8"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Case Workers</w:t>
            </w:r>
          </w:p>
          <w:p w14:paraId="0A8C1E1E"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Manager and Data Administrator</w:t>
            </w:r>
          </w:p>
          <w:p w14:paraId="3C6C0F75" w14:textId="72A60900"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p w14:paraId="1899DBF0"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Correctional Services staff</w:t>
            </w:r>
          </w:p>
        </w:tc>
        <w:tc>
          <w:tcPr>
            <w:tcW w:w="3675" w:type="dxa"/>
            <w:hideMark/>
          </w:tcPr>
          <w:p w14:paraId="61975742"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Case Workers</w:t>
            </w:r>
          </w:p>
          <w:p w14:paraId="05FB6D5A"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Managers and Data Administrators</w:t>
            </w:r>
          </w:p>
          <w:p w14:paraId="199EB82A" w14:textId="04EE5256"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Correcti</w:t>
            </w:r>
            <w:r w:rsidR="00C74CD4" w:rsidRPr="00AB669F">
              <w:rPr>
                <w:rFonts w:asciiTheme="minorHAnsi" w:eastAsiaTheme="minorEastAsia" w:hAnsiTheme="minorHAnsi" w:cstheme="minorHAnsi"/>
                <w:sz w:val="20"/>
                <w:szCs w:val="20"/>
                <w:lang w:val="en-US"/>
              </w:rPr>
              <w:t>ve Services</w:t>
            </w:r>
          </w:p>
          <w:p w14:paraId="35E567BD" w14:textId="77777777" w:rsid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p w14:paraId="790BEC03" w14:textId="12F227B3" w:rsidR="00AF5C30" w:rsidRPr="00AF5C30" w:rsidRDefault="00AF5C30" w:rsidP="00AB669F">
            <w:pPr>
              <w:ind w:left="720"/>
              <w:rPr>
                <w:rFonts w:asciiTheme="minorHAnsi" w:eastAsiaTheme="minorEastAsia" w:hAnsiTheme="minorHAnsi" w:cstheme="minorHAnsi"/>
                <w:sz w:val="20"/>
                <w:szCs w:val="20"/>
                <w:lang w:val="en-US"/>
              </w:rPr>
            </w:pPr>
          </w:p>
        </w:tc>
      </w:tr>
      <w:tr w:rsidR="00C74CD4" w:rsidRPr="00AF5C30" w14:paraId="5E3A46A0" w14:textId="77777777" w:rsidTr="000854A1">
        <w:trPr>
          <w:trHeight w:val="613"/>
        </w:trPr>
        <w:tc>
          <w:tcPr>
            <w:tcW w:w="3251" w:type="dxa"/>
            <w:hideMark/>
          </w:tcPr>
          <w:p w14:paraId="7A5488DF" w14:textId="77777777" w:rsidR="00A00FC5" w:rsidRDefault="00A00FC5" w:rsidP="00AB669F">
            <w:pPr>
              <w:rPr>
                <w:rFonts w:asciiTheme="minorHAnsi" w:eastAsiaTheme="minorEastAsia" w:hAnsiTheme="minorHAnsi" w:cstheme="minorHAnsi"/>
                <w:sz w:val="20"/>
                <w:szCs w:val="20"/>
              </w:rPr>
            </w:pPr>
          </w:p>
          <w:p w14:paraId="560A6B6E" w14:textId="20B92887" w:rsidR="00AF5C30" w:rsidRPr="00AF5C30" w:rsidRDefault="00AF5C30" w:rsidP="00AB669F">
            <w:pPr>
              <w:rPr>
                <w:rFonts w:asciiTheme="minorHAnsi" w:eastAsiaTheme="minorEastAsia" w:hAnsiTheme="minorHAnsi" w:cstheme="minorHAnsi"/>
                <w:sz w:val="20"/>
                <w:szCs w:val="20"/>
              </w:rPr>
            </w:pPr>
            <w:r w:rsidRPr="00AF5C30">
              <w:rPr>
                <w:rFonts w:asciiTheme="minorHAnsi" w:eastAsiaTheme="minorEastAsia" w:hAnsiTheme="minorHAnsi" w:cstheme="minorHAnsi"/>
                <w:sz w:val="20"/>
                <w:szCs w:val="20"/>
              </w:rPr>
              <w:t>Feedback that identifies service provider staff are satisfied that the service model is strengths-based</w:t>
            </w:r>
            <w:r w:rsidR="00AB669F">
              <w:rPr>
                <w:rFonts w:asciiTheme="minorHAnsi" w:eastAsiaTheme="minorEastAsia" w:hAnsiTheme="minorHAnsi" w:cstheme="minorHAnsi"/>
                <w:sz w:val="20"/>
                <w:szCs w:val="20"/>
              </w:rPr>
              <w:t>.</w:t>
            </w:r>
          </w:p>
        </w:tc>
        <w:tc>
          <w:tcPr>
            <w:tcW w:w="2845" w:type="dxa"/>
            <w:hideMark/>
          </w:tcPr>
          <w:p w14:paraId="32A28AF2" w14:textId="77777777" w:rsidR="00A00FC5" w:rsidRDefault="00A00FC5" w:rsidP="00A00FC5">
            <w:pPr>
              <w:ind w:left="720"/>
              <w:rPr>
                <w:rFonts w:asciiTheme="minorHAnsi" w:eastAsiaTheme="minorEastAsia" w:hAnsiTheme="minorHAnsi" w:cstheme="minorHAnsi"/>
                <w:sz w:val="20"/>
                <w:szCs w:val="20"/>
                <w:lang w:val="en-US"/>
              </w:rPr>
            </w:pPr>
          </w:p>
          <w:p w14:paraId="68C846DB" w14:textId="19F3A235"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Case Workers</w:t>
            </w:r>
          </w:p>
          <w:p w14:paraId="66532EFA"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ATC and YTC Manager and Data Administrator</w:t>
            </w:r>
          </w:p>
          <w:p w14:paraId="203E0A7C" w14:textId="0DE17232"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p w14:paraId="0724EC79"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Correctional Services staff</w:t>
            </w:r>
          </w:p>
        </w:tc>
        <w:tc>
          <w:tcPr>
            <w:tcW w:w="3675" w:type="dxa"/>
            <w:hideMark/>
          </w:tcPr>
          <w:p w14:paraId="4B2307EB" w14:textId="77777777" w:rsidR="00A00FC5" w:rsidRDefault="00A00FC5" w:rsidP="00A00FC5">
            <w:pPr>
              <w:ind w:left="720"/>
              <w:rPr>
                <w:rFonts w:asciiTheme="minorHAnsi" w:eastAsiaTheme="minorEastAsia" w:hAnsiTheme="minorHAnsi" w:cstheme="minorHAnsi"/>
                <w:sz w:val="20"/>
                <w:szCs w:val="20"/>
                <w:lang w:val="en-US"/>
              </w:rPr>
            </w:pPr>
          </w:p>
          <w:p w14:paraId="2E90A4FE" w14:textId="79624CA3"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Case Workers</w:t>
            </w:r>
          </w:p>
          <w:p w14:paraId="7E165F3D" w14:textId="77777777"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Managers and Data Administrators</w:t>
            </w:r>
          </w:p>
          <w:p w14:paraId="3B50A57D" w14:textId="17B63D0F"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Correcti</w:t>
            </w:r>
            <w:r w:rsidR="00C74CD4" w:rsidRPr="00AB669F">
              <w:rPr>
                <w:rFonts w:asciiTheme="minorHAnsi" w:eastAsiaTheme="minorEastAsia" w:hAnsiTheme="minorHAnsi" w:cstheme="minorHAnsi"/>
                <w:sz w:val="20"/>
                <w:szCs w:val="20"/>
                <w:lang w:val="en-US"/>
              </w:rPr>
              <w:t>ve Services</w:t>
            </w:r>
          </w:p>
          <w:p w14:paraId="18A12AE5" w14:textId="77777777" w:rsid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9B62F1"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p w14:paraId="1FE98FB1" w14:textId="15B8DA22" w:rsidR="00AF5C30" w:rsidRPr="00AF5C30" w:rsidRDefault="00AF5C30" w:rsidP="00AB669F">
            <w:pPr>
              <w:ind w:left="720"/>
              <w:rPr>
                <w:rFonts w:asciiTheme="minorHAnsi" w:eastAsiaTheme="minorEastAsia" w:hAnsiTheme="minorHAnsi" w:cstheme="minorHAnsi"/>
                <w:sz w:val="20"/>
                <w:szCs w:val="20"/>
                <w:lang w:val="en-US"/>
              </w:rPr>
            </w:pPr>
          </w:p>
        </w:tc>
      </w:tr>
      <w:tr w:rsidR="00C74CD4" w:rsidRPr="00AF5C30" w14:paraId="1AAFE405" w14:textId="77777777" w:rsidTr="000854A1">
        <w:trPr>
          <w:trHeight w:val="613"/>
        </w:trPr>
        <w:tc>
          <w:tcPr>
            <w:tcW w:w="3251" w:type="dxa"/>
          </w:tcPr>
          <w:p w14:paraId="1EF46872" w14:textId="77777777" w:rsidR="00A00FC5" w:rsidRDefault="00A00FC5" w:rsidP="00AB669F">
            <w:pPr>
              <w:rPr>
                <w:rFonts w:asciiTheme="minorHAnsi" w:eastAsiaTheme="minorEastAsia" w:hAnsiTheme="minorHAnsi" w:cstheme="minorHAnsi"/>
                <w:sz w:val="20"/>
                <w:szCs w:val="20"/>
              </w:rPr>
            </w:pPr>
          </w:p>
          <w:p w14:paraId="157268BB" w14:textId="4527B26A"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Observation that through-care service providers promote an environment of cultural safety and competency through policy and procedures documentation used to guide case management</w:t>
            </w:r>
            <w:r w:rsidR="00AB669F">
              <w:rPr>
                <w:rFonts w:asciiTheme="minorHAnsi" w:eastAsiaTheme="minorEastAsia" w:hAnsiTheme="minorHAnsi" w:cstheme="minorHAnsi"/>
                <w:sz w:val="20"/>
                <w:szCs w:val="20"/>
              </w:rPr>
              <w:t>.</w:t>
            </w:r>
          </w:p>
        </w:tc>
        <w:tc>
          <w:tcPr>
            <w:tcW w:w="2845" w:type="dxa"/>
          </w:tcPr>
          <w:p w14:paraId="4C4D1B93" w14:textId="77777777" w:rsidR="00A00FC5" w:rsidRDefault="00A00FC5" w:rsidP="00A00FC5">
            <w:pPr>
              <w:ind w:left="720"/>
              <w:rPr>
                <w:rFonts w:asciiTheme="minorHAnsi" w:eastAsiaTheme="minorEastAsia" w:hAnsiTheme="minorHAnsi" w:cstheme="minorHAnsi"/>
                <w:sz w:val="20"/>
                <w:szCs w:val="20"/>
                <w:lang w:val="en-US"/>
              </w:rPr>
            </w:pPr>
          </w:p>
          <w:p w14:paraId="61287E30" w14:textId="4A1615BF" w:rsidR="00C74CD4" w:rsidRPr="00AB669F" w:rsidRDefault="00C74CD4"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AB669F">
              <w:rPr>
                <w:rFonts w:asciiTheme="minorHAnsi" w:eastAsiaTheme="minorEastAsia" w:hAnsiTheme="minorHAnsi" w:cstheme="minorHAnsi"/>
                <w:sz w:val="20"/>
                <w:szCs w:val="20"/>
                <w:lang w:val="en-US"/>
              </w:rPr>
              <w:t>Data Administrator</w:t>
            </w:r>
          </w:p>
        </w:tc>
        <w:tc>
          <w:tcPr>
            <w:tcW w:w="3675" w:type="dxa"/>
          </w:tcPr>
          <w:p w14:paraId="4D442396" w14:textId="77777777" w:rsidR="00A00FC5" w:rsidRDefault="00A00FC5" w:rsidP="00A00FC5">
            <w:pPr>
              <w:ind w:left="720"/>
              <w:rPr>
                <w:rFonts w:asciiTheme="minorHAnsi" w:eastAsiaTheme="minorEastAsia" w:hAnsiTheme="minorHAnsi" w:cstheme="minorHAnsi"/>
                <w:sz w:val="20"/>
                <w:szCs w:val="20"/>
                <w:lang w:val="en-US"/>
              </w:rPr>
            </w:pPr>
          </w:p>
          <w:p w14:paraId="2C24F1B0" w14:textId="1813DE4E" w:rsidR="00AB669F" w:rsidRPr="009B62F1" w:rsidRDefault="009B62F1" w:rsidP="00C71EF3">
            <w:pPr>
              <w:numPr>
                <w:ilvl w:val="0"/>
                <w:numId w:val="26"/>
              </w:numPr>
              <w:rPr>
                <w:rFonts w:asciiTheme="minorHAnsi" w:eastAsiaTheme="minorEastAsia" w:hAnsiTheme="minorHAnsi" w:cstheme="minorHAnsi"/>
                <w:sz w:val="20"/>
                <w:szCs w:val="20"/>
                <w:lang w:val="en-US"/>
              </w:rPr>
            </w:pPr>
            <w:r w:rsidRPr="009B62F1">
              <w:rPr>
                <w:rFonts w:asciiTheme="minorHAnsi" w:eastAsiaTheme="minorEastAsia" w:hAnsiTheme="minorHAnsi" w:cstheme="minorHAnsi"/>
                <w:sz w:val="20"/>
                <w:szCs w:val="20"/>
                <w:lang w:val="en-US"/>
              </w:rPr>
              <w:t>Semi-structured Interview with Managers and Data Administrators</w:t>
            </w:r>
          </w:p>
          <w:p w14:paraId="697DD060" w14:textId="448C60A6" w:rsidR="00C74CD4" w:rsidRPr="00AB669F" w:rsidRDefault="009B62F1" w:rsidP="00C71EF3">
            <w:pPr>
              <w:numPr>
                <w:ilvl w:val="0"/>
                <w:numId w:val="26"/>
              </w:numPr>
              <w:rPr>
                <w:rFonts w:asciiTheme="minorHAnsi" w:eastAsiaTheme="minorEastAsia" w:hAnsiTheme="minorHAnsi" w:cstheme="minorHAnsi"/>
                <w:sz w:val="20"/>
                <w:szCs w:val="20"/>
                <w:lang w:val="en-US"/>
              </w:rPr>
            </w:pPr>
            <w:r w:rsidRPr="00AB669F">
              <w:rPr>
                <w:rFonts w:asciiTheme="minorHAnsi" w:eastAsiaTheme="minorEastAsia" w:hAnsiTheme="minorHAnsi" w:cstheme="minorHAnsi"/>
                <w:sz w:val="20"/>
                <w:szCs w:val="20"/>
                <w:lang w:val="en-US"/>
              </w:rPr>
              <w:t>Desk-top Review</w:t>
            </w:r>
          </w:p>
        </w:tc>
      </w:tr>
      <w:tr w:rsidR="00C74CD4" w:rsidRPr="00AF5C30" w14:paraId="25138481" w14:textId="77777777" w:rsidTr="000854A1">
        <w:trPr>
          <w:trHeight w:val="613"/>
        </w:trPr>
        <w:tc>
          <w:tcPr>
            <w:tcW w:w="3251" w:type="dxa"/>
          </w:tcPr>
          <w:p w14:paraId="70D70D70" w14:textId="77777777" w:rsidR="00DC40EE" w:rsidRPr="00AB669F" w:rsidRDefault="00DC40EE" w:rsidP="00AB669F">
            <w:pPr>
              <w:rPr>
                <w:rFonts w:asciiTheme="minorHAnsi" w:eastAsiaTheme="minorEastAsia" w:hAnsiTheme="minorHAnsi" w:cstheme="minorHAnsi"/>
                <w:sz w:val="20"/>
                <w:szCs w:val="20"/>
              </w:rPr>
            </w:pPr>
          </w:p>
          <w:p w14:paraId="4CFDB4DB" w14:textId="49188F1D"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Proportion of external service providers that identify the service model as being culturally respectful and culturally safe for clients</w:t>
            </w:r>
            <w:r w:rsidR="00AB669F">
              <w:rPr>
                <w:rFonts w:asciiTheme="minorHAnsi" w:eastAsiaTheme="minorEastAsia" w:hAnsiTheme="minorHAnsi" w:cstheme="minorHAnsi"/>
                <w:sz w:val="20"/>
                <w:szCs w:val="20"/>
              </w:rPr>
              <w:t>.</w:t>
            </w:r>
          </w:p>
        </w:tc>
        <w:tc>
          <w:tcPr>
            <w:tcW w:w="2845" w:type="dxa"/>
          </w:tcPr>
          <w:p w14:paraId="64B6E4FA" w14:textId="77777777" w:rsidR="00DC40EE" w:rsidRPr="00AB669F" w:rsidRDefault="00DC40EE" w:rsidP="00AB669F">
            <w:pPr>
              <w:ind w:left="720"/>
              <w:rPr>
                <w:rFonts w:asciiTheme="minorHAnsi" w:eastAsiaTheme="minorEastAsia" w:hAnsiTheme="minorHAnsi" w:cstheme="minorHAnsi"/>
                <w:sz w:val="20"/>
                <w:szCs w:val="20"/>
                <w:lang w:val="en-US"/>
              </w:rPr>
            </w:pPr>
          </w:p>
          <w:p w14:paraId="3C989228" w14:textId="57595F9E" w:rsidR="00C74CD4" w:rsidRDefault="00C74CD4"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External </w:t>
            </w:r>
            <w:r w:rsidR="003300B9">
              <w:rPr>
                <w:rFonts w:asciiTheme="minorHAnsi" w:eastAsiaTheme="minorEastAsia"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003300B9">
              <w:rPr>
                <w:rFonts w:asciiTheme="minorHAnsi" w:eastAsiaTheme="minorEastAsia" w:hAnsiTheme="minorHAnsi" w:cstheme="minorHAnsi"/>
                <w:sz w:val="20"/>
                <w:szCs w:val="20"/>
                <w:lang w:val="en-US"/>
              </w:rPr>
              <w:t>P</w:t>
            </w:r>
            <w:r w:rsidRPr="00DC40EE">
              <w:rPr>
                <w:rFonts w:asciiTheme="minorHAnsi" w:eastAsiaTheme="minorEastAsia" w:hAnsiTheme="minorHAnsi" w:cstheme="minorHAnsi"/>
                <w:sz w:val="20"/>
                <w:szCs w:val="20"/>
                <w:lang w:val="en-US"/>
              </w:rPr>
              <w:t>roviders</w:t>
            </w:r>
          </w:p>
          <w:p w14:paraId="3C102654" w14:textId="442BC9DE" w:rsidR="00DD3CAE" w:rsidRPr="00AB669F"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Correctional Services staff</w:t>
            </w:r>
          </w:p>
        </w:tc>
        <w:tc>
          <w:tcPr>
            <w:tcW w:w="3675" w:type="dxa"/>
          </w:tcPr>
          <w:p w14:paraId="6EFF3A6F" w14:textId="77777777" w:rsidR="00DC40EE" w:rsidRPr="00AB669F" w:rsidRDefault="00DC40EE" w:rsidP="00AB669F">
            <w:pPr>
              <w:rPr>
                <w:rFonts w:asciiTheme="minorHAnsi" w:eastAsiaTheme="minorEastAsia" w:hAnsiTheme="minorHAnsi" w:cstheme="minorHAnsi"/>
                <w:sz w:val="20"/>
                <w:szCs w:val="20"/>
                <w:lang w:val="en-US"/>
              </w:rPr>
            </w:pPr>
          </w:p>
          <w:p w14:paraId="5C293D98" w14:textId="77777777" w:rsidR="00C74CD4" w:rsidRDefault="009B62F1"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External </w:t>
            </w:r>
            <w:r w:rsidRPr="00AB669F">
              <w:rPr>
                <w:rFonts w:asciiTheme="minorHAnsi" w:eastAsiaTheme="minorEastAsia"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AB669F">
              <w:rPr>
                <w:rFonts w:asciiTheme="minorHAnsi" w:eastAsiaTheme="minorEastAsia"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AB669F">
              <w:rPr>
                <w:rFonts w:asciiTheme="minorHAnsi" w:eastAsiaTheme="minorEastAsia" w:hAnsiTheme="minorHAnsi" w:cstheme="minorHAnsi"/>
                <w:sz w:val="20"/>
                <w:szCs w:val="20"/>
                <w:lang w:val="en-US"/>
              </w:rPr>
              <w:t xml:space="preserve"> Survey</w:t>
            </w:r>
          </w:p>
          <w:p w14:paraId="529B2627" w14:textId="352CD48C" w:rsidR="00DD3CAE" w:rsidRPr="00AB669F"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hAnsiTheme="minorHAnsi" w:cstheme="minorHAnsi"/>
                <w:sz w:val="20"/>
                <w:szCs w:val="20"/>
              </w:rPr>
              <w:t>Semi-structured Interview with Correcti</w:t>
            </w:r>
            <w:r w:rsidR="00DD3CAE" w:rsidRPr="00DC40EE">
              <w:rPr>
                <w:rFonts w:asciiTheme="minorHAnsi" w:hAnsiTheme="minorHAnsi" w:cstheme="minorHAnsi"/>
                <w:sz w:val="20"/>
                <w:szCs w:val="20"/>
              </w:rPr>
              <w:t>ve Services</w:t>
            </w:r>
          </w:p>
        </w:tc>
      </w:tr>
      <w:tr w:rsidR="00C74CD4" w:rsidRPr="00AF5C30" w14:paraId="567F4291" w14:textId="77777777" w:rsidTr="000854A1">
        <w:trPr>
          <w:trHeight w:val="613"/>
        </w:trPr>
        <w:tc>
          <w:tcPr>
            <w:tcW w:w="3251" w:type="dxa"/>
          </w:tcPr>
          <w:p w14:paraId="24DA5E9E" w14:textId="77777777" w:rsidR="00DC40EE" w:rsidRPr="00AB669F" w:rsidRDefault="00DC40EE" w:rsidP="00AB669F">
            <w:pPr>
              <w:rPr>
                <w:rFonts w:asciiTheme="minorHAnsi" w:eastAsiaTheme="minorEastAsia" w:hAnsiTheme="minorHAnsi" w:cstheme="minorHAnsi"/>
                <w:sz w:val="20"/>
                <w:szCs w:val="20"/>
              </w:rPr>
            </w:pPr>
          </w:p>
          <w:p w14:paraId="77BF5841" w14:textId="4E371ABC"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Feedback from external agencies that identifies the service model as being collaborative</w:t>
            </w:r>
            <w:r w:rsidR="00AB669F">
              <w:rPr>
                <w:rFonts w:asciiTheme="minorHAnsi" w:eastAsiaTheme="minorEastAsia" w:hAnsiTheme="minorHAnsi" w:cstheme="minorHAnsi"/>
                <w:sz w:val="20"/>
                <w:szCs w:val="20"/>
              </w:rPr>
              <w:t>.</w:t>
            </w:r>
          </w:p>
        </w:tc>
        <w:tc>
          <w:tcPr>
            <w:tcW w:w="2845" w:type="dxa"/>
          </w:tcPr>
          <w:p w14:paraId="2905D3F3" w14:textId="77777777" w:rsidR="00DC40EE" w:rsidRPr="00DC40EE" w:rsidRDefault="00DC40EE" w:rsidP="00AB669F">
            <w:pPr>
              <w:ind w:left="720"/>
              <w:rPr>
                <w:rFonts w:asciiTheme="minorHAnsi" w:hAnsiTheme="minorHAnsi" w:cstheme="minorHAnsi"/>
                <w:sz w:val="20"/>
                <w:szCs w:val="20"/>
                <w:lang w:val="en-US"/>
              </w:rPr>
            </w:pPr>
          </w:p>
          <w:p w14:paraId="56C48009" w14:textId="77777777" w:rsidR="003300B9" w:rsidRDefault="003300B9"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External </w:t>
            </w:r>
            <w:r>
              <w:rPr>
                <w:rFonts w:asciiTheme="minorHAnsi" w:eastAsiaTheme="minorEastAsia"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Pr>
                <w:rFonts w:asciiTheme="minorHAnsi" w:eastAsiaTheme="minorEastAsia" w:hAnsiTheme="minorHAnsi" w:cstheme="minorHAnsi"/>
                <w:sz w:val="20"/>
                <w:szCs w:val="20"/>
                <w:lang w:val="en-US"/>
              </w:rPr>
              <w:t>P</w:t>
            </w:r>
            <w:r w:rsidRPr="00DC40EE">
              <w:rPr>
                <w:rFonts w:asciiTheme="minorHAnsi" w:eastAsiaTheme="minorEastAsia" w:hAnsiTheme="minorHAnsi" w:cstheme="minorHAnsi"/>
                <w:sz w:val="20"/>
                <w:szCs w:val="20"/>
                <w:lang w:val="en-US"/>
              </w:rPr>
              <w:t>roviders</w:t>
            </w:r>
          </w:p>
          <w:p w14:paraId="02A9AA0F" w14:textId="5A88DE89" w:rsidR="00C74CD4" w:rsidRPr="00DC40EE" w:rsidRDefault="00C74CD4" w:rsidP="00C71EF3">
            <w:pPr>
              <w:numPr>
                <w:ilvl w:val="0"/>
                <w:numId w:val="26"/>
              </w:numPr>
              <w:rPr>
                <w:rFonts w:asciiTheme="minorHAnsi" w:hAnsiTheme="minorHAnsi" w:cstheme="minorHAnsi"/>
                <w:sz w:val="20"/>
                <w:szCs w:val="20"/>
                <w:lang w:val="en-US"/>
              </w:rPr>
            </w:pPr>
            <w:r w:rsidRPr="00DC40EE">
              <w:rPr>
                <w:rFonts w:asciiTheme="minorHAnsi" w:hAnsiTheme="minorHAnsi" w:cstheme="minorHAnsi"/>
                <w:sz w:val="20"/>
                <w:szCs w:val="20"/>
                <w:lang w:val="en-US"/>
              </w:rPr>
              <w:t>Correctional Services staff</w:t>
            </w:r>
          </w:p>
        </w:tc>
        <w:tc>
          <w:tcPr>
            <w:tcW w:w="3675" w:type="dxa"/>
          </w:tcPr>
          <w:p w14:paraId="3A5D5B99" w14:textId="77777777" w:rsidR="00DC40EE" w:rsidRPr="00DC40EE" w:rsidRDefault="00DC40EE" w:rsidP="00AB669F">
            <w:pPr>
              <w:ind w:left="720"/>
              <w:rPr>
                <w:rFonts w:asciiTheme="minorHAnsi" w:hAnsiTheme="minorHAnsi" w:cstheme="minorHAnsi"/>
                <w:sz w:val="20"/>
                <w:szCs w:val="20"/>
              </w:rPr>
            </w:pPr>
          </w:p>
          <w:p w14:paraId="1A7837CD" w14:textId="5FA0E425" w:rsidR="00C74CD4" w:rsidRPr="00DC40EE" w:rsidRDefault="009B62F1"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41EDAFD4" w14:textId="6EF6F18E" w:rsidR="009B62F1" w:rsidRPr="00DC40EE"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9B62F1" w:rsidRPr="00DC40EE">
              <w:rPr>
                <w:rFonts w:asciiTheme="minorHAnsi" w:hAnsiTheme="minorHAnsi" w:cstheme="minorHAnsi"/>
                <w:sz w:val="20"/>
                <w:szCs w:val="20"/>
              </w:rPr>
              <w:t>ve Services</w:t>
            </w:r>
          </w:p>
        </w:tc>
      </w:tr>
      <w:tr w:rsidR="00C74CD4" w:rsidRPr="00AF5C30" w14:paraId="649BF839" w14:textId="77777777" w:rsidTr="000854A1">
        <w:trPr>
          <w:trHeight w:val="613"/>
        </w:trPr>
        <w:tc>
          <w:tcPr>
            <w:tcW w:w="3251" w:type="dxa"/>
          </w:tcPr>
          <w:p w14:paraId="4A2CA5D9" w14:textId="77777777" w:rsidR="00AB669F" w:rsidRPr="00AB669F" w:rsidRDefault="00AB669F" w:rsidP="00AB669F">
            <w:pPr>
              <w:rPr>
                <w:rFonts w:asciiTheme="minorHAnsi" w:eastAsiaTheme="minorEastAsia" w:hAnsiTheme="minorHAnsi" w:cstheme="minorHAnsi"/>
                <w:sz w:val="20"/>
                <w:szCs w:val="20"/>
              </w:rPr>
            </w:pPr>
          </w:p>
          <w:p w14:paraId="0E8268C1" w14:textId="330977EA"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Proportion of external service providers that identify the service model as being collaborative</w:t>
            </w:r>
            <w:r w:rsidR="00AB669F">
              <w:rPr>
                <w:rFonts w:asciiTheme="minorHAnsi" w:eastAsiaTheme="minorEastAsia" w:hAnsiTheme="minorHAnsi" w:cstheme="minorHAnsi"/>
                <w:sz w:val="20"/>
                <w:szCs w:val="20"/>
              </w:rPr>
              <w:t>.</w:t>
            </w:r>
          </w:p>
        </w:tc>
        <w:tc>
          <w:tcPr>
            <w:tcW w:w="2845" w:type="dxa"/>
          </w:tcPr>
          <w:p w14:paraId="06D5AFBE" w14:textId="77777777" w:rsidR="00AB669F" w:rsidRPr="00AB669F" w:rsidRDefault="00AB669F" w:rsidP="00AB669F">
            <w:pPr>
              <w:ind w:left="720"/>
              <w:rPr>
                <w:rFonts w:asciiTheme="minorHAnsi" w:hAnsiTheme="minorHAnsi" w:cstheme="minorHAnsi"/>
                <w:sz w:val="20"/>
                <w:szCs w:val="20"/>
                <w:lang w:val="en-US"/>
              </w:rPr>
            </w:pPr>
          </w:p>
          <w:p w14:paraId="4B70BBA6" w14:textId="77777777" w:rsidR="003300B9" w:rsidRDefault="003300B9"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External </w:t>
            </w:r>
            <w:r>
              <w:rPr>
                <w:rFonts w:asciiTheme="minorHAnsi" w:eastAsiaTheme="minorEastAsia"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Pr>
                <w:rFonts w:asciiTheme="minorHAnsi" w:eastAsiaTheme="minorEastAsia" w:hAnsiTheme="minorHAnsi" w:cstheme="minorHAnsi"/>
                <w:sz w:val="20"/>
                <w:szCs w:val="20"/>
                <w:lang w:val="en-US"/>
              </w:rPr>
              <w:t>P</w:t>
            </w:r>
            <w:r w:rsidRPr="00DC40EE">
              <w:rPr>
                <w:rFonts w:asciiTheme="minorHAnsi" w:eastAsiaTheme="minorEastAsia" w:hAnsiTheme="minorHAnsi" w:cstheme="minorHAnsi"/>
                <w:sz w:val="20"/>
                <w:szCs w:val="20"/>
                <w:lang w:val="en-US"/>
              </w:rPr>
              <w:t>roviders</w:t>
            </w:r>
          </w:p>
          <w:p w14:paraId="3BF95ED3" w14:textId="3954B6CC" w:rsidR="00DD3CAE" w:rsidRPr="00DC40EE" w:rsidRDefault="00DD3CAE" w:rsidP="00C71EF3">
            <w:pPr>
              <w:numPr>
                <w:ilvl w:val="0"/>
                <w:numId w:val="26"/>
              </w:numPr>
              <w:rPr>
                <w:rFonts w:asciiTheme="minorHAnsi" w:hAnsiTheme="minorHAnsi" w:cstheme="minorHAnsi"/>
                <w:sz w:val="20"/>
                <w:szCs w:val="20"/>
                <w:lang w:val="en-US"/>
              </w:rPr>
            </w:pPr>
            <w:r w:rsidRPr="00DC40EE">
              <w:rPr>
                <w:rFonts w:asciiTheme="minorHAnsi" w:hAnsiTheme="minorHAnsi" w:cstheme="minorHAnsi"/>
                <w:sz w:val="20"/>
                <w:szCs w:val="20"/>
                <w:lang w:val="en-US"/>
              </w:rPr>
              <w:t>Correctional Services staff</w:t>
            </w:r>
          </w:p>
        </w:tc>
        <w:tc>
          <w:tcPr>
            <w:tcW w:w="3675" w:type="dxa"/>
          </w:tcPr>
          <w:p w14:paraId="47D294F2" w14:textId="77777777" w:rsidR="00AB669F" w:rsidRPr="00AB669F" w:rsidRDefault="00AB669F" w:rsidP="00AB669F">
            <w:pPr>
              <w:ind w:left="720"/>
              <w:rPr>
                <w:rFonts w:asciiTheme="minorHAnsi" w:hAnsiTheme="minorHAnsi" w:cstheme="minorHAnsi"/>
                <w:sz w:val="20"/>
                <w:szCs w:val="20"/>
              </w:rPr>
            </w:pPr>
          </w:p>
          <w:p w14:paraId="5CF115D7" w14:textId="77777777" w:rsidR="00C74CD4" w:rsidRPr="00DD3CAE" w:rsidRDefault="009B62F1"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68B78CA8" w14:textId="27DFC96D" w:rsidR="00DD3CAE" w:rsidRPr="00DC40EE"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DD3CAE" w:rsidRPr="00DC40EE">
              <w:rPr>
                <w:rFonts w:asciiTheme="minorHAnsi" w:hAnsiTheme="minorHAnsi" w:cstheme="minorHAnsi"/>
                <w:sz w:val="20"/>
                <w:szCs w:val="20"/>
              </w:rPr>
              <w:t>ve Services</w:t>
            </w:r>
          </w:p>
        </w:tc>
      </w:tr>
      <w:tr w:rsidR="00C74CD4" w:rsidRPr="00AF5C30" w14:paraId="6CB01DC8" w14:textId="77777777" w:rsidTr="000854A1">
        <w:trPr>
          <w:trHeight w:val="613"/>
        </w:trPr>
        <w:tc>
          <w:tcPr>
            <w:tcW w:w="3251" w:type="dxa"/>
          </w:tcPr>
          <w:p w14:paraId="6B022054" w14:textId="77777777" w:rsidR="00DC40EE" w:rsidRPr="00AB669F" w:rsidRDefault="00DC40EE" w:rsidP="00AB669F">
            <w:pPr>
              <w:rPr>
                <w:rFonts w:asciiTheme="minorHAnsi" w:eastAsiaTheme="minorEastAsia" w:hAnsiTheme="minorHAnsi" w:cstheme="minorHAnsi"/>
                <w:sz w:val="20"/>
                <w:szCs w:val="20"/>
              </w:rPr>
            </w:pPr>
          </w:p>
          <w:p w14:paraId="105003EC" w14:textId="0D4A08C7"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Proportion of external service providers that identify the service model as meeting the needs of clients</w:t>
            </w:r>
            <w:r w:rsidR="00AB669F">
              <w:rPr>
                <w:rFonts w:asciiTheme="minorHAnsi" w:eastAsiaTheme="minorEastAsia" w:hAnsiTheme="minorHAnsi" w:cstheme="minorHAnsi"/>
                <w:sz w:val="20"/>
                <w:szCs w:val="20"/>
              </w:rPr>
              <w:t>.</w:t>
            </w:r>
          </w:p>
        </w:tc>
        <w:tc>
          <w:tcPr>
            <w:tcW w:w="2845" w:type="dxa"/>
          </w:tcPr>
          <w:p w14:paraId="313D597B" w14:textId="77777777" w:rsidR="00DC40EE" w:rsidRPr="00DC40EE" w:rsidRDefault="00DC40EE" w:rsidP="00AB669F">
            <w:pPr>
              <w:ind w:left="720"/>
              <w:rPr>
                <w:rFonts w:asciiTheme="minorHAnsi" w:hAnsiTheme="minorHAnsi" w:cstheme="minorHAnsi"/>
                <w:sz w:val="20"/>
                <w:szCs w:val="20"/>
                <w:lang w:val="en-US"/>
              </w:rPr>
            </w:pPr>
          </w:p>
          <w:p w14:paraId="734D15FD" w14:textId="013F8533" w:rsidR="00C74CD4" w:rsidRPr="003300B9" w:rsidRDefault="003300B9"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External </w:t>
            </w:r>
            <w:r>
              <w:rPr>
                <w:rFonts w:asciiTheme="minorHAnsi" w:eastAsiaTheme="minorEastAsia"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Pr>
                <w:rFonts w:asciiTheme="minorHAnsi" w:eastAsiaTheme="minorEastAsia" w:hAnsiTheme="minorHAnsi" w:cstheme="minorHAnsi"/>
                <w:sz w:val="20"/>
                <w:szCs w:val="20"/>
                <w:lang w:val="en-US"/>
              </w:rPr>
              <w:t>P</w:t>
            </w:r>
            <w:r w:rsidRPr="00DC40EE">
              <w:rPr>
                <w:rFonts w:asciiTheme="minorHAnsi" w:eastAsiaTheme="minorEastAsia" w:hAnsiTheme="minorHAnsi" w:cstheme="minorHAnsi"/>
                <w:sz w:val="20"/>
                <w:szCs w:val="20"/>
                <w:lang w:val="en-US"/>
              </w:rPr>
              <w:t>roviders</w:t>
            </w:r>
          </w:p>
          <w:p w14:paraId="68B33DCA" w14:textId="6F51766E" w:rsidR="00DD3CAE" w:rsidRPr="00DC40EE" w:rsidRDefault="00DD3CAE" w:rsidP="00C71EF3">
            <w:pPr>
              <w:numPr>
                <w:ilvl w:val="0"/>
                <w:numId w:val="26"/>
              </w:numPr>
              <w:rPr>
                <w:rFonts w:asciiTheme="minorHAnsi" w:hAnsiTheme="minorHAnsi" w:cstheme="minorHAnsi"/>
                <w:sz w:val="20"/>
                <w:szCs w:val="20"/>
                <w:lang w:val="en-US"/>
              </w:rPr>
            </w:pPr>
            <w:r w:rsidRPr="00DC40EE">
              <w:rPr>
                <w:rFonts w:asciiTheme="minorHAnsi" w:hAnsiTheme="minorHAnsi" w:cstheme="minorHAnsi"/>
                <w:sz w:val="20"/>
                <w:szCs w:val="20"/>
                <w:lang w:val="en-US"/>
              </w:rPr>
              <w:t>Correctional Services staff</w:t>
            </w:r>
          </w:p>
        </w:tc>
        <w:tc>
          <w:tcPr>
            <w:tcW w:w="3675" w:type="dxa"/>
          </w:tcPr>
          <w:p w14:paraId="7FEE9FCA" w14:textId="77777777" w:rsidR="00DC40EE" w:rsidRPr="00DC40EE" w:rsidRDefault="00DC40EE" w:rsidP="00AB669F">
            <w:pPr>
              <w:ind w:left="720"/>
              <w:rPr>
                <w:rFonts w:asciiTheme="minorHAnsi" w:hAnsiTheme="minorHAnsi" w:cstheme="minorHAnsi"/>
                <w:sz w:val="20"/>
                <w:szCs w:val="20"/>
              </w:rPr>
            </w:pPr>
          </w:p>
          <w:p w14:paraId="472A14A0" w14:textId="77777777" w:rsidR="00C74CD4" w:rsidRPr="00DD3CAE" w:rsidRDefault="009B62F1"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2FA31E12" w14:textId="77777777" w:rsidR="00DD3CAE"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DD3CAE" w:rsidRPr="00DC40EE">
              <w:rPr>
                <w:rFonts w:asciiTheme="minorHAnsi" w:hAnsiTheme="minorHAnsi" w:cstheme="minorHAnsi"/>
                <w:sz w:val="20"/>
                <w:szCs w:val="20"/>
              </w:rPr>
              <w:t>ve Services</w:t>
            </w:r>
          </w:p>
          <w:p w14:paraId="3F564C0B" w14:textId="3466103F" w:rsidR="00DD3CAE" w:rsidRPr="00DC40EE" w:rsidRDefault="00DD3CAE" w:rsidP="00DD3CAE">
            <w:pPr>
              <w:ind w:left="720"/>
              <w:rPr>
                <w:rFonts w:asciiTheme="minorHAnsi" w:hAnsiTheme="minorHAnsi" w:cstheme="minorHAnsi"/>
                <w:sz w:val="20"/>
                <w:szCs w:val="20"/>
              </w:rPr>
            </w:pPr>
          </w:p>
        </w:tc>
      </w:tr>
      <w:tr w:rsidR="00C74CD4" w:rsidRPr="00AF5C30" w14:paraId="6D911009" w14:textId="77777777" w:rsidTr="000854A1">
        <w:trPr>
          <w:trHeight w:val="613"/>
        </w:trPr>
        <w:tc>
          <w:tcPr>
            <w:tcW w:w="3251" w:type="dxa"/>
          </w:tcPr>
          <w:p w14:paraId="1527817D" w14:textId="77777777" w:rsidR="00E224FD" w:rsidRDefault="00E224FD" w:rsidP="00AB669F">
            <w:pPr>
              <w:rPr>
                <w:rFonts w:asciiTheme="minorHAnsi" w:eastAsiaTheme="minorEastAsia" w:hAnsiTheme="minorHAnsi" w:cstheme="minorHAnsi"/>
                <w:sz w:val="20"/>
                <w:szCs w:val="20"/>
              </w:rPr>
            </w:pPr>
          </w:p>
          <w:p w14:paraId="59640200" w14:textId="42FD941A" w:rsidR="00C74CD4" w:rsidRPr="00AB669F" w:rsidRDefault="00C74CD4"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Proportion of through-care service providers and referred services that are Indigenous controlled</w:t>
            </w:r>
            <w:r w:rsidR="00AB669F">
              <w:rPr>
                <w:rFonts w:asciiTheme="minorHAnsi" w:eastAsiaTheme="minorEastAsia" w:hAnsiTheme="minorHAnsi" w:cstheme="minorHAnsi"/>
                <w:sz w:val="20"/>
                <w:szCs w:val="20"/>
              </w:rPr>
              <w:t>.</w:t>
            </w:r>
          </w:p>
        </w:tc>
        <w:tc>
          <w:tcPr>
            <w:tcW w:w="2845" w:type="dxa"/>
          </w:tcPr>
          <w:p w14:paraId="2E58068A" w14:textId="77777777" w:rsidR="00E224FD" w:rsidRPr="00E224FD" w:rsidRDefault="00E224FD" w:rsidP="00E224FD">
            <w:pPr>
              <w:ind w:left="720"/>
              <w:rPr>
                <w:rFonts w:asciiTheme="minorHAnsi" w:hAnsiTheme="minorHAnsi" w:cstheme="minorHAnsi"/>
                <w:sz w:val="20"/>
                <w:szCs w:val="20"/>
                <w:lang w:val="en-US"/>
              </w:rPr>
            </w:pPr>
          </w:p>
          <w:p w14:paraId="6CADADB0" w14:textId="7261D5E7" w:rsidR="00C74CD4" w:rsidRPr="00DC40EE" w:rsidRDefault="009B62F1" w:rsidP="00C71EF3">
            <w:pPr>
              <w:numPr>
                <w:ilvl w:val="0"/>
                <w:numId w:val="26"/>
              </w:numPr>
              <w:rPr>
                <w:rFonts w:asciiTheme="minorHAnsi"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DC40EE">
              <w:rPr>
                <w:rFonts w:asciiTheme="minorHAnsi" w:hAnsiTheme="minorHAnsi" w:cstheme="minorHAnsi"/>
                <w:sz w:val="20"/>
                <w:szCs w:val="20"/>
                <w:lang w:val="en-US"/>
              </w:rPr>
              <w:t>Data Administrator</w:t>
            </w:r>
          </w:p>
        </w:tc>
        <w:tc>
          <w:tcPr>
            <w:tcW w:w="3675" w:type="dxa"/>
          </w:tcPr>
          <w:p w14:paraId="11F4AB71" w14:textId="77777777" w:rsidR="00E224FD" w:rsidRDefault="00E224FD" w:rsidP="00E224FD">
            <w:pPr>
              <w:ind w:left="720"/>
              <w:rPr>
                <w:rFonts w:asciiTheme="minorHAnsi" w:hAnsiTheme="minorHAnsi" w:cstheme="minorHAnsi"/>
                <w:sz w:val="20"/>
                <w:szCs w:val="20"/>
              </w:rPr>
            </w:pPr>
          </w:p>
          <w:p w14:paraId="21F99648" w14:textId="70874F28" w:rsidR="00C74CD4" w:rsidRDefault="009B62F1"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Semi-structured Interview with Managers and Data Administrators</w:t>
            </w:r>
          </w:p>
          <w:p w14:paraId="5DED2429" w14:textId="239B1E57" w:rsidR="00AB669F" w:rsidRPr="00DC40EE" w:rsidRDefault="00AB669F" w:rsidP="00AB669F">
            <w:pPr>
              <w:ind w:left="720"/>
              <w:rPr>
                <w:rFonts w:asciiTheme="minorHAnsi" w:hAnsiTheme="minorHAnsi" w:cstheme="minorHAnsi"/>
                <w:sz w:val="20"/>
                <w:szCs w:val="20"/>
              </w:rPr>
            </w:pPr>
          </w:p>
        </w:tc>
      </w:tr>
      <w:tr w:rsidR="009B62F1" w:rsidRPr="00AF5C30" w14:paraId="15E93EAF" w14:textId="77777777" w:rsidTr="000854A1">
        <w:trPr>
          <w:trHeight w:val="613"/>
        </w:trPr>
        <w:tc>
          <w:tcPr>
            <w:tcW w:w="3251" w:type="dxa"/>
          </w:tcPr>
          <w:p w14:paraId="27A498D1" w14:textId="77777777" w:rsidR="00E224FD" w:rsidRDefault="00E224FD" w:rsidP="00AB669F">
            <w:pPr>
              <w:rPr>
                <w:rFonts w:asciiTheme="minorHAnsi" w:eastAsiaTheme="minorEastAsia" w:hAnsiTheme="minorHAnsi" w:cstheme="minorHAnsi"/>
                <w:sz w:val="20"/>
                <w:szCs w:val="20"/>
              </w:rPr>
            </w:pPr>
          </w:p>
          <w:p w14:paraId="5449A1F1" w14:textId="279F5C4C" w:rsidR="009B62F1" w:rsidRPr="00AB669F" w:rsidRDefault="009B62F1"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Proportion of referrals to services aimed at cultural strengthening and connection to country</w:t>
            </w:r>
            <w:r w:rsidR="00AB669F">
              <w:rPr>
                <w:rFonts w:asciiTheme="minorHAnsi" w:eastAsiaTheme="minorEastAsia" w:hAnsiTheme="minorHAnsi" w:cstheme="minorHAnsi"/>
                <w:sz w:val="20"/>
                <w:szCs w:val="20"/>
              </w:rPr>
              <w:t>.</w:t>
            </w:r>
          </w:p>
        </w:tc>
        <w:tc>
          <w:tcPr>
            <w:tcW w:w="2845" w:type="dxa"/>
          </w:tcPr>
          <w:p w14:paraId="48A1B264" w14:textId="77777777" w:rsidR="00E224FD" w:rsidRPr="00E224FD" w:rsidRDefault="00E224FD" w:rsidP="00E224FD">
            <w:pPr>
              <w:ind w:left="720"/>
              <w:rPr>
                <w:rFonts w:asciiTheme="minorHAnsi" w:hAnsiTheme="minorHAnsi" w:cstheme="minorHAnsi"/>
                <w:sz w:val="20"/>
                <w:szCs w:val="20"/>
                <w:lang w:val="en-US"/>
              </w:rPr>
            </w:pPr>
          </w:p>
          <w:p w14:paraId="653897EE" w14:textId="01FFAD22" w:rsidR="009B62F1" w:rsidRPr="00DC40EE" w:rsidRDefault="009B62F1" w:rsidP="00C71EF3">
            <w:pPr>
              <w:numPr>
                <w:ilvl w:val="0"/>
                <w:numId w:val="26"/>
              </w:numPr>
              <w:rPr>
                <w:rFonts w:asciiTheme="minorHAnsi"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DC40EE">
              <w:rPr>
                <w:rFonts w:asciiTheme="minorHAnsi" w:hAnsiTheme="minorHAnsi" w:cstheme="minorHAnsi"/>
                <w:sz w:val="20"/>
                <w:szCs w:val="20"/>
                <w:lang w:val="en-US"/>
              </w:rPr>
              <w:t>Data Administrator</w:t>
            </w:r>
          </w:p>
          <w:p w14:paraId="27D68553" w14:textId="2BEE6777" w:rsidR="009B62F1" w:rsidRPr="00DC40EE" w:rsidRDefault="00AF5C30" w:rsidP="00C71EF3">
            <w:pPr>
              <w:numPr>
                <w:ilvl w:val="0"/>
                <w:numId w:val="26"/>
              </w:numPr>
              <w:rPr>
                <w:rFonts w:asciiTheme="minorHAnsi"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tcPr>
          <w:p w14:paraId="4964708A" w14:textId="77777777" w:rsidR="00E224FD" w:rsidRDefault="00E224FD" w:rsidP="00E224FD">
            <w:pPr>
              <w:ind w:left="720"/>
              <w:rPr>
                <w:rFonts w:asciiTheme="minorHAnsi" w:hAnsiTheme="minorHAnsi" w:cstheme="minorHAnsi"/>
                <w:sz w:val="20"/>
                <w:szCs w:val="20"/>
              </w:rPr>
            </w:pPr>
          </w:p>
          <w:p w14:paraId="7B6C1458" w14:textId="7E457347" w:rsidR="009B62F1" w:rsidRPr="00DC40EE" w:rsidRDefault="009B62F1"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Semi-structured Interview with Managers and Data Administrators</w:t>
            </w:r>
          </w:p>
          <w:p w14:paraId="4CDBA5E6" w14:textId="77777777" w:rsidR="009B62F1" w:rsidRDefault="009B62F1" w:rsidP="00C71EF3">
            <w:pPr>
              <w:numPr>
                <w:ilvl w:val="0"/>
                <w:numId w:val="26"/>
              </w:numPr>
              <w:rPr>
                <w:rFonts w:asciiTheme="minorHAnsi" w:hAnsiTheme="minorHAnsi" w:cstheme="minorHAnsi"/>
                <w:sz w:val="20"/>
                <w:szCs w:val="20"/>
              </w:rPr>
            </w:pPr>
            <w:r w:rsidRPr="00DC40EE">
              <w:rPr>
                <w:rFonts w:asciiTheme="minorHAnsi" w:hAnsiTheme="minorHAnsi" w:cstheme="minorHAnsi"/>
                <w:sz w:val="20"/>
                <w:szCs w:val="20"/>
              </w:rPr>
              <w:t>Desk-top Review</w:t>
            </w:r>
          </w:p>
          <w:p w14:paraId="6BC594C5" w14:textId="580A2FB6" w:rsidR="00AB669F" w:rsidRPr="00DC40EE" w:rsidRDefault="00AB669F" w:rsidP="00AB669F">
            <w:pPr>
              <w:ind w:left="720"/>
              <w:rPr>
                <w:rFonts w:asciiTheme="minorHAnsi" w:hAnsiTheme="minorHAnsi" w:cstheme="minorHAnsi"/>
                <w:sz w:val="20"/>
                <w:szCs w:val="20"/>
              </w:rPr>
            </w:pPr>
          </w:p>
        </w:tc>
      </w:tr>
      <w:tr w:rsidR="009B62F1" w:rsidRPr="00AF5C30" w14:paraId="295BCD1A" w14:textId="77777777" w:rsidTr="000854A1">
        <w:trPr>
          <w:trHeight w:val="613"/>
        </w:trPr>
        <w:tc>
          <w:tcPr>
            <w:tcW w:w="3251" w:type="dxa"/>
          </w:tcPr>
          <w:p w14:paraId="21E79920" w14:textId="6462F23D" w:rsidR="009B62F1" w:rsidRPr="00AB669F" w:rsidRDefault="009B62F1" w:rsidP="00AB669F">
            <w:pPr>
              <w:rPr>
                <w:rFonts w:asciiTheme="minorHAnsi" w:eastAsiaTheme="minorEastAsia" w:hAnsiTheme="minorHAnsi" w:cstheme="minorHAnsi"/>
                <w:sz w:val="20"/>
                <w:szCs w:val="20"/>
              </w:rPr>
            </w:pPr>
            <w:r w:rsidRPr="00AB669F">
              <w:rPr>
                <w:rFonts w:asciiTheme="minorHAnsi" w:eastAsiaTheme="minorEastAsia" w:hAnsiTheme="minorHAnsi" w:cstheme="minorHAnsi"/>
                <w:sz w:val="20"/>
                <w:szCs w:val="20"/>
              </w:rPr>
              <w:t>Feedback from service providers that identifies Indigenous decision-making and leadership over through-care service delivery in their organisations</w:t>
            </w:r>
            <w:r w:rsidR="00AB669F">
              <w:rPr>
                <w:rFonts w:asciiTheme="minorHAnsi" w:eastAsiaTheme="minorEastAsia" w:hAnsiTheme="minorHAnsi" w:cstheme="minorHAnsi"/>
                <w:sz w:val="20"/>
                <w:szCs w:val="20"/>
              </w:rPr>
              <w:t>.</w:t>
            </w:r>
          </w:p>
        </w:tc>
        <w:tc>
          <w:tcPr>
            <w:tcW w:w="2845" w:type="dxa"/>
          </w:tcPr>
          <w:p w14:paraId="5FB57278" w14:textId="77777777" w:rsidR="009B62F1" w:rsidRPr="00DC40EE" w:rsidRDefault="009B62F1" w:rsidP="00C71EF3">
            <w:pPr>
              <w:numPr>
                <w:ilvl w:val="0"/>
                <w:numId w:val="26"/>
              </w:numPr>
              <w:rPr>
                <w:rFonts w:asciiTheme="minorHAnsi"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DC40EE">
              <w:rPr>
                <w:rFonts w:asciiTheme="minorHAnsi" w:hAnsiTheme="minorHAnsi" w:cstheme="minorHAnsi"/>
                <w:sz w:val="20"/>
                <w:szCs w:val="20"/>
                <w:lang w:val="en-US"/>
              </w:rPr>
              <w:t>Data Administrator</w:t>
            </w:r>
          </w:p>
          <w:p w14:paraId="4CEA1599" w14:textId="3404DAAD" w:rsidR="009B62F1" w:rsidRPr="00DC40EE" w:rsidRDefault="009B62F1" w:rsidP="00C71EF3">
            <w:pPr>
              <w:numPr>
                <w:ilvl w:val="0"/>
                <w:numId w:val="26"/>
              </w:numPr>
              <w:rPr>
                <w:rFonts w:asciiTheme="minorHAnsi" w:hAnsiTheme="minorHAnsi" w:cstheme="minorHAnsi"/>
                <w:sz w:val="20"/>
                <w:szCs w:val="20"/>
                <w:lang w:val="en-US"/>
              </w:rPr>
            </w:pPr>
            <w:r w:rsidRPr="00DC40EE">
              <w:rPr>
                <w:rFonts w:asciiTheme="minorHAnsi" w:hAnsiTheme="minorHAnsi" w:cstheme="minorHAnsi"/>
                <w:sz w:val="20"/>
                <w:szCs w:val="20"/>
                <w:lang w:val="en-US"/>
              </w:rPr>
              <w:t>Correctional Services staff</w:t>
            </w:r>
          </w:p>
        </w:tc>
        <w:tc>
          <w:tcPr>
            <w:tcW w:w="3675" w:type="dxa"/>
          </w:tcPr>
          <w:p w14:paraId="7C0AFF20" w14:textId="77777777" w:rsidR="009B62F1" w:rsidRPr="00DC40EE" w:rsidRDefault="009B62F1"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Semi-structured Interview with Managers and Data Administrators</w:t>
            </w:r>
          </w:p>
          <w:p w14:paraId="1DEE2A7C" w14:textId="77777777" w:rsidR="009B62F1"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9B62F1" w:rsidRPr="00DC40EE">
              <w:rPr>
                <w:rFonts w:asciiTheme="minorHAnsi" w:hAnsiTheme="minorHAnsi" w:cstheme="minorHAnsi"/>
                <w:sz w:val="20"/>
                <w:szCs w:val="20"/>
              </w:rPr>
              <w:t>ve Services</w:t>
            </w:r>
          </w:p>
          <w:p w14:paraId="4B4B7888" w14:textId="58BBCBFC" w:rsidR="00AB669F" w:rsidRPr="00DC40EE" w:rsidRDefault="00AB669F" w:rsidP="00AB669F">
            <w:pPr>
              <w:ind w:left="720"/>
              <w:rPr>
                <w:rFonts w:asciiTheme="minorHAnsi" w:hAnsiTheme="minorHAnsi" w:cstheme="minorHAnsi"/>
                <w:sz w:val="20"/>
                <w:szCs w:val="20"/>
              </w:rPr>
            </w:pPr>
          </w:p>
        </w:tc>
      </w:tr>
      <w:tr w:rsidR="009B62F1" w:rsidRPr="00AF5C30" w14:paraId="40238EF4" w14:textId="77777777" w:rsidTr="000854A1">
        <w:trPr>
          <w:trHeight w:val="613"/>
        </w:trPr>
        <w:tc>
          <w:tcPr>
            <w:tcW w:w="3251" w:type="dxa"/>
          </w:tcPr>
          <w:p w14:paraId="262521E0" w14:textId="42F3F88F" w:rsidR="009B62F1" w:rsidRPr="00DC40EE" w:rsidRDefault="009B62F1" w:rsidP="00AB669F">
            <w:pPr>
              <w:rPr>
                <w:rFonts w:asciiTheme="minorHAnsi" w:hAnsiTheme="minorHAnsi" w:cstheme="minorHAnsi"/>
                <w:sz w:val="20"/>
                <w:szCs w:val="20"/>
                <w:lang w:val="en-US"/>
              </w:rPr>
            </w:pPr>
            <w:r w:rsidRPr="00DC40EE">
              <w:rPr>
                <w:rFonts w:asciiTheme="minorHAnsi" w:eastAsiaTheme="minorEastAsia" w:hAnsiTheme="minorHAnsi" w:cstheme="minorHAnsi"/>
                <w:color w:val="000000" w:themeColor="dark1"/>
                <w:kern w:val="24"/>
                <w:sz w:val="20"/>
                <w:szCs w:val="20"/>
                <w:lang w:val="en-US"/>
              </w:rPr>
              <w:t>Indigenous FTE as a proportion of total employment, and proportion of case workers identifying as Indigenous</w:t>
            </w:r>
            <w:r w:rsidR="00AB669F">
              <w:rPr>
                <w:rFonts w:asciiTheme="minorHAnsi" w:eastAsiaTheme="minorEastAsia" w:hAnsiTheme="minorHAnsi" w:cstheme="minorHAnsi"/>
                <w:color w:val="000000" w:themeColor="dark1"/>
                <w:kern w:val="24"/>
                <w:sz w:val="20"/>
                <w:szCs w:val="20"/>
                <w:lang w:val="en-US"/>
              </w:rPr>
              <w:t>.</w:t>
            </w:r>
          </w:p>
        </w:tc>
        <w:tc>
          <w:tcPr>
            <w:tcW w:w="2845" w:type="dxa"/>
          </w:tcPr>
          <w:p w14:paraId="3AFA1A73" w14:textId="77777777" w:rsidR="00DC40EE" w:rsidRPr="00DC40EE" w:rsidRDefault="00DC40EE" w:rsidP="00C71EF3">
            <w:pPr>
              <w:numPr>
                <w:ilvl w:val="0"/>
                <w:numId w:val="26"/>
              </w:numPr>
              <w:rPr>
                <w:rFonts w:asciiTheme="minorHAnsi"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Manager and </w:t>
            </w:r>
            <w:r w:rsidRPr="00DC40EE">
              <w:rPr>
                <w:rFonts w:asciiTheme="minorHAnsi" w:hAnsiTheme="minorHAnsi" w:cstheme="minorHAnsi"/>
                <w:sz w:val="20"/>
                <w:szCs w:val="20"/>
                <w:lang w:val="en-US"/>
              </w:rPr>
              <w:t>Data Administrator</w:t>
            </w:r>
          </w:p>
          <w:p w14:paraId="79915BFF" w14:textId="1B2FE695" w:rsidR="009B62F1" w:rsidRPr="00DC40EE" w:rsidRDefault="00AF5C30" w:rsidP="00C71EF3">
            <w:pPr>
              <w:numPr>
                <w:ilvl w:val="0"/>
                <w:numId w:val="26"/>
              </w:numPr>
              <w:rPr>
                <w:rFonts w:asciiTheme="minorHAnsi"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tcPr>
          <w:p w14:paraId="285678B9" w14:textId="77777777" w:rsidR="009B62F1" w:rsidRPr="00DC40EE" w:rsidRDefault="009B62F1"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Semi-structured Interview with Managers and Data Administrators</w:t>
            </w:r>
          </w:p>
          <w:p w14:paraId="58834CBB" w14:textId="5D11ECAB" w:rsidR="009B62F1" w:rsidRPr="00DC40EE" w:rsidRDefault="00DC40EE" w:rsidP="00C71EF3">
            <w:pPr>
              <w:numPr>
                <w:ilvl w:val="0"/>
                <w:numId w:val="26"/>
              </w:numPr>
              <w:rPr>
                <w:rFonts w:asciiTheme="minorHAnsi" w:hAnsiTheme="minorHAnsi" w:cstheme="minorHAnsi"/>
                <w:sz w:val="20"/>
                <w:szCs w:val="20"/>
              </w:rPr>
            </w:pPr>
            <w:r w:rsidRPr="00DC40EE">
              <w:rPr>
                <w:rFonts w:asciiTheme="minorHAnsi" w:hAnsiTheme="minorHAnsi" w:cstheme="minorHAnsi"/>
                <w:sz w:val="20"/>
                <w:szCs w:val="20"/>
              </w:rPr>
              <w:t>Desk-top Review</w:t>
            </w:r>
          </w:p>
        </w:tc>
      </w:tr>
    </w:tbl>
    <w:p w14:paraId="09A517E9" w14:textId="7A1411E1" w:rsidR="00DC40EE" w:rsidRDefault="00DC40EE" w:rsidP="00AF5C30">
      <w:pPr>
        <w:rPr>
          <w:lang w:val="en-MY" w:eastAsia="en-AU"/>
        </w:rPr>
      </w:pPr>
    </w:p>
    <w:p w14:paraId="6EFECF5C" w14:textId="6E5EC8EA" w:rsidR="00283910" w:rsidRPr="00283910" w:rsidRDefault="00283910" w:rsidP="00283910">
      <w:pPr>
        <w:ind w:left="-284"/>
        <w:rPr>
          <w:b/>
          <w:lang w:val="en-MY" w:eastAsia="en-AU"/>
        </w:rPr>
      </w:pPr>
      <w:r w:rsidRPr="00283910">
        <w:rPr>
          <w:b/>
        </w:rPr>
        <w:t>Evaluation Question 2: How well do the ATC and YTC Models work alongside other government and non-government service provision and are there areas of duplication?</w:t>
      </w:r>
    </w:p>
    <w:p w14:paraId="143E681D" w14:textId="77777777" w:rsidR="00283910" w:rsidRDefault="00283910" w:rsidP="00AF5C30">
      <w:pPr>
        <w:rPr>
          <w:lang w:val="en-MY" w:eastAsia="en-AU"/>
        </w:rPr>
      </w:pPr>
    </w:p>
    <w:tbl>
      <w:tblPr>
        <w:tblStyle w:val="TableSG"/>
        <w:tblW w:w="9771" w:type="dxa"/>
        <w:tblLook w:val="0420" w:firstRow="1" w:lastRow="0" w:firstColumn="0" w:lastColumn="0" w:noHBand="0" w:noVBand="1"/>
        <w:tblCaption w:val="Evaluation Question 2:"/>
        <w:tblDescription w:val="How well do the ATC and YTC Models work alongside other government and non-government service provision and are there areas of duplication?"/>
      </w:tblPr>
      <w:tblGrid>
        <w:gridCol w:w="3251"/>
        <w:gridCol w:w="2845"/>
        <w:gridCol w:w="3675"/>
      </w:tblGrid>
      <w:tr w:rsidR="00283910" w:rsidRPr="00AF5C30" w14:paraId="76AF25B5"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1302C077" w14:textId="77777777" w:rsidR="00283910" w:rsidRPr="00AF5C30" w:rsidRDefault="00283910" w:rsidP="005D3EB7">
            <w:pPr>
              <w:pStyle w:val="Heading4"/>
              <w:ind w:hanging="1361"/>
            </w:pPr>
            <w:r w:rsidRPr="00AF5C30">
              <w:rPr>
                <w:lang w:val="en-US"/>
              </w:rPr>
              <w:t>Data</w:t>
            </w:r>
          </w:p>
        </w:tc>
        <w:tc>
          <w:tcPr>
            <w:tcW w:w="2845" w:type="dxa"/>
            <w:hideMark/>
          </w:tcPr>
          <w:p w14:paraId="6B9E4FBF" w14:textId="77777777" w:rsidR="00283910" w:rsidRPr="00AF5C30" w:rsidRDefault="00283910" w:rsidP="00283910">
            <w:pPr>
              <w:pStyle w:val="Heading4"/>
              <w:ind w:left="0" w:firstLine="0"/>
            </w:pPr>
            <w:r w:rsidRPr="00AF5C30">
              <w:rPr>
                <w:lang w:val="en-US"/>
              </w:rPr>
              <w:t>Data Sources</w:t>
            </w:r>
          </w:p>
        </w:tc>
        <w:tc>
          <w:tcPr>
            <w:tcW w:w="3675" w:type="dxa"/>
            <w:hideMark/>
          </w:tcPr>
          <w:p w14:paraId="33664D45" w14:textId="77777777" w:rsidR="00283910" w:rsidRPr="00AF5C30" w:rsidRDefault="00283910" w:rsidP="00283910">
            <w:pPr>
              <w:pStyle w:val="Heading4"/>
              <w:ind w:left="0" w:firstLine="0"/>
            </w:pPr>
            <w:r w:rsidRPr="00AF5C30">
              <w:rPr>
                <w:lang w:val="en-US"/>
              </w:rPr>
              <w:t>Collection Tool</w:t>
            </w:r>
          </w:p>
        </w:tc>
      </w:tr>
      <w:tr w:rsidR="00DD16EE" w:rsidRPr="00AF5C30" w14:paraId="05600647" w14:textId="77777777" w:rsidTr="000854A1">
        <w:trPr>
          <w:trHeight w:val="291"/>
        </w:trPr>
        <w:tc>
          <w:tcPr>
            <w:tcW w:w="3251" w:type="dxa"/>
          </w:tcPr>
          <w:p w14:paraId="3AD616A1" w14:textId="33E7800A" w:rsidR="00DD16EE" w:rsidRDefault="00DD16EE" w:rsidP="00877CCC">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Frequency counts of client referrals by type by location</w:t>
            </w:r>
            <w:r>
              <w:rPr>
                <w:rFonts w:asciiTheme="minorHAnsi" w:eastAsiaTheme="minorEastAsia" w:hAnsiTheme="minorHAnsi" w:cstheme="minorHAnsi"/>
                <w:sz w:val="20"/>
                <w:szCs w:val="20"/>
              </w:rPr>
              <w:t>.</w:t>
            </w:r>
          </w:p>
          <w:p w14:paraId="422EFE9F" w14:textId="77777777" w:rsidR="00DD16EE" w:rsidRPr="00AB669F" w:rsidRDefault="00DD16EE" w:rsidP="00877CCC">
            <w:pPr>
              <w:rPr>
                <w:rFonts w:asciiTheme="minorHAnsi" w:eastAsiaTheme="minorEastAsia" w:hAnsiTheme="minorHAnsi" w:cstheme="minorHAnsi"/>
                <w:sz w:val="20"/>
                <w:szCs w:val="20"/>
              </w:rPr>
            </w:pPr>
          </w:p>
        </w:tc>
        <w:tc>
          <w:tcPr>
            <w:tcW w:w="2845" w:type="dxa"/>
          </w:tcPr>
          <w:p w14:paraId="1FEAF554" w14:textId="71061F10" w:rsidR="00DD16EE" w:rsidRPr="00DD16EE"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tcPr>
          <w:p w14:paraId="13D249A5" w14:textId="77777777" w:rsidR="00DD16EE" w:rsidRPr="00AB669F"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DD16EE"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tc>
      </w:tr>
      <w:tr w:rsidR="00DD16EE" w:rsidRPr="00AF5C30" w14:paraId="256A02CC" w14:textId="77777777" w:rsidTr="000854A1">
        <w:trPr>
          <w:trHeight w:val="613"/>
        </w:trPr>
        <w:tc>
          <w:tcPr>
            <w:tcW w:w="3251" w:type="dxa"/>
            <w:hideMark/>
          </w:tcPr>
          <w:p w14:paraId="18C9D65B" w14:textId="12312FA9" w:rsidR="00AF5C30" w:rsidRDefault="00DD16EE" w:rsidP="00DD16EE">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Descriptors from clients and family that the availability of, and access to, external services is sufficient to meet client needs</w:t>
            </w:r>
            <w:r>
              <w:rPr>
                <w:rFonts w:asciiTheme="minorHAnsi" w:eastAsiaTheme="minorEastAsia" w:hAnsiTheme="minorHAnsi" w:cstheme="minorHAnsi"/>
                <w:sz w:val="20"/>
                <w:szCs w:val="20"/>
              </w:rPr>
              <w:t>.</w:t>
            </w:r>
          </w:p>
          <w:p w14:paraId="7245F3A8" w14:textId="37BB48EB" w:rsidR="00AF5C30" w:rsidRPr="00AF5C30" w:rsidRDefault="00AF5C30" w:rsidP="00DD16EE">
            <w:pPr>
              <w:rPr>
                <w:rFonts w:asciiTheme="minorHAnsi" w:eastAsiaTheme="minorEastAsia" w:hAnsiTheme="minorHAnsi" w:cstheme="minorHAnsi"/>
                <w:sz w:val="20"/>
                <w:szCs w:val="20"/>
              </w:rPr>
            </w:pPr>
          </w:p>
        </w:tc>
        <w:tc>
          <w:tcPr>
            <w:tcW w:w="2845" w:type="dxa"/>
            <w:hideMark/>
          </w:tcPr>
          <w:p w14:paraId="00A17344" w14:textId="2347E3E0" w:rsidR="00AF5C30" w:rsidRPr="00AF5C30" w:rsidRDefault="00DD16EE" w:rsidP="00C71EF3">
            <w:pPr>
              <w:numPr>
                <w:ilvl w:val="0"/>
                <w:numId w:val="26"/>
              </w:numPr>
              <w:rPr>
                <w:rFonts w:asciiTheme="minorHAnsi" w:eastAsiaTheme="minorEastAsia" w:hAnsiTheme="minorHAnsi" w:cstheme="minorHAnsi"/>
                <w:sz w:val="20"/>
                <w:szCs w:val="20"/>
                <w:lang w:val="en-US"/>
              </w:rPr>
            </w:pPr>
            <w:r>
              <w:rPr>
                <w:rFonts w:asciiTheme="minorHAnsi" w:eastAsiaTheme="minorEastAsia" w:hAnsiTheme="minorHAnsi" w:cstheme="minorHAnsi"/>
                <w:sz w:val="20"/>
                <w:szCs w:val="20"/>
                <w:lang w:val="en-US"/>
              </w:rPr>
              <w:t>Client</w:t>
            </w:r>
            <w:r w:rsidR="007D468F">
              <w:rPr>
                <w:rFonts w:asciiTheme="minorHAnsi" w:eastAsiaTheme="minorEastAsia" w:hAnsiTheme="minorHAnsi" w:cstheme="minorHAnsi"/>
                <w:sz w:val="20"/>
                <w:szCs w:val="20"/>
                <w:lang w:val="en-US"/>
              </w:rPr>
              <w:t>s</w:t>
            </w:r>
            <w:r>
              <w:rPr>
                <w:rFonts w:asciiTheme="minorHAnsi" w:eastAsiaTheme="minorEastAsia" w:hAnsiTheme="minorHAnsi" w:cstheme="minorHAnsi"/>
                <w:sz w:val="20"/>
                <w:szCs w:val="20"/>
                <w:lang w:val="en-US"/>
              </w:rPr>
              <w:t xml:space="preserve"> and Family</w:t>
            </w:r>
          </w:p>
          <w:p w14:paraId="6EB75999" w14:textId="5A31819F"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hideMark/>
          </w:tcPr>
          <w:p w14:paraId="3AB954FC" w14:textId="1DC1C840" w:rsidR="00AF5C30" w:rsidRPr="00AF5C30"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08A893AE" w14:textId="77777777" w:rsidR="00DD16EE"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 xml:space="preserve">Desk-top </w:t>
            </w:r>
            <w:r w:rsidR="00DD16EE" w:rsidRPr="00AB669F">
              <w:rPr>
                <w:rFonts w:asciiTheme="minorHAnsi" w:eastAsiaTheme="minorEastAsia" w:hAnsiTheme="minorHAnsi" w:cstheme="minorHAnsi"/>
                <w:sz w:val="20"/>
                <w:szCs w:val="20"/>
                <w:lang w:val="en-US"/>
              </w:rPr>
              <w:t>R</w:t>
            </w:r>
            <w:r w:rsidRPr="00AF5C30">
              <w:rPr>
                <w:rFonts w:asciiTheme="minorHAnsi" w:eastAsiaTheme="minorEastAsia" w:hAnsiTheme="minorHAnsi" w:cstheme="minorHAnsi"/>
                <w:sz w:val="20"/>
                <w:szCs w:val="20"/>
                <w:lang w:val="en-US"/>
              </w:rPr>
              <w:t>eview</w:t>
            </w:r>
          </w:p>
          <w:p w14:paraId="38E207C4" w14:textId="77777777" w:rsidR="00DD16EE" w:rsidRDefault="00DD16EE" w:rsidP="00DD16EE">
            <w:pPr>
              <w:ind w:left="720"/>
              <w:rPr>
                <w:rFonts w:asciiTheme="minorHAnsi" w:eastAsiaTheme="minorEastAsia" w:hAnsiTheme="minorHAnsi" w:cstheme="minorHAnsi"/>
                <w:sz w:val="20"/>
                <w:szCs w:val="20"/>
                <w:lang w:val="en-US"/>
              </w:rPr>
            </w:pPr>
          </w:p>
          <w:p w14:paraId="46361FAD" w14:textId="77777777" w:rsidR="00AF5C30" w:rsidRPr="00AF5C30" w:rsidRDefault="00AF5C30" w:rsidP="00DD16EE">
            <w:pPr>
              <w:ind w:left="720"/>
              <w:rPr>
                <w:rFonts w:asciiTheme="minorHAnsi" w:eastAsiaTheme="minorEastAsia" w:hAnsiTheme="minorHAnsi" w:cstheme="minorHAnsi"/>
                <w:sz w:val="20"/>
                <w:szCs w:val="20"/>
                <w:lang w:val="en-US"/>
              </w:rPr>
            </w:pPr>
          </w:p>
        </w:tc>
      </w:tr>
      <w:tr w:rsidR="00DD16EE" w:rsidRPr="00AF5C30" w14:paraId="0ECA8B72" w14:textId="77777777" w:rsidTr="000854A1">
        <w:trPr>
          <w:trHeight w:val="613"/>
        </w:trPr>
        <w:tc>
          <w:tcPr>
            <w:tcW w:w="3251" w:type="dxa"/>
          </w:tcPr>
          <w:p w14:paraId="3C6332B1" w14:textId="77777777" w:rsidR="00A00FC5" w:rsidRDefault="00A00FC5" w:rsidP="00DD16EE">
            <w:pPr>
              <w:rPr>
                <w:rFonts w:asciiTheme="minorHAnsi" w:eastAsiaTheme="minorEastAsia" w:hAnsiTheme="minorHAnsi" w:cstheme="minorHAnsi"/>
                <w:sz w:val="20"/>
                <w:szCs w:val="20"/>
              </w:rPr>
            </w:pPr>
          </w:p>
          <w:p w14:paraId="6EFA0281" w14:textId="2157B263" w:rsidR="00DD16EE" w:rsidRPr="00AB669F" w:rsidRDefault="00DD16EE" w:rsidP="00DD16EE">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Descriptors from service providers that the availability of, and access to, external services is sufficient to meet client needs</w:t>
            </w:r>
            <w:r>
              <w:rPr>
                <w:rFonts w:asciiTheme="minorHAnsi" w:eastAsiaTheme="minorEastAsia" w:hAnsiTheme="minorHAnsi" w:cstheme="minorHAnsi"/>
                <w:sz w:val="20"/>
                <w:szCs w:val="20"/>
              </w:rPr>
              <w:t>.</w:t>
            </w:r>
          </w:p>
        </w:tc>
        <w:tc>
          <w:tcPr>
            <w:tcW w:w="2845" w:type="dxa"/>
          </w:tcPr>
          <w:p w14:paraId="44413AB1" w14:textId="77777777" w:rsidR="00A00FC5" w:rsidRDefault="00A00FC5" w:rsidP="00A00FC5">
            <w:pPr>
              <w:ind w:left="720"/>
              <w:rPr>
                <w:rFonts w:asciiTheme="minorHAnsi" w:eastAsiaTheme="minorEastAsia" w:hAnsiTheme="minorHAnsi" w:cstheme="minorHAnsi"/>
                <w:sz w:val="20"/>
                <w:szCs w:val="20"/>
                <w:lang w:val="en-US"/>
              </w:rPr>
            </w:pPr>
          </w:p>
          <w:p w14:paraId="4AFA120D" w14:textId="449C8904" w:rsidR="00DD16EE" w:rsidRDefault="00DD16EE" w:rsidP="00C71EF3">
            <w:pPr>
              <w:numPr>
                <w:ilvl w:val="0"/>
                <w:numId w:val="26"/>
              </w:numPr>
              <w:rPr>
                <w:rFonts w:asciiTheme="minorHAnsi" w:eastAsiaTheme="minorEastAsia" w:hAnsiTheme="minorHAnsi" w:cstheme="minorHAnsi"/>
                <w:sz w:val="20"/>
                <w:szCs w:val="20"/>
                <w:lang w:val="en-US"/>
              </w:rPr>
            </w:pPr>
            <w:r w:rsidRPr="00DC40EE">
              <w:rPr>
                <w:rFonts w:asciiTheme="minorHAnsi" w:eastAsiaTheme="minorEastAsia" w:hAnsiTheme="minorHAnsi" w:cstheme="minorHAnsi"/>
                <w:sz w:val="20"/>
                <w:szCs w:val="20"/>
                <w:lang w:val="en-US"/>
              </w:rPr>
              <w:t xml:space="preserve">ATC and YTC </w:t>
            </w:r>
            <w:r>
              <w:rPr>
                <w:rFonts w:asciiTheme="minorHAnsi" w:eastAsiaTheme="minorEastAsia" w:hAnsiTheme="minorHAnsi" w:cstheme="minorHAnsi"/>
                <w:sz w:val="20"/>
                <w:szCs w:val="20"/>
                <w:lang w:val="en-US"/>
              </w:rPr>
              <w:t>Case Workers</w:t>
            </w:r>
          </w:p>
          <w:p w14:paraId="083F0A20" w14:textId="76935210" w:rsidR="00DD16EE" w:rsidRPr="00AB669F" w:rsidRDefault="00AF5C30" w:rsidP="00C71EF3">
            <w:pPr>
              <w:numPr>
                <w:ilvl w:val="0"/>
                <w:numId w:val="26"/>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Performance Reporting</w:t>
            </w:r>
          </w:p>
        </w:tc>
        <w:tc>
          <w:tcPr>
            <w:tcW w:w="3675" w:type="dxa"/>
          </w:tcPr>
          <w:p w14:paraId="535B5B43" w14:textId="77777777" w:rsidR="00A00FC5" w:rsidRDefault="00A00FC5" w:rsidP="00A00FC5">
            <w:pPr>
              <w:ind w:left="720"/>
              <w:rPr>
                <w:rFonts w:asciiTheme="minorHAnsi" w:hAnsiTheme="minorHAnsi" w:cstheme="minorHAnsi"/>
                <w:sz w:val="20"/>
                <w:szCs w:val="20"/>
              </w:rPr>
            </w:pPr>
          </w:p>
          <w:p w14:paraId="4D788B40" w14:textId="157562C8" w:rsidR="00DD16EE" w:rsidRDefault="00DD16EE"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 xml:space="preserve">Semi-structured Interview with </w:t>
            </w:r>
            <w:r>
              <w:rPr>
                <w:rFonts w:asciiTheme="minorHAnsi" w:hAnsiTheme="minorHAnsi" w:cstheme="minorHAnsi"/>
                <w:sz w:val="20"/>
                <w:szCs w:val="20"/>
              </w:rPr>
              <w:t>Case Workers</w:t>
            </w:r>
          </w:p>
          <w:p w14:paraId="064A767F" w14:textId="77777777" w:rsidR="00DD16EE" w:rsidRDefault="00DD16EE" w:rsidP="00C71EF3">
            <w:pPr>
              <w:numPr>
                <w:ilvl w:val="0"/>
                <w:numId w:val="26"/>
              </w:numPr>
              <w:rPr>
                <w:rFonts w:asciiTheme="minorHAnsi" w:eastAsiaTheme="minorEastAsia" w:hAnsiTheme="minorHAnsi" w:cstheme="minorHAnsi"/>
                <w:sz w:val="20"/>
                <w:szCs w:val="20"/>
                <w:lang w:val="en-US"/>
              </w:rPr>
            </w:pPr>
            <w:r w:rsidRPr="00AB669F">
              <w:rPr>
                <w:rFonts w:asciiTheme="minorHAnsi" w:eastAsiaTheme="minorEastAsia" w:hAnsiTheme="minorHAnsi" w:cstheme="minorHAnsi"/>
                <w:sz w:val="20"/>
                <w:szCs w:val="20"/>
                <w:lang w:val="en-US"/>
              </w:rPr>
              <w:t>Desk-top Review</w:t>
            </w:r>
          </w:p>
          <w:p w14:paraId="02018150" w14:textId="77777777" w:rsidR="00466EB5" w:rsidRPr="00AB669F" w:rsidRDefault="00466EB5" w:rsidP="00466EB5">
            <w:pPr>
              <w:ind w:left="720"/>
              <w:rPr>
                <w:rFonts w:asciiTheme="minorHAnsi" w:eastAsiaTheme="minorEastAsia" w:hAnsiTheme="minorHAnsi" w:cstheme="minorHAnsi"/>
                <w:sz w:val="20"/>
                <w:szCs w:val="20"/>
                <w:lang w:val="en-US"/>
              </w:rPr>
            </w:pPr>
          </w:p>
        </w:tc>
      </w:tr>
      <w:tr w:rsidR="00466EB5" w:rsidRPr="00AF5C30" w14:paraId="0E26B229" w14:textId="77777777" w:rsidTr="000854A1">
        <w:trPr>
          <w:trHeight w:val="613"/>
        </w:trPr>
        <w:tc>
          <w:tcPr>
            <w:tcW w:w="3251" w:type="dxa"/>
          </w:tcPr>
          <w:p w14:paraId="39ADAA60" w14:textId="77777777" w:rsidR="000854A1" w:rsidRDefault="000854A1" w:rsidP="00466EB5">
            <w:pPr>
              <w:rPr>
                <w:rFonts w:asciiTheme="minorHAnsi" w:eastAsiaTheme="minorEastAsia" w:hAnsiTheme="minorHAnsi" w:cstheme="minorHAnsi"/>
                <w:sz w:val="20"/>
                <w:szCs w:val="20"/>
              </w:rPr>
            </w:pPr>
          </w:p>
          <w:p w14:paraId="065A425B" w14:textId="61EF4699" w:rsidR="00466EB5" w:rsidRDefault="00466EB5" w:rsidP="00466EB5">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 xml:space="preserve">Feedback from service providers regarding the maturity of the service system, including the extent of collaboration, </w:t>
            </w:r>
            <w:r w:rsidR="00551C11" w:rsidRPr="00DD16EE">
              <w:rPr>
                <w:rFonts w:asciiTheme="minorHAnsi" w:eastAsiaTheme="minorEastAsia" w:hAnsiTheme="minorHAnsi" w:cstheme="minorHAnsi"/>
                <w:sz w:val="20"/>
                <w:szCs w:val="20"/>
              </w:rPr>
              <w:t>follow-up,</w:t>
            </w:r>
            <w:r w:rsidRPr="00DD16EE">
              <w:rPr>
                <w:rFonts w:asciiTheme="minorHAnsi" w:eastAsiaTheme="minorEastAsia" w:hAnsiTheme="minorHAnsi" w:cstheme="minorHAnsi"/>
                <w:sz w:val="20"/>
                <w:szCs w:val="20"/>
              </w:rPr>
              <w:t xml:space="preserve"> and clarity of referral pathways</w:t>
            </w:r>
            <w:r>
              <w:rPr>
                <w:rFonts w:asciiTheme="minorHAnsi" w:eastAsiaTheme="minorEastAsia" w:hAnsiTheme="minorHAnsi" w:cstheme="minorHAnsi"/>
                <w:sz w:val="20"/>
                <w:szCs w:val="20"/>
              </w:rPr>
              <w:t>.</w:t>
            </w:r>
          </w:p>
          <w:p w14:paraId="399F124A" w14:textId="3A84465B" w:rsidR="00466EB5" w:rsidRPr="00AB669F" w:rsidRDefault="00466EB5" w:rsidP="00466EB5">
            <w:pPr>
              <w:rPr>
                <w:rFonts w:asciiTheme="minorHAnsi" w:eastAsiaTheme="minorEastAsia" w:hAnsiTheme="minorHAnsi" w:cstheme="minorHAnsi"/>
                <w:sz w:val="20"/>
                <w:szCs w:val="20"/>
              </w:rPr>
            </w:pPr>
          </w:p>
        </w:tc>
        <w:tc>
          <w:tcPr>
            <w:tcW w:w="2845" w:type="dxa"/>
          </w:tcPr>
          <w:p w14:paraId="528CDE46" w14:textId="77777777" w:rsidR="000854A1" w:rsidRDefault="000854A1" w:rsidP="000854A1">
            <w:pPr>
              <w:ind w:left="720"/>
              <w:rPr>
                <w:rFonts w:asciiTheme="minorHAnsi" w:eastAsiaTheme="minorEastAsia" w:hAnsiTheme="minorHAnsi" w:cstheme="minorHAnsi"/>
                <w:sz w:val="20"/>
                <w:szCs w:val="20"/>
                <w:lang w:val="en-US"/>
              </w:rPr>
            </w:pPr>
          </w:p>
          <w:p w14:paraId="384CDA0A" w14:textId="566DEF94"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ATC and YTC Case Workers</w:t>
            </w:r>
          </w:p>
          <w:p w14:paraId="775592E3" w14:textId="77777777"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ATC and YTC Managers and Data Administrators</w:t>
            </w:r>
          </w:p>
          <w:p w14:paraId="28F105D4" w14:textId="77777777"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External Service Providers</w:t>
            </w:r>
          </w:p>
          <w:p w14:paraId="7F3DBF87" w14:textId="7EE9AA74" w:rsidR="00DD3CAE" w:rsidRDefault="00DD3CAE" w:rsidP="00C71EF3">
            <w:pPr>
              <w:numPr>
                <w:ilvl w:val="0"/>
                <w:numId w:val="26"/>
              </w:numPr>
              <w:rPr>
                <w:rFonts w:asciiTheme="minorHAnsi" w:eastAsiaTheme="minorEastAsia" w:hAnsiTheme="minorHAnsi" w:cstheme="minorHAnsi"/>
                <w:sz w:val="20"/>
                <w:szCs w:val="20"/>
                <w:lang w:val="en-US"/>
              </w:rPr>
            </w:pPr>
            <w:r w:rsidRPr="00DC40EE">
              <w:rPr>
                <w:rFonts w:asciiTheme="minorHAnsi" w:hAnsiTheme="minorHAnsi" w:cstheme="minorHAnsi"/>
                <w:sz w:val="20"/>
                <w:szCs w:val="20"/>
                <w:lang w:val="en-US"/>
              </w:rPr>
              <w:t>Correctional Services staff</w:t>
            </w:r>
          </w:p>
          <w:p w14:paraId="1DBDD077" w14:textId="41795721" w:rsidR="00466EB5" w:rsidRPr="00AB669F"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Performance Reporting</w:t>
            </w:r>
          </w:p>
        </w:tc>
        <w:tc>
          <w:tcPr>
            <w:tcW w:w="3675" w:type="dxa"/>
          </w:tcPr>
          <w:p w14:paraId="5FEFE437" w14:textId="77777777" w:rsidR="000854A1" w:rsidRDefault="000854A1" w:rsidP="000854A1">
            <w:pPr>
              <w:ind w:left="720"/>
              <w:rPr>
                <w:rFonts w:asciiTheme="minorHAnsi" w:hAnsiTheme="minorHAnsi" w:cstheme="minorHAnsi"/>
                <w:sz w:val="20"/>
                <w:szCs w:val="20"/>
              </w:rPr>
            </w:pPr>
          </w:p>
          <w:p w14:paraId="2B61289A" w14:textId="013817A6" w:rsidR="00466EB5" w:rsidRDefault="00466EB5"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 xml:space="preserve">Semi-structured Interview with </w:t>
            </w:r>
            <w:r>
              <w:rPr>
                <w:rFonts w:asciiTheme="minorHAnsi" w:hAnsiTheme="minorHAnsi" w:cstheme="minorHAnsi"/>
                <w:sz w:val="20"/>
                <w:szCs w:val="20"/>
              </w:rPr>
              <w:t>Case Workers</w:t>
            </w:r>
          </w:p>
          <w:p w14:paraId="1DEDFA20" w14:textId="704EFA20" w:rsidR="00466EB5" w:rsidRPr="00466EB5" w:rsidRDefault="00466EB5"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Semi-structured Interview with Managers and Data Administrators</w:t>
            </w:r>
          </w:p>
          <w:p w14:paraId="495F5F02" w14:textId="77777777" w:rsidR="00466EB5"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466EB5" w:rsidRPr="00DC40EE">
              <w:rPr>
                <w:rFonts w:asciiTheme="minorHAnsi" w:hAnsiTheme="minorHAnsi" w:cstheme="minorHAnsi"/>
                <w:sz w:val="20"/>
                <w:szCs w:val="20"/>
              </w:rPr>
              <w:t>ve Services</w:t>
            </w:r>
          </w:p>
          <w:p w14:paraId="3AECC993" w14:textId="28FDDF80" w:rsidR="00466EB5" w:rsidRDefault="00466EB5"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2DEA3CAE" w14:textId="6ACC9901" w:rsidR="00466EB5" w:rsidRPr="00AB669F" w:rsidRDefault="00466EB5" w:rsidP="00C71EF3">
            <w:pPr>
              <w:numPr>
                <w:ilvl w:val="0"/>
                <w:numId w:val="26"/>
              </w:numPr>
              <w:rPr>
                <w:rFonts w:asciiTheme="minorHAnsi" w:eastAsiaTheme="minorEastAsia" w:hAnsiTheme="minorHAnsi" w:cstheme="minorHAnsi"/>
                <w:sz w:val="20"/>
                <w:szCs w:val="20"/>
                <w:lang w:val="en-US"/>
              </w:rPr>
            </w:pPr>
            <w:r w:rsidRPr="00AB669F">
              <w:rPr>
                <w:rFonts w:asciiTheme="minorHAnsi" w:eastAsiaTheme="minorEastAsia" w:hAnsiTheme="minorHAnsi" w:cstheme="minorHAnsi"/>
                <w:sz w:val="20"/>
                <w:szCs w:val="20"/>
                <w:lang w:val="en-US"/>
              </w:rPr>
              <w:t>Desk-top Review</w:t>
            </w:r>
          </w:p>
        </w:tc>
      </w:tr>
      <w:tr w:rsidR="00DD16EE" w:rsidRPr="00AF5C30" w14:paraId="4F4CAC71" w14:textId="77777777" w:rsidTr="000854A1">
        <w:trPr>
          <w:trHeight w:val="613"/>
        </w:trPr>
        <w:tc>
          <w:tcPr>
            <w:tcW w:w="3251" w:type="dxa"/>
          </w:tcPr>
          <w:p w14:paraId="444F7223" w14:textId="77777777" w:rsidR="00466EB5" w:rsidRDefault="00466EB5" w:rsidP="00DD16EE">
            <w:pPr>
              <w:rPr>
                <w:rFonts w:asciiTheme="minorHAnsi" w:eastAsiaTheme="minorEastAsia" w:hAnsiTheme="minorHAnsi" w:cstheme="minorHAnsi"/>
                <w:sz w:val="20"/>
                <w:szCs w:val="20"/>
              </w:rPr>
            </w:pPr>
          </w:p>
          <w:p w14:paraId="393F6324" w14:textId="0F54D3D6" w:rsidR="00DD16EE" w:rsidRPr="00AB669F" w:rsidRDefault="00DD16EE" w:rsidP="00DD16EE">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Feedback from service providers that identifies duplication in service delivery within the service system</w:t>
            </w:r>
          </w:p>
        </w:tc>
        <w:tc>
          <w:tcPr>
            <w:tcW w:w="2845" w:type="dxa"/>
          </w:tcPr>
          <w:p w14:paraId="78988A34" w14:textId="77777777" w:rsidR="00466EB5" w:rsidRDefault="00466EB5" w:rsidP="00466EB5">
            <w:pPr>
              <w:ind w:left="720"/>
              <w:rPr>
                <w:rFonts w:asciiTheme="minorHAnsi" w:eastAsiaTheme="minorEastAsia" w:hAnsiTheme="minorHAnsi" w:cstheme="minorHAnsi"/>
                <w:sz w:val="20"/>
                <w:szCs w:val="20"/>
                <w:lang w:val="en-US"/>
              </w:rPr>
            </w:pPr>
          </w:p>
          <w:p w14:paraId="06BEAC50" w14:textId="36DA87CD"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ATC and YTC Case Workers</w:t>
            </w:r>
          </w:p>
          <w:p w14:paraId="69A0E714" w14:textId="77777777" w:rsidR="00DD16EE"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Performance Reporting</w:t>
            </w:r>
          </w:p>
          <w:p w14:paraId="64773089" w14:textId="58E00754" w:rsidR="00466EB5" w:rsidRPr="00DD16EE" w:rsidRDefault="00466EB5" w:rsidP="00C71EF3">
            <w:pPr>
              <w:numPr>
                <w:ilvl w:val="0"/>
                <w:numId w:val="26"/>
              </w:numPr>
              <w:rPr>
                <w:rFonts w:asciiTheme="minorHAnsi" w:eastAsiaTheme="minorEastAsia" w:hAnsiTheme="minorHAnsi" w:cstheme="minorHAnsi"/>
                <w:sz w:val="20"/>
                <w:szCs w:val="20"/>
                <w:lang w:val="en-US"/>
              </w:rPr>
            </w:pPr>
            <w:r>
              <w:rPr>
                <w:rFonts w:asciiTheme="minorHAnsi" w:eastAsiaTheme="minorEastAsia" w:hAnsiTheme="minorHAnsi" w:cstheme="minorHAnsi"/>
                <w:sz w:val="20"/>
                <w:szCs w:val="20"/>
                <w:lang w:val="en-US"/>
              </w:rPr>
              <w:t>Correctional Services Staff</w:t>
            </w:r>
          </w:p>
        </w:tc>
        <w:tc>
          <w:tcPr>
            <w:tcW w:w="3675" w:type="dxa"/>
          </w:tcPr>
          <w:p w14:paraId="5445FDE1" w14:textId="77777777" w:rsidR="00466EB5" w:rsidRDefault="00466EB5" w:rsidP="00466EB5">
            <w:pPr>
              <w:ind w:left="720"/>
              <w:rPr>
                <w:rFonts w:asciiTheme="minorHAnsi" w:hAnsiTheme="minorHAnsi" w:cstheme="minorHAnsi"/>
                <w:sz w:val="20"/>
                <w:szCs w:val="20"/>
              </w:rPr>
            </w:pPr>
          </w:p>
          <w:p w14:paraId="5A10D50A" w14:textId="4F99A46E" w:rsidR="00466EB5" w:rsidRDefault="00466EB5" w:rsidP="00C71EF3">
            <w:pPr>
              <w:numPr>
                <w:ilvl w:val="0"/>
                <w:numId w:val="26"/>
              </w:numPr>
              <w:rPr>
                <w:rFonts w:asciiTheme="minorHAnsi" w:hAnsiTheme="minorHAnsi" w:cstheme="minorHAnsi"/>
                <w:sz w:val="20"/>
                <w:szCs w:val="20"/>
              </w:rPr>
            </w:pPr>
            <w:r w:rsidRPr="009B62F1">
              <w:rPr>
                <w:rFonts w:asciiTheme="minorHAnsi" w:hAnsiTheme="minorHAnsi" w:cstheme="minorHAnsi"/>
                <w:sz w:val="20"/>
                <w:szCs w:val="20"/>
              </w:rPr>
              <w:t xml:space="preserve">Semi-structured Interview with </w:t>
            </w:r>
            <w:r>
              <w:rPr>
                <w:rFonts w:asciiTheme="minorHAnsi" w:hAnsiTheme="minorHAnsi" w:cstheme="minorHAnsi"/>
                <w:sz w:val="20"/>
                <w:szCs w:val="20"/>
              </w:rPr>
              <w:t>Case Workers</w:t>
            </w:r>
          </w:p>
          <w:p w14:paraId="52C9C87C" w14:textId="77777777" w:rsidR="00466EB5" w:rsidRDefault="00AF5C30" w:rsidP="00C71EF3">
            <w:pPr>
              <w:numPr>
                <w:ilvl w:val="0"/>
                <w:numId w:val="26"/>
              </w:numPr>
              <w:rPr>
                <w:rFonts w:asciiTheme="minorHAnsi" w:hAnsiTheme="minorHAnsi" w:cstheme="minorHAnsi"/>
                <w:sz w:val="20"/>
                <w:szCs w:val="20"/>
              </w:rPr>
            </w:pPr>
            <w:r w:rsidRPr="00AF5C30">
              <w:rPr>
                <w:rFonts w:asciiTheme="minorHAnsi" w:hAnsiTheme="minorHAnsi" w:cstheme="minorHAnsi"/>
                <w:sz w:val="20"/>
                <w:szCs w:val="20"/>
              </w:rPr>
              <w:t>Semi-structured Interview with Correcti</w:t>
            </w:r>
            <w:r w:rsidR="00466EB5" w:rsidRPr="00DC40EE">
              <w:rPr>
                <w:rFonts w:asciiTheme="minorHAnsi" w:hAnsiTheme="minorHAnsi" w:cstheme="minorHAnsi"/>
                <w:sz w:val="20"/>
                <w:szCs w:val="20"/>
              </w:rPr>
              <w:t>ve Services</w:t>
            </w:r>
          </w:p>
          <w:p w14:paraId="7010CB1B" w14:textId="34B9E4A5" w:rsidR="00DD16EE" w:rsidRPr="00466EB5" w:rsidRDefault="00466EB5" w:rsidP="00C71EF3">
            <w:pPr>
              <w:numPr>
                <w:ilvl w:val="0"/>
                <w:numId w:val="26"/>
              </w:numPr>
              <w:rPr>
                <w:rFonts w:asciiTheme="minorHAnsi" w:eastAsiaTheme="minorEastAsia" w:hAnsiTheme="minorHAnsi" w:cstheme="minorHAnsi"/>
                <w:sz w:val="20"/>
                <w:szCs w:val="20"/>
                <w:lang w:val="en-US"/>
              </w:rPr>
            </w:pPr>
            <w:r w:rsidRPr="00AB669F">
              <w:rPr>
                <w:rFonts w:asciiTheme="minorHAnsi" w:eastAsiaTheme="minorEastAsia" w:hAnsiTheme="minorHAnsi" w:cstheme="minorHAnsi"/>
                <w:sz w:val="20"/>
                <w:szCs w:val="20"/>
                <w:lang w:val="en-US"/>
              </w:rPr>
              <w:t>Desk-top Review</w:t>
            </w:r>
          </w:p>
        </w:tc>
      </w:tr>
      <w:tr w:rsidR="00DD16EE" w:rsidRPr="00AF5C30" w14:paraId="647BE92E" w14:textId="77777777" w:rsidTr="000854A1">
        <w:trPr>
          <w:trHeight w:val="613"/>
        </w:trPr>
        <w:tc>
          <w:tcPr>
            <w:tcW w:w="3251" w:type="dxa"/>
          </w:tcPr>
          <w:p w14:paraId="289B172C" w14:textId="77777777" w:rsidR="00466EB5" w:rsidRDefault="00466EB5" w:rsidP="00DD16EE">
            <w:pPr>
              <w:rPr>
                <w:rFonts w:asciiTheme="minorHAnsi" w:eastAsiaTheme="minorEastAsia" w:hAnsiTheme="minorHAnsi" w:cstheme="minorHAnsi"/>
                <w:sz w:val="20"/>
                <w:szCs w:val="20"/>
              </w:rPr>
            </w:pPr>
          </w:p>
          <w:p w14:paraId="110845B6" w14:textId="489728A7" w:rsidR="00DD16EE" w:rsidRPr="00AB669F" w:rsidRDefault="00DD16EE" w:rsidP="00DD16EE">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Proportion of external service providers that report duplication of services</w:t>
            </w:r>
            <w:r w:rsidR="00466EB5">
              <w:rPr>
                <w:rFonts w:asciiTheme="minorHAnsi" w:eastAsiaTheme="minorEastAsia" w:hAnsiTheme="minorHAnsi" w:cstheme="minorHAnsi"/>
                <w:sz w:val="20"/>
                <w:szCs w:val="20"/>
              </w:rPr>
              <w:t>.</w:t>
            </w:r>
          </w:p>
        </w:tc>
        <w:tc>
          <w:tcPr>
            <w:tcW w:w="2845" w:type="dxa"/>
          </w:tcPr>
          <w:p w14:paraId="1491C901" w14:textId="77777777" w:rsidR="00466EB5" w:rsidRDefault="00466EB5" w:rsidP="00466EB5">
            <w:pPr>
              <w:ind w:left="720"/>
              <w:rPr>
                <w:rFonts w:asciiTheme="minorHAnsi" w:eastAsiaTheme="minorEastAsia" w:hAnsiTheme="minorHAnsi" w:cstheme="minorHAnsi"/>
                <w:sz w:val="20"/>
                <w:szCs w:val="20"/>
                <w:lang w:val="en-US"/>
              </w:rPr>
            </w:pPr>
          </w:p>
          <w:p w14:paraId="78DD4C03" w14:textId="67BE8F71"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External Service Providers</w:t>
            </w:r>
          </w:p>
          <w:p w14:paraId="608952CC" w14:textId="5CBA0780" w:rsidR="00DD16EE" w:rsidRPr="00DD16EE"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Performance Reporting</w:t>
            </w:r>
          </w:p>
        </w:tc>
        <w:tc>
          <w:tcPr>
            <w:tcW w:w="3675" w:type="dxa"/>
          </w:tcPr>
          <w:p w14:paraId="0F3A5054" w14:textId="77777777" w:rsidR="00DD16EE" w:rsidRPr="00AB669F" w:rsidRDefault="00DD16EE" w:rsidP="00DD16EE">
            <w:pPr>
              <w:ind w:left="720"/>
              <w:rPr>
                <w:rFonts w:asciiTheme="minorHAnsi" w:hAnsiTheme="minorHAnsi" w:cstheme="minorHAnsi"/>
                <w:sz w:val="20"/>
                <w:szCs w:val="20"/>
              </w:rPr>
            </w:pPr>
          </w:p>
          <w:p w14:paraId="5E6270C6" w14:textId="77777777" w:rsidR="00DD16EE" w:rsidRPr="00466EB5" w:rsidRDefault="00DD16EE"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4B284F6D" w14:textId="018D5611" w:rsidR="00466EB5" w:rsidRPr="00DC40EE" w:rsidRDefault="00466EB5" w:rsidP="00C71EF3">
            <w:pPr>
              <w:numPr>
                <w:ilvl w:val="0"/>
                <w:numId w:val="26"/>
              </w:numPr>
              <w:rPr>
                <w:rFonts w:asciiTheme="minorHAnsi" w:hAnsiTheme="minorHAnsi" w:cstheme="minorHAnsi"/>
                <w:sz w:val="20"/>
                <w:szCs w:val="20"/>
              </w:rPr>
            </w:pPr>
            <w:r w:rsidRPr="00AB669F">
              <w:rPr>
                <w:rFonts w:asciiTheme="minorHAnsi" w:eastAsiaTheme="minorEastAsia" w:hAnsiTheme="minorHAnsi" w:cstheme="minorHAnsi"/>
                <w:sz w:val="20"/>
                <w:szCs w:val="20"/>
                <w:lang w:val="en-US"/>
              </w:rPr>
              <w:t>Desk-top Review</w:t>
            </w:r>
          </w:p>
        </w:tc>
      </w:tr>
      <w:tr w:rsidR="00DD16EE" w:rsidRPr="00AF5C30" w14:paraId="18C0A2BC" w14:textId="77777777" w:rsidTr="000854A1">
        <w:trPr>
          <w:trHeight w:val="613"/>
        </w:trPr>
        <w:tc>
          <w:tcPr>
            <w:tcW w:w="3251" w:type="dxa"/>
          </w:tcPr>
          <w:p w14:paraId="645AA969" w14:textId="77777777" w:rsidR="00466EB5" w:rsidRDefault="00466EB5" w:rsidP="00DD16EE">
            <w:pPr>
              <w:rPr>
                <w:rFonts w:asciiTheme="minorHAnsi" w:eastAsiaTheme="minorEastAsia" w:hAnsiTheme="minorHAnsi" w:cstheme="minorHAnsi"/>
                <w:sz w:val="20"/>
                <w:szCs w:val="20"/>
              </w:rPr>
            </w:pPr>
          </w:p>
          <w:p w14:paraId="179740F9" w14:textId="69FF656F" w:rsidR="00DD16EE" w:rsidRPr="00AB669F" w:rsidRDefault="00DD16EE" w:rsidP="00DD16EE">
            <w:pPr>
              <w:rPr>
                <w:rFonts w:asciiTheme="minorHAnsi" w:eastAsiaTheme="minorEastAsia" w:hAnsiTheme="minorHAnsi" w:cstheme="minorHAnsi"/>
                <w:sz w:val="20"/>
                <w:szCs w:val="20"/>
              </w:rPr>
            </w:pPr>
            <w:r w:rsidRPr="00DD16EE">
              <w:rPr>
                <w:rFonts w:asciiTheme="minorHAnsi" w:eastAsiaTheme="minorEastAsia" w:hAnsiTheme="minorHAnsi" w:cstheme="minorHAnsi"/>
                <w:sz w:val="20"/>
                <w:szCs w:val="20"/>
              </w:rPr>
              <w:t>Proportion of external service providers that report receiving regular referrals from through-care service providers</w:t>
            </w:r>
            <w:r w:rsidR="00466EB5">
              <w:rPr>
                <w:rFonts w:asciiTheme="minorHAnsi" w:eastAsiaTheme="minorEastAsia" w:hAnsiTheme="minorHAnsi" w:cstheme="minorHAnsi"/>
                <w:sz w:val="20"/>
                <w:szCs w:val="20"/>
              </w:rPr>
              <w:t>.</w:t>
            </w:r>
          </w:p>
        </w:tc>
        <w:tc>
          <w:tcPr>
            <w:tcW w:w="2845" w:type="dxa"/>
          </w:tcPr>
          <w:p w14:paraId="075AFC8C" w14:textId="77777777" w:rsidR="00466EB5" w:rsidRDefault="00466EB5" w:rsidP="00466EB5">
            <w:pPr>
              <w:ind w:left="720"/>
              <w:rPr>
                <w:rFonts w:asciiTheme="minorHAnsi" w:eastAsiaTheme="minorEastAsia" w:hAnsiTheme="minorHAnsi" w:cstheme="minorHAnsi"/>
                <w:sz w:val="20"/>
                <w:szCs w:val="20"/>
                <w:lang w:val="en-US"/>
              </w:rPr>
            </w:pPr>
          </w:p>
          <w:p w14:paraId="37D8F4DE" w14:textId="052213B7" w:rsidR="00466EB5"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External Service Providers</w:t>
            </w:r>
          </w:p>
          <w:p w14:paraId="5C1EFED8" w14:textId="1936C9C2" w:rsidR="00DD16EE" w:rsidRPr="00DD16EE" w:rsidRDefault="00466EB5" w:rsidP="00C71EF3">
            <w:pPr>
              <w:numPr>
                <w:ilvl w:val="0"/>
                <w:numId w:val="26"/>
              </w:numPr>
              <w:rPr>
                <w:rFonts w:asciiTheme="minorHAnsi" w:eastAsiaTheme="minorEastAsia" w:hAnsiTheme="minorHAnsi" w:cstheme="minorHAnsi"/>
                <w:sz w:val="20"/>
                <w:szCs w:val="20"/>
                <w:lang w:val="en-US"/>
              </w:rPr>
            </w:pPr>
            <w:r w:rsidRPr="00DD16EE">
              <w:rPr>
                <w:rFonts w:asciiTheme="minorHAnsi" w:eastAsiaTheme="minorEastAsia" w:hAnsiTheme="minorHAnsi" w:cstheme="minorHAnsi"/>
                <w:sz w:val="20"/>
                <w:szCs w:val="20"/>
                <w:lang w:val="en-US"/>
              </w:rPr>
              <w:t>Performance Reporting</w:t>
            </w:r>
          </w:p>
        </w:tc>
        <w:tc>
          <w:tcPr>
            <w:tcW w:w="3675" w:type="dxa"/>
          </w:tcPr>
          <w:p w14:paraId="2C23986C" w14:textId="77777777" w:rsidR="00DD16EE" w:rsidRPr="00DC40EE" w:rsidRDefault="00DD16EE" w:rsidP="00DD16EE">
            <w:pPr>
              <w:ind w:left="720"/>
              <w:rPr>
                <w:rFonts w:asciiTheme="minorHAnsi" w:hAnsiTheme="minorHAnsi" w:cstheme="minorHAnsi"/>
                <w:sz w:val="20"/>
                <w:szCs w:val="20"/>
              </w:rPr>
            </w:pPr>
          </w:p>
          <w:p w14:paraId="6DED7C6D" w14:textId="77777777" w:rsidR="00DD16EE" w:rsidRPr="00466EB5" w:rsidRDefault="00DD16EE" w:rsidP="00C71EF3">
            <w:pPr>
              <w:numPr>
                <w:ilvl w:val="0"/>
                <w:numId w:val="26"/>
              </w:numPr>
              <w:rPr>
                <w:rFonts w:asciiTheme="minorHAnsi" w:hAnsiTheme="minorHAnsi" w:cstheme="minorHAnsi"/>
                <w:sz w:val="20"/>
                <w:szCs w:val="20"/>
              </w:rPr>
            </w:pPr>
            <w:r w:rsidRPr="00DC40EE">
              <w:rPr>
                <w:rFonts w:asciiTheme="minorHAnsi" w:eastAsiaTheme="minorEastAsia" w:hAnsiTheme="minorHAnsi" w:cstheme="minorHAnsi"/>
                <w:sz w:val="20"/>
                <w:szCs w:val="20"/>
                <w:lang w:val="en-US"/>
              </w:rPr>
              <w:t xml:space="preserve">External </w:t>
            </w:r>
            <w:r w:rsidRPr="00DC40EE">
              <w:rPr>
                <w:rFonts w:asciiTheme="minorHAnsi" w:hAnsiTheme="minorHAnsi" w:cstheme="minorHAnsi"/>
                <w:sz w:val="20"/>
                <w:szCs w:val="20"/>
                <w:lang w:val="en-US"/>
              </w:rPr>
              <w:t>S</w:t>
            </w:r>
            <w:r w:rsidRPr="00DC40EE">
              <w:rPr>
                <w:rFonts w:asciiTheme="minorHAnsi" w:eastAsiaTheme="minorEastAsia" w:hAnsiTheme="minorHAnsi" w:cstheme="minorHAnsi"/>
                <w:sz w:val="20"/>
                <w:szCs w:val="20"/>
                <w:lang w:val="en-US"/>
              </w:rPr>
              <w:t xml:space="preserve">ervice </w:t>
            </w:r>
            <w:r w:rsidRPr="00DC40EE">
              <w:rPr>
                <w:rFonts w:asciiTheme="minorHAnsi" w:hAnsiTheme="minorHAnsi" w:cstheme="minorHAnsi"/>
                <w:sz w:val="20"/>
                <w:szCs w:val="20"/>
                <w:lang w:val="en-US"/>
              </w:rPr>
              <w:t>P</w:t>
            </w:r>
            <w:r w:rsidRPr="00DC40EE">
              <w:rPr>
                <w:rFonts w:asciiTheme="minorHAnsi" w:eastAsiaTheme="minorEastAsia" w:hAnsiTheme="minorHAnsi" w:cstheme="minorHAnsi"/>
                <w:sz w:val="20"/>
                <w:szCs w:val="20"/>
                <w:lang w:val="en-US"/>
              </w:rPr>
              <w:t>rovider</w:t>
            </w:r>
            <w:r w:rsidRPr="00DC40EE">
              <w:rPr>
                <w:rFonts w:asciiTheme="minorHAnsi" w:hAnsiTheme="minorHAnsi" w:cstheme="minorHAnsi"/>
                <w:sz w:val="20"/>
                <w:szCs w:val="20"/>
                <w:lang w:val="en-US"/>
              </w:rPr>
              <w:t xml:space="preserve"> Survey</w:t>
            </w:r>
          </w:p>
          <w:p w14:paraId="6C9B3156" w14:textId="4ACB4357" w:rsidR="00466EB5" w:rsidRPr="00DC40EE" w:rsidRDefault="00466EB5" w:rsidP="00C71EF3">
            <w:pPr>
              <w:numPr>
                <w:ilvl w:val="0"/>
                <w:numId w:val="26"/>
              </w:numPr>
              <w:rPr>
                <w:rFonts w:asciiTheme="minorHAnsi" w:hAnsiTheme="minorHAnsi" w:cstheme="minorHAnsi"/>
                <w:sz w:val="20"/>
                <w:szCs w:val="20"/>
              </w:rPr>
            </w:pPr>
            <w:r w:rsidRPr="00AB669F">
              <w:rPr>
                <w:rFonts w:asciiTheme="minorHAnsi" w:eastAsiaTheme="minorEastAsia" w:hAnsiTheme="minorHAnsi" w:cstheme="minorHAnsi"/>
                <w:sz w:val="20"/>
                <w:szCs w:val="20"/>
                <w:lang w:val="en-US"/>
              </w:rPr>
              <w:t>Desk-top Review</w:t>
            </w:r>
          </w:p>
        </w:tc>
      </w:tr>
    </w:tbl>
    <w:p w14:paraId="4A9A9574" w14:textId="77777777" w:rsidR="001D31E3" w:rsidRDefault="001D31E3" w:rsidP="00466EB5">
      <w:pPr>
        <w:rPr>
          <w:lang w:val="en-MY" w:eastAsia="en-AU"/>
        </w:rPr>
      </w:pPr>
    </w:p>
    <w:p w14:paraId="24596F2C" w14:textId="30766F5A" w:rsidR="001D31E3" w:rsidRPr="001D31E3" w:rsidRDefault="001D31E3" w:rsidP="001D31E3">
      <w:pPr>
        <w:ind w:left="-284"/>
        <w:rPr>
          <w:b/>
          <w:lang w:val="en-MY" w:eastAsia="en-AU"/>
        </w:rPr>
      </w:pPr>
      <w:r w:rsidRPr="001D31E3">
        <w:rPr>
          <w:b/>
        </w:rPr>
        <w:t>Evaluation Question 3: How well are the ATC and YTC models being delivered? What is working well/less well for service providers/sites and why? What are the enablers/barriers to the effective delivery of the ATC and YTC models? What gaps or opportunities could be addressed to improve service delivery and achieve program outcomes?</w:t>
      </w:r>
    </w:p>
    <w:p w14:paraId="5D8D8844" w14:textId="77777777" w:rsidR="001D31E3" w:rsidRDefault="001D31E3" w:rsidP="00466EB5">
      <w:pPr>
        <w:rPr>
          <w:lang w:val="en-MY" w:eastAsia="en-AU"/>
        </w:rPr>
      </w:pPr>
    </w:p>
    <w:tbl>
      <w:tblPr>
        <w:tblStyle w:val="TableSG"/>
        <w:tblW w:w="9771" w:type="dxa"/>
        <w:tblLook w:val="0420" w:firstRow="1" w:lastRow="0" w:firstColumn="0" w:lastColumn="0" w:noHBand="0" w:noVBand="1"/>
        <w:tblCaption w:val="Evaluation Question 3 (table)"/>
        <w:tblDescription w:val="This table sets out in 3 columns the data, data sources and collection tools used to answer evaluation question 3."/>
      </w:tblPr>
      <w:tblGrid>
        <w:gridCol w:w="3251"/>
        <w:gridCol w:w="2845"/>
        <w:gridCol w:w="3675"/>
      </w:tblGrid>
      <w:tr w:rsidR="003D1390" w:rsidRPr="00283910" w14:paraId="66B0B673"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79C59599" w14:textId="2E93434F" w:rsidR="003D1390" w:rsidRPr="00283910" w:rsidRDefault="003D1390" w:rsidP="00283910">
            <w:pPr>
              <w:pStyle w:val="Heading4"/>
              <w:ind w:left="0" w:firstLine="0"/>
              <w:rPr>
                <w:rFonts w:eastAsiaTheme="minorEastAsia"/>
              </w:rPr>
            </w:pPr>
            <w:r w:rsidRPr="00283910">
              <w:rPr>
                <w:lang w:val="en-US"/>
              </w:rPr>
              <w:t>Data</w:t>
            </w:r>
          </w:p>
        </w:tc>
        <w:tc>
          <w:tcPr>
            <w:tcW w:w="2845" w:type="dxa"/>
            <w:hideMark/>
          </w:tcPr>
          <w:p w14:paraId="2C0904AC" w14:textId="646FA961" w:rsidR="003D1390" w:rsidRPr="00283910" w:rsidRDefault="003D1390" w:rsidP="00283910">
            <w:pPr>
              <w:pStyle w:val="Heading4"/>
              <w:ind w:left="0" w:firstLine="0"/>
              <w:rPr>
                <w:rFonts w:eastAsiaTheme="minorEastAsia"/>
              </w:rPr>
            </w:pPr>
            <w:r w:rsidRPr="00283910">
              <w:rPr>
                <w:lang w:val="en-US"/>
              </w:rPr>
              <w:t>Data Sources</w:t>
            </w:r>
          </w:p>
        </w:tc>
        <w:tc>
          <w:tcPr>
            <w:tcW w:w="3675" w:type="dxa"/>
            <w:hideMark/>
          </w:tcPr>
          <w:p w14:paraId="7104F826" w14:textId="6BC8A386" w:rsidR="003D1390" w:rsidRPr="00283910" w:rsidRDefault="003D1390" w:rsidP="00283910">
            <w:pPr>
              <w:pStyle w:val="Heading4"/>
              <w:ind w:left="0" w:firstLine="0"/>
              <w:rPr>
                <w:rFonts w:eastAsiaTheme="minorEastAsia"/>
              </w:rPr>
            </w:pPr>
            <w:r w:rsidRPr="00283910">
              <w:rPr>
                <w:lang w:val="en-US"/>
              </w:rPr>
              <w:t>Collection Tool</w:t>
            </w:r>
          </w:p>
        </w:tc>
      </w:tr>
      <w:tr w:rsidR="00466EB5" w:rsidRPr="00AF5C30" w14:paraId="4B1C2968" w14:textId="77777777" w:rsidTr="000854A1">
        <w:trPr>
          <w:trHeight w:val="613"/>
        </w:trPr>
        <w:tc>
          <w:tcPr>
            <w:tcW w:w="3251" w:type="dxa"/>
            <w:hideMark/>
          </w:tcPr>
          <w:p w14:paraId="20CC10A4" w14:textId="40ADF211" w:rsidR="00AF5C30" w:rsidRPr="000F1701" w:rsidRDefault="00466EB5" w:rsidP="000F1701">
            <w:pPr>
              <w:rPr>
                <w:rFonts w:asciiTheme="minorHAnsi" w:eastAsiaTheme="minorEastAsia" w:hAnsiTheme="minorHAnsi" w:cstheme="minorHAnsi"/>
                <w:sz w:val="20"/>
                <w:szCs w:val="20"/>
              </w:rPr>
            </w:pPr>
            <w:r w:rsidRPr="000F1701">
              <w:rPr>
                <w:rFonts w:asciiTheme="minorHAnsi" w:eastAsiaTheme="minorEastAsia" w:hAnsiTheme="minorHAnsi" w:cstheme="minorHAnsi"/>
                <w:sz w:val="20"/>
                <w:szCs w:val="20"/>
              </w:rPr>
              <w:t>Feedback regarding whether ATC and YTC model principles, core elements and activities are implemented as designed</w:t>
            </w:r>
            <w:r w:rsidR="00A00FC5" w:rsidRPr="000F1701">
              <w:rPr>
                <w:rFonts w:asciiTheme="minorHAnsi" w:eastAsiaTheme="minorEastAsia" w:hAnsiTheme="minorHAnsi" w:cstheme="minorHAnsi"/>
                <w:sz w:val="20"/>
                <w:szCs w:val="20"/>
              </w:rPr>
              <w:t>.</w:t>
            </w:r>
          </w:p>
        </w:tc>
        <w:tc>
          <w:tcPr>
            <w:tcW w:w="2845" w:type="dxa"/>
            <w:hideMark/>
          </w:tcPr>
          <w:p w14:paraId="64035610" w14:textId="77777777" w:rsidR="00466EB5" w:rsidRPr="005F16E3" w:rsidRDefault="00466EB5"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Manager and Data Administrator</w:t>
            </w:r>
          </w:p>
          <w:p w14:paraId="6F0980A5" w14:textId="77777777" w:rsidR="00466EB5" w:rsidRPr="005F16E3" w:rsidRDefault="00466EB5"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5A993C2A" w14:textId="4B7DD3FE" w:rsidR="00466EB5" w:rsidRPr="005F16E3" w:rsidRDefault="00466EB5"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5CE0AF92" w14:textId="3DA452A5" w:rsidR="00AF5C30" w:rsidRPr="000F1701" w:rsidRDefault="00AF5C30" w:rsidP="000F1701">
            <w:pPr>
              <w:rPr>
                <w:rFonts w:asciiTheme="minorHAnsi" w:eastAsiaTheme="minorEastAsia" w:hAnsiTheme="minorHAnsi" w:cstheme="minorHAnsi"/>
                <w:sz w:val="20"/>
                <w:szCs w:val="20"/>
              </w:rPr>
            </w:pPr>
          </w:p>
        </w:tc>
        <w:tc>
          <w:tcPr>
            <w:tcW w:w="3675" w:type="dxa"/>
            <w:hideMark/>
          </w:tcPr>
          <w:p w14:paraId="53939A47" w14:textId="77777777"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60927DB8" w14:textId="77777777"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6EEDD335" w14:textId="4DEED750"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740542BC" w14:textId="77777777" w:rsidR="00466EB5" w:rsidRPr="000F1701" w:rsidRDefault="00466EB5" w:rsidP="000F1701">
            <w:pPr>
              <w:rPr>
                <w:rFonts w:asciiTheme="minorHAnsi" w:eastAsiaTheme="minorEastAsia" w:hAnsiTheme="minorHAnsi" w:cstheme="minorHAnsi"/>
                <w:sz w:val="20"/>
                <w:szCs w:val="20"/>
              </w:rPr>
            </w:pPr>
          </w:p>
          <w:p w14:paraId="08DE16C5" w14:textId="77777777" w:rsidR="00AF5C30" w:rsidRPr="000F1701" w:rsidRDefault="00AF5C30" w:rsidP="000F1701">
            <w:pPr>
              <w:rPr>
                <w:rFonts w:asciiTheme="minorHAnsi" w:eastAsiaTheme="minorEastAsia" w:hAnsiTheme="minorHAnsi" w:cstheme="minorHAnsi"/>
                <w:sz w:val="20"/>
                <w:szCs w:val="20"/>
              </w:rPr>
            </w:pPr>
          </w:p>
        </w:tc>
      </w:tr>
      <w:tr w:rsidR="00466EB5" w:rsidRPr="00AF5C30" w14:paraId="1F024B24" w14:textId="77777777" w:rsidTr="000854A1">
        <w:trPr>
          <w:trHeight w:val="613"/>
        </w:trPr>
        <w:tc>
          <w:tcPr>
            <w:tcW w:w="3251" w:type="dxa"/>
          </w:tcPr>
          <w:p w14:paraId="126D4A35" w14:textId="6C2C5063" w:rsidR="00466EB5" w:rsidRPr="000F1701" w:rsidRDefault="00466EB5" w:rsidP="000F1701">
            <w:pPr>
              <w:rPr>
                <w:rFonts w:asciiTheme="minorHAnsi" w:eastAsiaTheme="minorEastAsia" w:hAnsiTheme="minorHAnsi" w:cstheme="minorHAnsi"/>
                <w:sz w:val="20"/>
                <w:szCs w:val="20"/>
              </w:rPr>
            </w:pPr>
            <w:r w:rsidRPr="000F1701">
              <w:rPr>
                <w:rFonts w:asciiTheme="minorHAnsi" w:eastAsiaTheme="minorEastAsia" w:hAnsiTheme="minorHAnsi" w:cstheme="minorHAnsi"/>
                <w:sz w:val="20"/>
                <w:szCs w:val="20"/>
              </w:rPr>
              <w:t>Feedback from clients, family and case workers that trusted relationships between case workers, clients and family are developed</w:t>
            </w:r>
            <w:r w:rsidR="00A00FC5" w:rsidRPr="000F1701">
              <w:rPr>
                <w:rFonts w:asciiTheme="minorHAnsi" w:eastAsiaTheme="minorEastAsia" w:hAnsiTheme="minorHAnsi" w:cstheme="minorHAnsi"/>
                <w:sz w:val="20"/>
                <w:szCs w:val="20"/>
              </w:rPr>
              <w:t>.</w:t>
            </w:r>
          </w:p>
        </w:tc>
        <w:tc>
          <w:tcPr>
            <w:tcW w:w="2845" w:type="dxa"/>
          </w:tcPr>
          <w:p w14:paraId="75DCB8ED" w14:textId="17FDD747" w:rsidR="00466EB5" w:rsidRPr="005F16E3" w:rsidRDefault="00466EB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Client</w:t>
            </w:r>
            <w:r w:rsidR="007D468F">
              <w:rPr>
                <w:rFonts w:asciiTheme="minorHAnsi" w:eastAsiaTheme="minorEastAsia" w:hAnsiTheme="minorHAnsi" w:cstheme="minorHAnsi"/>
                <w:sz w:val="20"/>
                <w:szCs w:val="20"/>
              </w:rPr>
              <w:t>s</w:t>
            </w:r>
            <w:r w:rsidRPr="005F16E3">
              <w:rPr>
                <w:rFonts w:asciiTheme="minorHAnsi" w:eastAsiaTheme="minorEastAsia" w:hAnsiTheme="minorHAnsi" w:cstheme="minorHAnsi"/>
                <w:sz w:val="20"/>
                <w:szCs w:val="20"/>
              </w:rPr>
              <w:t xml:space="preserve"> and Family</w:t>
            </w:r>
          </w:p>
          <w:p w14:paraId="2FAF5196" w14:textId="77777777" w:rsidR="00466EB5" w:rsidRPr="005F16E3" w:rsidRDefault="00466EB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628AE1E9" w14:textId="24483FBD" w:rsidR="00466EB5" w:rsidRPr="005F16E3" w:rsidRDefault="00466EB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620BD5C6" w14:textId="77777777" w:rsidR="00AF5C30" w:rsidRPr="00AF5C30" w:rsidRDefault="00AF5C30" w:rsidP="00C71EF3">
            <w:pPr>
              <w:numPr>
                <w:ilvl w:val="0"/>
                <w:numId w:val="28"/>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33D91AEC" w14:textId="77777777" w:rsidR="00A00FC5" w:rsidRPr="005F16E3" w:rsidRDefault="00A00FC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AEA9292" w14:textId="5FA568CA" w:rsidR="00A00FC5" w:rsidRPr="005F16E3" w:rsidRDefault="00A00FC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2398264E" w14:textId="77777777" w:rsidR="00466EB5" w:rsidRPr="000F1701" w:rsidRDefault="00466EB5" w:rsidP="000F1701">
            <w:pPr>
              <w:rPr>
                <w:rFonts w:asciiTheme="minorHAnsi" w:eastAsiaTheme="minorEastAsia" w:hAnsiTheme="minorHAnsi" w:cstheme="minorHAnsi"/>
                <w:sz w:val="20"/>
                <w:szCs w:val="20"/>
              </w:rPr>
            </w:pPr>
          </w:p>
        </w:tc>
      </w:tr>
      <w:tr w:rsidR="00466EB5" w:rsidRPr="00AF5C30" w14:paraId="52C19C2D" w14:textId="77777777" w:rsidTr="000854A1">
        <w:trPr>
          <w:trHeight w:val="613"/>
        </w:trPr>
        <w:tc>
          <w:tcPr>
            <w:tcW w:w="3251" w:type="dxa"/>
          </w:tcPr>
          <w:p w14:paraId="207C083C" w14:textId="7B14DA7A" w:rsidR="00466EB5" w:rsidRPr="000F1701" w:rsidRDefault="00466EB5" w:rsidP="000F1701">
            <w:pPr>
              <w:rPr>
                <w:rFonts w:asciiTheme="minorHAnsi" w:eastAsiaTheme="minorEastAsia" w:hAnsiTheme="minorHAnsi" w:cstheme="minorHAnsi"/>
                <w:sz w:val="20"/>
                <w:szCs w:val="20"/>
              </w:rPr>
            </w:pPr>
            <w:r w:rsidRPr="000F1701">
              <w:rPr>
                <w:rFonts w:asciiTheme="minorHAnsi" w:eastAsiaTheme="minorEastAsia" w:hAnsiTheme="minorHAnsi" w:cstheme="minorHAnsi"/>
                <w:sz w:val="20"/>
                <w:szCs w:val="20"/>
              </w:rPr>
              <w:t>Feedback from clients, family and case workers that regular and meaningful engagement with the client’s family and kin is facilitated</w:t>
            </w:r>
            <w:r w:rsidR="00A00FC5" w:rsidRPr="000F1701">
              <w:rPr>
                <w:rFonts w:asciiTheme="minorHAnsi" w:eastAsiaTheme="minorEastAsia" w:hAnsiTheme="minorHAnsi" w:cstheme="minorHAnsi"/>
                <w:sz w:val="20"/>
                <w:szCs w:val="20"/>
              </w:rPr>
              <w:t>.</w:t>
            </w:r>
          </w:p>
        </w:tc>
        <w:tc>
          <w:tcPr>
            <w:tcW w:w="2845" w:type="dxa"/>
          </w:tcPr>
          <w:p w14:paraId="7944149B" w14:textId="00388A5D" w:rsidR="00A00FC5" w:rsidRPr="005F16E3" w:rsidRDefault="00A00FC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Client</w:t>
            </w:r>
            <w:r w:rsidR="007D468F">
              <w:rPr>
                <w:rFonts w:asciiTheme="minorHAnsi" w:eastAsiaTheme="minorEastAsia" w:hAnsiTheme="minorHAnsi" w:cstheme="minorHAnsi"/>
                <w:sz w:val="20"/>
                <w:szCs w:val="20"/>
              </w:rPr>
              <w:t>s</w:t>
            </w:r>
            <w:r w:rsidRPr="005F16E3">
              <w:rPr>
                <w:rFonts w:asciiTheme="minorHAnsi" w:eastAsiaTheme="minorEastAsia" w:hAnsiTheme="minorHAnsi" w:cstheme="minorHAnsi"/>
                <w:sz w:val="20"/>
                <w:szCs w:val="20"/>
              </w:rPr>
              <w:t xml:space="preserve"> and Family</w:t>
            </w:r>
          </w:p>
          <w:p w14:paraId="43D76EA0" w14:textId="77777777" w:rsidR="00A00FC5" w:rsidRPr="005F16E3" w:rsidRDefault="00A00FC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52DDC7C7" w14:textId="24713E68" w:rsidR="00A00FC5" w:rsidRPr="005F16E3" w:rsidRDefault="00A00FC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1DF899C4" w14:textId="38DC5F62" w:rsidR="00466EB5" w:rsidRPr="000F1701" w:rsidRDefault="00466EB5" w:rsidP="000F1701">
            <w:pPr>
              <w:rPr>
                <w:rFonts w:asciiTheme="minorHAnsi" w:eastAsiaTheme="minorEastAsia" w:hAnsiTheme="minorHAnsi" w:cstheme="minorHAnsi"/>
                <w:sz w:val="20"/>
                <w:szCs w:val="20"/>
              </w:rPr>
            </w:pPr>
          </w:p>
        </w:tc>
        <w:tc>
          <w:tcPr>
            <w:tcW w:w="3675" w:type="dxa"/>
          </w:tcPr>
          <w:p w14:paraId="2C3DDD24" w14:textId="7C0370B6" w:rsidR="00A00FC5" w:rsidRPr="003300B9"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5C598824" w14:textId="77777777"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72F0AE4" w14:textId="6D661E71" w:rsidR="00466EB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tc>
      </w:tr>
      <w:tr w:rsidR="00466EB5" w:rsidRPr="00AF5C30" w14:paraId="762672A5" w14:textId="77777777" w:rsidTr="000854A1">
        <w:trPr>
          <w:trHeight w:val="613"/>
        </w:trPr>
        <w:tc>
          <w:tcPr>
            <w:tcW w:w="3251" w:type="dxa"/>
          </w:tcPr>
          <w:p w14:paraId="2A2F021E" w14:textId="77777777" w:rsidR="00A00FC5" w:rsidRPr="000F1701" w:rsidRDefault="00A00FC5" w:rsidP="000F1701">
            <w:pPr>
              <w:rPr>
                <w:rFonts w:asciiTheme="minorHAnsi" w:eastAsiaTheme="minorEastAsia" w:hAnsiTheme="minorHAnsi" w:cstheme="minorHAnsi"/>
                <w:sz w:val="20"/>
                <w:szCs w:val="20"/>
              </w:rPr>
            </w:pPr>
          </w:p>
          <w:p w14:paraId="29FFBF72" w14:textId="34866EC3" w:rsidR="00466EB5" w:rsidRPr="000F1701" w:rsidRDefault="003D1390" w:rsidP="000F1701">
            <w:p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Feedback from clients, family and service providers staff regarding what is working well and what is working less well with respect to program delivery</w:t>
            </w:r>
            <w:r>
              <w:rPr>
                <w:rFonts w:asciiTheme="minorHAnsi" w:eastAsiaTheme="minorEastAsia" w:hAnsiTheme="minorHAnsi" w:cstheme="minorHAnsi"/>
                <w:sz w:val="20"/>
                <w:szCs w:val="20"/>
              </w:rPr>
              <w:t>.</w:t>
            </w:r>
          </w:p>
        </w:tc>
        <w:tc>
          <w:tcPr>
            <w:tcW w:w="2845" w:type="dxa"/>
          </w:tcPr>
          <w:p w14:paraId="206998B3" w14:textId="77777777" w:rsidR="00A00FC5" w:rsidRPr="003D1390" w:rsidRDefault="00A00FC5" w:rsidP="003D1390">
            <w:pPr>
              <w:rPr>
                <w:rFonts w:asciiTheme="minorHAnsi" w:eastAsiaTheme="minorEastAsia" w:hAnsiTheme="minorHAnsi" w:cstheme="minorHAnsi"/>
                <w:sz w:val="20"/>
                <w:szCs w:val="20"/>
              </w:rPr>
            </w:pPr>
          </w:p>
          <w:p w14:paraId="7A26CCC4" w14:textId="1420B92A"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Client</w:t>
            </w:r>
            <w:r w:rsidR="007D468F">
              <w:rPr>
                <w:rFonts w:asciiTheme="minorHAnsi" w:eastAsiaTheme="minorEastAsia" w:hAnsiTheme="minorHAnsi" w:cstheme="minorHAnsi"/>
                <w:sz w:val="20"/>
                <w:szCs w:val="20"/>
              </w:rPr>
              <w:t>s</w:t>
            </w:r>
            <w:r w:rsidRPr="003D1390">
              <w:rPr>
                <w:rFonts w:asciiTheme="minorHAnsi" w:eastAsiaTheme="minorEastAsia" w:hAnsiTheme="minorHAnsi" w:cstheme="minorHAnsi"/>
                <w:sz w:val="20"/>
                <w:szCs w:val="20"/>
              </w:rPr>
              <w:t xml:space="preserve"> and Family</w:t>
            </w:r>
          </w:p>
          <w:p w14:paraId="3D8A73EA" w14:textId="77777777"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6BC4BC55" w14:textId="3B32DDE7"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3F710705" w14:textId="77777777" w:rsidR="00466EB5"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Correctional Services staff</w:t>
            </w:r>
          </w:p>
          <w:p w14:paraId="23A52953" w14:textId="6E2729C0" w:rsidR="003D1390" w:rsidRPr="005F16E3"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3D521918" w14:textId="77777777" w:rsidR="00A00FC5" w:rsidRPr="005F16E3" w:rsidRDefault="00A00FC5" w:rsidP="005F16E3">
            <w:pPr>
              <w:pStyle w:val="ListParagraph"/>
              <w:rPr>
                <w:rFonts w:asciiTheme="minorHAnsi" w:eastAsiaTheme="minorEastAsia" w:hAnsiTheme="minorHAnsi" w:cstheme="minorHAnsi"/>
                <w:sz w:val="20"/>
                <w:szCs w:val="20"/>
              </w:rPr>
            </w:pPr>
          </w:p>
          <w:p w14:paraId="688B0000"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1CA73641" w14:textId="77777777" w:rsidR="003D1390"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55D92006" w14:textId="77777777" w:rsidR="003D1390"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Managers and Administrators</w:t>
            </w:r>
          </w:p>
          <w:p w14:paraId="05AE59CE" w14:textId="41D0BB11" w:rsidR="003D1390"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Correcti</w:t>
            </w:r>
            <w:r w:rsidR="00424839">
              <w:rPr>
                <w:rFonts w:asciiTheme="minorHAnsi" w:eastAsiaTheme="minorEastAsia" w:hAnsiTheme="minorHAnsi" w:cstheme="minorHAnsi"/>
                <w:sz w:val="20"/>
                <w:szCs w:val="20"/>
              </w:rPr>
              <w:t xml:space="preserve">ve </w:t>
            </w:r>
            <w:r>
              <w:rPr>
                <w:rFonts w:asciiTheme="minorHAnsi" w:eastAsiaTheme="minorEastAsia" w:hAnsiTheme="minorHAnsi" w:cstheme="minorHAnsi"/>
                <w:sz w:val="20"/>
                <w:szCs w:val="20"/>
              </w:rPr>
              <w:t>Services</w:t>
            </w:r>
          </w:p>
          <w:p w14:paraId="61B84B1D" w14:textId="0CB7DC3A" w:rsidR="00466EB5" w:rsidRPr="005F16E3"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Desk-top review</w:t>
            </w:r>
          </w:p>
        </w:tc>
      </w:tr>
      <w:tr w:rsidR="00466EB5" w:rsidRPr="00AF5C30" w14:paraId="25FCF18F" w14:textId="77777777" w:rsidTr="000854A1">
        <w:trPr>
          <w:trHeight w:val="613"/>
        </w:trPr>
        <w:tc>
          <w:tcPr>
            <w:tcW w:w="3251" w:type="dxa"/>
          </w:tcPr>
          <w:p w14:paraId="2EEE2BC4" w14:textId="77777777" w:rsidR="00A00FC5" w:rsidRPr="000F1701" w:rsidRDefault="00A00FC5" w:rsidP="000F1701">
            <w:pPr>
              <w:rPr>
                <w:rFonts w:asciiTheme="minorHAnsi" w:eastAsiaTheme="minorEastAsia" w:hAnsiTheme="minorHAnsi" w:cstheme="minorHAnsi"/>
                <w:sz w:val="20"/>
                <w:szCs w:val="20"/>
              </w:rPr>
            </w:pPr>
          </w:p>
          <w:p w14:paraId="45047977" w14:textId="0A02E6F9" w:rsidR="00466EB5" w:rsidRPr="000F1701" w:rsidRDefault="003D1390" w:rsidP="000F1701">
            <w:p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Feedback from clients, family and service providers  regarding enablers and barriers to program delivery</w:t>
            </w:r>
            <w:r>
              <w:rPr>
                <w:rFonts w:asciiTheme="minorHAnsi" w:eastAsiaTheme="minorEastAsia" w:hAnsiTheme="minorHAnsi" w:cstheme="minorHAnsi"/>
                <w:sz w:val="20"/>
                <w:szCs w:val="20"/>
              </w:rPr>
              <w:t>.</w:t>
            </w:r>
          </w:p>
        </w:tc>
        <w:tc>
          <w:tcPr>
            <w:tcW w:w="2845" w:type="dxa"/>
          </w:tcPr>
          <w:p w14:paraId="653DC7BE" w14:textId="77777777" w:rsidR="00A00FC5" w:rsidRPr="005F16E3" w:rsidRDefault="00A00FC5" w:rsidP="005F16E3">
            <w:pPr>
              <w:pStyle w:val="ListParagraph"/>
              <w:rPr>
                <w:rFonts w:asciiTheme="minorHAnsi" w:eastAsiaTheme="minorEastAsia" w:hAnsiTheme="minorHAnsi" w:cstheme="minorHAnsi"/>
                <w:sz w:val="20"/>
                <w:szCs w:val="20"/>
              </w:rPr>
            </w:pPr>
          </w:p>
          <w:p w14:paraId="153FA673" w14:textId="466C31E6"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Client</w:t>
            </w:r>
            <w:r w:rsidR="007D468F">
              <w:rPr>
                <w:rFonts w:asciiTheme="minorHAnsi" w:eastAsiaTheme="minorEastAsia" w:hAnsiTheme="minorHAnsi" w:cstheme="minorHAnsi"/>
                <w:sz w:val="20"/>
                <w:szCs w:val="20"/>
              </w:rPr>
              <w:t>s</w:t>
            </w:r>
            <w:r w:rsidRPr="003D1390">
              <w:rPr>
                <w:rFonts w:asciiTheme="minorHAnsi" w:eastAsiaTheme="minorEastAsia" w:hAnsiTheme="minorHAnsi" w:cstheme="minorHAnsi"/>
                <w:sz w:val="20"/>
                <w:szCs w:val="20"/>
              </w:rPr>
              <w:t xml:space="preserve"> and Family</w:t>
            </w:r>
          </w:p>
          <w:p w14:paraId="45E15288" w14:textId="77777777"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7028138E" w14:textId="77777777" w:rsidR="003D1390"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4E71E6EC" w14:textId="77777777" w:rsid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Correctional Services staff </w:t>
            </w:r>
          </w:p>
          <w:p w14:paraId="3B8C2C7E" w14:textId="69D4F0D3" w:rsidR="00466EB5" w:rsidRPr="003D1390" w:rsidRDefault="003D1390"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6575AAB3" w14:textId="77777777" w:rsidR="003D1390" w:rsidRDefault="003D1390" w:rsidP="003D1390">
            <w:pPr>
              <w:rPr>
                <w:rFonts w:asciiTheme="minorHAnsi" w:eastAsiaTheme="minorEastAsia" w:hAnsiTheme="minorHAnsi" w:cstheme="minorHAnsi"/>
                <w:sz w:val="20"/>
                <w:szCs w:val="20"/>
              </w:rPr>
            </w:pPr>
          </w:p>
          <w:p w14:paraId="378BE53B"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53EBDF67" w14:textId="77777777" w:rsidR="003D1390"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1AE663DD" w14:textId="77777777" w:rsidR="003D1390"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Managers and Administrators</w:t>
            </w:r>
          </w:p>
          <w:p w14:paraId="4409D2C2" w14:textId="0969320F" w:rsid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Correcti</w:t>
            </w:r>
            <w:r>
              <w:rPr>
                <w:rFonts w:asciiTheme="minorHAnsi" w:eastAsiaTheme="minorEastAsia" w:hAnsiTheme="minorHAnsi" w:cstheme="minorHAnsi"/>
                <w:sz w:val="20"/>
                <w:szCs w:val="20"/>
              </w:rPr>
              <w:t>ve Services</w:t>
            </w:r>
          </w:p>
          <w:p w14:paraId="4F811484" w14:textId="715E26F7" w:rsidR="00466EB5" w:rsidRPr="003D1390" w:rsidRDefault="003D139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Desk-top review</w:t>
            </w:r>
          </w:p>
        </w:tc>
      </w:tr>
      <w:tr w:rsidR="00466EB5" w:rsidRPr="00AF5C30" w14:paraId="4BD35762" w14:textId="77777777" w:rsidTr="000854A1">
        <w:trPr>
          <w:trHeight w:val="613"/>
        </w:trPr>
        <w:tc>
          <w:tcPr>
            <w:tcW w:w="3251" w:type="dxa"/>
          </w:tcPr>
          <w:p w14:paraId="05AF3B22" w14:textId="77777777" w:rsidR="00A00FC5" w:rsidRPr="000F1701" w:rsidRDefault="00A00FC5" w:rsidP="000F1701">
            <w:pPr>
              <w:rPr>
                <w:rFonts w:asciiTheme="minorHAnsi" w:eastAsiaTheme="minorEastAsia" w:hAnsiTheme="minorHAnsi" w:cstheme="minorHAnsi"/>
                <w:sz w:val="20"/>
                <w:szCs w:val="20"/>
              </w:rPr>
            </w:pPr>
          </w:p>
          <w:p w14:paraId="69AFC918" w14:textId="22121655" w:rsidR="00466EB5" w:rsidRPr="000F1701" w:rsidRDefault="003D1390" w:rsidP="000F1701">
            <w:p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Feedback from clients, family and service provider staff regarding gaps in service delivery and opportunities that could be addressed to improve service delivery</w:t>
            </w:r>
            <w:r>
              <w:rPr>
                <w:rFonts w:asciiTheme="minorHAnsi" w:eastAsiaTheme="minorEastAsia" w:hAnsiTheme="minorHAnsi" w:cstheme="minorHAnsi"/>
                <w:sz w:val="20"/>
                <w:szCs w:val="20"/>
              </w:rPr>
              <w:t>.</w:t>
            </w:r>
          </w:p>
        </w:tc>
        <w:tc>
          <w:tcPr>
            <w:tcW w:w="2845" w:type="dxa"/>
          </w:tcPr>
          <w:p w14:paraId="4E99525D" w14:textId="77777777" w:rsidR="00A00FC5" w:rsidRPr="005F16E3" w:rsidRDefault="00A00FC5" w:rsidP="005F16E3">
            <w:pPr>
              <w:rPr>
                <w:rFonts w:asciiTheme="minorHAnsi" w:eastAsiaTheme="minorEastAsia" w:hAnsiTheme="minorHAnsi" w:cstheme="minorHAnsi"/>
                <w:sz w:val="20"/>
                <w:szCs w:val="20"/>
              </w:rPr>
            </w:pPr>
          </w:p>
          <w:p w14:paraId="6760B6E0" w14:textId="04D37867" w:rsidR="003D1390" w:rsidRPr="003D1390" w:rsidRDefault="003D1390"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Client</w:t>
            </w:r>
            <w:r w:rsidR="00424839">
              <w:rPr>
                <w:rFonts w:asciiTheme="minorHAnsi" w:eastAsiaTheme="minorEastAsia" w:hAnsiTheme="minorHAnsi" w:cstheme="minorHAnsi"/>
                <w:sz w:val="20"/>
                <w:szCs w:val="20"/>
              </w:rPr>
              <w:t>s</w:t>
            </w:r>
            <w:r w:rsidRPr="003D1390">
              <w:rPr>
                <w:rFonts w:asciiTheme="minorHAnsi" w:eastAsiaTheme="minorEastAsia" w:hAnsiTheme="minorHAnsi" w:cstheme="minorHAnsi"/>
                <w:sz w:val="20"/>
                <w:szCs w:val="20"/>
              </w:rPr>
              <w:t xml:space="preserve"> and Family</w:t>
            </w:r>
          </w:p>
          <w:p w14:paraId="0454A7CA" w14:textId="77777777" w:rsidR="003D1390" w:rsidRPr="003D1390" w:rsidRDefault="003D1390"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3EB59FE3" w14:textId="77777777" w:rsidR="003D1390" w:rsidRPr="003D1390" w:rsidRDefault="003D1390"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62EECE3F" w14:textId="43D2E896" w:rsidR="00466EB5" w:rsidRPr="003D1390" w:rsidRDefault="003D1390"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Correctional Services staff </w:t>
            </w:r>
          </w:p>
        </w:tc>
        <w:tc>
          <w:tcPr>
            <w:tcW w:w="3675" w:type="dxa"/>
          </w:tcPr>
          <w:p w14:paraId="7E6B4151" w14:textId="77777777" w:rsidR="00466EB5" w:rsidRPr="005F16E3" w:rsidRDefault="00466EB5" w:rsidP="005F16E3">
            <w:pPr>
              <w:pStyle w:val="ListParagraph"/>
              <w:rPr>
                <w:rFonts w:asciiTheme="minorHAnsi" w:eastAsiaTheme="minorEastAsia" w:hAnsiTheme="minorHAnsi" w:cstheme="minorHAnsi"/>
                <w:sz w:val="20"/>
                <w:szCs w:val="20"/>
              </w:rPr>
            </w:pPr>
          </w:p>
          <w:p w14:paraId="0CE5CB20"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47A5845C" w14:textId="77777777"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33D38E7F" w14:textId="77777777" w:rsidR="00A00FC5" w:rsidRPr="005F16E3" w:rsidRDefault="00A00FC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Administrators</w:t>
            </w:r>
          </w:p>
          <w:p w14:paraId="1D867F6E" w14:textId="0D229087" w:rsidR="00466EB5" w:rsidRPr="00424839" w:rsidRDefault="00AF5C30"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Correcti</w:t>
            </w:r>
            <w:r w:rsidR="00DD3CAE" w:rsidRPr="005F16E3">
              <w:rPr>
                <w:rFonts w:asciiTheme="minorHAnsi" w:eastAsiaTheme="minorEastAsia" w:hAnsiTheme="minorHAnsi" w:cstheme="minorHAnsi"/>
                <w:sz w:val="20"/>
                <w:szCs w:val="20"/>
              </w:rPr>
              <w:t>ve Services</w:t>
            </w:r>
          </w:p>
        </w:tc>
      </w:tr>
      <w:tr w:rsidR="00424839" w:rsidRPr="00AF5C30" w14:paraId="50F20B2C" w14:textId="77777777" w:rsidTr="000854A1">
        <w:trPr>
          <w:trHeight w:val="613"/>
        </w:trPr>
        <w:tc>
          <w:tcPr>
            <w:tcW w:w="3251" w:type="dxa"/>
          </w:tcPr>
          <w:p w14:paraId="59D7AFAE" w14:textId="77777777" w:rsidR="00424839" w:rsidRDefault="00424839" w:rsidP="00424839">
            <w:pPr>
              <w:rPr>
                <w:rFonts w:asciiTheme="minorHAnsi" w:eastAsiaTheme="minorEastAsia" w:hAnsiTheme="minorHAnsi" w:cstheme="minorHAnsi"/>
                <w:sz w:val="20"/>
                <w:szCs w:val="20"/>
              </w:rPr>
            </w:pPr>
          </w:p>
          <w:p w14:paraId="664A3D18" w14:textId="14BDB605"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 xml:space="preserve">Count of clients by age, </w:t>
            </w:r>
            <w:r w:rsidR="00551C11" w:rsidRPr="00424839">
              <w:rPr>
                <w:rFonts w:asciiTheme="minorHAnsi" w:eastAsiaTheme="minorEastAsia" w:hAnsiTheme="minorHAnsi" w:cstheme="minorHAnsi"/>
                <w:sz w:val="20"/>
                <w:szCs w:val="20"/>
              </w:rPr>
              <w:t>gender,</w:t>
            </w:r>
            <w:r w:rsidRPr="00424839">
              <w:rPr>
                <w:rFonts w:asciiTheme="minorHAnsi" w:eastAsiaTheme="minorEastAsia" w:hAnsiTheme="minorHAnsi" w:cstheme="minorHAnsi"/>
                <w:sz w:val="20"/>
                <w:szCs w:val="20"/>
              </w:rPr>
              <w:t xml:space="preserve"> and location</w:t>
            </w:r>
            <w:r>
              <w:rPr>
                <w:rFonts w:asciiTheme="minorHAnsi" w:eastAsiaTheme="minorEastAsia" w:hAnsiTheme="minorHAnsi" w:cstheme="minorHAnsi"/>
                <w:sz w:val="20"/>
                <w:szCs w:val="20"/>
              </w:rPr>
              <w:t>.</w:t>
            </w:r>
          </w:p>
        </w:tc>
        <w:tc>
          <w:tcPr>
            <w:tcW w:w="2845" w:type="dxa"/>
          </w:tcPr>
          <w:p w14:paraId="1B7C72B3" w14:textId="77777777" w:rsidR="00424839" w:rsidRDefault="00424839" w:rsidP="00424839">
            <w:pPr>
              <w:pStyle w:val="ListParagraph"/>
              <w:rPr>
                <w:rFonts w:asciiTheme="minorHAnsi" w:eastAsiaTheme="minorEastAsia" w:hAnsiTheme="minorHAnsi" w:cstheme="minorHAnsi"/>
                <w:sz w:val="20"/>
                <w:szCs w:val="20"/>
              </w:rPr>
            </w:pPr>
          </w:p>
          <w:p w14:paraId="5D3B8E6E" w14:textId="5BC7CFD1"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4916C1EC" w14:textId="11574D42" w:rsidR="00424839" w:rsidRPr="005F16E3"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1A702854" w14:textId="77777777" w:rsidR="00424839" w:rsidRDefault="00424839" w:rsidP="00424839">
            <w:pPr>
              <w:pStyle w:val="ListParagraph"/>
              <w:rPr>
                <w:rFonts w:asciiTheme="minorHAnsi" w:eastAsiaTheme="minorEastAsia" w:hAnsiTheme="minorHAnsi" w:cstheme="minorHAnsi"/>
                <w:sz w:val="20"/>
                <w:szCs w:val="20"/>
              </w:rPr>
            </w:pPr>
          </w:p>
          <w:p w14:paraId="10881D8D" w14:textId="50E2735A"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189E50DE" w14:textId="1C29813F" w:rsidR="00424839" w:rsidRPr="005F16E3"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p w14:paraId="091A4C69" w14:textId="77777777" w:rsidR="00424839" w:rsidRPr="005F16E3" w:rsidRDefault="00424839" w:rsidP="00424839">
            <w:pPr>
              <w:pStyle w:val="ListParagraph"/>
              <w:rPr>
                <w:rFonts w:asciiTheme="minorHAnsi" w:eastAsiaTheme="minorEastAsia" w:hAnsiTheme="minorHAnsi" w:cstheme="minorHAnsi"/>
                <w:sz w:val="20"/>
                <w:szCs w:val="20"/>
              </w:rPr>
            </w:pPr>
          </w:p>
        </w:tc>
      </w:tr>
      <w:tr w:rsidR="00424839" w:rsidRPr="00AF5C30" w14:paraId="3A23FC48" w14:textId="77777777" w:rsidTr="000854A1">
        <w:trPr>
          <w:trHeight w:val="613"/>
        </w:trPr>
        <w:tc>
          <w:tcPr>
            <w:tcW w:w="3251" w:type="dxa"/>
          </w:tcPr>
          <w:p w14:paraId="1C3A982A" w14:textId="17C5D4DE"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Count of meetings between case workers and clients, mapped to service model requirements</w:t>
            </w:r>
            <w:r>
              <w:rPr>
                <w:rFonts w:asciiTheme="minorHAnsi" w:eastAsiaTheme="minorEastAsia" w:hAnsiTheme="minorHAnsi" w:cstheme="minorHAnsi"/>
                <w:sz w:val="20"/>
                <w:szCs w:val="20"/>
              </w:rPr>
              <w:t>.</w:t>
            </w:r>
          </w:p>
        </w:tc>
        <w:tc>
          <w:tcPr>
            <w:tcW w:w="2845" w:type="dxa"/>
          </w:tcPr>
          <w:p w14:paraId="7450AC9C"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0EEC53A9" w14:textId="31ADD1A6"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51141A86"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A4400DE"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p w14:paraId="1B522A0D" w14:textId="03416423" w:rsidR="00424839" w:rsidRPr="00424839" w:rsidRDefault="00424839" w:rsidP="00424839">
            <w:pPr>
              <w:pStyle w:val="ListParagraph"/>
              <w:rPr>
                <w:rFonts w:asciiTheme="minorHAnsi" w:eastAsiaTheme="minorEastAsia" w:hAnsiTheme="minorHAnsi" w:cstheme="minorHAnsi"/>
                <w:sz w:val="20"/>
                <w:szCs w:val="20"/>
              </w:rPr>
            </w:pPr>
          </w:p>
        </w:tc>
      </w:tr>
      <w:tr w:rsidR="00424839" w:rsidRPr="00AF5C30" w14:paraId="0C72FDFC" w14:textId="77777777" w:rsidTr="000854A1">
        <w:trPr>
          <w:trHeight w:val="613"/>
        </w:trPr>
        <w:tc>
          <w:tcPr>
            <w:tcW w:w="3251" w:type="dxa"/>
          </w:tcPr>
          <w:p w14:paraId="6252DC39" w14:textId="44FA4B6D"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 xml:space="preserve">Count of meetings between case workers, </w:t>
            </w:r>
            <w:r w:rsidR="00551C11" w:rsidRPr="00424839">
              <w:rPr>
                <w:rFonts w:asciiTheme="minorHAnsi" w:eastAsiaTheme="minorEastAsia" w:hAnsiTheme="minorHAnsi" w:cstheme="minorHAnsi"/>
                <w:sz w:val="20"/>
                <w:szCs w:val="20"/>
              </w:rPr>
              <w:t>clients,</w:t>
            </w:r>
            <w:r w:rsidRPr="00424839">
              <w:rPr>
                <w:rFonts w:asciiTheme="minorHAnsi" w:eastAsiaTheme="minorEastAsia" w:hAnsiTheme="minorHAnsi" w:cstheme="minorHAnsi"/>
                <w:sz w:val="20"/>
                <w:szCs w:val="20"/>
              </w:rPr>
              <w:t xml:space="preserve"> and external service providers, mapped to service model requirements</w:t>
            </w:r>
            <w:r>
              <w:rPr>
                <w:rFonts w:asciiTheme="minorHAnsi" w:eastAsiaTheme="minorEastAsia" w:hAnsiTheme="minorHAnsi" w:cstheme="minorHAnsi"/>
                <w:sz w:val="20"/>
                <w:szCs w:val="20"/>
              </w:rPr>
              <w:t>.</w:t>
            </w:r>
          </w:p>
        </w:tc>
        <w:tc>
          <w:tcPr>
            <w:tcW w:w="2845" w:type="dxa"/>
          </w:tcPr>
          <w:p w14:paraId="1C603B8C" w14:textId="16730F84"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1FD76B26" w14:textId="17185ACD"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3E74BA6C"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1F2094DB" w14:textId="77777777" w:rsidR="00424839" w:rsidRPr="005F16E3"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p w14:paraId="26364E9F" w14:textId="77777777" w:rsidR="00424839" w:rsidRPr="005F16E3" w:rsidRDefault="00424839" w:rsidP="00424839">
            <w:pPr>
              <w:pStyle w:val="ListParagraph"/>
              <w:rPr>
                <w:rFonts w:asciiTheme="minorHAnsi" w:eastAsiaTheme="minorEastAsia" w:hAnsiTheme="minorHAnsi" w:cstheme="minorHAnsi"/>
                <w:sz w:val="20"/>
                <w:szCs w:val="20"/>
              </w:rPr>
            </w:pPr>
          </w:p>
        </w:tc>
      </w:tr>
      <w:tr w:rsidR="00424839" w:rsidRPr="00AF5C30" w14:paraId="56E455CE" w14:textId="77777777" w:rsidTr="000854A1">
        <w:trPr>
          <w:trHeight w:val="613"/>
        </w:trPr>
        <w:tc>
          <w:tcPr>
            <w:tcW w:w="3251" w:type="dxa"/>
          </w:tcPr>
          <w:p w14:paraId="48494DDE" w14:textId="77777777" w:rsidR="00E224FD" w:rsidRDefault="00E224FD" w:rsidP="00424839">
            <w:pPr>
              <w:rPr>
                <w:rFonts w:asciiTheme="minorHAnsi" w:eastAsiaTheme="minorEastAsia" w:hAnsiTheme="minorHAnsi" w:cstheme="minorHAnsi"/>
                <w:sz w:val="20"/>
                <w:szCs w:val="20"/>
              </w:rPr>
            </w:pPr>
          </w:p>
          <w:p w14:paraId="4FCE1CC0" w14:textId="2D3E40D1"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Count of meetings between case workers, clients and family, mapped to service model requirements</w:t>
            </w:r>
            <w:r w:rsidR="007D468F">
              <w:rPr>
                <w:rFonts w:asciiTheme="minorHAnsi" w:eastAsiaTheme="minorEastAsia" w:hAnsiTheme="minorHAnsi" w:cstheme="minorHAnsi"/>
                <w:sz w:val="20"/>
                <w:szCs w:val="20"/>
              </w:rPr>
              <w:t>.</w:t>
            </w:r>
          </w:p>
        </w:tc>
        <w:tc>
          <w:tcPr>
            <w:tcW w:w="2845" w:type="dxa"/>
          </w:tcPr>
          <w:p w14:paraId="1471797D" w14:textId="77777777" w:rsidR="00E224FD" w:rsidRDefault="00E224FD" w:rsidP="00E224FD">
            <w:pPr>
              <w:pStyle w:val="ListParagraph"/>
              <w:rPr>
                <w:rFonts w:asciiTheme="minorHAnsi" w:eastAsiaTheme="minorEastAsia" w:hAnsiTheme="minorHAnsi" w:cstheme="minorHAnsi"/>
                <w:sz w:val="20"/>
                <w:szCs w:val="20"/>
              </w:rPr>
            </w:pPr>
          </w:p>
          <w:p w14:paraId="35FF91EE" w14:textId="7A687585"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3131C898" w14:textId="49AABC1D"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3A0A50C2" w14:textId="77777777" w:rsidR="00E224FD" w:rsidRDefault="00E224FD" w:rsidP="00E224FD">
            <w:pPr>
              <w:pStyle w:val="ListParagraph"/>
              <w:rPr>
                <w:rFonts w:asciiTheme="minorHAnsi" w:eastAsiaTheme="minorEastAsia" w:hAnsiTheme="minorHAnsi" w:cstheme="minorHAnsi"/>
                <w:sz w:val="20"/>
                <w:szCs w:val="20"/>
              </w:rPr>
            </w:pPr>
          </w:p>
          <w:p w14:paraId="54E0D227" w14:textId="604E61C9"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4FEB14F5" w14:textId="77777777" w:rsidR="00424839" w:rsidRPr="005F16E3"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p w14:paraId="5DE936B3" w14:textId="77777777" w:rsidR="00424839" w:rsidRPr="005F16E3" w:rsidRDefault="00424839" w:rsidP="00424839">
            <w:pPr>
              <w:pStyle w:val="ListParagraph"/>
              <w:rPr>
                <w:rFonts w:asciiTheme="minorHAnsi" w:eastAsiaTheme="minorEastAsia" w:hAnsiTheme="minorHAnsi" w:cstheme="minorHAnsi"/>
                <w:sz w:val="20"/>
                <w:szCs w:val="20"/>
              </w:rPr>
            </w:pPr>
          </w:p>
        </w:tc>
      </w:tr>
      <w:tr w:rsidR="00424839" w:rsidRPr="00AF5C30" w14:paraId="39B57264" w14:textId="77777777" w:rsidTr="000854A1">
        <w:trPr>
          <w:trHeight w:val="613"/>
        </w:trPr>
        <w:tc>
          <w:tcPr>
            <w:tcW w:w="3251" w:type="dxa"/>
          </w:tcPr>
          <w:p w14:paraId="2786D364" w14:textId="77777777" w:rsidR="00E224FD" w:rsidRDefault="00E224FD" w:rsidP="00424839">
            <w:pPr>
              <w:rPr>
                <w:rFonts w:asciiTheme="minorHAnsi" w:eastAsiaTheme="minorEastAsia" w:hAnsiTheme="minorHAnsi" w:cstheme="minorHAnsi"/>
                <w:sz w:val="20"/>
                <w:szCs w:val="20"/>
              </w:rPr>
            </w:pPr>
          </w:p>
          <w:p w14:paraId="4D4F93D0" w14:textId="3F3D237A"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Proportion of clients who progress to have post-release client plans reviewed</w:t>
            </w:r>
            <w:r>
              <w:rPr>
                <w:rFonts w:asciiTheme="minorHAnsi" w:eastAsiaTheme="minorEastAsia" w:hAnsiTheme="minorHAnsi" w:cstheme="minorHAnsi"/>
                <w:sz w:val="20"/>
                <w:szCs w:val="20"/>
              </w:rPr>
              <w:t>.</w:t>
            </w:r>
          </w:p>
        </w:tc>
        <w:tc>
          <w:tcPr>
            <w:tcW w:w="2845" w:type="dxa"/>
          </w:tcPr>
          <w:p w14:paraId="117EC15C" w14:textId="77777777" w:rsidR="00E224FD" w:rsidRDefault="00E224FD" w:rsidP="00E224FD">
            <w:pPr>
              <w:pStyle w:val="ListParagraph"/>
              <w:rPr>
                <w:rFonts w:asciiTheme="minorHAnsi" w:eastAsiaTheme="minorEastAsia" w:hAnsiTheme="minorHAnsi" w:cstheme="minorHAnsi"/>
                <w:sz w:val="20"/>
                <w:szCs w:val="20"/>
              </w:rPr>
            </w:pPr>
          </w:p>
          <w:p w14:paraId="3D5AEA1E" w14:textId="38C8FC2B" w:rsidR="00424839"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1CED4C24" w14:textId="568EBFA4"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00E674DF" w14:textId="745FDEA5"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3363D0C7" w14:textId="77777777" w:rsidR="00E224FD" w:rsidRDefault="00E224FD" w:rsidP="00E224FD">
            <w:pPr>
              <w:ind w:left="720"/>
              <w:rPr>
                <w:rFonts w:asciiTheme="minorHAnsi" w:eastAsiaTheme="minorEastAsia" w:hAnsiTheme="minorHAnsi" w:cstheme="minorHAnsi"/>
                <w:sz w:val="20"/>
                <w:szCs w:val="20"/>
                <w:lang w:val="en-US"/>
              </w:rPr>
            </w:pPr>
          </w:p>
          <w:p w14:paraId="1277A20A" w14:textId="46CCA1B1" w:rsidR="00424839" w:rsidRPr="003300B9"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6359C2B3"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058F37E1" w14:textId="77777777" w:rsidR="00424839" w:rsidRPr="005F16E3"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p w14:paraId="241E4E7A" w14:textId="77777777" w:rsidR="00424839" w:rsidRPr="005F16E3" w:rsidRDefault="00424839" w:rsidP="00424839">
            <w:pPr>
              <w:pStyle w:val="ListParagraph"/>
              <w:rPr>
                <w:rFonts w:asciiTheme="minorHAnsi" w:eastAsiaTheme="minorEastAsia" w:hAnsiTheme="minorHAnsi" w:cstheme="minorHAnsi"/>
                <w:sz w:val="20"/>
                <w:szCs w:val="20"/>
              </w:rPr>
            </w:pPr>
          </w:p>
        </w:tc>
      </w:tr>
      <w:tr w:rsidR="00424839" w:rsidRPr="00AF5C30" w14:paraId="1170F4E1" w14:textId="77777777" w:rsidTr="000854A1">
        <w:trPr>
          <w:trHeight w:val="613"/>
        </w:trPr>
        <w:tc>
          <w:tcPr>
            <w:tcW w:w="3251" w:type="dxa"/>
          </w:tcPr>
          <w:p w14:paraId="2578774B" w14:textId="685F3BE6" w:rsidR="00424839" w:rsidRPr="000F1701" w:rsidRDefault="00424839" w:rsidP="00424839">
            <w:p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Proportion of clients that exit the service (drop out) and have not met their goals</w:t>
            </w:r>
            <w:r>
              <w:rPr>
                <w:rFonts w:asciiTheme="minorHAnsi" w:eastAsiaTheme="minorEastAsia" w:hAnsiTheme="minorHAnsi" w:cstheme="minorHAnsi"/>
                <w:sz w:val="20"/>
                <w:szCs w:val="20"/>
              </w:rPr>
              <w:t>.</w:t>
            </w:r>
          </w:p>
        </w:tc>
        <w:tc>
          <w:tcPr>
            <w:tcW w:w="2845" w:type="dxa"/>
          </w:tcPr>
          <w:p w14:paraId="4359CE44" w14:textId="7415B7F7" w:rsidR="00424839"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6F15127C"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ATC and YTC Case Workers</w:t>
            </w:r>
          </w:p>
          <w:p w14:paraId="198546A0" w14:textId="411F7695"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sidRPr="00424839">
              <w:rPr>
                <w:rFonts w:asciiTheme="minorHAnsi" w:eastAsiaTheme="minorEastAsia" w:hAnsiTheme="minorHAnsi" w:cstheme="minorHAnsi"/>
                <w:sz w:val="20"/>
                <w:szCs w:val="20"/>
              </w:rPr>
              <w:t>Performance Reporting</w:t>
            </w:r>
          </w:p>
        </w:tc>
        <w:tc>
          <w:tcPr>
            <w:tcW w:w="3675" w:type="dxa"/>
          </w:tcPr>
          <w:p w14:paraId="35446BE2" w14:textId="77777777" w:rsidR="00AF5C30" w:rsidRPr="00AF5C30"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625F66F6" w14:textId="77777777" w:rsidR="00424839" w:rsidRDefault="00424839"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8F31B74" w14:textId="3C65F069" w:rsidR="00424839" w:rsidRPr="00424839" w:rsidRDefault="00424839"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Desk-top Review</w:t>
            </w:r>
          </w:p>
        </w:tc>
      </w:tr>
    </w:tbl>
    <w:p w14:paraId="38F8E5B7" w14:textId="10F922FD" w:rsidR="007D468F" w:rsidRDefault="007D468F" w:rsidP="007D468F">
      <w:pPr>
        <w:rPr>
          <w:lang w:val="en-MY" w:eastAsia="en-AU"/>
        </w:rPr>
      </w:pPr>
    </w:p>
    <w:p w14:paraId="40BFF583" w14:textId="474705F3" w:rsidR="00283910" w:rsidRDefault="00283910" w:rsidP="007D468F">
      <w:pPr>
        <w:rPr>
          <w:lang w:val="en-MY" w:eastAsia="en-AU"/>
        </w:rPr>
      </w:pPr>
    </w:p>
    <w:p w14:paraId="0ABC17F8" w14:textId="387B2F2E" w:rsidR="00283910" w:rsidRPr="00283910" w:rsidRDefault="00283910" w:rsidP="00283910">
      <w:pPr>
        <w:ind w:left="-284"/>
        <w:rPr>
          <w:b/>
          <w:lang w:val="en-MY" w:eastAsia="en-AU"/>
        </w:rPr>
      </w:pPr>
      <w:r w:rsidRPr="00283910">
        <w:rPr>
          <w:b/>
        </w:rPr>
        <w:t>Evaluation Question 4: Are resources being used/deployed effectively and efficiently to deliver the ATC and YTC models?</w:t>
      </w:r>
    </w:p>
    <w:tbl>
      <w:tblPr>
        <w:tblStyle w:val="TableSG"/>
        <w:tblW w:w="9771" w:type="dxa"/>
        <w:tblLook w:val="0420" w:firstRow="1" w:lastRow="0" w:firstColumn="0" w:lastColumn="0" w:noHBand="0" w:noVBand="1"/>
        <w:tblCaption w:val="Evaluation question 4 (table)"/>
        <w:tblDescription w:val="This table sets out in 3 columns the data, data sources and collection tools used to answer evaluation question 4. "/>
      </w:tblPr>
      <w:tblGrid>
        <w:gridCol w:w="3251"/>
        <w:gridCol w:w="2845"/>
        <w:gridCol w:w="3675"/>
      </w:tblGrid>
      <w:tr w:rsidR="00283910" w:rsidRPr="00283910" w14:paraId="108D9038"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3B01839F" w14:textId="77777777" w:rsidR="00283910" w:rsidRPr="00283910" w:rsidRDefault="00283910" w:rsidP="00283910">
            <w:pPr>
              <w:pStyle w:val="Heading4"/>
              <w:ind w:left="0" w:firstLine="0"/>
              <w:rPr>
                <w:rFonts w:eastAsiaTheme="minorEastAsia"/>
              </w:rPr>
            </w:pPr>
            <w:r w:rsidRPr="00283910">
              <w:rPr>
                <w:lang w:val="en-US"/>
              </w:rPr>
              <w:t>Data</w:t>
            </w:r>
          </w:p>
        </w:tc>
        <w:tc>
          <w:tcPr>
            <w:tcW w:w="2845" w:type="dxa"/>
            <w:hideMark/>
          </w:tcPr>
          <w:p w14:paraId="4423311F" w14:textId="77777777" w:rsidR="00283910" w:rsidRPr="00283910" w:rsidRDefault="00283910" w:rsidP="00283910">
            <w:pPr>
              <w:pStyle w:val="Heading4"/>
              <w:ind w:left="0" w:firstLine="0"/>
              <w:rPr>
                <w:rFonts w:eastAsiaTheme="minorEastAsia"/>
              </w:rPr>
            </w:pPr>
            <w:r w:rsidRPr="00283910">
              <w:rPr>
                <w:lang w:val="en-US"/>
              </w:rPr>
              <w:t>Data Sources</w:t>
            </w:r>
          </w:p>
        </w:tc>
        <w:tc>
          <w:tcPr>
            <w:tcW w:w="3675" w:type="dxa"/>
            <w:hideMark/>
          </w:tcPr>
          <w:p w14:paraId="15203B3F" w14:textId="77777777" w:rsidR="00283910" w:rsidRPr="00283910" w:rsidRDefault="00283910" w:rsidP="00283910">
            <w:pPr>
              <w:pStyle w:val="Heading4"/>
              <w:ind w:left="0" w:firstLine="0"/>
              <w:rPr>
                <w:rFonts w:eastAsiaTheme="minorEastAsia"/>
              </w:rPr>
            </w:pPr>
            <w:r w:rsidRPr="00283910">
              <w:rPr>
                <w:lang w:val="en-US"/>
              </w:rPr>
              <w:t>Collection Tool</w:t>
            </w:r>
          </w:p>
        </w:tc>
      </w:tr>
      <w:tr w:rsidR="007D468F" w:rsidRPr="00AF5C30" w14:paraId="257B4793" w14:textId="77777777" w:rsidTr="000854A1">
        <w:trPr>
          <w:trHeight w:val="613"/>
        </w:trPr>
        <w:tc>
          <w:tcPr>
            <w:tcW w:w="3251" w:type="dxa"/>
            <w:hideMark/>
          </w:tcPr>
          <w:p w14:paraId="5397A3B1" w14:textId="0FECE023"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 xml:space="preserve">Feedback on whether the ATC and YTC workforce are trained in model practices and have access to the systems, </w:t>
            </w:r>
            <w:r w:rsidR="00551C11" w:rsidRPr="00E25643">
              <w:rPr>
                <w:rFonts w:asciiTheme="minorHAnsi" w:eastAsiaTheme="minorEastAsia" w:hAnsiTheme="minorHAnsi" w:cstheme="minorHAnsi"/>
                <w:sz w:val="20"/>
                <w:szCs w:val="20"/>
              </w:rPr>
              <w:t>processes,</w:t>
            </w:r>
            <w:r w:rsidRPr="00E25643">
              <w:rPr>
                <w:rFonts w:asciiTheme="minorHAnsi" w:eastAsiaTheme="minorEastAsia" w:hAnsiTheme="minorHAnsi" w:cstheme="minorHAnsi"/>
                <w:sz w:val="20"/>
                <w:szCs w:val="20"/>
              </w:rPr>
              <w:t xml:space="preserve"> and technology to perform their role effectively</w:t>
            </w:r>
            <w:r>
              <w:rPr>
                <w:rFonts w:asciiTheme="minorHAnsi" w:eastAsiaTheme="minorEastAsia" w:hAnsiTheme="minorHAnsi" w:cstheme="minorHAnsi"/>
                <w:sz w:val="20"/>
                <w:szCs w:val="20"/>
              </w:rPr>
              <w:t>.</w:t>
            </w:r>
          </w:p>
        </w:tc>
        <w:tc>
          <w:tcPr>
            <w:tcW w:w="2845" w:type="dxa"/>
            <w:hideMark/>
          </w:tcPr>
          <w:p w14:paraId="7B6FB2B6" w14:textId="77777777" w:rsidR="007D468F" w:rsidRPr="005F16E3" w:rsidRDefault="007D468F"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Manager and Data Administrator</w:t>
            </w:r>
          </w:p>
          <w:p w14:paraId="0727E229" w14:textId="77777777" w:rsidR="007D468F" w:rsidRPr="005F16E3" w:rsidRDefault="007D468F"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201C03E8" w14:textId="77777777" w:rsidR="007D468F" w:rsidRPr="005F16E3" w:rsidRDefault="007D468F"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6DCE99EB" w14:textId="77777777" w:rsidR="007D468F" w:rsidRPr="000F1701" w:rsidRDefault="007D468F" w:rsidP="00877CCC">
            <w:pPr>
              <w:rPr>
                <w:rFonts w:asciiTheme="minorHAnsi" w:eastAsiaTheme="minorEastAsia" w:hAnsiTheme="minorHAnsi" w:cstheme="minorHAnsi"/>
                <w:sz w:val="20"/>
                <w:szCs w:val="20"/>
              </w:rPr>
            </w:pPr>
          </w:p>
        </w:tc>
        <w:tc>
          <w:tcPr>
            <w:tcW w:w="3675" w:type="dxa"/>
            <w:hideMark/>
          </w:tcPr>
          <w:p w14:paraId="29F3C6E1" w14:textId="77777777"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08217EFB" w14:textId="77777777"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0811237A" w14:textId="77777777"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148AACF4" w14:textId="77777777" w:rsidR="007D468F" w:rsidRPr="000F1701" w:rsidRDefault="007D468F" w:rsidP="00877CCC">
            <w:pPr>
              <w:rPr>
                <w:rFonts w:asciiTheme="minorHAnsi" w:eastAsiaTheme="minorEastAsia" w:hAnsiTheme="minorHAnsi" w:cstheme="minorHAnsi"/>
                <w:sz w:val="20"/>
                <w:szCs w:val="20"/>
              </w:rPr>
            </w:pPr>
          </w:p>
          <w:p w14:paraId="2719D7DF" w14:textId="77777777" w:rsidR="007D468F" w:rsidRPr="000F1701" w:rsidRDefault="007D468F" w:rsidP="00877CCC">
            <w:pPr>
              <w:rPr>
                <w:rFonts w:asciiTheme="minorHAnsi" w:eastAsiaTheme="minorEastAsia" w:hAnsiTheme="minorHAnsi" w:cstheme="minorHAnsi"/>
                <w:sz w:val="20"/>
                <w:szCs w:val="20"/>
              </w:rPr>
            </w:pPr>
          </w:p>
        </w:tc>
      </w:tr>
      <w:tr w:rsidR="007D468F" w:rsidRPr="00AF5C30" w14:paraId="5E90B71C" w14:textId="77777777" w:rsidTr="000854A1">
        <w:trPr>
          <w:trHeight w:val="613"/>
        </w:trPr>
        <w:tc>
          <w:tcPr>
            <w:tcW w:w="3251" w:type="dxa"/>
          </w:tcPr>
          <w:p w14:paraId="0575A9C6" w14:textId="63775B6B"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Feedback from service providers regarding the effectiveness and efficiency of the human, financial and infrastructure/capital resources used in service delivery</w:t>
            </w:r>
            <w:r w:rsidR="007D468F" w:rsidRPr="000F1701">
              <w:rPr>
                <w:rFonts w:asciiTheme="minorHAnsi" w:eastAsiaTheme="minorEastAsia" w:hAnsiTheme="minorHAnsi" w:cstheme="minorHAnsi"/>
                <w:sz w:val="20"/>
                <w:szCs w:val="20"/>
              </w:rPr>
              <w:t>.</w:t>
            </w:r>
          </w:p>
        </w:tc>
        <w:tc>
          <w:tcPr>
            <w:tcW w:w="2845" w:type="dxa"/>
          </w:tcPr>
          <w:p w14:paraId="61DC5097" w14:textId="77777777" w:rsid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5C0C9854" w14:textId="77777777" w:rsidR="00E25643" w:rsidRPr="005F16E3" w:rsidRDefault="00E25643"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ATC and YTC Manager and Data Administrator</w:t>
            </w:r>
          </w:p>
          <w:p w14:paraId="6A3CC8CC" w14:textId="77777777" w:rsidR="00E25643" w:rsidRDefault="00E25643"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Correctional Services Staff</w:t>
            </w:r>
          </w:p>
          <w:p w14:paraId="524DB21E" w14:textId="6CB9F1D1" w:rsidR="007D468F" w:rsidRP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0B49E257" w14:textId="77777777" w:rsid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C7CDBA7" w14:textId="77777777" w:rsid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680CB7C3" w14:textId="77777777" w:rsid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w:t>
            </w:r>
            <w:r>
              <w:rPr>
                <w:rFonts w:asciiTheme="minorHAnsi" w:eastAsiaTheme="minorEastAsia" w:hAnsiTheme="minorHAnsi" w:cstheme="minorHAnsi"/>
                <w:sz w:val="20"/>
                <w:szCs w:val="20"/>
              </w:rPr>
              <w:t xml:space="preserve"> Corrective Services</w:t>
            </w:r>
          </w:p>
          <w:p w14:paraId="64CE6F4D" w14:textId="729D77B9" w:rsidR="007D468F" w:rsidRPr="00E25643" w:rsidRDefault="00E25643" w:rsidP="00C71EF3">
            <w:pPr>
              <w:pStyle w:val="ListParagraph"/>
              <w:numPr>
                <w:ilvl w:val="0"/>
                <w:numId w:val="28"/>
              </w:num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E25643">
              <w:rPr>
                <w:rFonts w:asciiTheme="minorHAnsi" w:eastAsiaTheme="minorEastAsia" w:hAnsiTheme="minorHAnsi" w:cstheme="minorHAnsi"/>
                <w:sz w:val="20"/>
                <w:szCs w:val="20"/>
              </w:rPr>
              <w:t xml:space="preserve">eview </w:t>
            </w:r>
          </w:p>
        </w:tc>
      </w:tr>
      <w:tr w:rsidR="007D468F" w:rsidRPr="00AF5C30" w14:paraId="18C70A4C" w14:textId="77777777" w:rsidTr="000854A1">
        <w:trPr>
          <w:trHeight w:val="613"/>
        </w:trPr>
        <w:tc>
          <w:tcPr>
            <w:tcW w:w="3251" w:type="dxa"/>
          </w:tcPr>
          <w:p w14:paraId="115E8400" w14:textId="77777777" w:rsidR="00E25643" w:rsidRDefault="00E25643" w:rsidP="00877CCC">
            <w:pPr>
              <w:rPr>
                <w:rFonts w:asciiTheme="minorHAnsi" w:eastAsiaTheme="minorEastAsia" w:hAnsiTheme="minorHAnsi" w:cstheme="minorHAnsi"/>
                <w:sz w:val="20"/>
                <w:szCs w:val="20"/>
              </w:rPr>
            </w:pPr>
          </w:p>
          <w:p w14:paraId="70CD9AB7" w14:textId="22DD343B"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Descriptors of any variance between budgeted and actual expenditure (in aggregate, by service location or between pre-release and post-release phases of delivery)</w:t>
            </w:r>
            <w:r w:rsidR="007D468F" w:rsidRPr="000F1701">
              <w:rPr>
                <w:rFonts w:asciiTheme="minorHAnsi" w:eastAsiaTheme="minorEastAsia" w:hAnsiTheme="minorHAnsi" w:cstheme="minorHAnsi"/>
                <w:sz w:val="20"/>
                <w:szCs w:val="20"/>
              </w:rPr>
              <w:t>.</w:t>
            </w:r>
          </w:p>
        </w:tc>
        <w:tc>
          <w:tcPr>
            <w:tcW w:w="2845" w:type="dxa"/>
          </w:tcPr>
          <w:p w14:paraId="7D3AA3DE" w14:textId="77777777" w:rsidR="00E25643" w:rsidRDefault="00E25643" w:rsidP="00E25643">
            <w:pPr>
              <w:pStyle w:val="ListParagraph"/>
              <w:rPr>
                <w:rFonts w:asciiTheme="minorHAnsi" w:eastAsiaTheme="minorEastAsia" w:hAnsiTheme="minorHAnsi" w:cstheme="minorHAnsi"/>
                <w:sz w:val="20"/>
                <w:szCs w:val="20"/>
              </w:rPr>
            </w:pPr>
          </w:p>
          <w:p w14:paraId="3BFA61FF" w14:textId="19EE96BB" w:rsidR="00E25643" w:rsidRPr="005F16E3" w:rsidRDefault="00E25643"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ATC and YTC Manager and Data Administrator</w:t>
            </w:r>
          </w:p>
          <w:p w14:paraId="10782BEF" w14:textId="708E5410" w:rsidR="00E25643" w:rsidRP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50D56915" w14:textId="77777777" w:rsidR="007D468F" w:rsidRPr="000F1701" w:rsidRDefault="007D468F" w:rsidP="00877CCC">
            <w:pPr>
              <w:rPr>
                <w:rFonts w:asciiTheme="minorHAnsi" w:eastAsiaTheme="minorEastAsia" w:hAnsiTheme="minorHAnsi" w:cstheme="minorHAnsi"/>
                <w:sz w:val="20"/>
                <w:szCs w:val="20"/>
              </w:rPr>
            </w:pPr>
          </w:p>
        </w:tc>
        <w:tc>
          <w:tcPr>
            <w:tcW w:w="3675" w:type="dxa"/>
          </w:tcPr>
          <w:p w14:paraId="574BD135" w14:textId="77777777" w:rsidR="00E25643" w:rsidRDefault="00E25643" w:rsidP="00E25643">
            <w:pPr>
              <w:pStyle w:val="ListParagraph"/>
              <w:rPr>
                <w:rFonts w:asciiTheme="minorHAnsi" w:eastAsiaTheme="minorEastAsia" w:hAnsiTheme="minorHAnsi" w:cstheme="minorHAnsi"/>
                <w:sz w:val="20"/>
                <w:szCs w:val="20"/>
              </w:rPr>
            </w:pPr>
          </w:p>
          <w:p w14:paraId="0A1E3ADA" w14:textId="77777777" w:rsidR="00E25643" w:rsidRDefault="00E25643"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69771755" w14:textId="74AAC41E"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5F16E3">
              <w:rPr>
                <w:rFonts w:asciiTheme="minorHAnsi" w:eastAsiaTheme="minorEastAsia" w:hAnsiTheme="minorHAnsi" w:cstheme="minorHAnsi"/>
                <w:sz w:val="20"/>
                <w:szCs w:val="20"/>
              </w:rPr>
              <w:t>eview</w:t>
            </w:r>
          </w:p>
        </w:tc>
      </w:tr>
      <w:tr w:rsidR="007D468F" w:rsidRPr="00AF5C30" w14:paraId="740477D5" w14:textId="77777777" w:rsidTr="000854A1">
        <w:trPr>
          <w:trHeight w:val="613"/>
        </w:trPr>
        <w:tc>
          <w:tcPr>
            <w:tcW w:w="3251" w:type="dxa"/>
          </w:tcPr>
          <w:p w14:paraId="26E2C719" w14:textId="77777777" w:rsidR="007D468F" w:rsidRPr="000F1701" w:rsidRDefault="007D468F" w:rsidP="00877CCC">
            <w:pPr>
              <w:rPr>
                <w:rFonts w:asciiTheme="minorHAnsi" w:eastAsiaTheme="minorEastAsia" w:hAnsiTheme="minorHAnsi" w:cstheme="minorHAnsi"/>
                <w:sz w:val="20"/>
                <w:szCs w:val="20"/>
              </w:rPr>
            </w:pPr>
          </w:p>
          <w:p w14:paraId="64FCDA7A" w14:textId="1BCB1189"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Feedback from services regarding the efficiency of their operations and opportunities for cost savings</w:t>
            </w:r>
            <w:r w:rsidR="007D468F">
              <w:rPr>
                <w:rFonts w:asciiTheme="minorHAnsi" w:eastAsiaTheme="minorEastAsia" w:hAnsiTheme="minorHAnsi" w:cstheme="minorHAnsi"/>
                <w:sz w:val="20"/>
                <w:szCs w:val="20"/>
              </w:rPr>
              <w:t>.</w:t>
            </w:r>
          </w:p>
        </w:tc>
        <w:tc>
          <w:tcPr>
            <w:tcW w:w="2845" w:type="dxa"/>
          </w:tcPr>
          <w:p w14:paraId="535676B3" w14:textId="77777777" w:rsidR="007D468F" w:rsidRPr="003D1390" w:rsidRDefault="007D468F" w:rsidP="00877CCC">
            <w:pPr>
              <w:rPr>
                <w:rFonts w:asciiTheme="minorHAnsi" w:eastAsiaTheme="minorEastAsia" w:hAnsiTheme="minorHAnsi" w:cstheme="minorHAnsi"/>
                <w:sz w:val="20"/>
                <w:szCs w:val="20"/>
              </w:rPr>
            </w:pPr>
          </w:p>
          <w:p w14:paraId="3ECFF43C" w14:textId="77777777" w:rsidR="00E25643" w:rsidRPr="005F16E3" w:rsidRDefault="00E25643"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ATC and YTC Manager and Data Administrator</w:t>
            </w:r>
          </w:p>
          <w:p w14:paraId="671A76D4" w14:textId="6B5E9214" w:rsidR="007D468F" w:rsidRPr="00E25643" w:rsidRDefault="00E25643"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7D4D9773" w14:textId="77777777" w:rsidR="007D468F" w:rsidRPr="005F16E3" w:rsidRDefault="007D468F" w:rsidP="00877CCC">
            <w:pPr>
              <w:pStyle w:val="ListParagraph"/>
              <w:rPr>
                <w:rFonts w:asciiTheme="minorHAnsi" w:eastAsiaTheme="minorEastAsia" w:hAnsiTheme="minorHAnsi" w:cstheme="minorHAnsi"/>
                <w:sz w:val="20"/>
                <w:szCs w:val="20"/>
              </w:rPr>
            </w:pPr>
          </w:p>
          <w:p w14:paraId="35765D7D" w14:textId="77777777" w:rsidR="00E25643" w:rsidRDefault="00E25643"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26BE77BE" w14:textId="2B4C7876" w:rsidR="007D468F" w:rsidRPr="005F16E3" w:rsidRDefault="00E25643"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5F16E3">
              <w:rPr>
                <w:rFonts w:asciiTheme="minorHAnsi" w:eastAsiaTheme="minorEastAsia" w:hAnsiTheme="minorHAnsi" w:cstheme="minorHAnsi"/>
                <w:sz w:val="20"/>
                <w:szCs w:val="20"/>
              </w:rPr>
              <w:t>eview</w:t>
            </w:r>
          </w:p>
        </w:tc>
      </w:tr>
      <w:tr w:rsidR="007D468F" w:rsidRPr="00AF5C30" w14:paraId="6A5B0013" w14:textId="77777777" w:rsidTr="000854A1">
        <w:trPr>
          <w:trHeight w:val="613"/>
        </w:trPr>
        <w:tc>
          <w:tcPr>
            <w:tcW w:w="3251" w:type="dxa"/>
          </w:tcPr>
          <w:p w14:paraId="6A760EFA" w14:textId="77777777" w:rsidR="007D468F" w:rsidRPr="000F1701" w:rsidRDefault="007D468F" w:rsidP="00877CCC">
            <w:pPr>
              <w:rPr>
                <w:rFonts w:asciiTheme="minorHAnsi" w:eastAsiaTheme="minorEastAsia" w:hAnsiTheme="minorHAnsi" w:cstheme="minorHAnsi"/>
                <w:sz w:val="20"/>
                <w:szCs w:val="20"/>
              </w:rPr>
            </w:pPr>
          </w:p>
          <w:p w14:paraId="4E297C8A" w14:textId="56529912"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Number of eligible prospective clients that cannot be taken on-board</w:t>
            </w:r>
            <w:r w:rsidR="007D468F">
              <w:rPr>
                <w:rFonts w:asciiTheme="minorHAnsi" w:eastAsiaTheme="minorEastAsia" w:hAnsiTheme="minorHAnsi" w:cstheme="minorHAnsi"/>
                <w:sz w:val="20"/>
                <w:szCs w:val="20"/>
              </w:rPr>
              <w:t>.</w:t>
            </w:r>
          </w:p>
        </w:tc>
        <w:tc>
          <w:tcPr>
            <w:tcW w:w="2845" w:type="dxa"/>
          </w:tcPr>
          <w:p w14:paraId="289B8D4E" w14:textId="77777777" w:rsidR="007D468F" w:rsidRPr="005F16E3" w:rsidRDefault="007D468F" w:rsidP="00877CCC">
            <w:pPr>
              <w:pStyle w:val="ListParagraph"/>
              <w:rPr>
                <w:rFonts w:asciiTheme="minorHAnsi" w:eastAsiaTheme="minorEastAsia" w:hAnsiTheme="minorHAnsi" w:cstheme="minorHAnsi"/>
                <w:sz w:val="20"/>
                <w:szCs w:val="20"/>
              </w:rPr>
            </w:pPr>
          </w:p>
          <w:p w14:paraId="7288B4A3" w14:textId="77777777" w:rsidR="007D468F" w:rsidRPr="003D1390" w:rsidRDefault="007D468F"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Client</w:t>
            </w:r>
            <w:r>
              <w:rPr>
                <w:rFonts w:asciiTheme="minorHAnsi" w:eastAsiaTheme="minorEastAsia" w:hAnsiTheme="minorHAnsi" w:cstheme="minorHAnsi"/>
                <w:sz w:val="20"/>
                <w:szCs w:val="20"/>
              </w:rPr>
              <w:t>s</w:t>
            </w:r>
            <w:r w:rsidRPr="003D1390">
              <w:rPr>
                <w:rFonts w:asciiTheme="minorHAnsi" w:eastAsiaTheme="minorEastAsia" w:hAnsiTheme="minorHAnsi" w:cstheme="minorHAnsi"/>
                <w:sz w:val="20"/>
                <w:szCs w:val="20"/>
              </w:rPr>
              <w:t xml:space="preserve"> and Family</w:t>
            </w:r>
          </w:p>
          <w:p w14:paraId="0186C01D" w14:textId="77777777" w:rsidR="007D468F" w:rsidRPr="003D1390" w:rsidRDefault="007D468F"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2984C56B" w14:textId="77777777" w:rsidR="007D468F" w:rsidRPr="003D1390" w:rsidRDefault="007D468F"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56BF975A" w14:textId="77777777" w:rsidR="007D468F" w:rsidRPr="003D1390" w:rsidRDefault="007D468F" w:rsidP="00C71EF3">
            <w:pPr>
              <w:pStyle w:val="ListParagraph"/>
              <w:numPr>
                <w:ilvl w:val="0"/>
                <w:numId w:val="28"/>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0F1E3A01" w14:textId="77777777" w:rsidR="007D468F" w:rsidRDefault="007D468F" w:rsidP="00877CCC">
            <w:pPr>
              <w:rPr>
                <w:rFonts w:asciiTheme="minorHAnsi" w:eastAsiaTheme="minorEastAsia" w:hAnsiTheme="minorHAnsi" w:cstheme="minorHAnsi"/>
                <w:sz w:val="20"/>
                <w:szCs w:val="20"/>
              </w:rPr>
            </w:pPr>
          </w:p>
          <w:p w14:paraId="19B0D6BB"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4E675416" w14:textId="77777777" w:rsidR="007D468F" w:rsidRPr="003D1390" w:rsidRDefault="007D468F"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6D11A230" w14:textId="77777777" w:rsidR="007D468F" w:rsidRPr="003D1390" w:rsidRDefault="007D468F"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Managers and Administrators</w:t>
            </w:r>
          </w:p>
          <w:p w14:paraId="71F1F543" w14:textId="65EEAB6F" w:rsidR="007D468F" w:rsidRPr="003D1390" w:rsidRDefault="007D468F"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tc>
      </w:tr>
      <w:tr w:rsidR="007D468F" w:rsidRPr="00AF5C30" w14:paraId="6B5DFA73" w14:textId="77777777" w:rsidTr="000854A1">
        <w:trPr>
          <w:trHeight w:val="613"/>
        </w:trPr>
        <w:tc>
          <w:tcPr>
            <w:tcW w:w="3251" w:type="dxa"/>
          </w:tcPr>
          <w:p w14:paraId="401ED8F5" w14:textId="77777777" w:rsidR="007D468F" w:rsidRPr="000F1701" w:rsidRDefault="007D468F" w:rsidP="00877CCC">
            <w:pPr>
              <w:rPr>
                <w:rFonts w:asciiTheme="minorHAnsi" w:eastAsiaTheme="minorEastAsia" w:hAnsiTheme="minorHAnsi" w:cstheme="minorHAnsi"/>
                <w:sz w:val="20"/>
                <w:szCs w:val="20"/>
              </w:rPr>
            </w:pPr>
          </w:p>
          <w:p w14:paraId="7A75F2BC" w14:textId="369364BA" w:rsidR="007D468F" w:rsidRPr="000F1701" w:rsidRDefault="00E25643" w:rsidP="00877CCC">
            <w:p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Analysis of productivity levels including average case</w:t>
            </w:r>
            <w:r w:rsidR="00694565">
              <w:rPr>
                <w:rFonts w:asciiTheme="minorHAnsi" w:eastAsiaTheme="minorEastAsia" w:hAnsiTheme="minorHAnsi" w:cstheme="minorHAnsi"/>
                <w:sz w:val="20"/>
                <w:szCs w:val="20"/>
              </w:rPr>
              <w:t>-</w:t>
            </w:r>
            <w:r w:rsidRPr="00E25643">
              <w:rPr>
                <w:rFonts w:asciiTheme="minorHAnsi" w:eastAsiaTheme="minorEastAsia" w:hAnsiTheme="minorHAnsi" w:cstheme="minorHAnsi"/>
                <w:sz w:val="20"/>
                <w:szCs w:val="20"/>
              </w:rPr>
              <w:t>loads, case lengths/time, referral activity, etc</w:t>
            </w:r>
            <w:r>
              <w:rPr>
                <w:rFonts w:asciiTheme="minorHAnsi" w:eastAsiaTheme="minorEastAsia" w:hAnsiTheme="minorHAnsi" w:cstheme="minorHAnsi"/>
                <w:sz w:val="20"/>
                <w:szCs w:val="20"/>
              </w:rPr>
              <w:t>.</w:t>
            </w:r>
            <w:r w:rsidRPr="00E25643">
              <w:rPr>
                <w:rFonts w:asciiTheme="minorHAnsi" w:eastAsiaTheme="minorEastAsia" w:hAnsiTheme="minorHAnsi" w:cstheme="minorHAnsi"/>
                <w:sz w:val="20"/>
                <w:szCs w:val="20"/>
              </w:rPr>
              <w:t>)</w:t>
            </w:r>
            <w:r w:rsidR="007D468F">
              <w:rPr>
                <w:rFonts w:asciiTheme="minorHAnsi" w:eastAsiaTheme="minorEastAsia" w:hAnsiTheme="minorHAnsi" w:cstheme="minorHAnsi"/>
                <w:sz w:val="20"/>
                <w:szCs w:val="20"/>
              </w:rPr>
              <w:t>.</w:t>
            </w:r>
          </w:p>
        </w:tc>
        <w:tc>
          <w:tcPr>
            <w:tcW w:w="2845" w:type="dxa"/>
          </w:tcPr>
          <w:p w14:paraId="19EE1E4B" w14:textId="77777777" w:rsidR="007D468F" w:rsidRPr="005F16E3" w:rsidRDefault="007D468F" w:rsidP="00877CCC">
            <w:pPr>
              <w:rPr>
                <w:rFonts w:asciiTheme="minorHAnsi" w:eastAsiaTheme="minorEastAsia" w:hAnsiTheme="minorHAnsi" w:cstheme="minorHAnsi"/>
                <w:sz w:val="20"/>
                <w:szCs w:val="20"/>
              </w:rPr>
            </w:pPr>
          </w:p>
          <w:p w14:paraId="0E7E9BE0" w14:textId="77777777" w:rsidR="007D468F" w:rsidRPr="003D1390" w:rsidRDefault="007D468F"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2A2EAB15" w14:textId="77777777" w:rsidR="007D468F" w:rsidRPr="003D1390" w:rsidRDefault="007D468F"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5B65FBC6" w14:textId="53B3AE41" w:rsidR="007D468F" w:rsidRPr="003D1390" w:rsidRDefault="00E25643"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7278CF24" w14:textId="77777777" w:rsidR="007D468F" w:rsidRPr="005F16E3" w:rsidRDefault="007D468F" w:rsidP="00877CCC">
            <w:pPr>
              <w:pStyle w:val="ListParagraph"/>
              <w:rPr>
                <w:rFonts w:asciiTheme="minorHAnsi" w:eastAsiaTheme="minorEastAsia" w:hAnsiTheme="minorHAnsi" w:cstheme="minorHAnsi"/>
                <w:sz w:val="20"/>
                <w:szCs w:val="20"/>
              </w:rPr>
            </w:pPr>
          </w:p>
          <w:p w14:paraId="2CDC8611" w14:textId="77777777"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230FF2D3" w14:textId="77777777" w:rsidR="007D468F" w:rsidRPr="005F16E3" w:rsidRDefault="007D468F"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Administrators</w:t>
            </w:r>
          </w:p>
          <w:p w14:paraId="35E3486B" w14:textId="2316DA00" w:rsidR="007D468F" w:rsidRPr="00424839" w:rsidRDefault="00E26217"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tc>
      </w:tr>
      <w:tr w:rsidR="007D468F" w:rsidRPr="00AF5C30" w14:paraId="46AD27DB" w14:textId="77777777" w:rsidTr="000854A1">
        <w:trPr>
          <w:trHeight w:val="613"/>
        </w:trPr>
        <w:tc>
          <w:tcPr>
            <w:tcW w:w="3251" w:type="dxa"/>
          </w:tcPr>
          <w:p w14:paraId="0F5DF5DB" w14:textId="77777777" w:rsidR="007D468F" w:rsidRDefault="007D468F" w:rsidP="00877CCC">
            <w:pPr>
              <w:rPr>
                <w:rFonts w:asciiTheme="minorHAnsi" w:eastAsiaTheme="minorEastAsia" w:hAnsiTheme="minorHAnsi" w:cstheme="minorHAnsi"/>
                <w:sz w:val="20"/>
                <w:szCs w:val="20"/>
              </w:rPr>
            </w:pPr>
          </w:p>
          <w:p w14:paraId="22AD9193" w14:textId="4F8C0E02" w:rsidR="007D468F" w:rsidRPr="000F1701" w:rsidRDefault="00E26217" w:rsidP="00877CCC">
            <w:p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Feedback regarding whether case workers manage a balanced case</w:t>
            </w:r>
            <w:r w:rsidR="00694565">
              <w:rPr>
                <w:rFonts w:asciiTheme="minorHAnsi" w:eastAsiaTheme="minorEastAsia" w:hAnsiTheme="minorHAnsi" w:cstheme="minorHAnsi"/>
                <w:sz w:val="20"/>
                <w:szCs w:val="20"/>
              </w:rPr>
              <w:t>-</w:t>
            </w:r>
            <w:r w:rsidRPr="00E26217">
              <w:rPr>
                <w:rFonts w:asciiTheme="minorHAnsi" w:eastAsiaTheme="minorEastAsia" w:hAnsiTheme="minorHAnsi" w:cstheme="minorHAnsi"/>
                <w:sz w:val="20"/>
                <w:szCs w:val="20"/>
              </w:rPr>
              <w:t>load</w:t>
            </w:r>
            <w:r w:rsidR="007D468F">
              <w:rPr>
                <w:rFonts w:asciiTheme="minorHAnsi" w:eastAsiaTheme="minorEastAsia" w:hAnsiTheme="minorHAnsi" w:cstheme="minorHAnsi"/>
                <w:sz w:val="20"/>
                <w:szCs w:val="20"/>
              </w:rPr>
              <w:t>.</w:t>
            </w:r>
          </w:p>
        </w:tc>
        <w:tc>
          <w:tcPr>
            <w:tcW w:w="2845" w:type="dxa"/>
          </w:tcPr>
          <w:p w14:paraId="77B68506" w14:textId="77777777" w:rsidR="007D468F" w:rsidRDefault="007D468F" w:rsidP="00877CCC">
            <w:pPr>
              <w:pStyle w:val="ListParagraph"/>
              <w:rPr>
                <w:rFonts w:asciiTheme="minorHAnsi" w:eastAsiaTheme="minorEastAsia" w:hAnsiTheme="minorHAnsi" w:cstheme="minorHAnsi"/>
                <w:sz w:val="20"/>
                <w:szCs w:val="20"/>
              </w:rPr>
            </w:pPr>
          </w:p>
          <w:p w14:paraId="671451DB" w14:textId="77777777" w:rsidR="00E26217" w:rsidRPr="003D1390"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Case Workers</w:t>
            </w:r>
          </w:p>
          <w:p w14:paraId="11953805" w14:textId="77777777" w:rsidR="00E26217" w:rsidRPr="003D1390"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759B2113" w14:textId="2492DC27" w:rsidR="007D468F" w:rsidRPr="005F16E3"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5B50C9BD" w14:textId="77777777" w:rsidR="007D468F" w:rsidRDefault="007D468F" w:rsidP="00877CCC">
            <w:pPr>
              <w:pStyle w:val="ListParagraph"/>
              <w:rPr>
                <w:rFonts w:asciiTheme="minorHAnsi" w:eastAsiaTheme="minorEastAsia" w:hAnsiTheme="minorHAnsi" w:cstheme="minorHAnsi"/>
                <w:sz w:val="20"/>
                <w:szCs w:val="20"/>
              </w:rPr>
            </w:pPr>
          </w:p>
          <w:p w14:paraId="606AEB42" w14:textId="77777777" w:rsidR="00E26217" w:rsidRPr="005F16E3" w:rsidRDefault="00E26217"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70D378B6" w14:textId="77777777" w:rsidR="00E26217" w:rsidRDefault="00E26217"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Administrators</w:t>
            </w:r>
          </w:p>
          <w:p w14:paraId="6217D0AB" w14:textId="14BE82F0" w:rsidR="007D468F" w:rsidRPr="00E26217" w:rsidRDefault="00E26217" w:rsidP="00C71EF3">
            <w:pPr>
              <w:pStyle w:val="ListParagraph"/>
              <w:numPr>
                <w:ilvl w:val="0"/>
                <w:numId w:val="29"/>
              </w:num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E26217">
              <w:rPr>
                <w:rFonts w:asciiTheme="minorHAnsi" w:eastAsiaTheme="minorEastAsia" w:hAnsiTheme="minorHAnsi" w:cstheme="minorHAnsi"/>
                <w:sz w:val="20"/>
                <w:szCs w:val="20"/>
              </w:rPr>
              <w:t xml:space="preserve">eview </w:t>
            </w:r>
          </w:p>
        </w:tc>
      </w:tr>
      <w:tr w:rsidR="007D468F" w:rsidRPr="00AF5C30" w14:paraId="6AA36CE7" w14:textId="77777777" w:rsidTr="000854A1">
        <w:trPr>
          <w:trHeight w:val="613"/>
        </w:trPr>
        <w:tc>
          <w:tcPr>
            <w:tcW w:w="3251" w:type="dxa"/>
          </w:tcPr>
          <w:p w14:paraId="13AA8535" w14:textId="77777777" w:rsidR="00E224FD" w:rsidRDefault="00E224FD" w:rsidP="00877CCC">
            <w:pPr>
              <w:rPr>
                <w:rFonts w:asciiTheme="minorHAnsi" w:eastAsiaTheme="minorEastAsia" w:hAnsiTheme="minorHAnsi" w:cstheme="minorHAnsi"/>
                <w:sz w:val="20"/>
                <w:szCs w:val="20"/>
              </w:rPr>
            </w:pPr>
          </w:p>
          <w:p w14:paraId="7BDEE06F" w14:textId="3060FBD9" w:rsidR="007D468F" w:rsidRPr="000F1701" w:rsidRDefault="00E26217" w:rsidP="00877CCC">
            <w:p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Count of case worker staff by service location v. clients by location</w:t>
            </w:r>
            <w:r w:rsidR="007D468F">
              <w:rPr>
                <w:rFonts w:asciiTheme="minorHAnsi" w:eastAsiaTheme="minorEastAsia" w:hAnsiTheme="minorHAnsi" w:cstheme="minorHAnsi"/>
                <w:sz w:val="20"/>
                <w:szCs w:val="20"/>
              </w:rPr>
              <w:t>.</w:t>
            </w:r>
          </w:p>
        </w:tc>
        <w:tc>
          <w:tcPr>
            <w:tcW w:w="2845" w:type="dxa"/>
          </w:tcPr>
          <w:p w14:paraId="13950747" w14:textId="77777777" w:rsidR="00E224FD" w:rsidRDefault="00E224FD" w:rsidP="00E224FD">
            <w:pPr>
              <w:pStyle w:val="ListParagraph"/>
              <w:rPr>
                <w:rFonts w:asciiTheme="minorHAnsi" w:eastAsiaTheme="minorEastAsia" w:hAnsiTheme="minorHAnsi" w:cstheme="minorHAnsi"/>
                <w:sz w:val="20"/>
                <w:szCs w:val="20"/>
              </w:rPr>
            </w:pPr>
          </w:p>
          <w:p w14:paraId="51DCFAA2" w14:textId="0FC4FFC6" w:rsidR="00E26217" w:rsidRPr="003D1390"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49099E4F" w14:textId="2587EB46" w:rsidR="007D468F" w:rsidRPr="00424839"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0C131B6D" w14:textId="77777777" w:rsidR="00E224FD" w:rsidRDefault="00E224FD" w:rsidP="00E224FD">
            <w:pPr>
              <w:pStyle w:val="ListParagraph"/>
              <w:rPr>
                <w:rFonts w:asciiTheme="minorHAnsi" w:eastAsiaTheme="minorEastAsia" w:hAnsiTheme="minorHAnsi" w:cstheme="minorHAnsi"/>
                <w:sz w:val="20"/>
                <w:szCs w:val="20"/>
              </w:rPr>
            </w:pPr>
          </w:p>
          <w:p w14:paraId="5CDFB68E" w14:textId="5744F90C" w:rsidR="00E26217" w:rsidRDefault="00E26217"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Administrators</w:t>
            </w:r>
          </w:p>
          <w:p w14:paraId="41E8F57E" w14:textId="568CFD13" w:rsidR="007D468F" w:rsidRPr="00E26217" w:rsidRDefault="00E26217" w:rsidP="00C71EF3">
            <w:pPr>
              <w:pStyle w:val="ListParagraph"/>
              <w:numPr>
                <w:ilvl w:val="0"/>
                <w:numId w:val="30"/>
              </w:num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E26217">
              <w:rPr>
                <w:rFonts w:asciiTheme="minorHAnsi" w:eastAsiaTheme="minorEastAsia" w:hAnsiTheme="minorHAnsi" w:cstheme="minorHAnsi"/>
                <w:sz w:val="20"/>
                <w:szCs w:val="20"/>
              </w:rPr>
              <w:t>eview</w:t>
            </w:r>
          </w:p>
          <w:p w14:paraId="34F65EE6" w14:textId="22A298A9" w:rsidR="00E26217" w:rsidRPr="00424839" w:rsidRDefault="00E26217" w:rsidP="00E26217">
            <w:pPr>
              <w:pStyle w:val="ListParagraph"/>
              <w:rPr>
                <w:rFonts w:asciiTheme="minorHAnsi" w:eastAsiaTheme="minorEastAsia" w:hAnsiTheme="minorHAnsi" w:cstheme="minorHAnsi"/>
                <w:sz w:val="20"/>
                <w:szCs w:val="20"/>
              </w:rPr>
            </w:pPr>
          </w:p>
        </w:tc>
      </w:tr>
      <w:tr w:rsidR="007D468F" w:rsidRPr="00AF5C30" w14:paraId="4C67DC38" w14:textId="77777777" w:rsidTr="000854A1">
        <w:trPr>
          <w:trHeight w:val="613"/>
        </w:trPr>
        <w:tc>
          <w:tcPr>
            <w:tcW w:w="3251" w:type="dxa"/>
          </w:tcPr>
          <w:p w14:paraId="07A18E72" w14:textId="77777777" w:rsidR="00E224FD" w:rsidRDefault="00E224FD" w:rsidP="00877CCC">
            <w:pPr>
              <w:rPr>
                <w:rFonts w:asciiTheme="minorHAnsi" w:eastAsiaTheme="minorEastAsia" w:hAnsiTheme="minorHAnsi" w:cstheme="minorHAnsi"/>
                <w:sz w:val="20"/>
                <w:szCs w:val="20"/>
              </w:rPr>
            </w:pPr>
          </w:p>
          <w:p w14:paraId="1A95C179" w14:textId="58BA8C34" w:rsidR="007D468F" w:rsidRPr="000F1701" w:rsidRDefault="00E26217" w:rsidP="00877CCC">
            <w:p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Percentage breakdown of each service’s program budget by staffing, fixed costs and variable costs by location</w:t>
            </w:r>
            <w:r w:rsidR="007D468F">
              <w:rPr>
                <w:rFonts w:asciiTheme="minorHAnsi" w:eastAsiaTheme="minorEastAsia" w:hAnsiTheme="minorHAnsi" w:cstheme="minorHAnsi"/>
                <w:sz w:val="20"/>
                <w:szCs w:val="20"/>
              </w:rPr>
              <w:t>.</w:t>
            </w:r>
          </w:p>
        </w:tc>
        <w:tc>
          <w:tcPr>
            <w:tcW w:w="2845" w:type="dxa"/>
          </w:tcPr>
          <w:p w14:paraId="00C9CC98" w14:textId="77777777" w:rsidR="00E224FD" w:rsidRDefault="00E224FD" w:rsidP="00E224FD">
            <w:pPr>
              <w:pStyle w:val="ListParagraph"/>
              <w:rPr>
                <w:rFonts w:asciiTheme="minorHAnsi" w:eastAsiaTheme="minorEastAsia" w:hAnsiTheme="minorHAnsi" w:cstheme="minorHAnsi"/>
                <w:sz w:val="20"/>
                <w:szCs w:val="20"/>
              </w:rPr>
            </w:pPr>
          </w:p>
          <w:p w14:paraId="223C05CD" w14:textId="540FE4CF" w:rsidR="00E26217" w:rsidRPr="003D1390"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ATC and YTC Managers and Data Administrators</w:t>
            </w:r>
          </w:p>
          <w:p w14:paraId="77289C2F" w14:textId="73B73DFF" w:rsidR="007D468F" w:rsidRPr="00424839" w:rsidRDefault="00E26217"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Performance Reporting</w:t>
            </w:r>
          </w:p>
        </w:tc>
        <w:tc>
          <w:tcPr>
            <w:tcW w:w="3675" w:type="dxa"/>
          </w:tcPr>
          <w:p w14:paraId="183F2CE8" w14:textId="77777777" w:rsidR="00E224FD" w:rsidRDefault="00E224FD" w:rsidP="00E224FD">
            <w:pPr>
              <w:pStyle w:val="ListParagraph"/>
              <w:rPr>
                <w:rFonts w:asciiTheme="minorHAnsi" w:eastAsiaTheme="minorEastAsia" w:hAnsiTheme="minorHAnsi" w:cstheme="minorHAnsi"/>
                <w:sz w:val="20"/>
                <w:szCs w:val="20"/>
              </w:rPr>
            </w:pPr>
          </w:p>
          <w:p w14:paraId="1F2B1573" w14:textId="5BE26B67" w:rsidR="00E26217" w:rsidRDefault="00E26217"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Administrators</w:t>
            </w:r>
          </w:p>
          <w:p w14:paraId="1AEE8B6F" w14:textId="591E6684" w:rsidR="007D468F" w:rsidRPr="00E26217" w:rsidRDefault="00E26217" w:rsidP="00C71EF3">
            <w:pPr>
              <w:pStyle w:val="ListParagraph"/>
              <w:numPr>
                <w:ilvl w:val="0"/>
                <w:numId w:val="30"/>
              </w:numPr>
              <w:rPr>
                <w:rFonts w:asciiTheme="minorHAnsi" w:eastAsiaTheme="minorEastAsia" w:hAnsiTheme="minorHAnsi" w:cstheme="minorHAnsi"/>
                <w:sz w:val="20"/>
                <w:szCs w:val="20"/>
              </w:rPr>
            </w:pPr>
            <w:r w:rsidRPr="00E26217">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E26217">
              <w:rPr>
                <w:rFonts w:asciiTheme="minorHAnsi" w:eastAsiaTheme="minorEastAsia" w:hAnsiTheme="minorHAnsi" w:cstheme="minorHAnsi"/>
                <w:sz w:val="20"/>
                <w:szCs w:val="20"/>
              </w:rPr>
              <w:t>eview</w:t>
            </w:r>
          </w:p>
        </w:tc>
      </w:tr>
    </w:tbl>
    <w:p w14:paraId="0F77E960" w14:textId="77777777" w:rsidR="000F0569" w:rsidRDefault="000F0569" w:rsidP="000F0569">
      <w:pPr>
        <w:rPr>
          <w:lang w:val="en-MY" w:eastAsia="en-AU"/>
        </w:rPr>
      </w:pPr>
    </w:p>
    <w:p w14:paraId="086F87EB" w14:textId="77777777" w:rsidR="00E224FD" w:rsidRDefault="00E224FD" w:rsidP="000F0569">
      <w:pPr>
        <w:rPr>
          <w:lang w:val="en-MY" w:eastAsia="en-AU"/>
        </w:rPr>
      </w:pPr>
    </w:p>
    <w:p w14:paraId="55610249" w14:textId="346F02DF" w:rsidR="00E224FD" w:rsidRPr="00283910" w:rsidRDefault="00283910" w:rsidP="00283910">
      <w:pPr>
        <w:ind w:left="-284"/>
        <w:rPr>
          <w:b/>
          <w:lang w:val="en-MY" w:eastAsia="en-AU"/>
        </w:rPr>
      </w:pPr>
      <w:r w:rsidRPr="00283910">
        <w:rPr>
          <w:b/>
        </w:rPr>
        <w:t>Evaluation Question 5: How could the design and delivery of the ATC and YTC models be improved to better meet the needs of clients and stakeholders?</w:t>
      </w:r>
    </w:p>
    <w:p w14:paraId="32D9E2E4" w14:textId="77777777" w:rsidR="00E224FD" w:rsidRDefault="00E224FD" w:rsidP="000F0569">
      <w:pPr>
        <w:rPr>
          <w:lang w:val="en-MY" w:eastAsia="en-AU"/>
        </w:rPr>
      </w:pPr>
    </w:p>
    <w:tbl>
      <w:tblPr>
        <w:tblStyle w:val="TableSG"/>
        <w:tblW w:w="9771" w:type="dxa"/>
        <w:tblLook w:val="0420" w:firstRow="1" w:lastRow="0" w:firstColumn="0" w:lastColumn="0" w:noHBand="0" w:noVBand="1"/>
        <w:tblCaption w:val="Evaluation question 5 (table)"/>
        <w:tblDescription w:val="This table sets out in 3 columns the data, data sources and collection tools used to answer evaluation question 5. "/>
      </w:tblPr>
      <w:tblGrid>
        <w:gridCol w:w="3251"/>
        <w:gridCol w:w="2845"/>
        <w:gridCol w:w="3675"/>
      </w:tblGrid>
      <w:tr w:rsidR="00283910" w:rsidRPr="00283910" w14:paraId="6441EA6C"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6BD6E4D8" w14:textId="77777777" w:rsidR="00283910" w:rsidRPr="00283910" w:rsidRDefault="00283910" w:rsidP="00283910">
            <w:pPr>
              <w:pStyle w:val="Heading4"/>
              <w:ind w:left="0" w:firstLine="0"/>
              <w:rPr>
                <w:rFonts w:eastAsiaTheme="minorEastAsia"/>
              </w:rPr>
            </w:pPr>
            <w:r w:rsidRPr="00283910">
              <w:rPr>
                <w:lang w:val="en-US"/>
              </w:rPr>
              <w:t>Data</w:t>
            </w:r>
          </w:p>
        </w:tc>
        <w:tc>
          <w:tcPr>
            <w:tcW w:w="2845" w:type="dxa"/>
            <w:hideMark/>
          </w:tcPr>
          <w:p w14:paraId="2E161DC4" w14:textId="77777777" w:rsidR="00283910" w:rsidRPr="00283910" w:rsidRDefault="00283910" w:rsidP="00283910">
            <w:pPr>
              <w:pStyle w:val="Heading4"/>
              <w:ind w:left="0" w:firstLine="0"/>
              <w:rPr>
                <w:rFonts w:eastAsiaTheme="minorEastAsia"/>
              </w:rPr>
            </w:pPr>
            <w:r w:rsidRPr="00283910">
              <w:rPr>
                <w:lang w:val="en-US"/>
              </w:rPr>
              <w:t>Data Sources</w:t>
            </w:r>
          </w:p>
        </w:tc>
        <w:tc>
          <w:tcPr>
            <w:tcW w:w="3675" w:type="dxa"/>
            <w:hideMark/>
          </w:tcPr>
          <w:p w14:paraId="2180C63E" w14:textId="77777777" w:rsidR="00283910" w:rsidRPr="00283910" w:rsidRDefault="00283910" w:rsidP="00283910">
            <w:pPr>
              <w:pStyle w:val="Heading4"/>
              <w:ind w:left="0" w:firstLine="0"/>
              <w:rPr>
                <w:rFonts w:eastAsiaTheme="minorEastAsia"/>
              </w:rPr>
            </w:pPr>
            <w:r w:rsidRPr="00283910">
              <w:rPr>
                <w:lang w:val="en-US"/>
              </w:rPr>
              <w:t>Collection Tool</w:t>
            </w:r>
          </w:p>
        </w:tc>
      </w:tr>
      <w:tr w:rsidR="000F0569" w:rsidRPr="00AF5C30" w14:paraId="4A2CB50E" w14:textId="77777777" w:rsidTr="000854A1">
        <w:trPr>
          <w:trHeight w:val="613"/>
        </w:trPr>
        <w:tc>
          <w:tcPr>
            <w:tcW w:w="3251" w:type="dxa"/>
            <w:hideMark/>
          </w:tcPr>
          <w:p w14:paraId="0E9DB744" w14:textId="36264A3F" w:rsidR="000F0569"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Descriptors in performance reporting which evidences the implementation of variations from model standards (or improved ways of working)</w:t>
            </w:r>
            <w:r w:rsidR="000F0569">
              <w:rPr>
                <w:rFonts w:asciiTheme="minorHAnsi" w:eastAsiaTheme="minorEastAsia" w:hAnsiTheme="minorHAnsi" w:cstheme="minorHAnsi"/>
                <w:sz w:val="20"/>
                <w:szCs w:val="20"/>
              </w:rPr>
              <w:t>.</w:t>
            </w:r>
          </w:p>
        </w:tc>
        <w:tc>
          <w:tcPr>
            <w:tcW w:w="2845" w:type="dxa"/>
            <w:hideMark/>
          </w:tcPr>
          <w:p w14:paraId="538C6B9E" w14:textId="77777777" w:rsidR="000F0569" w:rsidRPr="005F16E3" w:rsidRDefault="000F0569"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Manager and Data Administrator</w:t>
            </w:r>
          </w:p>
          <w:p w14:paraId="4D0963EA" w14:textId="77777777" w:rsidR="000F0569" w:rsidRPr="005F16E3" w:rsidRDefault="000F0569"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7C4AE7D6" w14:textId="77777777" w:rsidR="000F0569" w:rsidRPr="005F16E3" w:rsidRDefault="000F0569"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60AD0928" w14:textId="77777777" w:rsidR="000F0569" w:rsidRPr="000F1701" w:rsidRDefault="000F0569" w:rsidP="00877CCC">
            <w:pPr>
              <w:rPr>
                <w:rFonts w:asciiTheme="minorHAnsi" w:eastAsiaTheme="minorEastAsia" w:hAnsiTheme="minorHAnsi" w:cstheme="minorHAnsi"/>
                <w:sz w:val="20"/>
                <w:szCs w:val="20"/>
              </w:rPr>
            </w:pPr>
          </w:p>
        </w:tc>
        <w:tc>
          <w:tcPr>
            <w:tcW w:w="3675" w:type="dxa"/>
            <w:hideMark/>
          </w:tcPr>
          <w:p w14:paraId="69452C81" w14:textId="77777777" w:rsidR="000F0569" w:rsidRPr="005F16E3" w:rsidRDefault="000F0569"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1DC93D10" w14:textId="77777777" w:rsidR="000F0569" w:rsidRPr="005F16E3" w:rsidRDefault="000F0569"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4C384D61" w14:textId="77777777" w:rsidR="000F0569" w:rsidRPr="005F16E3" w:rsidRDefault="000F0569"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26FD4F6B" w14:textId="77777777" w:rsidR="000F0569" w:rsidRPr="000F1701" w:rsidRDefault="000F0569" w:rsidP="00877CCC">
            <w:pPr>
              <w:rPr>
                <w:rFonts w:asciiTheme="minorHAnsi" w:eastAsiaTheme="minorEastAsia" w:hAnsiTheme="minorHAnsi" w:cstheme="minorHAnsi"/>
                <w:sz w:val="20"/>
                <w:szCs w:val="20"/>
              </w:rPr>
            </w:pPr>
          </w:p>
          <w:p w14:paraId="5EDC72CB" w14:textId="77777777" w:rsidR="000F0569" w:rsidRPr="000F1701" w:rsidRDefault="000F0569" w:rsidP="00877CCC">
            <w:pPr>
              <w:rPr>
                <w:rFonts w:asciiTheme="minorHAnsi" w:eastAsiaTheme="minorEastAsia" w:hAnsiTheme="minorHAnsi" w:cstheme="minorHAnsi"/>
                <w:sz w:val="20"/>
                <w:szCs w:val="20"/>
              </w:rPr>
            </w:pPr>
          </w:p>
        </w:tc>
      </w:tr>
      <w:tr w:rsidR="000F0569" w:rsidRPr="00AF5C30" w14:paraId="5C72CF53" w14:textId="77777777" w:rsidTr="000854A1">
        <w:trPr>
          <w:trHeight w:val="613"/>
        </w:trPr>
        <w:tc>
          <w:tcPr>
            <w:tcW w:w="3251" w:type="dxa"/>
          </w:tcPr>
          <w:p w14:paraId="302AB5B9" w14:textId="4D6032DD" w:rsidR="000F0569"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Feedback from clients, family and service providers regarding ways the ATC and YTC Programs can be improved</w:t>
            </w:r>
            <w:r>
              <w:rPr>
                <w:rFonts w:asciiTheme="minorHAnsi" w:eastAsiaTheme="minorEastAsia" w:hAnsiTheme="minorHAnsi" w:cstheme="minorHAnsi"/>
                <w:sz w:val="20"/>
                <w:szCs w:val="20"/>
              </w:rPr>
              <w:t>.</w:t>
            </w:r>
          </w:p>
        </w:tc>
        <w:tc>
          <w:tcPr>
            <w:tcW w:w="2845" w:type="dxa"/>
          </w:tcPr>
          <w:p w14:paraId="72E7C556" w14:textId="77777777" w:rsidR="00E569B0" w:rsidRDefault="00E569B0"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718A59AA" w14:textId="635FF285" w:rsidR="000F0569" w:rsidRDefault="000F0569"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639EB854" w14:textId="77777777" w:rsidR="000F0569" w:rsidRPr="005F16E3" w:rsidRDefault="000F0569"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ATC and YTC Manager and Data Administrator</w:t>
            </w:r>
          </w:p>
          <w:p w14:paraId="1688DA4B" w14:textId="5CA192DF" w:rsidR="00E569B0" w:rsidRDefault="00E569B0"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5B126C2B" w14:textId="408A5919" w:rsidR="000F0569" w:rsidRDefault="000F0569"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Correctional Services Staff</w:t>
            </w:r>
          </w:p>
          <w:p w14:paraId="6CCC9EE9" w14:textId="77777777" w:rsidR="000F0569" w:rsidRPr="00E25643" w:rsidRDefault="000F0569"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7EB93632" w14:textId="77777777" w:rsidR="00E569B0"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00F94310" w14:textId="46F6A232" w:rsidR="000F0569" w:rsidRDefault="000F0569"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758E7E5F" w14:textId="77777777" w:rsidR="000F0569" w:rsidRDefault="000F0569"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Managers and Data Administrators</w:t>
            </w:r>
          </w:p>
          <w:p w14:paraId="7693003D" w14:textId="77777777" w:rsidR="000F0569" w:rsidRDefault="000F0569"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w:t>
            </w:r>
            <w:r>
              <w:rPr>
                <w:rFonts w:asciiTheme="minorHAnsi" w:eastAsiaTheme="minorEastAsia" w:hAnsiTheme="minorHAnsi" w:cstheme="minorHAnsi"/>
                <w:sz w:val="20"/>
                <w:szCs w:val="20"/>
              </w:rPr>
              <w:t xml:space="preserve"> Corrective Services</w:t>
            </w:r>
          </w:p>
          <w:p w14:paraId="4A769F66" w14:textId="77777777" w:rsidR="00E569B0" w:rsidRDefault="00E569B0"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007D27F7" w14:textId="4FDC1576" w:rsidR="000F0569" w:rsidRPr="00E25643" w:rsidRDefault="000F0569" w:rsidP="00C71EF3">
            <w:pPr>
              <w:pStyle w:val="ListParagraph"/>
              <w:numPr>
                <w:ilvl w:val="0"/>
                <w:numId w:val="28"/>
              </w:numPr>
              <w:rPr>
                <w:rFonts w:asciiTheme="minorHAnsi" w:eastAsiaTheme="minorEastAsia" w:hAnsiTheme="minorHAnsi" w:cstheme="minorHAnsi"/>
                <w:sz w:val="20"/>
                <w:szCs w:val="20"/>
              </w:rPr>
            </w:pPr>
            <w:r w:rsidRPr="00E25643">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E25643">
              <w:rPr>
                <w:rFonts w:asciiTheme="minorHAnsi" w:eastAsiaTheme="minorEastAsia" w:hAnsiTheme="minorHAnsi" w:cstheme="minorHAnsi"/>
                <w:sz w:val="20"/>
                <w:szCs w:val="20"/>
              </w:rPr>
              <w:t xml:space="preserve">eview </w:t>
            </w:r>
          </w:p>
        </w:tc>
      </w:tr>
      <w:tr w:rsidR="000F0569" w:rsidRPr="00AF5C30" w14:paraId="7B00DB3F" w14:textId="77777777" w:rsidTr="000854A1">
        <w:trPr>
          <w:trHeight w:val="613"/>
        </w:trPr>
        <w:tc>
          <w:tcPr>
            <w:tcW w:w="3251" w:type="dxa"/>
          </w:tcPr>
          <w:p w14:paraId="3B887D85" w14:textId="77777777" w:rsidR="000F0569" w:rsidRDefault="000F0569" w:rsidP="00877CCC">
            <w:pPr>
              <w:rPr>
                <w:rFonts w:asciiTheme="minorHAnsi" w:eastAsiaTheme="minorEastAsia" w:hAnsiTheme="minorHAnsi" w:cstheme="minorHAnsi"/>
                <w:sz w:val="20"/>
                <w:szCs w:val="20"/>
              </w:rPr>
            </w:pPr>
          </w:p>
          <w:p w14:paraId="7E441880" w14:textId="453FBE77" w:rsidR="000F0569"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Evidence in the research of what works in through care program models that can be applied in Indigenous Australian contexts</w:t>
            </w:r>
            <w:r>
              <w:rPr>
                <w:rFonts w:asciiTheme="minorHAnsi" w:eastAsiaTheme="minorEastAsia" w:hAnsiTheme="minorHAnsi" w:cstheme="minorHAnsi"/>
                <w:sz w:val="20"/>
                <w:szCs w:val="20"/>
              </w:rPr>
              <w:t>.</w:t>
            </w:r>
          </w:p>
        </w:tc>
        <w:tc>
          <w:tcPr>
            <w:tcW w:w="2845" w:type="dxa"/>
          </w:tcPr>
          <w:p w14:paraId="156CE7C1" w14:textId="77777777" w:rsidR="000F0569" w:rsidRDefault="000F0569" w:rsidP="00877CCC">
            <w:pPr>
              <w:pStyle w:val="ListParagraph"/>
              <w:rPr>
                <w:rFonts w:asciiTheme="minorHAnsi" w:eastAsiaTheme="minorEastAsia" w:hAnsiTheme="minorHAnsi" w:cstheme="minorHAnsi"/>
                <w:sz w:val="20"/>
                <w:szCs w:val="20"/>
              </w:rPr>
            </w:pPr>
          </w:p>
          <w:p w14:paraId="085929D9" w14:textId="774A1DE2" w:rsidR="000F0569" w:rsidRPr="00E569B0" w:rsidRDefault="00E569B0" w:rsidP="00C71EF3">
            <w:pPr>
              <w:pStyle w:val="ListParagraph"/>
              <w:numPr>
                <w:ilvl w:val="0"/>
                <w:numId w:val="28"/>
              </w:num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Australian and international literature</w:t>
            </w:r>
          </w:p>
        </w:tc>
        <w:tc>
          <w:tcPr>
            <w:tcW w:w="3675" w:type="dxa"/>
          </w:tcPr>
          <w:p w14:paraId="5FA72B05" w14:textId="77777777" w:rsidR="000F0569" w:rsidRDefault="000F0569" w:rsidP="00877CCC">
            <w:pPr>
              <w:pStyle w:val="ListParagraph"/>
              <w:rPr>
                <w:rFonts w:asciiTheme="minorHAnsi" w:eastAsiaTheme="minorEastAsia" w:hAnsiTheme="minorHAnsi" w:cstheme="minorHAnsi"/>
                <w:sz w:val="20"/>
                <w:szCs w:val="20"/>
              </w:rPr>
            </w:pPr>
          </w:p>
          <w:p w14:paraId="0DF494E5" w14:textId="71A7845C" w:rsidR="000F0569" w:rsidRPr="005F16E3" w:rsidRDefault="000F0569"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Desk-top </w:t>
            </w:r>
            <w:r w:rsidR="00E569B0">
              <w:rPr>
                <w:rFonts w:asciiTheme="minorHAnsi" w:eastAsiaTheme="minorEastAsia" w:hAnsiTheme="minorHAnsi" w:cstheme="minorHAnsi"/>
                <w:sz w:val="20"/>
                <w:szCs w:val="20"/>
              </w:rPr>
              <w:t>R</w:t>
            </w:r>
            <w:r w:rsidRPr="005F16E3">
              <w:rPr>
                <w:rFonts w:asciiTheme="minorHAnsi" w:eastAsiaTheme="minorEastAsia" w:hAnsiTheme="minorHAnsi" w:cstheme="minorHAnsi"/>
                <w:sz w:val="20"/>
                <w:szCs w:val="20"/>
              </w:rPr>
              <w:t>eview</w:t>
            </w:r>
          </w:p>
        </w:tc>
      </w:tr>
    </w:tbl>
    <w:p w14:paraId="501C12A5" w14:textId="6C5D0F53" w:rsidR="00E569B0" w:rsidRDefault="00E569B0" w:rsidP="00E569B0">
      <w:pPr>
        <w:rPr>
          <w:lang w:val="en-MY" w:eastAsia="en-AU"/>
        </w:rPr>
      </w:pPr>
    </w:p>
    <w:p w14:paraId="4921CE99" w14:textId="56B6E238" w:rsidR="00283910" w:rsidRPr="00283910" w:rsidRDefault="00283910" w:rsidP="00283910">
      <w:pPr>
        <w:ind w:left="-284"/>
        <w:rPr>
          <w:b/>
          <w:lang w:val="en-MY" w:eastAsia="en-AU"/>
        </w:rPr>
      </w:pPr>
      <w:r w:rsidRPr="00283910">
        <w:rPr>
          <w:rFonts w:cstheme="minorHAnsi"/>
          <w:b/>
          <w:bCs/>
          <w:sz w:val="20"/>
          <w:szCs w:val="20"/>
        </w:rPr>
        <w:t>Evaluation Question 6: Are there any early indications of ATC and YTC models achieving medium and longer-term outcomes i.e., reduced recidivism, reduced severity of offending, or improved outcomes in protective factors (such as secure housing, engagement in education or employment, reduced substance abuse, engagement in meaningful activities, strengthening cultural and family connections, etc.)?</w:t>
      </w:r>
    </w:p>
    <w:p w14:paraId="727E5692" w14:textId="77777777" w:rsidR="00283910" w:rsidRDefault="00283910" w:rsidP="00E569B0">
      <w:pPr>
        <w:rPr>
          <w:lang w:val="en-MY" w:eastAsia="en-AU"/>
        </w:rPr>
      </w:pPr>
    </w:p>
    <w:tbl>
      <w:tblPr>
        <w:tblStyle w:val="TableSG"/>
        <w:tblW w:w="9771" w:type="dxa"/>
        <w:tblLook w:val="0420" w:firstRow="1" w:lastRow="0" w:firstColumn="0" w:lastColumn="0" w:noHBand="0" w:noVBand="1"/>
        <w:tblCaption w:val="Evaluation question 6"/>
        <w:tblDescription w:val="This table sets out in 3 columns the data, data sources and collection tools used to answer evaluation question 6."/>
      </w:tblPr>
      <w:tblGrid>
        <w:gridCol w:w="3251"/>
        <w:gridCol w:w="2845"/>
        <w:gridCol w:w="3675"/>
      </w:tblGrid>
      <w:tr w:rsidR="00283910" w:rsidRPr="00283910" w14:paraId="7E5B2DF0"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0A883BA9" w14:textId="77777777" w:rsidR="00283910" w:rsidRPr="00283910" w:rsidRDefault="00283910" w:rsidP="00283910">
            <w:pPr>
              <w:pStyle w:val="Heading4"/>
              <w:ind w:left="0" w:firstLine="0"/>
              <w:rPr>
                <w:rFonts w:eastAsiaTheme="minorEastAsia"/>
              </w:rPr>
            </w:pPr>
            <w:r w:rsidRPr="00283910">
              <w:rPr>
                <w:lang w:val="en-US"/>
              </w:rPr>
              <w:t>Data</w:t>
            </w:r>
          </w:p>
        </w:tc>
        <w:tc>
          <w:tcPr>
            <w:tcW w:w="2845" w:type="dxa"/>
            <w:hideMark/>
          </w:tcPr>
          <w:p w14:paraId="276587B4" w14:textId="77777777" w:rsidR="00283910" w:rsidRPr="00283910" w:rsidRDefault="00283910" w:rsidP="00283910">
            <w:pPr>
              <w:pStyle w:val="Heading4"/>
              <w:ind w:left="0" w:firstLine="0"/>
              <w:rPr>
                <w:rFonts w:eastAsiaTheme="minorEastAsia"/>
              </w:rPr>
            </w:pPr>
            <w:r w:rsidRPr="00283910">
              <w:rPr>
                <w:lang w:val="en-US"/>
              </w:rPr>
              <w:t>Data Sources</w:t>
            </w:r>
          </w:p>
        </w:tc>
        <w:tc>
          <w:tcPr>
            <w:tcW w:w="3675" w:type="dxa"/>
            <w:hideMark/>
          </w:tcPr>
          <w:p w14:paraId="7D13DEE7" w14:textId="77777777" w:rsidR="00283910" w:rsidRPr="00283910" w:rsidRDefault="00283910" w:rsidP="00283910">
            <w:pPr>
              <w:pStyle w:val="Heading4"/>
              <w:ind w:left="0" w:firstLine="0"/>
              <w:rPr>
                <w:rFonts w:eastAsiaTheme="minorEastAsia"/>
              </w:rPr>
            </w:pPr>
            <w:r w:rsidRPr="00283910">
              <w:rPr>
                <w:lang w:val="en-US"/>
              </w:rPr>
              <w:t>Collection Tool</w:t>
            </w:r>
          </w:p>
        </w:tc>
      </w:tr>
      <w:tr w:rsidR="00E569B0" w:rsidRPr="00AF5C30" w14:paraId="5FACB389" w14:textId="77777777" w:rsidTr="000854A1">
        <w:trPr>
          <w:trHeight w:val="613"/>
        </w:trPr>
        <w:tc>
          <w:tcPr>
            <w:tcW w:w="3251" w:type="dxa"/>
            <w:hideMark/>
          </w:tcPr>
          <w:p w14:paraId="02D706B7" w14:textId="5E46985A" w:rsidR="00E569B0"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Proportion of clients who exit the program because their goals have been met</w:t>
            </w:r>
            <w:r>
              <w:rPr>
                <w:rFonts w:asciiTheme="minorHAnsi" w:eastAsiaTheme="minorEastAsia" w:hAnsiTheme="minorHAnsi" w:cstheme="minorHAnsi"/>
                <w:sz w:val="20"/>
                <w:szCs w:val="20"/>
              </w:rPr>
              <w:t>.</w:t>
            </w:r>
          </w:p>
        </w:tc>
        <w:tc>
          <w:tcPr>
            <w:tcW w:w="2845" w:type="dxa"/>
            <w:hideMark/>
          </w:tcPr>
          <w:p w14:paraId="0E2941F9" w14:textId="668AE5EE" w:rsidR="00E569B0" w:rsidRPr="005F16E3" w:rsidRDefault="00E569B0" w:rsidP="00C71EF3">
            <w:pPr>
              <w:pStyle w:val="ListParagraph"/>
              <w:numPr>
                <w:ilvl w:val="0"/>
                <w:numId w:val="27"/>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5FD4965E" w14:textId="77777777" w:rsidR="00E569B0" w:rsidRPr="005F16E3" w:rsidRDefault="00E569B0"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79998BBB" w14:textId="77777777" w:rsidR="00E569B0" w:rsidRPr="005F16E3" w:rsidRDefault="00E569B0"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1292813E" w14:textId="77777777" w:rsidR="00E569B0" w:rsidRPr="000F1701" w:rsidRDefault="00E569B0" w:rsidP="00877CCC">
            <w:pPr>
              <w:rPr>
                <w:rFonts w:asciiTheme="minorHAnsi" w:eastAsiaTheme="minorEastAsia" w:hAnsiTheme="minorHAnsi" w:cstheme="minorHAnsi"/>
                <w:sz w:val="20"/>
                <w:szCs w:val="20"/>
              </w:rPr>
            </w:pPr>
          </w:p>
        </w:tc>
        <w:tc>
          <w:tcPr>
            <w:tcW w:w="3675" w:type="dxa"/>
            <w:hideMark/>
          </w:tcPr>
          <w:p w14:paraId="34FC49E9" w14:textId="696CEFFA" w:rsidR="00E569B0" w:rsidRDefault="00E569B0"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1A8ACF25" w14:textId="305ACED9" w:rsidR="00E569B0" w:rsidRPr="00E569B0" w:rsidRDefault="00E569B0"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4DAC4CA1" w14:textId="77777777" w:rsidR="00E569B0" w:rsidRPr="005F16E3" w:rsidRDefault="00E569B0"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6604A649" w14:textId="77777777" w:rsidR="00E569B0" w:rsidRPr="000F1701" w:rsidRDefault="00E569B0" w:rsidP="00877CCC">
            <w:pPr>
              <w:rPr>
                <w:rFonts w:asciiTheme="minorHAnsi" w:eastAsiaTheme="minorEastAsia" w:hAnsiTheme="minorHAnsi" w:cstheme="minorHAnsi"/>
                <w:sz w:val="20"/>
                <w:szCs w:val="20"/>
              </w:rPr>
            </w:pPr>
          </w:p>
          <w:p w14:paraId="5B6C2AA4" w14:textId="77777777" w:rsidR="00E569B0" w:rsidRPr="000F1701" w:rsidRDefault="00E569B0" w:rsidP="00877CCC">
            <w:pPr>
              <w:rPr>
                <w:rFonts w:asciiTheme="minorHAnsi" w:eastAsiaTheme="minorEastAsia" w:hAnsiTheme="minorHAnsi" w:cstheme="minorHAnsi"/>
                <w:sz w:val="20"/>
                <w:szCs w:val="20"/>
              </w:rPr>
            </w:pPr>
          </w:p>
        </w:tc>
      </w:tr>
      <w:tr w:rsidR="00E569B0" w:rsidRPr="00AF5C30" w14:paraId="1589EE24" w14:textId="77777777" w:rsidTr="000854A1">
        <w:trPr>
          <w:trHeight w:val="613"/>
        </w:trPr>
        <w:tc>
          <w:tcPr>
            <w:tcW w:w="3251" w:type="dxa"/>
          </w:tcPr>
          <w:p w14:paraId="7F70866D" w14:textId="48D84169" w:rsidR="00E569B0"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Feedback that clients feel empowered and supported to achieve their goals and engage more confidently in the community</w:t>
            </w:r>
            <w:r w:rsidRPr="000F1701">
              <w:rPr>
                <w:rFonts w:asciiTheme="minorHAnsi" w:eastAsiaTheme="minorEastAsia" w:hAnsiTheme="minorHAnsi" w:cstheme="minorHAnsi"/>
                <w:sz w:val="20"/>
                <w:szCs w:val="20"/>
              </w:rPr>
              <w:t>.</w:t>
            </w:r>
          </w:p>
        </w:tc>
        <w:tc>
          <w:tcPr>
            <w:tcW w:w="2845" w:type="dxa"/>
          </w:tcPr>
          <w:p w14:paraId="02133A80" w14:textId="77777777" w:rsidR="00E569B0" w:rsidRPr="005F16E3" w:rsidRDefault="00E569B0"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36B803A3" w14:textId="77777777" w:rsidR="00E569B0" w:rsidRPr="005F16E3"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34BF4EEB" w14:textId="20F9D6B2" w:rsidR="00E569B0" w:rsidRPr="00E569B0"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5F8F5086" w14:textId="77777777" w:rsidR="00E569B0"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1810FD66" w14:textId="77777777" w:rsidR="00E569B0" w:rsidRPr="00E569B0"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0EA97213" w14:textId="5ECBF5E9" w:rsidR="00E569B0" w:rsidRPr="00E569B0" w:rsidRDefault="00E569B0"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tc>
      </w:tr>
      <w:tr w:rsidR="00E569B0" w:rsidRPr="00AF5C30" w14:paraId="6F9F2CF2" w14:textId="77777777" w:rsidTr="000854A1">
        <w:trPr>
          <w:trHeight w:val="613"/>
        </w:trPr>
        <w:tc>
          <w:tcPr>
            <w:tcW w:w="3251" w:type="dxa"/>
          </w:tcPr>
          <w:p w14:paraId="67818722" w14:textId="77777777" w:rsidR="00E569B0" w:rsidRDefault="00E569B0" w:rsidP="00877CCC">
            <w:pPr>
              <w:rPr>
                <w:rFonts w:asciiTheme="minorHAnsi" w:eastAsiaTheme="minorEastAsia" w:hAnsiTheme="minorHAnsi" w:cstheme="minorHAnsi"/>
                <w:sz w:val="20"/>
                <w:szCs w:val="20"/>
              </w:rPr>
            </w:pPr>
          </w:p>
          <w:p w14:paraId="6F2A1C0F" w14:textId="6B972A17" w:rsidR="00E569B0" w:rsidRPr="000F1701" w:rsidRDefault="00E569B0" w:rsidP="00877CCC">
            <w:pPr>
              <w:rPr>
                <w:rFonts w:asciiTheme="minorHAnsi" w:eastAsiaTheme="minorEastAsia" w:hAnsiTheme="minorHAnsi" w:cstheme="minorHAnsi"/>
                <w:sz w:val="20"/>
                <w:szCs w:val="20"/>
              </w:rPr>
            </w:pPr>
            <w:r w:rsidRPr="00E569B0">
              <w:rPr>
                <w:rFonts w:asciiTheme="minorHAnsi" w:eastAsiaTheme="minorEastAsia" w:hAnsiTheme="minorHAnsi" w:cstheme="minorHAnsi"/>
                <w:sz w:val="20"/>
                <w:szCs w:val="20"/>
              </w:rPr>
              <w:t>Percentage of clients that report increased participation in education, training or employment</w:t>
            </w:r>
            <w:r>
              <w:rPr>
                <w:rFonts w:asciiTheme="minorHAnsi" w:eastAsiaTheme="minorEastAsia" w:hAnsiTheme="minorHAnsi" w:cstheme="minorHAnsi"/>
                <w:sz w:val="20"/>
                <w:szCs w:val="20"/>
              </w:rPr>
              <w:t>.</w:t>
            </w:r>
          </w:p>
        </w:tc>
        <w:tc>
          <w:tcPr>
            <w:tcW w:w="2845" w:type="dxa"/>
          </w:tcPr>
          <w:p w14:paraId="3D835D31" w14:textId="77777777" w:rsidR="00E569B0" w:rsidRDefault="00E569B0" w:rsidP="00877CCC">
            <w:pPr>
              <w:pStyle w:val="ListParagraph"/>
              <w:rPr>
                <w:rFonts w:asciiTheme="minorHAnsi" w:eastAsiaTheme="minorEastAsia" w:hAnsiTheme="minorHAnsi" w:cstheme="minorHAnsi"/>
                <w:sz w:val="20"/>
                <w:szCs w:val="20"/>
              </w:rPr>
            </w:pPr>
          </w:p>
          <w:p w14:paraId="2A622F05" w14:textId="77777777" w:rsidR="00B36555" w:rsidRPr="005F16E3"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6F7A8DF5" w14:textId="77777777" w:rsidR="00B36555" w:rsidRDefault="00B3655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10E12E55" w14:textId="67CF90AC" w:rsidR="00B36555"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47F556BA" w14:textId="4BA4F3A7" w:rsidR="00E569B0" w:rsidRPr="00B36555"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 xml:space="preserve">erformance Reporting </w:t>
            </w:r>
          </w:p>
        </w:tc>
        <w:tc>
          <w:tcPr>
            <w:tcW w:w="3675" w:type="dxa"/>
          </w:tcPr>
          <w:p w14:paraId="2A0D04D3" w14:textId="77777777" w:rsidR="00E569B0" w:rsidRDefault="00E569B0" w:rsidP="00877CCC">
            <w:pPr>
              <w:pStyle w:val="ListParagraph"/>
              <w:rPr>
                <w:rFonts w:asciiTheme="minorHAnsi" w:eastAsiaTheme="minorEastAsia" w:hAnsiTheme="minorHAnsi" w:cstheme="minorHAnsi"/>
                <w:sz w:val="20"/>
                <w:szCs w:val="20"/>
              </w:rPr>
            </w:pPr>
          </w:p>
          <w:p w14:paraId="5514E2A5" w14:textId="77777777" w:rsidR="00B36555"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1D47C130" w14:textId="77777777" w:rsidR="00B36555"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5A650506" w14:textId="15BF3DD6" w:rsidR="00B36555" w:rsidRPr="00E569B0" w:rsidRDefault="00B36555" w:rsidP="00C71EF3">
            <w:pPr>
              <w:pStyle w:val="ListParagraph"/>
              <w:numPr>
                <w:ilvl w:val="0"/>
                <w:numId w:val="29"/>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2C3E5DBF" w14:textId="64CB21D5" w:rsidR="00E569B0" w:rsidRPr="005F16E3"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tc>
      </w:tr>
      <w:tr w:rsidR="00E569B0" w:rsidRPr="00AF5C30" w14:paraId="645B43FA" w14:textId="77777777" w:rsidTr="000854A1">
        <w:trPr>
          <w:trHeight w:val="613"/>
        </w:trPr>
        <w:tc>
          <w:tcPr>
            <w:tcW w:w="3251" w:type="dxa"/>
          </w:tcPr>
          <w:p w14:paraId="488C2178" w14:textId="77777777" w:rsidR="00E569B0" w:rsidRPr="000F1701" w:rsidRDefault="00E569B0" w:rsidP="00877CCC">
            <w:pPr>
              <w:rPr>
                <w:rFonts w:asciiTheme="minorHAnsi" w:eastAsiaTheme="minorEastAsia" w:hAnsiTheme="minorHAnsi" w:cstheme="minorHAnsi"/>
                <w:sz w:val="20"/>
                <w:szCs w:val="20"/>
              </w:rPr>
            </w:pPr>
          </w:p>
          <w:p w14:paraId="42ECE577" w14:textId="6B6A19BF" w:rsidR="00E569B0" w:rsidRPr="000F1701" w:rsidRDefault="00B36555" w:rsidP="00877CCC">
            <w:pPr>
              <w:rPr>
                <w:rFonts w:asciiTheme="minorHAnsi" w:eastAsiaTheme="minorEastAsia" w:hAnsiTheme="minorHAnsi" w:cstheme="minorHAnsi"/>
                <w:sz w:val="20"/>
                <w:szCs w:val="20"/>
              </w:rPr>
            </w:pPr>
            <w:r w:rsidRPr="00B36555">
              <w:rPr>
                <w:rFonts w:asciiTheme="minorHAnsi" w:eastAsiaTheme="minorEastAsia" w:hAnsiTheme="minorHAnsi" w:cstheme="minorHAnsi"/>
                <w:sz w:val="20"/>
                <w:szCs w:val="20"/>
              </w:rPr>
              <w:t>Feedback from clients and family that reports improved connection to family, kin and community support networks</w:t>
            </w:r>
            <w:r w:rsidR="00E569B0">
              <w:rPr>
                <w:rFonts w:asciiTheme="minorHAnsi" w:eastAsiaTheme="minorEastAsia" w:hAnsiTheme="minorHAnsi" w:cstheme="minorHAnsi"/>
                <w:sz w:val="20"/>
                <w:szCs w:val="20"/>
              </w:rPr>
              <w:t>.</w:t>
            </w:r>
          </w:p>
        </w:tc>
        <w:tc>
          <w:tcPr>
            <w:tcW w:w="2845" w:type="dxa"/>
          </w:tcPr>
          <w:p w14:paraId="152BDD26" w14:textId="77777777" w:rsidR="00E569B0" w:rsidRPr="003D1390" w:rsidRDefault="00E569B0" w:rsidP="00877CCC">
            <w:pPr>
              <w:rPr>
                <w:rFonts w:asciiTheme="minorHAnsi" w:eastAsiaTheme="minorEastAsia" w:hAnsiTheme="minorHAnsi" w:cstheme="minorHAnsi"/>
                <w:sz w:val="20"/>
                <w:szCs w:val="20"/>
              </w:rPr>
            </w:pPr>
          </w:p>
          <w:p w14:paraId="7283D690" w14:textId="77777777" w:rsidR="00B36555" w:rsidRPr="005F16E3"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46CB59DC" w14:textId="77777777" w:rsidR="00B36555" w:rsidRDefault="00B3655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1468A346" w14:textId="62D733AB" w:rsidR="00E569B0" w:rsidRPr="00E25643"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0D4C740C" w14:textId="77777777" w:rsidR="00E569B0" w:rsidRPr="005F16E3" w:rsidRDefault="00E569B0" w:rsidP="00877CCC">
            <w:pPr>
              <w:pStyle w:val="ListParagraph"/>
              <w:rPr>
                <w:rFonts w:asciiTheme="minorHAnsi" w:eastAsiaTheme="minorEastAsia" w:hAnsiTheme="minorHAnsi" w:cstheme="minorHAnsi"/>
                <w:sz w:val="20"/>
                <w:szCs w:val="20"/>
              </w:rPr>
            </w:pPr>
          </w:p>
          <w:p w14:paraId="76D71F08" w14:textId="77777777" w:rsidR="00B36555"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35CE6A45" w14:textId="77777777" w:rsidR="00B36555"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062F6C52" w14:textId="1D937A02" w:rsidR="00E569B0" w:rsidRPr="005F16E3" w:rsidRDefault="00B36555"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tc>
      </w:tr>
      <w:tr w:rsidR="00E569B0" w:rsidRPr="00AF5C30" w14:paraId="131F5496" w14:textId="77777777" w:rsidTr="000854A1">
        <w:trPr>
          <w:trHeight w:val="613"/>
        </w:trPr>
        <w:tc>
          <w:tcPr>
            <w:tcW w:w="3251" w:type="dxa"/>
          </w:tcPr>
          <w:p w14:paraId="1C4BC4E2" w14:textId="77777777" w:rsidR="00E569B0" w:rsidRPr="000F1701" w:rsidRDefault="00E569B0" w:rsidP="00877CCC">
            <w:pPr>
              <w:rPr>
                <w:rFonts w:asciiTheme="minorHAnsi" w:eastAsiaTheme="minorEastAsia" w:hAnsiTheme="minorHAnsi" w:cstheme="minorHAnsi"/>
                <w:sz w:val="20"/>
                <w:szCs w:val="20"/>
              </w:rPr>
            </w:pPr>
          </w:p>
          <w:p w14:paraId="21CCDDA2" w14:textId="263037DE" w:rsidR="00E569B0" w:rsidRPr="000F1701" w:rsidRDefault="00B36555" w:rsidP="00877CCC">
            <w:pPr>
              <w:rPr>
                <w:rFonts w:asciiTheme="minorHAnsi" w:eastAsiaTheme="minorEastAsia" w:hAnsiTheme="minorHAnsi" w:cstheme="minorHAnsi"/>
                <w:sz w:val="20"/>
                <w:szCs w:val="20"/>
              </w:rPr>
            </w:pPr>
            <w:r w:rsidRPr="00B36555">
              <w:rPr>
                <w:rFonts w:asciiTheme="minorHAnsi" w:eastAsiaTheme="minorEastAsia" w:hAnsiTheme="minorHAnsi" w:cstheme="minorHAnsi"/>
                <w:sz w:val="20"/>
                <w:szCs w:val="20"/>
              </w:rPr>
              <w:t xml:space="preserve">Percentage of clients that report access to safe, </w:t>
            </w:r>
            <w:r w:rsidR="00551C11" w:rsidRPr="00B36555">
              <w:rPr>
                <w:rFonts w:asciiTheme="minorHAnsi" w:eastAsiaTheme="minorEastAsia" w:hAnsiTheme="minorHAnsi" w:cstheme="minorHAnsi"/>
                <w:sz w:val="20"/>
                <w:szCs w:val="20"/>
              </w:rPr>
              <w:t>secure,</w:t>
            </w:r>
            <w:r w:rsidRPr="00B36555">
              <w:rPr>
                <w:rFonts w:asciiTheme="minorHAnsi" w:eastAsiaTheme="minorEastAsia" w:hAnsiTheme="minorHAnsi" w:cstheme="minorHAnsi"/>
                <w:sz w:val="20"/>
                <w:szCs w:val="20"/>
              </w:rPr>
              <w:t xml:space="preserve"> and suitable housing</w:t>
            </w:r>
            <w:r w:rsidR="00E569B0">
              <w:rPr>
                <w:rFonts w:asciiTheme="minorHAnsi" w:eastAsiaTheme="minorEastAsia" w:hAnsiTheme="minorHAnsi" w:cstheme="minorHAnsi"/>
                <w:sz w:val="20"/>
                <w:szCs w:val="20"/>
              </w:rPr>
              <w:t>.</w:t>
            </w:r>
          </w:p>
        </w:tc>
        <w:tc>
          <w:tcPr>
            <w:tcW w:w="2845" w:type="dxa"/>
          </w:tcPr>
          <w:p w14:paraId="4B5F46EC" w14:textId="77777777" w:rsidR="00E569B0" w:rsidRPr="005F16E3" w:rsidRDefault="00E569B0" w:rsidP="00877CCC">
            <w:pPr>
              <w:pStyle w:val="ListParagraph"/>
              <w:rPr>
                <w:rFonts w:asciiTheme="minorHAnsi" w:eastAsiaTheme="minorEastAsia" w:hAnsiTheme="minorHAnsi" w:cstheme="minorHAnsi"/>
                <w:sz w:val="20"/>
                <w:szCs w:val="20"/>
              </w:rPr>
            </w:pPr>
          </w:p>
          <w:p w14:paraId="27D98BE6" w14:textId="77777777" w:rsidR="00B36555" w:rsidRPr="005F16E3"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5FD8B891" w14:textId="77777777" w:rsidR="00B36555" w:rsidRDefault="00B36555" w:rsidP="00C71EF3">
            <w:pPr>
              <w:pStyle w:val="ListParagraph"/>
              <w:numPr>
                <w:ilvl w:val="0"/>
                <w:numId w:val="28"/>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182D6D7E" w14:textId="77777777" w:rsidR="00B36555"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2FD973FD" w14:textId="21CE33F2" w:rsidR="00E569B0" w:rsidRPr="003D1390" w:rsidRDefault="00B36555" w:rsidP="00C71EF3">
            <w:pPr>
              <w:pStyle w:val="ListParagraph"/>
              <w:numPr>
                <w:ilvl w:val="0"/>
                <w:numId w:val="28"/>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44438548" w14:textId="77777777" w:rsidR="00E569B0" w:rsidRDefault="00E569B0" w:rsidP="00877CCC">
            <w:pPr>
              <w:rPr>
                <w:rFonts w:asciiTheme="minorHAnsi" w:eastAsiaTheme="minorEastAsia" w:hAnsiTheme="minorHAnsi" w:cstheme="minorHAnsi"/>
                <w:sz w:val="20"/>
                <w:szCs w:val="20"/>
              </w:rPr>
            </w:pPr>
          </w:p>
          <w:p w14:paraId="6D5CE2DC"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1F780B9C" w14:textId="77777777" w:rsidR="00E569B0" w:rsidRDefault="00E569B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0E06A0DE" w14:textId="281CC112" w:rsidR="00B36555" w:rsidRPr="00B36555" w:rsidRDefault="00B36555" w:rsidP="00C71EF3">
            <w:pPr>
              <w:pStyle w:val="ListParagraph"/>
              <w:numPr>
                <w:ilvl w:val="0"/>
                <w:numId w:val="29"/>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5C6E6B82" w14:textId="77777777" w:rsidR="00E569B0" w:rsidRPr="003D1390" w:rsidRDefault="00E569B0"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tc>
      </w:tr>
      <w:tr w:rsidR="00E569B0" w:rsidRPr="00AF5C30" w14:paraId="10ACBFE0" w14:textId="77777777" w:rsidTr="000854A1">
        <w:trPr>
          <w:trHeight w:val="613"/>
        </w:trPr>
        <w:tc>
          <w:tcPr>
            <w:tcW w:w="3251" w:type="dxa"/>
          </w:tcPr>
          <w:p w14:paraId="33FCC9B9" w14:textId="77777777" w:rsidR="00E569B0" w:rsidRPr="000F1701" w:rsidRDefault="00E569B0" w:rsidP="00877CCC">
            <w:pPr>
              <w:rPr>
                <w:rFonts w:asciiTheme="minorHAnsi" w:eastAsiaTheme="minorEastAsia" w:hAnsiTheme="minorHAnsi" w:cstheme="minorHAnsi"/>
                <w:sz w:val="20"/>
                <w:szCs w:val="20"/>
              </w:rPr>
            </w:pPr>
          </w:p>
          <w:p w14:paraId="03D37FC6" w14:textId="483CC57A" w:rsidR="00E569B0" w:rsidRPr="000F1701" w:rsidRDefault="00B36555" w:rsidP="00877CCC">
            <w:pPr>
              <w:rPr>
                <w:rFonts w:asciiTheme="minorHAnsi" w:eastAsiaTheme="minorEastAsia" w:hAnsiTheme="minorHAnsi" w:cstheme="minorHAnsi"/>
                <w:sz w:val="20"/>
                <w:szCs w:val="20"/>
              </w:rPr>
            </w:pPr>
            <w:r w:rsidRPr="00B36555">
              <w:rPr>
                <w:rFonts w:asciiTheme="minorHAnsi" w:eastAsiaTheme="minorEastAsia" w:hAnsiTheme="minorHAnsi" w:cstheme="minorHAnsi"/>
                <w:sz w:val="20"/>
                <w:szCs w:val="20"/>
              </w:rPr>
              <w:t>Percentage of clients that report strengthened cultural identity and connection to culture and engagement with cultural strengthening services</w:t>
            </w:r>
            <w:r>
              <w:rPr>
                <w:rFonts w:asciiTheme="minorHAnsi" w:eastAsiaTheme="minorEastAsia" w:hAnsiTheme="minorHAnsi" w:cstheme="minorHAnsi"/>
                <w:sz w:val="20"/>
                <w:szCs w:val="20"/>
              </w:rPr>
              <w:t>.</w:t>
            </w:r>
          </w:p>
        </w:tc>
        <w:tc>
          <w:tcPr>
            <w:tcW w:w="2845" w:type="dxa"/>
          </w:tcPr>
          <w:p w14:paraId="63D97FEE" w14:textId="77777777" w:rsidR="00E569B0" w:rsidRPr="005F16E3" w:rsidRDefault="00E569B0" w:rsidP="00877CCC">
            <w:pPr>
              <w:rPr>
                <w:rFonts w:asciiTheme="minorHAnsi" w:eastAsiaTheme="minorEastAsia" w:hAnsiTheme="minorHAnsi" w:cstheme="minorHAnsi"/>
                <w:sz w:val="20"/>
                <w:szCs w:val="20"/>
              </w:rPr>
            </w:pPr>
          </w:p>
          <w:p w14:paraId="7143620F" w14:textId="77777777" w:rsidR="00B36555" w:rsidRPr="005F16E3" w:rsidRDefault="00B36555"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4115CAE4" w14:textId="77777777" w:rsidR="00B36555" w:rsidRDefault="00B36555"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7C1566D0" w14:textId="77777777" w:rsidR="00B36555" w:rsidRDefault="00B36555"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262FB0F1" w14:textId="5C163F88" w:rsidR="00E569B0" w:rsidRPr="003D1390" w:rsidRDefault="00B36555"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0EA3DA81" w14:textId="77777777" w:rsidR="00E569B0" w:rsidRPr="005F16E3" w:rsidRDefault="00E569B0" w:rsidP="00877CCC">
            <w:pPr>
              <w:pStyle w:val="ListParagraph"/>
              <w:rPr>
                <w:rFonts w:asciiTheme="minorHAnsi" w:eastAsiaTheme="minorEastAsia" w:hAnsiTheme="minorHAnsi" w:cstheme="minorHAnsi"/>
                <w:sz w:val="20"/>
                <w:szCs w:val="20"/>
              </w:rPr>
            </w:pPr>
          </w:p>
          <w:p w14:paraId="1D4D6991"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3DD79733" w14:textId="77777777" w:rsidR="00B36555" w:rsidRDefault="00B36555"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12D049DC" w14:textId="77777777" w:rsidR="00B36555" w:rsidRPr="00B36555" w:rsidRDefault="00B36555" w:rsidP="00C71EF3">
            <w:pPr>
              <w:pStyle w:val="ListParagraph"/>
              <w:numPr>
                <w:ilvl w:val="0"/>
                <w:numId w:val="29"/>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5C4CFDAD" w14:textId="5BAE3797" w:rsidR="00E569B0" w:rsidRPr="00424839" w:rsidRDefault="00B36555"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tc>
      </w:tr>
      <w:tr w:rsidR="00E569B0" w:rsidRPr="00AF5C30" w14:paraId="11D1E452" w14:textId="77777777" w:rsidTr="000854A1">
        <w:trPr>
          <w:trHeight w:val="613"/>
        </w:trPr>
        <w:tc>
          <w:tcPr>
            <w:tcW w:w="3251" w:type="dxa"/>
          </w:tcPr>
          <w:p w14:paraId="4E49A8AD" w14:textId="77777777" w:rsidR="00E569B0" w:rsidRDefault="00E569B0" w:rsidP="00877CCC">
            <w:pPr>
              <w:rPr>
                <w:rFonts w:asciiTheme="minorHAnsi" w:eastAsiaTheme="minorEastAsia" w:hAnsiTheme="minorHAnsi" w:cstheme="minorHAnsi"/>
                <w:sz w:val="20"/>
                <w:szCs w:val="20"/>
              </w:rPr>
            </w:pPr>
          </w:p>
          <w:p w14:paraId="7AD8C671" w14:textId="135A3145" w:rsidR="00E569B0" w:rsidRPr="000F1701" w:rsidRDefault="00094D46" w:rsidP="00877CCC">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Percentage of clients that report improved social and emotional well-being (including physical and mental health) and increased engagement with treatment services (as appropriate)</w:t>
            </w:r>
            <w:r w:rsidR="00E569B0">
              <w:rPr>
                <w:rFonts w:asciiTheme="minorHAnsi" w:eastAsiaTheme="minorEastAsia" w:hAnsiTheme="minorHAnsi" w:cstheme="minorHAnsi"/>
                <w:sz w:val="20"/>
                <w:szCs w:val="20"/>
              </w:rPr>
              <w:t>.</w:t>
            </w:r>
          </w:p>
        </w:tc>
        <w:tc>
          <w:tcPr>
            <w:tcW w:w="2845" w:type="dxa"/>
          </w:tcPr>
          <w:p w14:paraId="6941D5D5" w14:textId="77777777" w:rsidR="00E569B0" w:rsidRDefault="00E569B0" w:rsidP="00877CCC">
            <w:pPr>
              <w:pStyle w:val="ListParagraph"/>
              <w:rPr>
                <w:rFonts w:asciiTheme="minorHAnsi" w:eastAsiaTheme="minorEastAsia" w:hAnsiTheme="minorHAnsi" w:cstheme="minorHAnsi"/>
                <w:sz w:val="20"/>
                <w:szCs w:val="20"/>
              </w:rPr>
            </w:pPr>
          </w:p>
          <w:p w14:paraId="3B059712" w14:textId="77777777" w:rsidR="00094D46"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6081638E"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5ED52C81"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7B6151CB" w14:textId="33193C9C" w:rsidR="00E569B0"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5F8BCE3B" w14:textId="77777777" w:rsidR="00E569B0" w:rsidRDefault="00E569B0" w:rsidP="00877CCC">
            <w:pPr>
              <w:pStyle w:val="ListParagraph"/>
              <w:rPr>
                <w:rFonts w:asciiTheme="minorHAnsi" w:eastAsiaTheme="minorEastAsia" w:hAnsiTheme="minorHAnsi" w:cstheme="minorHAnsi"/>
                <w:sz w:val="20"/>
                <w:szCs w:val="20"/>
              </w:rPr>
            </w:pPr>
          </w:p>
          <w:p w14:paraId="10D0AACC" w14:textId="77777777" w:rsidR="00AF5C30" w:rsidRPr="00AF5C30" w:rsidRDefault="00AF5C30" w:rsidP="00C71EF3">
            <w:pPr>
              <w:numPr>
                <w:ilvl w:val="0"/>
                <w:numId w:val="29"/>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3035094F"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7DB2F430" w14:textId="77777777" w:rsidR="00094D46" w:rsidRPr="00B36555" w:rsidRDefault="00094D46" w:rsidP="00C71EF3">
            <w:pPr>
              <w:pStyle w:val="ListParagraph"/>
              <w:numPr>
                <w:ilvl w:val="0"/>
                <w:numId w:val="29"/>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37E033A5" w14:textId="77777777" w:rsidR="00E569B0" w:rsidRDefault="00094D46" w:rsidP="00C71EF3">
            <w:pPr>
              <w:pStyle w:val="ListParagraph"/>
              <w:numPr>
                <w:ilvl w:val="0"/>
                <w:numId w:val="29"/>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p w14:paraId="520E835A" w14:textId="554EC322" w:rsidR="00094D46" w:rsidRPr="00E26217" w:rsidRDefault="00094D46" w:rsidP="00094D46">
            <w:pPr>
              <w:pStyle w:val="ListParagraph"/>
              <w:rPr>
                <w:rFonts w:asciiTheme="minorHAnsi" w:eastAsiaTheme="minorEastAsia" w:hAnsiTheme="minorHAnsi" w:cstheme="minorHAnsi"/>
                <w:sz w:val="20"/>
                <w:szCs w:val="20"/>
              </w:rPr>
            </w:pPr>
          </w:p>
        </w:tc>
      </w:tr>
      <w:tr w:rsidR="00E569B0" w:rsidRPr="00AF5C30" w14:paraId="3D6DDB1A" w14:textId="77777777" w:rsidTr="000854A1">
        <w:trPr>
          <w:trHeight w:val="613"/>
        </w:trPr>
        <w:tc>
          <w:tcPr>
            <w:tcW w:w="3251" w:type="dxa"/>
          </w:tcPr>
          <w:p w14:paraId="3C30E259" w14:textId="10B1AEFF" w:rsidR="00E569B0" w:rsidRPr="000F1701" w:rsidRDefault="00094D46" w:rsidP="00877CCC">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Percentage of clients that report reduced Domestic and Family Violence (DFV) harm and increased engagement with DFV care and avoidance services (as appropriate)</w:t>
            </w:r>
            <w:r w:rsidR="00E569B0">
              <w:rPr>
                <w:rFonts w:asciiTheme="minorHAnsi" w:eastAsiaTheme="minorEastAsia" w:hAnsiTheme="minorHAnsi" w:cstheme="minorHAnsi"/>
                <w:sz w:val="20"/>
                <w:szCs w:val="20"/>
              </w:rPr>
              <w:t>.</w:t>
            </w:r>
          </w:p>
        </w:tc>
        <w:tc>
          <w:tcPr>
            <w:tcW w:w="2845" w:type="dxa"/>
          </w:tcPr>
          <w:p w14:paraId="6881691B" w14:textId="77777777" w:rsidR="00094D46"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47AA0DDF"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61E2EE6A"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4F1A5E56" w14:textId="59E14082" w:rsidR="00E569B0" w:rsidRPr="00424839"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5E482021" w14:textId="77777777" w:rsidR="00AF5C30" w:rsidRPr="00AF5C30"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1005702D"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3BAD2E30" w14:textId="77777777" w:rsidR="00094D46" w:rsidRPr="00B36555"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7DD1B7FB"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p w14:paraId="6B8737A0" w14:textId="77777777" w:rsidR="00E569B0" w:rsidRPr="00424839" w:rsidRDefault="00E569B0" w:rsidP="00877CCC">
            <w:pPr>
              <w:pStyle w:val="ListParagraph"/>
              <w:rPr>
                <w:rFonts w:asciiTheme="minorHAnsi" w:eastAsiaTheme="minorEastAsia" w:hAnsiTheme="minorHAnsi" w:cstheme="minorHAnsi"/>
                <w:sz w:val="20"/>
                <w:szCs w:val="20"/>
              </w:rPr>
            </w:pPr>
          </w:p>
        </w:tc>
      </w:tr>
      <w:tr w:rsidR="00E569B0" w:rsidRPr="00AF5C30" w14:paraId="698FD5CB" w14:textId="77777777" w:rsidTr="000854A1">
        <w:trPr>
          <w:trHeight w:val="613"/>
        </w:trPr>
        <w:tc>
          <w:tcPr>
            <w:tcW w:w="3251" w:type="dxa"/>
          </w:tcPr>
          <w:p w14:paraId="3A7B5687" w14:textId="59FAD4B2" w:rsidR="00E569B0" w:rsidRPr="000F1701" w:rsidRDefault="00094D46" w:rsidP="00877CCC">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Percentage of clients that report a reduction in AOD harm, including safer use and increased engagement with treatment services (as appropriate)</w:t>
            </w:r>
            <w:r w:rsidR="00E569B0">
              <w:rPr>
                <w:rFonts w:asciiTheme="minorHAnsi" w:eastAsiaTheme="minorEastAsia" w:hAnsiTheme="minorHAnsi" w:cstheme="minorHAnsi"/>
                <w:sz w:val="20"/>
                <w:szCs w:val="20"/>
              </w:rPr>
              <w:t>.</w:t>
            </w:r>
          </w:p>
        </w:tc>
        <w:tc>
          <w:tcPr>
            <w:tcW w:w="2845" w:type="dxa"/>
          </w:tcPr>
          <w:p w14:paraId="2E10BB76" w14:textId="77777777" w:rsidR="00094D46"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52F4778E"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079B6CB0"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0129692B" w14:textId="70A55734" w:rsidR="00E569B0" w:rsidRPr="00424839"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36A610FF" w14:textId="77777777" w:rsidR="00AF5C30" w:rsidRPr="00AF5C30"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1BE6D145"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00F6F440" w14:textId="77777777" w:rsidR="00094D46" w:rsidRPr="00B36555"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1D04E6DC"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p w14:paraId="1A3B21E4" w14:textId="3700D988" w:rsidR="00E569B0" w:rsidRPr="00E26217" w:rsidRDefault="00E569B0" w:rsidP="00094D46">
            <w:pPr>
              <w:pStyle w:val="ListParagraph"/>
              <w:rPr>
                <w:rFonts w:asciiTheme="minorHAnsi" w:eastAsiaTheme="minorEastAsia" w:hAnsiTheme="minorHAnsi" w:cstheme="minorHAnsi"/>
                <w:sz w:val="20"/>
                <w:szCs w:val="20"/>
              </w:rPr>
            </w:pPr>
          </w:p>
        </w:tc>
      </w:tr>
      <w:tr w:rsidR="00B36555" w:rsidRPr="00AF5C30" w14:paraId="4F0A7864" w14:textId="77777777" w:rsidTr="000854A1">
        <w:trPr>
          <w:trHeight w:val="613"/>
        </w:trPr>
        <w:tc>
          <w:tcPr>
            <w:tcW w:w="3251" w:type="dxa"/>
          </w:tcPr>
          <w:p w14:paraId="11BD343A" w14:textId="77777777" w:rsidR="00B36555" w:rsidRDefault="00094D46" w:rsidP="00B36555">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Percentage of clients that report lesser types of offending and greater intervals between offences (proportion of active clients whose re-offence is less severe)</w:t>
            </w:r>
            <w:r w:rsidR="00B36555">
              <w:rPr>
                <w:rFonts w:asciiTheme="minorHAnsi" w:eastAsiaTheme="minorEastAsia" w:hAnsiTheme="minorHAnsi" w:cstheme="minorHAnsi"/>
                <w:sz w:val="20"/>
                <w:szCs w:val="20"/>
              </w:rPr>
              <w:t>.</w:t>
            </w:r>
          </w:p>
          <w:p w14:paraId="5B139F65" w14:textId="0B9C75D7" w:rsidR="00094D46" w:rsidRPr="00E26217" w:rsidRDefault="00094D46" w:rsidP="00B36555">
            <w:pPr>
              <w:rPr>
                <w:rFonts w:asciiTheme="minorHAnsi" w:eastAsiaTheme="minorEastAsia" w:hAnsiTheme="minorHAnsi" w:cstheme="minorHAnsi"/>
                <w:sz w:val="20"/>
                <w:szCs w:val="20"/>
              </w:rPr>
            </w:pPr>
          </w:p>
        </w:tc>
        <w:tc>
          <w:tcPr>
            <w:tcW w:w="2845" w:type="dxa"/>
          </w:tcPr>
          <w:p w14:paraId="5F60DD6C" w14:textId="77777777" w:rsidR="00094D46"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221B70CC"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11C2FF8E"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1AD6C275" w14:textId="00D29BF8" w:rsidR="00B36555" w:rsidRPr="003D1390"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45B84DFA" w14:textId="77777777" w:rsidR="00AF5C30" w:rsidRPr="00AF5C30"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4A94385A"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3342BEF2" w14:textId="77777777" w:rsidR="00094D46" w:rsidRPr="00B36555"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22A4131F"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p w14:paraId="3BEEB109" w14:textId="031E8A9D" w:rsidR="00B36555" w:rsidRPr="005F16E3" w:rsidRDefault="00B36555" w:rsidP="00094D46">
            <w:pPr>
              <w:pStyle w:val="ListParagraph"/>
              <w:rPr>
                <w:rFonts w:asciiTheme="minorHAnsi" w:eastAsiaTheme="minorEastAsia" w:hAnsiTheme="minorHAnsi" w:cstheme="minorHAnsi"/>
                <w:sz w:val="20"/>
                <w:szCs w:val="20"/>
              </w:rPr>
            </w:pPr>
          </w:p>
        </w:tc>
      </w:tr>
      <w:tr w:rsidR="00B36555" w:rsidRPr="00AF5C30" w14:paraId="6A06C09F" w14:textId="77777777" w:rsidTr="000854A1">
        <w:trPr>
          <w:trHeight w:val="613"/>
        </w:trPr>
        <w:tc>
          <w:tcPr>
            <w:tcW w:w="3251" w:type="dxa"/>
          </w:tcPr>
          <w:p w14:paraId="683B828C" w14:textId="18D2B3A7" w:rsidR="00B36555" w:rsidRPr="00E26217" w:rsidRDefault="00094D46" w:rsidP="00B36555">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Percentage of clients that report lower rates of recidivism (proportion of active clients who have re-offended post-release)</w:t>
            </w:r>
            <w:r w:rsidR="00B36555">
              <w:rPr>
                <w:rFonts w:asciiTheme="minorHAnsi" w:eastAsiaTheme="minorEastAsia" w:hAnsiTheme="minorHAnsi" w:cstheme="minorHAnsi"/>
                <w:sz w:val="20"/>
                <w:szCs w:val="20"/>
              </w:rPr>
              <w:t>.</w:t>
            </w:r>
          </w:p>
        </w:tc>
        <w:tc>
          <w:tcPr>
            <w:tcW w:w="2845" w:type="dxa"/>
          </w:tcPr>
          <w:p w14:paraId="2224BAE5" w14:textId="77777777" w:rsidR="00094D46" w:rsidRPr="005F16E3"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7622AF3E"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2BA9C560"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Providers</w:t>
            </w:r>
          </w:p>
          <w:p w14:paraId="4E0C3390" w14:textId="2B05C446" w:rsidR="00B36555" w:rsidRPr="003D1390"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P</w:t>
            </w:r>
            <w:r w:rsidRPr="00B36555">
              <w:rPr>
                <w:rFonts w:asciiTheme="minorHAnsi" w:eastAsiaTheme="minorEastAsia" w:hAnsiTheme="minorHAnsi" w:cstheme="minorHAnsi"/>
                <w:sz w:val="20"/>
                <w:szCs w:val="20"/>
              </w:rPr>
              <w:t>erformance Reporting</w:t>
            </w:r>
          </w:p>
        </w:tc>
        <w:tc>
          <w:tcPr>
            <w:tcW w:w="3675" w:type="dxa"/>
          </w:tcPr>
          <w:p w14:paraId="64AE6A1B" w14:textId="77777777" w:rsidR="00AF5C30" w:rsidRPr="00AF5C30" w:rsidRDefault="00AF5C30" w:rsidP="00C71EF3">
            <w:pPr>
              <w:numPr>
                <w:ilvl w:val="0"/>
                <w:numId w:val="30"/>
              </w:numPr>
              <w:rPr>
                <w:rFonts w:asciiTheme="minorHAnsi" w:eastAsiaTheme="minorEastAsia" w:hAnsiTheme="minorHAnsi" w:cstheme="minorHAnsi"/>
                <w:sz w:val="20"/>
                <w:szCs w:val="20"/>
                <w:lang w:val="en-US"/>
              </w:rPr>
            </w:pPr>
            <w:r w:rsidRPr="00AF5C30">
              <w:rPr>
                <w:rFonts w:asciiTheme="minorHAnsi" w:eastAsiaTheme="minorEastAsia" w:hAnsiTheme="minorHAnsi" w:cstheme="minorHAnsi"/>
                <w:sz w:val="20"/>
                <w:szCs w:val="20"/>
                <w:lang w:val="en-US"/>
              </w:rPr>
              <w:t>Semi-structured Interview with Client and Family</w:t>
            </w:r>
          </w:p>
          <w:p w14:paraId="122971FE" w14:textId="77777777" w:rsid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Semi-structured Interview with Case Workers</w:t>
            </w:r>
          </w:p>
          <w:p w14:paraId="5B06CB21" w14:textId="77777777" w:rsidR="00094D46" w:rsidRPr="00B36555" w:rsidRDefault="00094D46" w:rsidP="00C71EF3">
            <w:pPr>
              <w:pStyle w:val="ListParagraph"/>
              <w:numPr>
                <w:ilvl w:val="0"/>
                <w:numId w:val="30"/>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External Service Provider Survey</w:t>
            </w:r>
          </w:p>
          <w:p w14:paraId="4522FB12" w14:textId="689BF5B7" w:rsidR="00B36555" w:rsidRPr="00094D46" w:rsidRDefault="00094D46" w:rsidP="00C71EF3">
            <w:pPr>
              <w:pStyle w:val="ListParagraph"/>
              <w:numPr>
                <w:ilvl w:val="0"/>
                <w:numId w:val="30"/>
              </w:numPr>
              <w:rPr>
                <w:rFonts w:asciiTheme="minorHAnsi" w:eastAsiaTheme="minorEastAsia" w:hAnsiTheme="minorHAnsi" w:cstheme="minorHAnsi"/>
                <w:sz w:val="20"/>
                <w:szCs w:val="20"/>
              </w:rPr>
            </w:pPr>
            <w:r w:rsidRPr="003D1390">
              <w:rPr>
                <w:rFonts w:asciiTheme="minorHAnsi" w:eastAsiaTheme="minorEastAsia" w:hAnsiTheme="minorHAnsi" w:cstheme="minorHAnsi"/>
                <w:sz w:val="20"/>
                <w:szCs w:val="20"/>
              </w:rPr>
              <w:t xml:space="preserve">Desk-top </w:t>
            </w:r>
            <w:r>
              <w:rPr>
                <w:rFonts w:asciiTheme="minorHAnsi" w:eastAsiaTheme="minorEastAsia" w:hAnsiTheme="minorHAnsi" w:cstheme="minorHAnsi"/>
                <w:sz w:val="20"/>
                <w:szCs w:val="20"/>
              </w:rPr>
              <w:t>R</w:t>
            </w:r>
            <w:r w:rsidRPr="003D1390">
              <w:rPr>
                <w:rFonts w:asciiTheme="minorHAnsi" w:eastAsiaTheme="minorEastAsia" w:hAnsiTheme="minorHAnsi" w:cstheme="minorHAnsi"/>
                <w:sz w:val="20"/>
                <w:szCs w:val="20"/>
              </w:rPr>
              <w:t>eview</w:t>
            </w:r>
          </w:p>
        </w:tc>
      </w:tr>
    </w:tbl>
    <w:p w14:paraId="79C9467F" w14:textId="24903FC0" w:rsidR="00096DFD" w:rsidRDefault="00096DFD" w:rsidP="00094D46">
      <w:pPr>
        <w:rPr>
          <w:lang w:val="en-MY" w:eastAsia="en-AU"/>
        </w:rPr>
      </w:pPr>
    </w:p>
    <w:p w14:paraId="4CEA73AE" w14:textId="68C8C092" w:rsidR="00283910" w:rsidRDefault="00283910" w:rsidP="00094D46">
      <w:pPr>
        <w:rPr>
          <w:lang w:val="en-MY" w:eastAsia="en-AU"/>
        </w:rPr>
      </w:pPr>
    </w:p>
    <w:p w14:paraId="7890A1B0" w14:textId="5CFEC05F" w:rsidR="00283910" w:rsidRPr="00283910" w:rsidRDefault="00283910" w:rsidP="00283910">
      <w:pPr>
        <w:ind w:left="-284"/>
        <w:rPr>
          <w:b/>
          <w:lang w:val="en-MY" w:eastAsia="en-AU"/>
        </w:rPr>
      </w:pPr>
      <w:r w:rsidRPr="00283910">
        <w:rPr>
          <w:b/>
        </w:rPr>
        <w:t>Evaluation Question 7: Are there any unintended consequences associated with the delivery of the ATC and YTC Models?</w:t>
      </w:r>
    </w:p>
    <w:tbl>
      <w:tblPr>
        <w:tblStyle w:val="TableSG"/>
        <w:tblW w:w="9771" w:type="dxa"/>
        <w:tblLook w:val="0420" w:firstRow="1" w:lastRow="0" w:firstColumn="0" w:lastColumn="0" w:noHBand="0" w:noVBand="1"/>
        <w:tblCaption w:val="Evaluation question 7 (table)"/>
        <w:tblDescription w:val="This table sets out in 3 columns the data, data sources and collection tools used to answer evaluation question 7."/>
      </w:tblPr>
      <w:tblGrid>
        <w:gridCol w:w="3251"/>
        <w:gridCol w:w="2845"/>
        <w:gridCol w:w="3675"/>
      </w:tblGrid>
      <w:tr w:rsidR="00283910" w:rsidRPr="00283910" w14:paraId="3602C744"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078CF6C3" w14:textId="77777777" w:rsidR="00283910" w:rsidRPr="00283910" w:rsidRDefault="00283910" w:rsidP="00283910">
            <w:pPr>
              <w:pStyle w:val="Heading4"/>
              <w:ind w:left="0" w:firstLine="0"/>
              <w:rPr>
                <w:rFonts w:eastAsiaTheme="minorEastAsia"/>
              </w:rPr>
            </w:pPr>
            <w:r w:rsidRPr="00283910">
              <w:rPr>
                <w:lang w:val="en-US"/>
              </w:rPr>
              <w:t>Data</w:t>
            </w:r>
          </w:p>
        </w:tc>
        <w:tc>
          <w:tcPr>
            <w:tcW w:w="2845" w:type="dxa"/>
            <w:hideMark/>
          </w:tcPr>
          <w:p w14:paraId="45E34658" w14:textId="77777777" w:rsidR="00283910" w:rsidRPr="00283910" w:rsidRDefault="00283910" w:rsidP="00283910">
            <w:pPr>
              <w:pStyle w:val="Heading4"/>
              <w:ind w:left="0" w:firstLine="0"/>
              <w:rPr>
                <w:rFonts w:eastAsiaTheme="minorEastAsia"/>
              </w:rPr>
            </w:pPr>
            <w:r w:rsidRPr="00283910">
              <w:rPr>
                <w:lang w:val="en-US"/>
              </w:rPr>
              <w:t>Data Sources</w:t>
            </w:r>
          </w:p>
        </w:tc>
        <w:tc>
          <w:tcPr>
            <w:tcW w:w="3675" w:type="dxa"/>
            <w:hideMark/>
          </w:tcPr>
          <w:p w14:paraId="3B0E7DF4" w14:textId="77777777" w:rsidR="00283910" w:rsidRPr="00283910" w:rsidRDefault="00283910" w:rsidP="00283910">
            <w:pPr>
              <w:pStyle w:val="Heading4"/>
              <w:ind w:left="0" w:firstLine="0"/>
              <w:rPr>
                <w:rFonts w:eastAsiaTheme="minorEastAsia"/>
              </w:rPr>
            </w:pPr>
            <w:r w:rsidRPr="00283910">
              <w:rPr>
                <w:lang w:val="en-US"/>
              </w:rPr>
              <w:t>Collection Tool</w:t>
            </w:r>
          </w:p>
        </w:tc>
      </w:tr>
      <w:tr w:rsidR="00094D46" w:rsidRPr="00AF5C30" w14:paraId="442289E4" w14:textId="77777777" w:rsidTr="000854A1">
        <w:trPr>
          <w:trHeight w:val="613"/>
        </w:trPr>
        <w:tc>
          <w:tcPr>
            <w:tcW w:w="3251" w:type="dxa"/>
            <w:hideMark/>
          </w:tcPr>
          <w:p w14:paraId="044D3916" w14:textId="3A73FBD7" w:rsidR="00094D46" w:rsidRPr="000F1701" w:rsidRDefault="00094D46" w:rsidP="00877CCC">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Feedback identifying unintended consequences from program activities, particularly for clients, family and the community</w:t>
            </w:r>
            <w:r>
              <w:rPr>
                <w:rFonts w:asciiTheme="minorHAnsi" w:eastAsiaTheme="minorEastAsia" w:hAnsiTheme="minorHAnsi" w:cstheme="minorHAnsi"/>
                <w:sz w:val="20"/>
                <w:szCs w:val="20"/>
              </w:rPr>
              <w:t>.</w:t>
            </w:r>
          </w:p>
        </w:tc>
        <w:tc>
          <w:tcPr>
            <w:tcW w:w="2845" w:type="dxa"/>
            <w:hideMark/>
          </w:tcPr>
          <w:p w14:paraId="2193A662" w14:textId="77777777" w:rsidR="00094D46" w:rsidRPr="005F16E3" w:rsidRDefault="00094D46" w:rsidP="00C71EF3">
            <w:pPr>
              <w:pStyle w:val="ListParagraph"/>
              <w:numPr>
                <w:ilvl w:val="0"/>
                <w:numId w:val="27"/>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Clients and Family</w:t>
            </w:r>
          </w:p>
          <w:p w14:paraId="3862C994" w14:textId="77777777" w:rsid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668DF735" w14:textId="5C6D65F0" w:rsidR="00094D46" w:rsidRP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ATC and YTC </w:t>
            </w:r>
            <w:r>
              <w:rPr>
                <w:rFonts w:asciiTheme="minorHAnsi" w:eastAsiaTheme="minorEastAsia" w:hAnsiTheme="minorHAnsi" w:cstheme="minorHAnsi"/>
                <w:sz w:val="20"/>
                <w:szCs w:val="20"/>
              </w:rPr>
              <w:t>Manager and Data Administrator</w:t>
            </w:r>
          </w:p>
          <w:p w14:paraId="40DC13A6" w14:textId="77777777" w:rsidR="00094D46" w:rsidRPr="005F16E3"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55EA9BD3" w14:textId="77777777" w:rsidR="00094D46" w:rsidRPr="000F1701" w:rsidRDefault="00094D46" w:rsidP="00877CCC">
            <w:pPr>
              <w:rPr>
                <w:rFonts w:asciiTheme="minorHAnsi" w:eastAsiaTheme="minorEastAsia" w:hAnsiTheme="minorHAnsi" w:cstheme="minorHAnsi"/>
                <w:sz w:val="20"/>
                <w:szCs w:val="20"/>
              </w:rPr>
            </w:pPr>
          </w:p>
        </w:tc>
        <w:tc>
          <w:tcPr>
            <w:tcW w:w="3675" w:type="dxa"/>
            <w:hideMark/>
          </w:tcPr>
          <w:p w14:paraId="2468C34C"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Client and Family</w:t>
            </w:r>
          </w:p>
          <w:p w14:paraId="621905B0"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03BA7128" w14:textId="4F3194FF"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Managers and Data Administrators</w:t>
            </w:r>
          </w:p>
          <w:p w14:paraId="043C05B6" w14:textId="61094C5B"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0DB3C1E8" w14:textId="77777777" w:rsidR="00094D46" w:rsidRPr="000F1701" w:rsidRDefault="00094D46" w:rsidP="00877CCC">
            <w:pPr>
              <w:rPr>
                <w:rFonts w:asciiTheme="minorHAnsi" w:eastAsiaTheme="minorEastAsia" w:hAnsiTheme="minorHAnsi" w:cstheme="minorHAnsi"/>
                <w:sz w:val="20"/>
                <w:szCs w:val="20"/>
              </w:rPr>
            </w:pPr>
          </w:p>
        </w:tc>
      </w:tr>
    </w:tbl>
    <w:p w14:paraId="0CD1BFCF" w14:textId="16CEEECF" w:rsidR="00094D46" w:rsidRDefault="00094D46" w:rsidP="00094D46">
      <w:pPr>
        <w:rPr>
          <w:lang w:val="en-MY" w:eastAsia="en-AU"/>
        </w:rPr>
      </w:pPr>
    </w:p>
    <w:p w14:paraId="1BAC2CF4" w14:textId="6D0CFFC0" w:rsidR="00283910" w:rsidRPr="00283910" w:rsidRDefault="00283910" w:rsidP="00283910">
      <w:pPr>
        <w:ind w:left="-284"/>
        <w:rPr>
          <w:b/>
          <w:lang w:val="en-MY" w:eastAsia="en-AU"/>
        </w:rPr>
      </w:pPr>
      <w:r w:rsidRPr="00283910">
        <w:rPr>
          <w:b/>
        </w:rPr>
        <w:t>Evaluation Question 8: Are there any unintended consequences associated with the delivery of the ATC and YTC Models?</w:t>
      </w:r>
    </w:p>
    <w:tbl>
      <w:tblPr>
        <w:tblStyle w:val="TableSG"/>
        <w:tblW w:w="9771" w:type="dxa"/>
        <w:tblLook w:val="0420" w:firstRow="1" w:lastRow="0" w:firstColumn="0" w:lastColumn="0" w:noHBand="0" w:noVBand="1"/>
        <w:tblCaption w:val="Evaluation question 8 (table)"/>
        <w:tblDescription w:val="This table sets out in 3 columns the data, data sources and collection tools used to answer evaluation question 8."/>
      </w:tblPr>
      <w:tblGrid>
        <w:gridCol w:w="3251"/>
        <w:gridCol w:w="2845"/>
        <w:gridCol w:w="3675"/>
      </w:tblGrid>
      <w:tr w:rsidR="00283910" w:rsidRPr="00283910" w14:paraId="2C423D2F" w14:textId="77777777" w:rsidTr="00283910">
        <w:trPr>
          <w:cnfStyle w:val="100000000000" w:firstRow="1" w:lastRow="0" w:firstColumn="0" w:lastColumn="0" w:oddVBand="0" w:evenVBand="0" w:oddHBand="0" w:evenHBand="0" w:firstRowFirstColumn="0" w:firstRowLastColumn="0" w:lastRowFirstColumn="0" w:lastRowLastColumn="0"/>
          <w:trHeight w:val="190"/>
          <w:tblHeader/>
        </w:trPr>
        <w:tc>
          <w:tcPr>
            <w:tcW w:w="3251" w:type="dxa"/>
            <w:hideMark/>
          </w:tcPr>
          <w:p w14:paraId="31CDDB0F" w14:textId="77777777" w:rsidR="00283910" w:rsidRPr="00283910" w:rsidRDefault="00283910" w:rsidP="00283910">
            <w:pPr>
              <w:pStyle w:val="Heading4"/>
              <w:ind w:left="0" w:firstLine="0"/>
              <w:rPr>
                <w:rFonts w:eastAsiaTheme="minorEastAsia"/>
              </w:rPr>
            </w:pPr>
            <w:r w:rsidRPr="00283910">
              <w:rPr>
                <w:lang w:val="en-US"/>
              </w:rPr>
              <w:t>Data</w:t>
            </w:r>
          </w:p>
        </w:tc>
        <w:tc>
          <w:tcPr>
            <w:tcW w:w="2845" w:type="dxa"/>
            <w:hideMark/>
          </w:tcPr>
          <w:p w14:paraId="4159AC42" w14:textId="77777777" w:rsidR="00283910" w:rsidRPr="00283910" w:rsidRDefault="00283910" w:rsidP="00283910">
            <w:pPr>
              <w:pStyle w:val="Heading4"/>
              <w:ind w:left="0" w:firstLine="0"/>
              <w:rPr>
                <w:rFonts w:eastAsiaTheme="minorEastAsia"/>
              </w:rPr>
            </w:pPr>
            <w:r w:rsidRPr="00283910">
              <w:rPr>
                <w:lang w:val="en-US"/>
              </w:rPr>
              <w:t>Data Sources</w:t>
            </w:r>
          </w:p>
        </w:tc>
        <w:tc>
          <w:tcPr>
            <w:tcW w:w="3675" w:type="dxa"/>
            <w:hideMark/>
          </w:tcPr>
          <w:p w14:paraId="283249B4" w14:textId="77777777" w:rsidR="00283910" w:rsidRPr="00283910" w:rsidRDefault="00283910" w:rsidP="00283910">
            <w:pPr>
              <w:pStyle w:val="Heading4"/>
              <w:ind w:left="0" w:firstLine="0"/>
              <w:rPr>
                <w:rFonts w:eastAsiaTheme="minorEastAsia"/>
              </w:rPr>
            </w:pPr>
            <w:r w:rsidRPr="00283910">
              <w:rPr>
                <w:lang w:val="en-US"/>
              </w:rPr>
              <w:t>Collection Tool</w:t>
            </w:r>
          </w:p>
        </w:tc>
      </w:tr>
      <w:tr w:rsidR="00094D46" w:rsidRPr="00AF5C30" w14:paraId="63D57540" w14:textId="77777777" w:rsidTr="000854A1">
        <w:trPr>
          <w:trHeight w:val="613"/>
        </w:trPr>
        <w:tc>
          <w:tcPr>
            <w:tcW w:w="3251" w:type="dxa"/>
            <w:hideMark/>
          </w:tcPr>
          <w:p w14:paraId="0768A378" w14:textId="39B4DD98" w:rsidR="00094D46" w:rsidRPr="000F1701" w:rsidRDefault="00094D46" w:rsidP="00877CCC">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Observation that ATC and YTC data collection points map to model framework</w:t>
            </w:r>
            <w:r>
              <w:rPr>
                <w:rFonts w:asciiTheme="minorHAnsi" w:eastAsiaTheme="minorEastAsia" w:hAnsiTheme="minorHAnsi" w:cstheme="minorHAnsi"/>
                <w:sz w:val="20"/>
                <w:szCs w:val="20"/>
              </w:rPr>
              <w:t>.</w:t>
            </w:r>
          </w:p>
        </w:tc>
        <w:tc>
          <w:tcPr>
            <w:tcW w:w="2845" w:type="dxa"/>
            <w:hideMark/>
          </w:tcPr>
          <w:p w14:paraId="2F1EAFB3" w14:textId="77777777" w:rsid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47472BEF" w14:textId="77777777" w:rsidR="00094D46" w:rsidRP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ATC and YTC </w:t>
            </w:r>
            <w:r>
              <w:rPr>
                <w:rFonts w:asciiTheme="minorHAnsi" w:eastAsiaTheme="minorEastAsia" w:hAnsiTheme="minorHAnsi" w:cstheme="minorHAnsi"/>
                <w:sz w:val="20"/>
                <w:szCs w:val="20"/>
              </w:rPr>
              <w:t>Manager and Data Administrator</w:t>
            </w:r>
          </w:p>
          <w:p w14:paraId="106D5BB9" w14:textId="77777777" w:rsidR="00094D46" w:rsidRPr="005F16E3"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p w14:paraId="4E649143" w14:textId="77777777" w:rsidR="00094D46" w:rsidRPr="000F1701" w:rsidRDefault="00094D46" w:rsidP="00877CCC">
            <w:pPr>
              <w:rPr>
                <w:rFonts w:asciiTheme="minorHAnsi" w:eastAsiaTheme="minorEastAsia" w:hAnsiTheme="minorHAnsi" w:cstheme="minorHAnsi"/>
                <w:sz w:val="20"/>
                <w:szCs w:val="20"/>
              </w:rPr>
            </w:pPr>
          </w:p>
        </w:tc>
        <w:tc>
          <w:tcPr>
            <w:tcW w:w="3675" w:type="dxa"/>
            <w:hideMark/>
          </w:tcPr>
          <w:p w14:paraId="53D1FCC9"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39DB986B" w14:textId="77777777"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Managers and Data Administrators</w:t>
            </w:r>
          </w:p>
          <w:p w14:paraId="387312D8"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79369CF2" w14:textId="77777777" w:rsidR="00094D46" w:rsidRPr="00094D46" w:rsidRDefault="00094D46" w:rsidP="00094D46">
            <w:pPr>
              <w:pStyle w:val="ListParagraph"/>
              <w:rPr>
                <w:rFonts w:asciiTheme="minorHAnsi" w:eastAsiaTheme="minorEastAsia" w:hAnsiTheme="minorHAnsi" w:cstheme="minorHAnsi"/>
                <w:sz w:val="20"/>
                <w:szCs w:val="20"/>
              </w:rPr>
            </w:pPr>
          </w:p>
          <w:p w14:paraId="31A6B75F" w14:textId="77777777" w:rsidR="00094D46" w:rsidRPr="000F1701" w:rsidRDefault="00094D46" w:rsidP="00877CCC">
            <w:pPr>
              <w:rPr>
                <w:rFonts w:asciiTheme="minorHAnsi" w:eastAsiaTheme="minorEastAsia" w:hAnsiTheme="minorHAnsi" w:cstheme="minorHAnsi"/>
                <w:sz w:val="20"/>
                <w:szCs w:val="20"/>
              </w:rPr>
            </w:pPr>
          </w:p>
        </w:tc>
      </w:tr>
      <w:tr w:rsidR="00094D46" w:rsidRPr="00AF5C30" w14:paraId="3F6CF573" w14:textId="77777777" w:rsidTr="000854A1">
        <w:trPr>
          <w:trHeight w:val="613"/>
        </w:trPr>
        <w:tc>
          <w:tcPr>
            <w:tcW w:w="3251" w:type="dxa"/>
          </w:tcPr>
          <w:p w14:paraId="155991A1" w14:textId="6F8D778B" w:rsidR="00094D46" w:rsidRPr="00094D46" w:rsidRDefault="00094D46" w:rsidP="00094D46">
            <w:pPr>
              <w:rPr>
                <w:rFonts w:asciiTheme="minorHAnsi" w:eastAsiaTheme="minorEastAsia" w:hAnsiTheme="minorHAnsi" w:cstheme="minorHAnsi"/>
                <w:sz w:val="20"/>
                <w:szCs w:val="20"/>
              </w:rPr>
            </w:pPr>
            <w:r w:rsidRPr="00094D46">
              <w:rPr>
                <w:rFonts w:asciiTheme="minorHAnsi" w:eastAsiaTheme="minorEastAsia" w:hAnsiTheme="minorHAnsi" w:cstheme="minorHAnsi"/>
                <w:sz w:val="20"/>
                <w:szCs w:val="20"/>
              </w:rPr>
              <w:t>Counts of ‘post-release outcomes compared to baseline’ are accurately recorded in Minimum Data Sets</w:t>
            </w:r>
            <w:r>
              <w:rPr>
                <w:rFonts w:asciiTheme="minorHAnsi" w:eastAsiaTheme="minorEastAsia" w:hAnsiTheme="minorHAnsi" w:cstheme="minorHAnsi"/>
                <w:sz w:val="20"/>
                <w:szCs w:val="20"/>
              </w:rPr>
              <w:t>.</w:t>
            </w:r>
          </w:p>
        </w:tc>
        <w:tc>
          <w:tcPr>
            <w:tcW w:w="2845" w:type="dxa"/>
          </w:tcPr>
          <w:p w14:paraId="2FD8890D" w14:textId="77777777" w:rsidR="00094D46" w:rsidRP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ATC and YTC </w:t>
            </w:r>
            <w:r>
              <w:rPr>
                <w:rFonts w:asciiTheme="minorHAnsi" w:eastAsiaTheme="minorEastAsia" w:hAnsiTheme="minorHAnsi" w:cstheme="minorHAnsi"/>
                <w:sz w:val="20"/>
                <w:szCs w:val="20"/>
              </w:rPr>
              <w:t>Manager and Data Administrator</w:t>
            </w:r>
          </w:p>
          <w:p w14:paraId="28347FD8" w14:textId="4E754000" w:rsidR="00094D46" w:rsidRP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1669942C" w14:textId="77777777"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Managers and Data Administrators</w:t>
            </w:r>
          </w:p>
          <w:p w14:paraId="6B661048" w14:textId="77777777"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01193759" w14:textId="77777777" w:rsidR="00094D46" w:rsidRPr="005F16E3" w:rsidRDefault="00094D46" w:rsidP="00094D46">
            <w:pPr>
              <w:pStyle w:val="ListParagraph"/>
              <w:rPr>
                <w:rFonts w:asciiTheme="minorHAnsi" w:eastAsiaTheme="minorEastAsia" w:hAnsiTheme="minorHAnsi" w:cstheme="minorHAnsi"/>
                <w:sz w:val="20"/>
                <w:szCs w:val="20"/>
              </w:rPr>
            </w:pPr>
          </w:p>
        </w:tc>
      </w:tr>
      <w:tr w:rsidR="00094D46" w:rsidRPr="00AF5C30" w14:paraId="6A6DF6E9" w14:textId="77777777" w:rsidTr="000854A1">
        <w:trPr>
          <w:trHeight w:val="613"/>
        </w:trPr>
        <w:tc>
          <w:tcPr>
            <w:tcW w:w="3251" w:type="dxa"/>
          </w:tcPr>
          <w:p w14:paraId="47ED5752" w14:textId="2D364937" w:rsidR="00094D46" w:rsidRPr="00094D46" w:rsidRDefault="000854A1" w:rsidP="00094D46">
            <w:pPr>
              <w:rPr>
                <w:rFonts w:asciiTheme="minorHAnsi" w:eastAsiaTheme="minorEastAsia" w:hAnsiTheme="minorHAnsi" w:cstheme="minorHAnsi"/>
                <w:sz w:val="20"/>
                <w:szCs w:val="20"/>
              </w:rPr>
            </w:pPr>
            <w:r w:rsidRPr="000854A1">
              <w:rPr>
                <w:rFonts w:asciiTheme="minorHAnsi" w:eastAsiaTheme="minorEastAsia" w:hAnsiTheme="minorHAnsi" w:cstheme="minorHAnsi"/>
                <w:sz w:val="20"/>
                <w:szCs w:val="20"/>
              </w:rPr>
              <w:t>Feedback on whether data collection and reporting feeds into continuous improvement</w:t>
            </w:r>
            <w:r>
              <w:rPr>
                <w:rFonts w:asciiTheme="minorHAnsi" w:eastAsiaTheme="minorEastAsia" w:hAnsiTheme="minorHAnsi" w:cstheme="minorHAnsi"/>
                <w:sz w:val="20"/>
                <w:szCs w:val="20"/>
              </w:rPr>
              <w:t>.</w:t>
            </w:r>
          </w:p>
        </w:tc>
        <w:tc>
          <w:tcPr>
            <w:tcW w:w="2845" w:type="dxa"/>
          </w:tcPr>
          <w:p w14:paraId="4B278D25" w14:textId="77777777" w:rsid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773BC7D7" w14:textId="035A3D78" w:rsidR="00094D46" w:rsidRPr="000854A1"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ATC and YTC </w:t>
            </w:r>
            <w:r>
              <w:rPr>
                <w:rFonts w:asciiTheme="minorHAnsi" w:eastAsiaTheme="minorEastAsia" w:hAnsiTheme="minorHAnsi" w:cstheme="minorHAnsi"/>
                <w:sz w:val="20"/>
                <w:szCs w:val="20"/>
              </w:rPr>
              <w:t>Manager and Data Administrator</w:t>
            </w:r>
          </w:p>
        </w:tc>
        <w:tc>
          <w:tcPr>
            <w:tcW w:w="3675" w:type="dxa"/>
          </w:tcPr>
          <w:p w14:paraId="6B6E1EC0" w14:textId="77777777"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Managers and Data Administrators</w:t>
            </w:r>
          </w:p>
          <w:p w14:paraId="7A9EAE92" w14:textId="77777777"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p w14:paraId="4B6E8841" w14:textId="77777777" w:rsidR="00094D46" w:rsidRPr="005F16E3" w:rsidRDefault="00094D46" w:rsidP="000854A1">
            <w:pPr>
              <w:pStyle w:val="ListParagraph"/>
              <w:rPr>
                <w:rFonts w:asciiTheme="minorHAnsi" w:eastAsiaTheme="minorEastAsia" w:hAnsiTheme="minorHAnsi" w:cstheme="minorHAnsi"/>
                <w:sz w:val="20"/>
                <w:szCs w:val="20"/>
              </w:rPr>
            </w:pPr>
          </w:p>
        </w:tc>
      </w:tr>
      <w:tr w:rsidR="00094D46" w:rsidRPr="00AF5C30" w14:paraId="67CFECB0" w14:textId="77777777" w:rsidTr="000854A1">
        <w:trPr>
          <w:trHeight w:val="613"/>
        </w:trPr>
        <w:tc>
          <w:tcPr>
            <w:tcW w:w="3251" w:type="dxa"/>
          </w:tcPr>
          <w:p w14:paraId="5AC9A056" w14:textId="3D843E62" w:rsidR="00094D46" w:rsidRPr="00094D46" w:rsidRDefault="000854A1" w:rsidP="00094D46">
            <w:pPr>
              <w:rPr>
                <w:rFonts w:asciiTheme="minorHAnsi" w:eastAsiaTheme="minorEastAsia" w:hAnsiTheme="minorHAnsi" w:cstheme="minorHAnsi"/>
                <w:sz w:val="20"/>
                <w:szCs w:val="20"/>
              </w:rPr>
            </w:pPr>
            <w:r w:rsidRPr="000854A1">
              <w:rPr>
                <w:rFonts w:asciiTheme="minorHAnsi" w:eastAsiaTheme="minorEastAsia" w:hAnsiTheme="minorHAnsi" w:cstheme="minorHAnsi"/>
                <w:sz w:val="20"/>
                <w:szCs w:val="20"/>
              </w:rPr>
              <w:t>Feedback from service providers regarding whether the efficacy of data collection and reporting processes in supporting effective monitoring and evaluation</w:t>
            </w:r>
            <w:r w:rsidR="00094D46">
              <w:rPr>
                <w:rFonts w:asciiTheme="minorHAnsi" w:eastAsiaTheme="minorEastAsia" w:hAnsiTheme="minorHAnsi" w:cstheme="minorHAnsi"/>
                <w:sz w:val="20"/>
                <w:szCs w:val="20"/>
              </w:rPr>
              <w:t>.</w:t>
            </w:r>
          </w:p>
        </w:tc>
        <w:tc>
          <w:tcPr>
            <w:tcW w:w="2845" w:type="dxa"/>
          </w:tcPr>
          <w:p w14:paraId="798F7BA2" w14:textId="77777777" w:rsidR="00094D46"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ATC and YTC Case Workers</w:t>
            </w:r>
          </w:p>
          <w:p w14:paraId="0418D811" w14:textId="644E51CB" w:rsidR="00094D46" w:rsidRPr="000854A1"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ATC and YTC </w:t>
            </w:r>
            <w:r>
              <w:rPr>
                <w:rFonts w:asciiTheme="minorHAnsi" w:eastAsiaTheme="minorEastAsia" w:hAnsiTheme="minorHAnsi" w:cstheme="minorHAnsi"/>
                <w:sz w:val="20"/>
                <w:szCs w:val="20"/>
              </w:rPr>
              <w:t>Manager and Data Administrator</w:t>
            </w:r>
          </w:p>
        </w:tc>
        <w:tc>
          <w:tcPr>
            <w:tcW w:w="3675" w:type="dxa"/>
          </w:tcPr>
          <w:p w14:paraId="20829E17"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Semi-structured Interview with Case Workers</w:t>
            </w:r>
          </w:p>
          <w:p w14:paraId="1CD32842" w14:textId="77777777" w:rsid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 xml:space="preserve">Semi-structured Interview with </w:t>
            </w:r>
            <w:r>
              <w:rPr>
                <w:rFonts w:asciiTheme="minorHAnsi" w:eastAsiaTheme="minorEastAsia" w:hAnsiTheme="minorHAnsi" w:cstheme="minorHAnsi"/>
                <w:sz w:val="20"/>
                <w:szCs w:val="20"/>
              </w:rPr>
              <w:t>Managers and Data Administrators</w:t>
            </w:r>
          </w:p>
          <w:p w14:paraId="4825A8F7" w14:textId="67467332" w:rsidR="000854A1" w:rsidRPr="000854A1" w:rsidRDefault="000854A1" w:rsidP="000854A1">
            <w:pPr>
              <w:pStyle w:val="ListParagraph"/>
              <w:rPr>
                <w:rFonts w:asciiTheme="minorHAnsi" w:eastAsiaTheme="minorEastAsia" w:hAnsiTheme="minorHAnsi" w:cstheme="minorHAnsi"/>
                <w:sz w:val="20"/>
                <w:szCs w:val="20"/>
              </w:rPr>
            </w:pPr>
          </w:p>
        </w:tc>
      </w:tr>
      <w:tr w:rsidR="00094D46" w:rsidRPr="00AF5C30" w14:paraId="0BA73C15" w14:textId="77777777" w:rsidTr="000854A1">
        <w:trPr>
          <w:trHeight w:val="613"/>
        </w:trPr>
        <w:tc>
          <w:tcPr>
            <w:tcW w:w="3251" w:type="dxa"/>
          </w:tcPr>
          <w:p w14:paraId="275C64F3" w14:textId="490E23E3" w:rsidR="00094D46" w:rsidRPr="00094D46" w:rsidRDefault="000854A1" w:rsidP="00094D46">
            <w:pPr>
              <w:rPr>
                <w:rFonts w:asciiTheme="minorHAnsi" w:eastAsiaTheme="minorEastAsia" w:hAnsiTheme="minorHAnsi" w:cstheme="minorHAnsi"/>
                <w:sz w:val="20"/>
                <w:szCs w:val="20"/>
              </w:rPr>
            </w:pPr>
            <w:r w:rsidRPr="000854A1">
              <w:rPr>
                <w:rFonts w:asciiTheme="minorHAnsi" w:eastAsiaTheme="minorEastAsia" w:hAnsiTheme="minorHAnsi" w:cstheme="minorHAnsi"/>
                <w:sz w:val="20"/>
                <w:szCs w:val="20"/>
              </w:rPr>
              <w:t>Data collection enables a calculation of rates of recidivism for clients relative to overall rates of incarceration for Indigenous Australians, stratified by jurisdiction, gender and age cohort (with target rate of improvement at 15 p</w:t>
            </w:r>
            <w:r>
              <w:rPr>
                <w:rFonts w:asciiTheme="minorHAnsi" w:eastAsiaTheme="minorEastAsia" w:hAnsiTheme="minorHAnsi" w:cstheme="minorHAnsi"/>
                <w:sz w:val="20"/>
                <w:szCs w:val="20"/>
              </w:rPr>
              <w:t>ercent</w:t>
            </w:r>
            <w:r w:rsidRPr="000854A1">
              <w:rPr>
                <w:rFonts w:asciiTheme="minorHAnsi" w:eastAsiaTheme="minorEastAsia" w:hAnsiTheme="minorHAnsi" w:cstheme="minorHAnsi"/>
                <w:sz w:val="20"/>
                <w:szCs w:val="20"/>
              </w:rPr>
              <w:t>)</w:t>
            </w:r>
            <w:r w:rsidR="00094D46">
              <w:rPr>
                <w:rFonts w:asciiTheme="minorHAnsi" w:eastAsiaTheme="minorEastAsia" w:hAnsiTheme="minorHAnsi" w:cstheme="minorHAnsi"/>
                <w:sz w:val="20"/>
                <w:szCs w:val="20"/>
              </w:rPr>
              <w:t>.</w:t>
            </w:r>
          </w:p>
        </w:tc>
        <w:tc>
          <w:tcPr>
            <w:tcW w:w="2845" w:type="dxa"/>
          </w:tcPr>
          <w:p w14:paraId="4E812380" w14:textId="4B910F5E" w:rsidR="00094D46" w:rsidRPr="00094D46" w:rsidRDefault="000854A1" w:rsidP="00C71EF3">
            <w:pPr>
              <w:pStyle w:val="ListParagraph"/>
              <w:numPr>
                <w:ilvl w:val="0"/>
                <w:numId w:val="27"/>
              </w:numPr>
              <w:rPr>
                <w:rFonts w:asciiTheme="minorHAnsi" w:eastAsiaTheme="minorEastAsia" w:hAnsiTheme="minorHAnsi" w:cstheme="minorHAnsi"/>
                <w:sz w:val="20"/>
                <w:szCs w:val="20"/>
              </w:rPr>
            </w:pPr>
            <w:r>
              <w:rPr>
                <w:rFonts w:asciiTheme="minorHAnsi" w:eastAsiaTheme="minorEastAsia" w:hAnsiTheme="minorHAnsi" w:cstheme="minorHAnsi"/>
                <w:sz w:val="20"/>
                <w:szCs w:val="20"/>
              </w:rPr>
              <w:t>ABS Prisoners in Australia Catalogue</w:t>
            </w:r>
          </w:p>
          <w:p w14:paraId="1E998948" w14:textId="14357C98" w:rsidR="00094D46" w:rsidRPr="000854A1" w:rsidRDefault="00094D46" w:rsidP="00C71EF3">
            <w:pPr>
              <w:pStyle w:val="ListParagraph"/>
              <w:numPr>
                <w:ilvl w:val="0"/>
                <w:numId w:val="27"/>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Performance Reporting</w:t>
            </w:r>
          </w:p>
        </w:tc>
        <w:tc>
          <w:tcPr>
            <w:tcW w:w="3675" w:type="dxa"/>
          </w:tcPr>
          <w:p w14:paraId="0334622E" w14:textId="459BC949" w:rsidR="00094D46" w:rsidRPr="00094D46" w:rsidRDefault="00094D46" w:rsidP="00C71EF3">
            <w:pPr>
              <w:pStyle w:val="ListParagraph"/>
              <w:numPr>
                <w:ilvl w:val="0"/>
                <w:numId w:val="29"/>
              </w:numPr>
              <w:rPr>
                <w:rFonts w:asciiTheme="minorHAnsi" w:eastAsiaTheme="minorEastAsia" w:hAnsiTheme="minorHAnsi" w:cstheme="minorHAnsi"/>
                <w:sz w:val="20"/>
                <w:szCs w:val="20"/>
              </w:rPr>
            </w:pPr>
            <w:r w:rsidRPr="005F16E3">
              <w:rPr>
                <w:rFonts w:asciiTheme="minorHAnsi" w:eastAsiaTheme="minorEastAsia" w:hAnsiTheme="minorHAnsi" w:cstheme="minorHAnsi"/>
                <w:sz w:val="20"/>
                <w:szCs w:val="20"/>
              </w:rPr>
              <w:t>Desk-top Review</w:t>
            </w:r>
          </w:p>
        </w:tc>
      </w:tr>
    </w:tbl>
    <w:p w14:paraId="0F000BDE" w14:textId="77777777" w:rsidR="00094D46" w:rsidRPr="00AF5C30" w:rsidRDefault="00094D46" w:rsidP="00094D46">
      <w:pPr>
        <w:rPr>
          <w:lang w:val="en-MY" w:eastAsia="en-AU"/>
        </w:rPr>
      </w:pPr>
    </w:p>
    <w:p w14:paraId="38901641" w14:textId="77777777" w:rsidR="000F0569" w:rsidRPr="00AF5C30" w:rsidRDefault="000F0569" w:rsidP="000F0569">
      <w:pPr>
        <w:rPr>
          <w:lang w:val="en-MY" w:eastAsia="en-AU"/>
        </w:rPr>
      </w:pPr>
    </w:p>
    <w:p w14:paraId="62EBFC24" w14:textId="77777777" w:rsidR="00466EB5" w:rsidRPr="00AF5C30" w:rsidRDefault="00466EB5" w:rsidP="00AF5C30">
      <w:pPr>
        <w:rPr>
          <w:lang w:val="en-MY" w:eastAsia="en-AU"/>
        </w:rPr>
      </w:pPr>
    </w:p>
    <w:p w14:paraId="5E7C31A3" w14:textId="77777777" w:rsidR="00A2737F" w:rsidRDefault="00A2737F">
      <w:pPr>
        <w:spacing w:after="200" w:line="276" w:lineRule="auto"/>
        <w:rPr>
          <w:b/>
          <w:smallCaps/>
          <w:color w:val="365F91" w:themeColor="accent1" w:themeShade="BF"/>
          <w:spacing w:val="5"/>
          <w:sz w:val="44"/>
          <w:szCs w:val="32"/>
        </w:rPr>
      </w:pPr>
      <w:r>
        <w:br w:type="page"/>
      </w:r>
    </w:p>
    <w:p w14:paraId="20E933ED" w14:textId="77777777" w:rsidR="006159DC" w:rsidRDefault="006159DC" w:rsidP="00A2737F">
      <w:pPr>
        <w:pStyle w:val="Heading1"/>
        <w:sectPr w:rsidR="006159DC" w:rsidSect="00A04873">
          <w:footerReference w:type="default" r:id="rId24"/>
          <w:pgSz w:w="11906" w:h="16838"/>
          <w:pgMar w:top="851" w:right="1418" w:bottom="1701" w:left="1418" w:header="1531" w:footer="737" w:gutter="0"/>
          <w:cols w:space="720"/>
          <w:docGrid w:linePitch="326"/>
        </w:sectPr>
      </w:pPr>
    </w:p>
    <w:p w14:paraId="2B6AD290" w14:textId="1528A499" w:rsidR="00A2737F" w:rsidRPr="00F66F99" w:rsidRDefault="00A2737F" w:rsidP="00F66F99">
      <w:pPr>
        <w:pStyle w:val="Heading1"/>
        <w:rPr>
          <w:rFonts w:cstheme="minorHAnsi"/>
          <w:lang w:val="en-MY" w:eastAsia="en-AU"/>
        </w:rPr>
      </w:pPr>
      <w:bookmarkStart w:id="39" w:name="_Toc150784213"/>
      <w:r w:rsidRPr="00F66F99">
        <w:rPr>
          <w:rFonts w:cstheme="minorHAnsi"/>
        </w:rPr>
        <w:t>APPENDIX B</w:t>
      </w:r>
      <w:r w:rsidR="006159DC" w:rsidRPr="00F66F99">
        <w:rPr>
          <w:rFonts w:cstheme="minorHAnsi"/>
        </w:rPr>
        <w:t xml:space="preserve">: </w:t>
      </w:r>
      <w:r w:rsidRPr="00F66F99">
        <w:rPr>
          <w:rFonts w:cstheme="minorHAnsi"/>
          <w:lang w:val="en-MY" w:eastAsia="en-AU"/>
        </w:rPr>
        <w:t>Data Collection Instruments</w:t>
      </w:r>
      <w:bookmarkEnd w:id="39"/>
    </w:p>
    <w:p w14:paraId="03A28812" w14:textId="493AC9C0" w:rsidR="00096DFD" w:rsidRDefault="00351FC8" w:rsidP="0022592D">
      <w:pPr>
        <w:pStyle w:val="Heading2"/>
      </w:pPr>
      <w:bookmarkStart w:id="40" w:name="_Toc150784214"/>
      <w:r w:rsidRPr="00F66F99">
        <w:rPr>
          <w:lang w:bidi="en-US"/>
        </w:rPr>
        <w:t>Semi-structured Interview with Case Workers</w:t>
      </w:r>
      <w:bookmarkEnd w:id="40"/>
    </w:p>
    <w:tbl>
      <w:tblPr>
        <w:tblStyle w:val="GridTable1Light-Accent1"/>
        <w:tblW w:w="9771" w:type="dxa"/>
        <w:tblLook w:val="0420" w:firstRow="1" w:lastRow="0" w:firstColumn="0" w:lastColumn="0" w:noHBand="0" w:noVBand="1"/>
        <w:tblCaption w:val="Semi structured interviews with case workers"/>
        <w:tblDescription w:val="A table listing the guiding questions asked in the semi-structured interviews with case workers. The next column lists the evaluation theme the questions come under  - design appropriateness, quality of delivery, service duplication, achieving outcomes, and making improvements."/>
      </w:tblPr>
      <w:tblGrid>
        <w:gridCol w:w="7928"/>
        <w:gridCol w:w="1843"/>
      </w:tblGrid>
      <w:tr w:rsidR="00096DFD" w:rsidRPr="00096DFD" w14:paraId="3A30ED42" w14:textId="77777777" w:rsidTr="00696E84">
        <w:trPr>
          <w:cnfStyle w:val="100000000000" w:firstRow="1" w:lastRow="0" w:firstColumn="0" w:lastColumn="0" w:oddVBand="0" w:evenVBand="0" w:oddHBand="0" w:evenHBand="0" w:firstRowFirstColumn="0" w:firstRowLastColumn="0" w:lastRowFirstColumn="0" w:lastRowLastColumn="0"/>
          <w:trHeight w:val="343"/>
          <w:tblHeader/>
        </w:trPr>
        <w:tc>
          <w:tcPr>
            <w:tcW w:w="7928" w:type="dxa"/>
            <w:vAlign w:val="center"/>
            <w:hideMark/>
          </w:tcPr>
          <w:p w14:paraId="2A304960" w14:textId="77777777" w:rsidR="00351FC8" w:rsidRPr="00351FC8" w:rsidRDefault="00351FC8" w:rsidP="00793605">
            <w:pPr>
              <w:pStyle w:val="Heading4"/>
              <w:tabs>
                <w:tab w:val="clear" w:pos="1361"/>
              </w:tabs>
              <w:ind w:left="740" w:hanging="709"/>
            </w:pPr>
            <w:r w:rsidRPr="00351FC8">
              <w:rPr>
                <w:lang w:val="en-US"/>
              </w:rPr>
              <w:t>Guiding Questions</w:t>
            </w:r>
          </w:p>
        </w:tc>
        <w:tc>
          <w:tcPr>
            <w:tcW w:w="1843" w:type="dxa"/>
            <w:vAlign w:val="center"/>
            <w:hideMark/>
          </w:tcPr>
          <w:p w14:paraId="197BB73A" w14:textId="37CC87D0" w:rsidR="00351FC8" w:rsidRPr="00351FC8" w:rsidRDefault="00351FC8" w:rsidP="00793605">
            <w:pPr>
              <w:pStyle w:val="Heading4"/>
              <w:tabs>
                <w:tab w:val="clear" w:pos="1361"/>
              </w:tabs>
              <w:ind w:left="19" w:firstLine="0"/>
            </w:pPr>
            <w:r w:rsidRPr="00351FC8">
              <w:rPr>
                <w:lang w:val="en-US"/>
              </w:rPr>
              <w:t>Eval</w:t>
            </w:r>
            <w:r w:rsidRPr="00096DFD">
              <w:rPr>
                <w:lang w:val="en-US"/>
              </w:rPr>
              <w:t>uation Theme</w:t>
            </w:r>
          </w:p>
        </w:tc>
      </w:tr>
      <w:tr w:rsidR="00096DFD" w:rsidRPr="00096DFD" w14:paraId="627A05CA" w14:textId="77777777" w:rsidTr="00096DFD">
        <w:trPr>
          <w:trHeight w:val="542"/>
        </w:trPr>
        <w:tc>
          <w:tcPr>
            <w:tcW w:w="7928" w:type="dxa"/>
            <w:vAlign w:val="center"/>
            <w:hideMark/>
          </w:tcPr>
          <w:p w14:paraId="53B84E71"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How are prospective clients identified for the program? (prompts: vulnerable clients, entry pathways)</w:t>
            </w:r>
          </w:p>
        </w:tc>
        <w:tc>
          <w:tcPr>
            <w:tcW w:w="1843" w:type="dxa"/>
            <w:vAlign w:val="center"/>
            <w:hideMark/>
          </w:tcPr>
          <w:p w14:paraId="60A62F86"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Design Appropriateness</w:t>
            </w:r>
          </w:p>
        </w:tc>
      </w:tr>
      <w:tr w:rsidR="00096DFD" w:rsidRPr="00096DFD" w14:paraId="017C0351" w14:textId="77777777" w:rsidTr="00096DFD">
        <w:trPr>
          <w:trHeight w:val="840"/>
        </w:trPr>
        <w:tc>
          <w:tcPr>
            <w:tcW w:w="7928" w:type="dxa"/>
            <w:vAlign w:val="center"/>
            <w:hideMark/>
          </w:tcPr>
          <w:p w14:paraId="03A78312" w14:textId="2E03FD7A"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Describe the quality of the relationships between case workers and clients? (prompts: trust,</w:t>
            </w:r>
            <w:r w:rsidR="00096DFD">
              <w:rPr>
                <w:rFonts w:cstheme="minorHAnsi"/>
                <w:color w:val="000000" w:themeColor="text1"/>
                <w:kern w:val="24"/>
                <w:sz w:val="20"/>
                <w:szCs w:val="20"/>
                <w:lang w:val="en-US"/>
              </w:rPr>
              <w:t xml:space="preserve"> </w:t>
            </w:r>
            <w:r w:rsidRPr="00351FC8">
              <w:rPr>
                <w:rFonts w:cstheme="minorHAnsi"/>
                <w:color w:val="000000" w:themeColor="text1"/>
                <w:kern w:val="24"/>
                <w:sz w:val="20"/>
                <w:szCs w:val="20"/>
                <w:lang w:val="en-US"/>
              </w:rPr>
              <w:t>relationship building, regularity of meetings pre- and-post-release, organizational supports; barriers and enablers, positive examples).</w:t>
            </w:r>
          </w:p>
        </w:tc>
        <w:tc>
          <w:tcPr>
            <w:tcW w:w="1843" w:type="dxa"/>
            <w:vAlign w:val="center"/>
            <w:hideMark/>
          </w:tcPr>
          <w:p w14:paraId="4C5C06C1"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Quality of Delivery</w:t>
            </w:r>
          </w:p>
        </w:tc>
      </w:tr>
      <w:tr w:rsidR="00096DFD" w:rsidRPr="00096DFD" w14:paraId="5EB357B1" w14:textId="77777777" w:rsidTr="00096DFD">
        <w:trPr>
          <w:trHeight w:val="568"/>
        </w:trPr>
        <w:tc>
          <w:tcPr>
            <w:tcW w:w="7928" w:type="dxa"/>
            <w:vAlign w:val="center"/>
            <w:hideMark/>
          </w:tcPr>
          <w:p w14:paraId="18B1070B"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Tell me about the goal setting process with clients? (prompts: strengths-based, client-driven; challenges and incentives; quality of process)</w:t>
            </w:r>
          </w:p>
        </w:tc>
        <w:tc>
          <w:tcPr>
            <w:tcW w:w="1843" w:type="dxa"/>
            <w:vAlign w:val="center"/>
            <w:hideMark/>
          </w:tcPr>
          <w:p w14:paraId="5A67E46F"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Design Appropriateness</w:t>
            </w:r>
          </w:p>
        </w:tc>
      </w:tr>
      <w:tr w:rsidR="00096DFD" w:rsidRPr="00096DFD" w14:paraId="7C045BBE" w14:textId="77777777" w:rsidTr="00096DFD">
        <w:trPr>
          <w:trHeight w:val="563"/>
        </w:trPr>
        <w:tc>
          <w:tcPr>
            <w:tcW w:w="7928" w:type="dxa"/>
            <w:vAlign w:val="center"/>
            <w:hideMark/>
          </w:tcPr>
          <w:p w14:paraId="7EC981CB"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In what ways do you vary the intensity of case work? (prompts: adaptation to individual, cultural, local or regional contexts, quality of process).</w:t>
            </w:r>
          </w:p>
        </w:tc>
        <w:tc>
          <w:tcPr>
            <w:tcW w:w="1843" w:type="dxa"/>
            <w:vAlign w:val="center"/>
            <w:hideMark/>
          </w:tcPr>
          <w:p w14:paraId="13854DBF"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Design Appropriateness</w:t>
            </w:r>
          </w:p>
        </w:tc>
      </w:tr>
      <w:tr w:rsidR="00096DFD" w:rsidRPr="00096DFD" w14:paraId="39AE835A" w14:textId="77777777" w:rsidTr="00096DFD">
        <w:trPr>
          <w:trHeight w:val="812"/>
        </w:trPr>
        <w:tc>
          <w:tcPr>
            <w:tcW w:w="7928" w:type="dxa"/>
            <w:vAlign w:val="center"/>
            <w:hideMark/>
          </w:tcPr>
          <w:p w14:paraId="1E68F737" w14:textId="690ECC60"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Tell me about the resources and support available to case</w:t>
            </w:r>
            <w:r w:rsidR="00694565">
              <w:rPr>
                <w:rFonts w:cstheme="minorHAnsi"/>
                <w:color w:val="000000" w:themeColor="text1"/>
                <w:kern w:val="24"/>
                <w:sz w:val="20"/>
                <w:szCs w:val="20"/>
                <w:lang w:val="en-US"/>
              </w:rPr>
              <w:t xml:space="preserve"> </w:t>
            </w:r>
            <w:r w:rsidRPr="00351FC8">
              <w:rPr>
                <w:rFonts w:cstheme="minorHAnsi"/>
                <w:color w:val="000000" w:themeColor="text1"/>
                <w:kern w:val="24"/>
                <w:sz w:val="20"/>
                <w:szCs w:val="20"/>
                <w:lang w:val="en-US"/>
              </w:rPr>
              <w:t>workers to intensively case manage and support clients effectively? (prompts: complex client needs; engage with and coordinate clients, family and kin; engage with and coordinate external service providers).</w:t>
            </w:r>
          </w:p>
        </w:tc>
        <w:tc>
          <w:tcPr>
            <w:tcW w:w="1843" w:type="dxa"/>
            <w:vAlign w:val="center"/>
            <w:hideMark/>
          </w:tcPr>
          <w:p w14:paraId="3BE0C9E7"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Quality of Delivery</w:t>
            </w:r>
          </w:p>
        </w:tc>
      </w:tr>
      <w:tr w:rsidR="00096DFD" w:rsidRPr="00096DFD" w14:paraId="46CD5643" w14:textId="77777777" w:rsidTr="00096DFD">
        <w:trPr>
          <w:trHeight w:val="866"/>
        </w:trPr>
        <w:tc>
          <w:tcPr>
            <w:tcW w:w="7928" w:type="dxa"/>
            <w:vAlign w:val="center"/>
            <w:hideMark/>
          </w:tcPr>
          <w:p w14:paraId="562ECD4E"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Describe the involvement of families in the program and in meeting client needs (prompts: trust, relationship building, regularity of meetings, goal setting and review, social networks; barriers and enablers, positive examples).</w:t>
            </w:r>
          </w:p>
        </w:tc>
        <w:tc>
          <w:tcPr>
            <w:tcW w:w="1843" w:type="dxa"/>
            <w:vAlign w:val="center"/>
            <w:hideMark/>
          </w:tcPr>
          <w:p w14:paraId="5C871F6C"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Design Appropriateness</w:t>
            </w:r>
          </w:p>
        </w:tc>
      </w:tr>
      <w:tr w:rsidR="00096DFD" w:rsidRPr="00096DFD" w14:paraId="60DD7964" w14:textId="77777777" w:rsidTr="00096DFD">
        <w:trPr>
          <w:trHeight w:val="822"/>
        </w:trPr>
        <w:tc>
          <w:tcPr>
            <w:tcW w:w="7928" w:type="dxa"/>
            <w:vAlign w:val="center"/>
            <w:hideMark/>
          </w:tcPr>
          <w:p w14:paraId="34C48FEC"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Describe the role of cultural connection in the program and in meeting client needs (prompts: client demand, relative importance to achieving success, access and availability of services, positive examples).</w:t>
            </w:r>
          </w:p>
        </w:tc>
        <w:tc>
          <w:tcPr>
            <w:tcW w:w="1843" w:type="dxa"/>
            <w:vAlign w:val="center"/>
            <w:hideMark/>
          </w:tcPr>
          <w:p w14:paraId="73D22B8B"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Design Appropriateness</w:t>
            </w:r>
          </w:p>
        </w:tc>
      </w:tr>
      <w:tr w:rsidR="00096DFD" w:rsidRPr="00096DFD" w14:paraId="470119D9" w14:textId="77777777" w:rsidTr="00096DFD">
        <w:trPr>
          <w:trHeight w:val="564"/>
        </w:trPr>
        <w:tc>
          <w:tcPr>
            <w:tcW w:w="7928" w:type="dxa"/>
            <w:vAlign w:val="center"/>
            <w:hideMark/>
          </w:tcPr>
          <w:p w14:paraId="665B8F65"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 xml:space="preserve">Tell me about the relationships between external services and clients? (prompts: cultural safety, regularity of contacts, follow-up; barriers and enablers). </w:t>
            </w:r>
          </w:p>
        </w:tc>
        <w:tc>
          <w:tcPr>
            <w:tcW w:w="1843" w:type="dxa"/>
            <w:vAlign w:val="center"/>
            <w:hideMark/>
          </w:tcPr>
          <w:p w14:paraId="61990927"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Quality of Delivery</w:t>
            </w:r>
          </w:p>
        </w:tc>
      </w:tr>
      <w:tr w:rsidR="00096DFD" w:rsidRPr="00096DFD" w14:paraId="16E6F7FE" w14:textId="77777777" w:rsidTr="00096DFD">
        <w:trPr>
          <w:trHeight w:val="558"/>
        </w:trPr>
        <w:tc>
          <w:tcPr>
            <w:tcW w:w="7928" w:type="dxa"/>
            <w:vAlign w:val="center"/>
            <w:hideMark/>
          </w:tcPr>
          <w:p w14:paraId="6E574E9A"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Are the external service providers meeting client needs? (prompts: complex and holistic needs, collaborative approaches, cultural safety; barriers and enablers, positive examples)</w:t>
            </w:r>
          </w:p>
        </w:tc>
        <w:tc>
          <w:tcPr>
            <w:tcW w:w="1843" w:type="dxa"/>
            <w:vAlign w:val="center"/>
            <w:hideMark/>
          </w:tcPr>
          <w:p w14:paraId="266F4CED"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Quality of Delivery</w:t>
            </w:r>
          </w:p>
        </w:tc>
      </w:tr>
      <w:tr w:rsidR="00096DFD" w:rsidRPr="00096DFD" w14:paraId="4B200C0B" w14:textId="77777777" w:rsidTr="00096DFD">
        <w:trPr>
          <w:trHeight w:val="552"/>
        </w:trPr>
        <w:tc>
          <w:tcPr>
            <w:tcW w:w="7928" w:type="dxa"/>
            <w:vAlign w:val="center"/>
            <w:hideMark/>
          </w:tcPr>
          <w:p w14:paraId="4E9E3927"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lang w:val="en-US"/>
              </w:rPr>
              <w:t>Are the external service providers meeting the needs of the program? (prompts: availability of services, duplication, collaboration, efficiency; barriers and enablers)</w:t>
            </w:r>
          </w:p>
        </w:tc>
        <w:tc>
          <w:tcPr>
            <w:tcW w:w="1843" w:type="dxa"/>
            <w:vAlign w:val="center"/>
            <w:hideMark/>
          </w:tcPr>
          <w:p w14:paraId="27037804" w14:textId="77777777" w:rsidR="00351FC8" w:rsidRPr="00351FC8" w:rsidRDefault="00351FC8" w:rsidP="00096DFD">
            <w:pPr>
              <w:rPr>
                <w:rFonts w:cstheme="minorHAnsi"/>
                <w:color w:val="000000" w:themeColor="text1"/>
                <w:sz w:val="20"/>
                <w:szCs w:val="20"/>
              </w:rPr>
            </w:pPr>
            <w:r w:rsidRPr="00351FC8">
              <w:rPr>
                <w:rFonts w:cstheme="minorHAnsi"/>
                <w:color w:val="000000" w:themeColor="text1"/>
                <w:kern w:val="24"/>
                <w:sz w:val="20"/>
                <w:szCs w:val="20"/>
              </w:rPr>
              <w:t>Service Duplication</w:t>
            </w:r>
          </w:p>
        </w:tc>
      </w:tr>
      <w:tr w:rsidR="00096DFD" w:rsidRPr="00096DFD" w14:paraId="42262E62" w14:textId="77777777" w:rsidTr="00096DFD">
        <w:trPr>
          <w:trHeight w:val="858"/>
        </w:trPr>
        <w:tc>
          <w:tcPr>
            <w:tcW w:w="7928" w:type="dxa"/>
            <w:vAlign w:val="center"/>
          </w:tcPr>
          <w:p w14:paraId="21AC6126" w14:textId="74B118BB"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Overall, do you feel the design and implementation of the program supports cultural strengthening, is person-centred and strengths based? (prompts: cultural safety, gender-specific, t</w:t>
            </w:r>
            <w:r w:rsidRPr="00096DFD">
              <w:rPr>
                <w:rFonts w:cstheme="minorHAnsi"/>
                <w:color w:val="000000" w:themeColor="text1"/>
                <w:kern w:val="24"/>
                <w:sz w:val="20"/>
                <w:szCs w:val="20"/>
                <w:lang w:val="en-US"/>
              </w:rPr>
              <w:t>rauma-Informed, connection to community and culture)</w:t>
            </w:r>
          </w:p>
        </w:tc>
        <w:tc>
          <w:tcPr>
            <w:tcW w:w="1843" w:type="dxa"/>
            <w:vAlign w:val="center"/>
          </w:tcPr>
          <w:p w14:paraId="6D17B922" w14:textId="490EAB54"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rPr>
              <w:t>Design Appropriateness</w:t>
            </w:r>
          </w:p>
        </w:tc>
      </w:tr>
      <w:tr w:rsidR="00096DFD" w:rsidRPr="00096DFD" w14:paraId="33D1C4EA" w14:textId="77777777" w:rsidTr="00096DFD">
        <w:trPr>
          <w:trHeight w:val="687"/>
        </w:trPr>
        <w:tc>
          <w:tcPr>
            <w:tcW w:w="7928" w:type="dxa"/>
            <w:vAlign w:val="center"/>
          </w:tcPr>
          <w:p w14:paraId="4DCE4822" w14:textId="52CF96D9"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Overall, do you feel the design and implementation of the program is meeting client needs? (prompts: sustainable re-integration, success factors, model variation, positive examples)</w:t>
            </w:r>
          </w:p>
        </w:tc>
        <w:tc>
          <w:tcPr>
            <w:tcW w:w="1843" w:type="dxa"/>
            <w:vAlign w:val="center"/>
          </w:tcPr>
          <w:p w14:paraId="7DB214B8" w14:textId="00DADACD"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rPr>
              <w:t>Quality of Delivery</w:t>
            </w:r>
          </w:p>
        </w:tc>
      </w:tr>
      <w:tr w:rsidR="00096DFD" w:rsidRPr="00096DFD" w14:paraId="684E67A7" w14:textId="77777777" w:rsidTr="00096DFD">
        <w:trPr>
          <w:trHeight w:val="1122"/>
        </w:trPr>
        <w:tc>
          <w:tcPr>
            <w:tcW w:w="7928" w:type="dxa"/>
            <w:vAlign w:val="center"/>
          </w:tcPr>
          <w:p w14:paraId="117C1868" w14:textId="6A5DB7B6"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examples of successful outcomes for clients are you aware of? (</w:t>
            </w:r>
            <w:r w:rsidR="00A6555D" w:rsidRPr="00096DFD">
              <w:rPr>
                <w:rFonts w:cstheme="minorHAnsi"/>
                <w:color w:val="000000" w:themeColor="text1"/>
                <w:kern w:val="24"/>
                <w:sz w:val="20"/>
                <w:szCs w:val="20"/>
              </w:rPr>
              <w:t>i.e.,</w:t>
            </w:r>
            <w:r w:rsidRPr="00096DFD">
              <w:rPr>
                <w:rFonts w:cstheme="minorHAnsi"/>
                <w:color w:val="000000" w:themeColor="text1"/>
                <w:kern w:val="24"/>
                <w:sz w:val="20"/>
                <w:szCs w:val="20"/>
              </w:rPr>
              <w:t xml:space="preserve"> reduced recidivism, reduced severity of offending, or improved outcomes in protective factors (such as secure housing, engagement in education or employment, reduced substance abuse, engagement in meaningful activities, strengthening cultural and family connections, etc)? </w:t>
            </w:r>
          </w:p>
        </w:tc>
        <w:tc>
          <w:tcPr>
            <w:tcW w:w="1843" w:type="dxa"/>
            <w:vAlign w:val="center"/>
          </w:tcPr>
          <w:p w14:paraId="60C107A0" w14:textId="520A74A8"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Achieving Outcomes</w:t>
            </w:r>
          </w:p>
        </w:tc>
      </w:tr>
      <w:tr w:rsidR="00096DFD" w:rsidRPr="00096DFD" w14:paraId="720F65F1" w14:textId="77777777" w:rsidTr="00096DFD">
        <w:trPr>
          <w:trHeight w:val="13"/>
        </w:trPr>
        <w:tc>
          <w:tcPr>
            <w:tcW w:w="7928" w:type="dxa"/>
            <w:vAlign w:val="center"/>
          </w:tcPr>
          <w:p w14:paraId="22EB6C67" w14:textId="7B8D24D2"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 xml:space="preserve">What were the drivers of success in these examples? </w:t>
            </w:r>
          </w:p>
        </w:tc>
        <w:tc>
          <w:tcPr>
            <w:tcW w:w="1843" w:type="dxa"/>
            <w:vAlign w:val="center"/>
          </w:tcPr>
          <w:p w14:paraId="3CAA7320" w14:textId="70CA97BA"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Achieving Outcomes</w:t>
            </w:r>
          </w:p>
        </w:tc>
      </w:tr>
      <w:tr w:rsidR="00096DFD" w:rsidRPr="00096DFD" w14:paraId="785FF027" w14:textId="77777777" w:rsidTr="00096DFD">
        <w:trPr>
          <w:trHeight w:val="635"/>
        </w:trPr>
        <w:tc>
          <w:tcPr>
            <w:tcW w:w="7928" w:type="dxa"/>
            <w:vAlign w:val="center"/>
          </w:tcPr>
          <w:p w14:paraId="53C6CE27" w14:textId="272BBC20"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Are you aware of any unintended consequences (positive or negative) for clients, family and the community?</w:t>
            </w:r>
          </w:p>
        </w:tc>
        <w:tc>
          <w:tcPr>
            <w:tcW w:w="1843" w:type="dxa"/>
            <w:vAlign w:val="center"/>
          </w:tcPr>
          <w:p w14:paraId="0CDF94E6" w14:textId="53DCCD59"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Unintended Consequences</w:t>
            </w:r>
          </w:p>
        </w:tc>
      </w:tr>
      <w:tr w:rsidR="00096DFD" w:rsidRPr="00096DFD" w14:paraId="37DEB9AB" w14:textId="77777777" w:rsidTr="00096DFD">
        <w:trPr>
          <w:trHeight w:val="545"/>
        </w:trPr>
        <w:tc>
          <w:tcPr>
            <w:tcW w:w="7928" w:type="dxa"/>
            <w:vAlign w:val="center"/>
          </w:tcPr>
          <w:p w14:paraId="138CF5A4" w14:textId="58BEB23C" w:rsidR="00351FC8" w:rsidRPr="00096DFD" w:rsidRDefault="00351FC8"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Overall, describe what is working well with regards to delivery of the program, and what isn’t working so well? How could the design and implementation of the program be improved?</w:t>
            </w:r>
          </w:p>
        </w:tc>
        <w:tc>
          <w:tcPr>
            <w:tcW w:w="1843" w:type="dxa"/>
            <w:vAlign w:val="center"/>
          </w:tcPr>
          <w:p w14:paraId="21B85698" w14:textId="26C89F02" w:rsidR="00351FC8" w:rsidRPr="00096DFD" w:rsidRDefault="00351FC8"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rPr>
              <w:t>Making Improvements</w:t>
            </w:r>
          </w:p>
        </w:tc>
      </w:tr>
    </w:tbl>
    <w:p w14:paraId="2E2300FE" w14:textId="77777777" w:rsidR="00096DFD" w:rsidRDefault="00096DFD" w:rsidP="00EC273E"/>
    <w:p w14:paraId="613E64C1" w14:textId="25EEC19C" w:rsidR="00096DFD" w:rsidRDefault="00351FC8" w:rsidP="0022592D">
      <w:pPr>
        <w:pStyle w:val="Heading2"/>
      </w:pPr>
      <w:bookmarkStart w:id="41" w:name="_Toc150784215"/>
      <w:r w:rsidRPr="00351FC8">
        <w:t xml:space="preserve">Semi-structured Interview with </w:t>
      </w:r>
      <w:r>
        <w:t>Managers and Data</w:t>
      </w:r>
      <w:r w:rsidR="0022592D">
        <w:t xml:space="preserve"> </w:t>
      </w:r>
      <w:r>
        <w:t>Admin</w:t>
      </w:r>
      <w:r w:rsidR="00D6194D">
        <w:t>istrators</w:t>
      </w:r>
      <w:bookmarkEnd w:id="41"/>
    </w:p>
    <w:tbl>
      <w:tblPr>
        <w:tblStyle w:val="GridTable1Light-Accent1"/>
        <w:tblW w:w="9771" w:type="dxa"/>
        <w:tblLook w:val="0420" w:firstRow="1" w:lastRow="0" w:firstColumn="0" w:lastColumn="0" w:noHBand="0" w:noVBand="1"/>
        <w:tblCaption w:val="Semi-structured interview with managers and data administrators"/>
        <w:tblDescription w:val="The table lists the 31 guiding questions from the semistructured interviews with managers and data administrators. The second column lists the 'evaluation theme (whether the question relates to: design appropriateness, service duplication, quality of delivery, data requirements, making improvements, resource use and unintended consequences)."/>
      </w:tblPr>
      <w:tblGrid>
        <w:gridCol w:w="7588"/>
        <w:gridCol w:w="2183"/>
      </w:tblGrid>
      <w:tr w:rsidR="006E04F2" w:rsidRPr="00096DFD" w14:paraId="678DC94E" w14:textId="77777777" w:rsidTr="00696E84">
        <w:trPr>
          <w:cnfStyle w:val="100000000000" w:firstRow="1" w:lastRow="0" w:firstColumn="0" w:lastColumn="0" w:oddVBand="0" w:evenVBand="0" w:oddHBand="0" w:evenHBand="0" w:firstRowFirstColumn="0" w:firstRowLastColumn="0" w:lastRowFirstColumn="0" w:lastRowLastColumn="0"/>
          <w:trHeight w:val="449"/>
          <w:tblHeader/>
        </w:trPr>
        <w:tc>
          <w:tcPr>
            <w:tcW w:w="7928" w:type="dxa"/>
            <w:vAlign w:val="center"/>
            <w:hideMark/>
          </w:tcPr>
          <w:p w14:paraId="60C269BC" w14:textId="77777777" w:rsidR="006E04F2" w:rsidRPr="00351FC8" w:rsidRDefault="006E04F2" w:rsidP="00793605">
            <w:pPr>
              <w:pStyle w:val="Heading4"/>
              <w:tabs>
                <w:tab w:val="clear" w:pos="1361"/>
              </w:tabs>
              <w:ind w:left="598" w:hanging="567"/>
            </w:pPr>
            <w:r w:rsidRPr="00351FC8">
              <w:rPr>
                <w:lang w:val="en-US"/>
              </w:rPr>
              <w:t>Guiding Questions</w:t>
            </w:r>
          </w:p>
        </w:tc>
        <w:tc>
          <w:tcPr>
            <w:tcW w:w="1843" w:type="dxa"/>
            <w:vAlign w:val="center"/>
            <w:hideMark/>
          </w:tcPr>
          <w:p w14:paraId="1D5F2EA9" w14:textId="77777777" w:rsidR="006E04F2" w:rsidRPr="00351FC8" w:rsidRDefault="006E04F2" w:rsidP="00793605">
            <w:pPr>
              <w:pStyle w:val="Heading4"/>
              <w:ind w:hanging="1361"/>
            </w:pPr>
            <w:r w:rsidRPr="00351FC8">
              <w:rPr>
                <w:lang w:val="en-US"/>
              </w:rPr>
              <w:t>Eval</w:t>
            </w:r>
            <w:r w:rsidRPr="00096DFD">
              <w:rPr>
                <w:lang w:val="en-US"/>
              </w:rPr>
              <w:t>uation Theme</w:t>
            </w:r>
          </w:p>
        </w:tc>
      </w:tr>
      <w:tr w:rsidR="006E04F2" w:rsidRPr="00096DFD" w14:paraId="5AC9259D" w14:textId="77777777" w:rsidTr="00096DFD">
        <w:trPr>
          <w:trHeight w:val="630"/>
        </w:trPr>
        <w:tc>
          <w:tcPr>
            <w:tcW w:w="7928" w:type="dxa"/>
            <w:vAlign w:val="center"/>
            <w:hideMark/>
          </w:tcPr>
          <w:p w14:paraId="4570B337" w14:textId="19E6EE22"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 xml:space="preserve">To what extent do you consider the service to be an Indigenous approach in terms of its governance and decision-making? </w:t>
            </w:r>
          </w:p>
        </w:tc>
        <w:tc>
          <w:tcPr>
            <w:tcW w:w="1843" w:type="dxa"/>
            <w:vAlign w:val="center"/>
            <w:hideMark/>
          </w:tcPr>
          <w:p w14:paraId="0F9824D1" w14:textId="7F610A6C"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Design Appropriateness</w:t>
            </w:r>
          </w:p>
        </w:tc>
      </w:tr>
      <w:tr w:rsidR="006E04F2" w:rsidRPr="00096DFD" w14:paraId="156F43AA" w14:textId="77777777" w:rsidTr="00096DFD">
        <w:trPr>
          <w:trHeight w:val="560"/>
        </w:trPr>
        <w:tc>
          <w:tcPr>
            <w:tcW w:w="7928" w:type="dxa"/>
            <w:vAlign w:val="center"/>
            <w:hideMark/>
          </w:tcPr>
          <w:p w14:paraId="71B4E102" w14:textId="64A3E5B2"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To what extent would you describe the service as being culturally respectful and culturally safe?</w:t>
            </w:r>
          </w:p>
        </w:tc>
        <w:tc>
          <w:tcPr>
            <w:tcW w:w="1843" w:type="dxa"/>
            <w:vAlign w:val="center"/>
            <w:hideMark/>
          </w:tcPr>
          <w:p w14:paraId="4328F5EC" w14:textId="37E2ED3B"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Design Appropriateness</w:t>
            </w:r>
          </w:p>
        </w:tc>
      </w:tr>
      <w:tr w:rsidR="006E04F2" w:rsidRPr="00096DFD" w14:paraId="12D38C7C" w14:textId="77777777" w:rsidTr="00096DFD">
        <w:trPr>
          <w:trHeight w:val="302"/>
        </w:trPr>
        <w:tc>
          <w:tcPr>
            <w:tcW w:w="7928" w:type="dxa"/>
            <w:vAlign w:val="center"/>
            <w:hideMark/>
          </w:tcPr>
          <w:p w14:paraId="68839DEF" w14:textId="681BA8D3"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To what extent would you describe the service as being strengths-based?</w:t>
            </w:r>
          </w:p>
        </w:tc>
        <w:tc>
          <w:tcPr>
            <w:tcW w:w="1843" w:type="dxa"/>
            <w:vAlign w:val="center"/>
            <w:hideMark/>
          </w:tcPr>
          <w:p w14:paraId="1C4EB71D" w14:textId="157CEBF3"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Design Appropriateness</w:t>
            </w:r>
          </w:p>
        </w:tc>
      </w:tr>
      <w:tr w:rsidR="006E04F2" w:rsidRPr="00096DFD" w14:paraId="52051576" w14:textId="77777777" w:rsidTr="00096DFD">
        <w:trPr>
          <w:trHeight w:val="618"/>
        </w:trPr>
        <w:tc>
          <w:tcPr>
            <w:tcW w:w="7928" w:type="dxa"/>
            <w:vAlign w:val="center"/>
            <w:hideMark/>
          </w:tcPr>
          <w:p w14:paraId="58C12652" w14:textId="0C20A940"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To what extent do you think the service model is meeting client needs for cultural strengthening and expanded connections to family, kin and community?</w:t>
            </w:r>
          </w:p>
        </w:tc>
        <w:tc>
          <w:tcPr>
            <w:tcW w:w="1843" w:type="dxa"/>
            <w:vAlign w:val="center"/>
            <w:hideMark/>
          </w:tcPr>
          <w:p w14:paraId="04E7F740" w14:textId="7C0BB434"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Design Appropriateness</w:t>
            </w:r>
          </w:p>
        </w:tc>
      </w:tr>
      <w:tr w:rsidR="006E04F2" w:rsidRPr="00096DFD" w14:paraId="01A772D1" w14:textId="77777777" w:rsidTr="00096DFD">
        <w:trPr>
          <w:trHeight w:val="854"/>
        </w:trPr>
        <w:tc>
          <w:tcPr>
            <w:tcW w:w="7928" w:type="dxa"/>
            <w:vAlign w:val="center"/>
            <w:hideMark/>
          </w:tcPr>
          <w:p w14:paraId="28152716" w14:textId="5AEBD373"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 xml:space="preserve">Do you believe the service to be collaborative in terms of service planning and allocation of referrals? </w:t>
            </w:r>
            <w:r w:rsidRPr="00096DFD">
              <w:rPr>
                <w:rFonts w:cstheme="minorHAnsi"/>
                <w:color w:val="000000" w:themeColor="text1"/>
                <w:kern w:val="24"/>
                <w:sz w:val="20"/>
                <w:szCs w:val="20"/>
              </w:rPr>
              <w:t xml:space="preserve">How well does the service work alongside other government and non-government services? </w:t>
            </w:r>
          </w:p>
        </w:tc>
        <w:tc>
          <w:tcPr>
            <w:tcW w:w="1843" w:type="dxa"/>
            <w:vAlign w:val="center"/>
            <w:hideMark/>
          </w:tcPr>
          <w:p w14:paraId="4E893AF4" w14:textId="599B0E7D"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Service Duplication</w:t>
            </w:r>
          </w:p>
        </w:tc>
      </w:tr>
      <w:tr w:rsidR="006E04F2" w:rsidRPr="00096DFD" w14:paraId="6B9F6358" w14:textId="77777777" w:rsidTr="00096DFD">
        <w:trPr>
          <w:trHeight w:val="554"/>
        </w:trPr>
        <w:tc>
          <w:tcPr>
            <w:tcW w:w="7928" w:type="dxa"/>
            <w:vAlign w:val="center"/>
            <w:hideMark/>
          </w:tcPr>
          <w:p w14:paraId="0FEC7D0B" w14:textId="6D2E977F" w:rsidR="006E04F2" w:rsidRPr="00351FC8" w:rsidRDefault="006E04F2" w:rsidP="00096DFD">
            <w:pPr>
              <w:rPr>
                <w:rFonts w:cstheme="minorHAnsi"/>
                <w:color w:val="000000" w:themeColor="text1"/>
                <w:sz w:val="20"/>
                <w:szCs w:val="20"/>
              </w:rPr>
            </w:pPr>
            <w:r w:rsidRPr="00096DFD">
              <w:rPr>
                <w:rFonts w:cstheme="minorHAnsi"/>
                <w:color w:val="000000" w:themeColor="text1"/>
                <w:kern w:val="24"/>
                <w:sz w:val="20"/>
                <w:szCs w:val="20"/>
                <w:lang w:val="en-US"/>
              </w:rPr>
              <w:t>To what extent do you consider the service system to be ‘mature’ in terms of access to and availability of referral services, clarity of referral pathways and follow up?</w:t>
            </w:r>
          </w:p>
        </w:tc>
        <w:tc>
          <w:tcPr>
            <w:tcW w:w="1843" w:type="dxa"/>
            <w:vAlign w:val="center"/>
            <w:hideMark/>
          </w:tcPr>
          <w:p w14:paraId="7E85BC8D" w14:textId="7B395D99"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Service Duplication</w:t>
            </w:r>
          </w:p>
        </w:tc>
      </w:tr>
      <w:tr w:rsidR="006E04F2" w:rsidRPr="00096DFD" w14:paraId="17E60E63" w14:textId="77777777" w:rsidTr="00096DFD">
        <w:trPr>
          <w:trHeight w:val="626"/>
        </w:trPr>
        <w:tc>
          <w:tcPr>
            <w:tcW w:w="7928" w:type="dxa"/>
            <w:vAlign w:val="center"/>
            <w:hideMark/>
          </w:tcPr>
          <w:p w14:paraId="5CB321A0" w14:textId="0711E779" w:rsidR="006E04F2" w:rsidRPr="00351FC8" w:rsidRDefault="006E04F2" w:rsidP="00096DFD">
            <w:pPr>
              <w:rPr>
                <w:rFonts w:cstheme="minorHAnsi"/>
                <w:color w:val="000000" w:themeColor="text1"/>
                <w:sz w:val="20"/>
                <w:szCs w:val="20"/>
              </w:rPr>
            </w:pPr>
            <w:r w:rsidRPr="00096DFD">
              <w:rPr>
                <w:rFonts w:cstheme="minorHAnsi"/>
                <w:color w:val="000000" w:themeColor="text1"/>
                <w:kern w:val="24"/>
                <w:sz w:val="20"/>
                <w:szCs w:val="20"/>
              </w:rPr>
              <w:t>Do you think there are areas of duplication of service? Or alternatively, clear service gaps?</w:t>
            </w:r>
          </w:p>
        </w:tc>
        <w:tc>
          <w:tcPr>
            <w:tcW w:w="1843" w:type="dxa"/>
            <w:vAlign w:val="center"/>
            <w:hideMark/>
          </w:tcPr>
          <w:p w14:paraId="5F1DDE4D" w14:textId="28A49BAF"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Service Duplication</w:t>
            </w:r>
          </w:p>
        </w:tc>
      </w:tr>
      <w:tr w:rsidR="006E04F2" w:rsidRPr="00096DFD" w14:paraId="24F50909" w14:textId="77777777" w:rsidTr="00096DFD">
        <w:trPr>
          <w:trHeight w:val="628"/>
        </w:trPr>
        <w:tc>
          <w:tcPr>
            <w:tcW w:w="7928" w:type="dxa"/>
            <w:vAlign w:val="center"/>
            <w:hideMark/>
          </w:tcPr>
          <w:p w14:paraId="6FC29A58" w14:textId="2F8E204C"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Describe your experience with recruitment and retention? (prompts: required staffing  levels, recruitment of Indigenous staff, qualification</w:t>
            </w:r>
            <w:r w:rsidR="00551C11">
              <w:rPr>
                <w:rFonts w:eastAsiaTheme="minorEastAsia" w:cstheme="minorHAnsi"/>
                <w:color w:val="000000" w:themeColor="text1"/>
                <w:kern w:val="24"/>
                <w:sz w:val="20"/>
                <w:szCs w:val="20"/>
                <w:lang w:val="en-US"/>
              </w:rPr>
              <w:t xml:space="preserve">, </w:t>
            </w:r>
            <w:r w:rsidRPr="00096DFD">
              <w:rPr>
                <w:rFonts w:eastAsiaTheme="minorEastAsia" w:cstheme="minorHAnsi"/>
                <w:color w:val="000000" w:themeColor="text1"/>
                <w:kern w:val="24"/>
                <w:sz w:val="20"/>
                <w:szCs w:val="20"/>
                <w:lang w:val="en-US"/>
              </w:rPr>
              <w:t>and experience levels)</w:t>
            </w:r>
          </w:p>
        </w:tc>
        <w:tc>
          <w:tcPr>
            <w:tcW w:w="1843" w:type="dxa"/>
            <w:vAlign w:val="center"/>
            <w:hideMark/>
          </w:tcPr>
          <w:p w14:paraId="17A80C85" w14:textId="489FC22D"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1644C6FC" w14:textId="77777777" w:rsidTr="00096DFD">
        <w:trPr>
          <w:trHeight w:val="552"/>
        </w:trPr>
        <w:tc>
          <w:tcPr>
            <w:tcW w:w="7928" w:type="dxa"/>
            <w:vAlign w:val="center"/>
            <w:hideMark/>
          </w:tcPr>
          <w:p w14:paraId="67685304" w14:textId="1182350F" w:rsidR="006E04F2" w:rsidRPr="00351FC8" w:rsidRDefault="006E04F2" w:rsidP="00096DFD">
            <w:pPr>
              <w:rPr>
                <w:rFonts w:cstheme="minorHAnsi"/>
                <w:color w:val="000000" w:themeColor="text1"/>
                <w:sz w:val="20"/>
                <w:szCs w:val="20"/>
              </w:rPr>
            </w:pPr>
            <w:r w:rsidRPr="00096DFD">
              <w:rPr>
                <w:rFonts w:cstheme="minorHAnsi"/>
                <w:color w:val="000000" w:themeColor="text1"/>
                <w:kern w:val="24"/>
                <w:sz w:val="20"/>
                <w:szCs w:val="20"/>
                <w:lang w:val="en-US"/>
              </w:rPr>
              <w:t xml:space="preserve">Tell me about the on-boarding process? (prompts: induction training, service system orientation, data collection and file management, jurisdictional clearances) </w:t>
            </w:r>
          </w:p>
        </w:tc>
        <w:tc>
          <w:tcPr>
            <w:tcW w:w="1843" w:type="dxa"/>
            <w:vAlign w:val="center"/>
            <w:hideMark/>
          </w:tcPr>
          <w:p w14:paraId="2845BBDD" w14:textId="12F25C41"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1294583E" w14:textId="77777777" w:rsidTr="00096DFD">
        <w:trPr>
          <w:trHeight w:val="574"/>
        </w:trPr>
        <w:tc>
          <w:tcPr>
            <w:tcW w:w="7928" w:type="dxa"/>
            <w:vAlign w:val="center"/>
            <w:hideMark/>
          </w:tcPr>
          <w:p w14:paraId="67925FC7" w14:textId="14B06011"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Are case workers trained in the through-care model core elements and minimum standards? (prompts: timing, policies and procedures, ancillary training, self-care)</w:t>
            </w:r>
          </w:p>
        </w:tc>
        <w:tc>
          <w:tcPr>
            <w:tcW w:w="1843" w:type="dxa"/>
            <w:vAlign w:val="center"/>
            <w:hideMark/>
          </w:tcPr>
          <w:p w14:paraId="757131E7" w14:textId="486ADB15"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14780201" w14:textId="77777777" w:rsidTr="00096DFD">
        <w:trPr>
          <w:trHeight w:val="540"/>
        </w:trPr>
        <w:tc>
          <w:tcPr>
            <w:tcW w:w="7928" w:type="dxa"/>
            <w:vAlign w:val="center"/>
          </w:tcPr>
          <w:p w14:paraId="6009F699" w14:textId="730FF244"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ongoing professional development support is available to staff? (prompts: professional development plan, accredited training, communities of practice, inter-agency fora)</w:t>
            </w:r>
          </w:p>
        </w:tc>
        <w:tc>
          <w:tcPr>
            <w:tcW w:w="1843" w:type="dxa"/>
            <w:vAlign w:val="center"/>
          </w:tcPr>
          <w:p w14:paraId="79462EA2" w14:textId="0BC06C80"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7CB53425" w14:textId="77777777" w:rsidTr="00096DFD">
        <w:trPr>
          <w:trHeight w:val="562"/>
        </w:trPr>
        <w:tc>
          <w:tcPr>
            <w:tcW w:w="7928" w:type="dxa"/>
            <w:vAlign w:val="center"/>
          </w:tcPr>
          <w:p w14:paraId="5AF18B4C" w14:textId="11A712D8"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policies and procedures or other process documentation is available to guide case-management. Is this actively followed? [Please sight this documentation].</w:t>
            </w:r>
          </w:p>
        </w:tc>
        <w:tc>
          <w:tcPr>
            <w:tcW w:w="1843" w:type="dxa"/>
            <w:vAlign w:val="center"/>
          </w:tcPr>
          <w:p w14:paraId="7F79BF84" w14:textId="509B4169"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3B75357A" w14:textId="77777777" w:rsidTr="00096DFD">
        <w:trPr>
          <w:trHeight w:val="840"/>
        </w:trPr>
        <w:tc>
          <w:tcPr>
            <w:tcW w:w="7928" w:type="dxa"/>
            <w:vAlign w:val="center"/>
          </w:tcPr>
          <w:p w14:paraId="4E9E5FC2" w14:textId="23CEE026"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 xml:space="preserve">Tell me about the </w:t>
            </w:r>
            <w:r w:rsidR="00551C11" w:rsidRPr="00096DFD">
              <w:rPr>
                <w:rFonts w:eastAsiaTheme="minorEastAsia" w:cstheme="minorHAnsi"/>
                <w:color w:val="000000" w:themeColor="text1"/>
                <w:kern w:val="24"/>
                <w:sz w:val="20"/>
                <w:szCs w:val="20"/>
                <w:lang w:val="en-US"/>
              </w:rPr>
              <w:t>policies</w:t>
            </w:r>
            <w:r w:rsidRPr="00096DFD">
              <w:rPr>
                <w:rFonts w:eastAsiaTheme="minorEastAsia" w:cstheme="minorHAnsi"/>
                <w:color w:val="000000" w:themeColor="text1"/>
                <w:kern w:val="24"/>
                <w:sz w:val="20"/>
                <w:szCs w:val="20"/>
                <w:lang w:val="en-US"/>
              </w:rPr>
              <w:t xml:space="preserve"> and procedures for staff supervision? (prompts: performance reviews, </w:t>
            </w:r>
            <w:r w:rsidRPr="00096DFD">
              <w:rPr>
                <w:rFonts w:cstheme="minorHAnsi"/>
                <w:color w:val="000000" w:themeColor="text1"/>
                <w:kern w:val="24"/>
                <w:sz w:val="20"/>
                <w:szCs w:val="20"/>
                <w:lang w:val="en-US"/>
              </w:rPr>
              <w:t xml:space="preserve">well-being monitoring, access to funded clinical supervision, </w:t>
            </w:r>
            <w:r w:rsidR="00551C11" w:rsidRPr="00096DFD">
              <w:rPr>
                <w:rFonts w:cstheme="minorHAnsi"/>
                <w:color w:val="000000" w:themeColor="text1"/>
                <w:kern w:val="24"/>
                <w:sz w:val="20"/>
                <w:szCs w:val="20"/>
                <w:lang w:val="en-US"/>
              </w:rPr>
              <w:t>counselling,</w:t>
            </w:r>
            <w:r w:rsidRPr="00096DFD">
              <w:rPr>
                <w:rFonts w:cstheme="minorHAnsi"/>
                <w:color w:val="000000" w:themeColor="text1"/>
                <w:kern w:val="24"/>
                <w:sz w:val="20"/>
                <w:szCs w:val="20"/>
                <w:lang w:val="en-US"/>
              </w:rPr>
              <w:t xml:space="preserve"> or cultural support services)</w:t>
            </w:r>
          </w:p>
        </w:tc>
        <w:tc>
          <w:tcPr>
            <w:tcW w:w="1843" w:type="dxa"/>
            <w:vAlign w:val="center"/>
          </w:tcPr>
          <w:p w14:paraId="2CCC7A1B" w14:textId="6456BEF0"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591DEBF6" w14:textId="77777777" w:rsidTr="00096DFD">
        <w:trPr>
          <w:trHeight w:val="555"/>
        </w:trPr>
        <w:tc>
          <w:tcPr>
            <w:tcW w:w="7928" w:type="dxa"/>
            <w:vAlign w:val="center"/>
          </w:tcPr>
          <w:p w14:paraId="1A9150BB" w14:textId="4B0245C8" w:rsidR="006E04F2" w:rsidRPr="00096DFD" w:rsidRDefault="006E04F2" w:rsidP="00096DFD">
            <w:pPr>
              <w:rPr>
                <w:rFonts w:cstheme="minorHAnsi"/>
                <w:color w:val="000000" w:themeColor="text1"/>
                <w:kern w:val="24"/>
                <w:sz w:val="20"/>
                <w:szCs w:val="20"/>
                <w:lang w:val="en-US"/>
              </w:rPr>
            </w:pPr>
            <w:r w:rsidRPr="00096DFD">
              <w:rPr>
                <w:rFonts w:cstheme="minorHAnsi"/>
                <w:color w:val="000000" w:themeColor="text1"/>
                <w:kern w:val="24"/>
                <w:sz w:val="20"/>
                <w:szCs w:val="20"/>
                <w:lang w:val="en-US"/>
              </w:rPr>
              <w:t xml:space="preserve">Describe the processes in place for case workers to give feedback on workplace practices? (prompts: examples, calibration of </w:t>
            </w:r>
            <w:r w:rsidR="00551C11" w:rsidRPr="00096DFD">
              <w:rPr>
                <w:rFonts w:eastAsiaTheme="minorEastAsia" w:cstheme="minorHAnsi"/>
                <w:color w:val="000000" w:themeColor="text1"/>
                <w:kern w:val="24"/>
                <w:sz w:val="20"/>
                <w:szCs w:val="20"/>
                <w:lang w:val="en-US"/>
              </w:rPr>
              <w:t>case</w:t>
            </w:r>
            <w:r w:rsidR="00694565">
              <w:rPr>
                <w:rFonts w:eastAsiaTheme="minorEastAsia" w:cstheme="minorHAnsi"/>
                <w:color w:val="000000" w:themeColor="text1"/>
                <w:kern w:val="24"/>
                <w:sz w:val="20"/>
                <w:szCs w:val="20"/>
                <w:lang w:val="en-US"/>
              </w:rPr>
              <w:t>-</w:t>
            </w:r>
            <w:r w:rsidR="00551C11" w:rsidRPr="00096DFD">
              <w:rPr>
                <w:rFonts w:eastAsiaTheme="minorEastAsia" w:cstheme="minorHAnsi"/>
                <w:color w:val="000000" w:themeColor="text1"/>
                <w:kern w:val="24"/>
                <w:sz w:val="20"/>
                <w:szCs w:val="20"/>
                <w:lang w:val="en-US"/>
              </w:rPr>
              <w:t>loads</w:t>
            </w:r>
            <w:r w:rsidRPr="00096DFD">
              <w:rPr>
                <w:rFonts w:eastAsiaTheme="minorEastAsia" w:cstheme="minorHAnsi"/>
                <w:color w:val="000000" w:themeColor="text1"/>
                <w:kern w:val="24"/>
                <w:sz w:val="20"/>
                <w:szCs w:val="20"/>
                <w:lang w:val="en-US"/>
              </w:rPr>
              <w:t>)</w:t>
            </w:r>
          </w:p>
        </w:tc>
        <w:tc>
          <w:tcPr>
            <w:tcW w:w="1843" w:type="dxa"/>
            <w:vAlign w:val="center"/>
          </w:tcPr>
          <w:p w14:paraId="53D2CD61" w14:textId="661F7193"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Quality of Delivery</w:t>
            </w:r>
          </w:p>
        </w:tc>
      </w:tr>
      <w:tr w:rsidR="006E04F2" w:rsidRPr="00096DFD" w14:paraId="7760930D" w14:textId="77777777" w:rsidTr="00096DFD">
        <w:trPr>
          <w:trHeight w:val="563"/>
        </w:trPr>
        <w:tc>
          <w:tcPr>
            <w:tcW w:w="7928" w:type="dxa"/>
            <w:vAlign w:val="center"/>
          </w:tcPr>
          <w:p w14:paraId="6BF22185" w14:textId="5A163D3E" w:rsidR="006E04F2" w:rsidRPr="00096DFD" w:rsidRDefault="006E04F2" w:rsidP="00096DFD">
            <w:pPr>
              <w:rPr>
                <w:rFonts w:cstheme="minorHAnsi"/>
                <w:color w:val="000000" w:themeColor="text1"/>
                <w:kern w:val="24"/>
                <w:sz w:val="20"/>
                <w:szCs w:val="20"/>
                <w:lang w:val="en-US"/>
              </w:rPr>
            </w:pPr>
            <w:r w:rsidRPr="00096DFD">
              <w:rPr>
                <w:rFonts w:cstheme="minorHAnsi"/>
                <w:color w:val="000000" w:themeColor="text1"/>
                <w:kern w:val="24"/>
                <w:sz w:val="20"/>
                <w:szCs w:val="20"/>
                <w:lang w:val="en-US"/>
              </w:rPr>
              <w:t xml:space="preserve">Describe the systems and processes in place to support data collection? (prompts: policies and procedures, training, </w:t>
            </w:r>
            <w:r w:rsidRPr="00096DFD">
              <w:rPr>
                <w:rFonts w:eastAsiaTheme="minorEastAsia" w:cstheme="minorHAnsi"/>
                <w:color w:val="000000" w:themeColor="text1"/>
                <w:kern w:val="24"/>
                <w:sz w:val="20"/>
                <w:szCs w:val="20"/>
                <w:lang w:val="en-US"/>
              </w:rPr>
              <w:t>file structure, templates, IT infrastructure)</w:t>
            </w:r>
          </w:p>
        </w:tc>
        <w:tc>
          <w:tcPr>
            <w:tcW w:w="1843" w:type="dxa"/>
            <w:vAlign w:val="center"/>
          </w:tcPr>
          <w:p w14:paraId="42FCCD66" w14:textId="685B13A8"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Data Requirements</w:t>
            </w:r>
          </w:p>
        </w:tc>
      </w:tr>
      <w:tr w:rsidR="006E04F2" w:rsidRPr="00096DFD" w14:paraId="596D3725" w14:textId="77777777" w:rsidTr="00096DFD">
        <w:trPr>
          <w:trHeight w:val="840"/>
        </w:trPr>
        <w:tc>
          <w:tcPr>
            <w:tcW w:w="7928" w:type="dxa"/>
            <w:vAlign w:val="center"/>
          </w:tcPr>
          <w:p w14:paraId="4EF64120" w14:textId="7ACC633E"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Tell me about the ways data is actively used to inform case management, client planning and continuous improvement? (prompts: data analysis, team meetings, continuous improvement plans)</w:t>
            </w:r>
          </w:p>
        </w:tc>
        <w:tc>
          <w:tcPr>
            <w:tcW w:w="1843" w:type="dxa"/>
            <w:vAlign w:val="center"/>
          </w:tcPr>
          <w:p w14:paraId="582D3593" w14:textId="6E58481B"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themeColor="text1"/>
                <w:kern w:val="24"/>
                <w:sz w:val="20"/>
                <w:szCs w:val="20"/>
                <w:lang w:val="en-US"/>
              </w:rPr>
              <w:t>Data Requirements</w:t>
            </w:r>
          </w:p>
        </w:tc>
      </w:tr>
      <w:tr w:rsidR="006E04F2" w:rsidRPr="00096DFD" w14:paraId="79F4E93A" w14:textId="77777777" w:rsidTr="00096DFD">
        <w:trPr>
          <w:trHeight w:val="554"/>
        </w:trPr>
        <w:tc>
          <w:tcPr>
            <w:tcW w:w="7928" w:type="dxa"/>
            <w:vAlign w:val="center"/>
          </w:tcPr>
          <w:p w14:paraId="2D387F77" w14:textId="537BD07C"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rPr>
              <w:t>Are data collection and reporting processes supporting effective monitoring and evaluation of the program?</w:t>
            </w:r>
          </w:p>
        </w:tc>
        <w:tc>
          <w:tcPr>
            <w:tcW w:w="1843" w:type="dxa"/>
            <w:vAlign w:val="center"/>
          </w:tcPr>
          <w:p w14:paraId="6B7EC914" w14:textId="4FFA034E"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Data Requirements</w:t>
            </w:r>
          </w:p>
        </w:tc>
      </w:tr>
      <w:tr w:rsidR="006E04F2" w:rsidRPr="00096DFD" w14:paraId="3AA6450E" w14:textId="77777777" w:rsidTr="00096DFD">
        <w:trPr>
          <w:trHeight w:val="690"/>
        </w:trPr>
        <w:tc>
          <w:tcPr>
            <w:tcW w:w="7928" w:type="dxa"/>
            <w:vAlign w:val="center"/>
          </w:tcPr>
          <w:p w14:paraId="43A46050" w14:textId="58EABAA2"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Is the most useful data collected, analy</w:t>
            </w:r>
            <w:r w:rsidR="00551C11">
              <w:rPr>
                <w:rFonts w:eastAsiaTheme="minorEastAsia" w:cstheme="minorHAnsi"/>
                <w:color w:val="000000" w:themeColor="text1"/>
                <w:kern w:val="24"/>
                <w:sz w:val="20"/>
                <w:szCs w:val="20"/>
                <w:lang w:val="en-US"/>
              </w:rPr>
              <w:t>z</w:t>
            </w:r>
            <w:r w:rsidRPr="00096DFD">
              <w:rPr>
                <w:rFonts w:eastAsiaTheme="minorEastAsia" w:cstheme="minorHAnsi"/>
                <w:color w:val="000000" w:themeColor="text1"/>
                <w:kern w:val="24"/>
                <w:sz w:val="20"/>
                <w:szCs w:val="20"/>
                <w:lang w:val="en-US"/>
              </w:rPr>
              <w:t>ed and reported? If not, what data needs to be collected?</w:t>
            </w:r>
          </w:p>
        </w:tc>
        <w:tc>
          <w:tcPr>
            <w:tcW w:w="1843" w:type="dxa"/>
            <w:vAlign w:val="center"/>
          </w:tcPr>
          <w:p w14:paraId="140FBBDA" w14:textId="36E2ABA8"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Data Requirements</w:t>
            </w:r>
          </w:p>
        </w:tc>
      </w:tr>
      <w:tr w:rsidR="006E04F2" w:rsidRPr="00096DFD" w14:paraId="019718A5" w14:textId="77777777" w:rsidTr="00096DFD">
        <w:trPr>
          <w:trHeight w:val="671"/>
        </w:trPr>
        <w:tc>
          <w:tcPr>
            <w:tcW w:w="7928" w:type="dxa"/>
            <w:vAlign w:val="center"/>
          </w:tcPr>
          <w:p w14:paraId="17B40008" w14:textId="30E00A00"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Are there ways in which data management for the program could be improved (prompts: systems and processes, data collection, data types, data analysis and reporting)</w:t>
            </w:r>
          </w:p>
        </w:tc>
        <w:tc>
          <w:tcPr>
            <w:tcW w:w="1843" w:type="dxa"/>
            <w:vAlign w:val="center"/>
          </w:tcPr>
          <w:p w14:paraId="6F71F37E" w14:textId="1DEC5DCC"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Making Improvements</w:t>
            </w:r>
          </w:p>
        </w:tc>
      </w:tr>
      <w:tr w:rsidR="006E04F2" w:rsidRPr="00096DFD" w14:paraId="172FB191" w14:textId="77777777" w:rsidTr="00096DFD">
        <w:trPr>
          <w:trHeight w:val="553"/>
        </w:trPr>
        <w:tc>
          <w:tcPr>
            <w:tcW w:w="7928" w:type="dxa"/>
            <w:vAlign w:val="center"/>
          </w:tcPr>
          <w:p w14:paraId="2836FD7E" w14:textId="63104F1E"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 xml:space="preserve">Describe how resources (financial, human) are allocated across the program? </w:t>
            </w:r>
            <w:r w:rsidRPr="00096DFD">
              <w:rPr>
                <w:rFonts w:cstheme="minorHAnsi"/>
                <w:color w:val="000000" w:themeColor="text1"/>
                <w:kern w:val="24"/>
                <w:sz w:val="20"/>
                <w:szCs w:val="20"/>
                <w:lang w:val="en-US"/>
              </w:rPr>
              <w:t>(prompts: resource use, resource availability, allocative efficiency</w:t>
            </w:r>
            <w:r w:rsidRPr="00096DFD">
              <w:rPr>
                <w:rFonts w:eastAsiaTheme="minorEastAsia" w:cstheme="minorHAnsi"/>
                <w:color w:val="000000" w:themeColor="text1"/>
                <w:kern w:val="24"/>
                <w:sz w:val="20"/>
                <w:szCs w:val="20"/>
                <w:lang w:val="en-US"/>
              </w:rPr>
              <w:t xml:space="preserve">). </w:t>
            </w:r>
          </w:p>
        </w:tc>
        <w:tc>
          <w:tcPr>
            <w:tcW w:w="1843" w:type="dxa"/>
            <w:vAlign w:val="center"/>
          </w:tcPr>
          <w:p w14:paraId="60A78F42" w14:textId="03B8169B"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Resource Use</w:t>
            </w:r>
          </w:p>
        </w:tc>
      </w:tr>
      <w:tr w:rsidR="006E04F2" w:rsidRPr="00096DFD" w14:paraId="357D19B6" w14:textId="77777777" w:rsidTr="00096DFD">
        <w:trPr>
          <w:trHeight w:val="547"/>
        </w:trPr>
        <w:tc>
          <w:tcPr>
            <w:tcW w:w="7928" w:type="dxa"/>
            <w:vAlign w:val="center"/>
          </w:tcPr>
          <w:p w14:paraId="1BBBD24F" w14:textId="4847F094"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rPr>
              <w:t xml:space="preserve">What is your contracted amount of program funding for the current FY? </w:t>
            </w:r>
            <w:r w:rsidRPr="00096DFD">
              <w:rPr>
                <w:rFonts w:eastAsiaTheme="minorEastAsia" w:cstheme="minorHAnsi"/>
                <w:color w:val="000000" w:themeColor="text1"/>
                <w:kern w:val="24"/>
                <w:sz w:val="20"/>
                <w:szCs w:val="20"/>
                <w:lang w:val="en-US"/>
              </w:rPr>
              <w:t xml:space="preserve">Can you provide an indicative budget breakdown by site, </w:t>
            </w:r>
            <w:r w:rsidRPr="00096DFD">
              <w:rPr>
                <w:rFonts w:eastAsiaTheme="minorEastAsia" w:cstheme="minorHAnsi"/>
                <w:color w:val="000000" w:themeColor="text1"/>
                <w:kern w:val="24"/>
                <w:sz w:val="20"/>
                <w:szCs w:val="20"/>
              </w:rPr>
              <w:t xml:space="preserve">fixed costs and variable costs (including staff costs)? </w:t>
            </w:r>
          </w:p>
        </w:tc>
        <w:tc>
          <w:tcPr>
            <w:tcW w:w="1843" w:type="dxa"/>
            <w:vAlign w:val="center"/>
          </w:tcPr>
          <w:p w14:paraId="0F7FD0E2" w14:textId="0AE5476B"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Resource Use</w:t>
            </w:r>
          </w:p>
        </w:tc>
      </w:tr>
      <w:tr w:rsidR="006E04F2" w:rsidRPr="00096DFD" w14:paraId="66899E33" w14:textId="77777777" w:rsidTr="00096DFD">
        <w:trPr>
          <w:trHeight w:val="427"/>
        </w:trPr>
        <w:tc>
          <w:tcPr>
            <w:tcW w:w="7928" w:type="dxa"/>
            <w:vAlign w:val="center"/>
          </w:tcPr>
          <w:p w14:paraId="1B502A05" w14:textId="18F18BB2"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Tell me about any variances between budgeted and actual expenditure?</w:t>
            </w:r>
          </w:p>
        </w:tc>
        <w:tc>
          <w:tcPr>
            <w:tcW w:w="1843" w:type="dxa"/>
            <w:vAlign w:val="center"/>
          </w:tcPr>
          <w:p w14:paraId="6D68BF8E" w14:textId="0588EB82"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Resource Use</w:t>
            </w:r>
          </w:p>
        </w:tc>
      </w:tr>
      <w:tr w:rsidR="006E04F2" w:rsidRPr="00096DFD" w14:paraId="64FB295F" w14:textId="77777777" w:rsidTr="00096DFD">
        <w:trPr>
          <w:trHeight w:val="547"/>
        </w:trPr>
        <w:tc>
          <w:tcPr>
            <w:tcW w:w="7928" w:type="dxa"/>
            <w:vAlign w:val="center"/>
          </w:tcPr>
          <w:p w14:paraId="4886EEDB" w14:textId="70BF8469"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Feedback from services regarding the efficiency of their operations (in terms of the level of activity/outputs for the resources available) and opportunities for cost savings?</w:t>
            </w:r>
          </w:p>
        </w:tc>
        <w:tc>
          <w:tcPr>
            <w:tcW w:w="1843" w:type="dxa"/>
            <w:vAlign w:val="center"/>
          </w:tcPr>
          <w:p w14:paraId="7B8629B6" w14:textId="7E479418"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Resource Use</w:t>
            </w:r>
          </w:p>
        </w:tc>
      </w:tr>
      <w:tr w:rsidR="006E04F2" w:rsidRPr="00096DFD" w14:paraId="2E0968D2" w14:textId="77777777" w:rsidTr="00096DFD">
        <w:trPr>
          <w:trHeight w:val="568"/>
        </w:trPr>
        <w:tc>
          <w:tcPr>
            <w:tcW w:w="7928" w:type="dxa"/>
            <w:vAlign w:val="center"/>
          </w:tcPr>
          <w:p w14:paraId="126EFDE7" w14:textId="29373139"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Overall, do you feel the program is implemented as designed? (prompts: principles and standards, fidelity, flexibility, local context)</w:t>
            </w:r>
          </w:p>
        </w:tc>
        <w:tc>
          <w:tcPr>
            <w:tcW w:w="1843" w:type="dxa"/>
            <w:vAlign w:val="center"/>
          </w:tcPr>
          <w:p w14:paraId="470F38F8" w14:textId="45680F74"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Design Appropriateness</w:t>
            </w:r>
          </w:p>
        </w:tc>
      </w:tr>
      <w:tr w:rsidR="006E04F2" w:rsidRPr="00096DFD" w14:paraId="3D71A225" w14:textId="77777777" w:rsidTr="00096DFD">
        <w:trPr>
          <w:trHeight w:val="847"/>
        </w:trPr>
        <w:tc>
          <w:tcPr>
            <w:tcW w:w="7928" w:type="dxa"/>
            <w:vAlign w:val="center"/>
          </w:tcPr>
          <w:p w14:paraId="3A071B41" w14:textId="4425B460"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 xml:space="preserve">Does your service reference the co-designed program logic and practice framework when implementing the program? (prompts: involvement in co-design, views on the outputs, use in guiding implementation, use in guiding data collection, thoughts on its quality). </w:t>
            </w:r>
          </w:p>
        </w:tc>
        <w:tc>
          <w:tcPr>
            <w:tcW w:w="1843" w:type="dxa"/>
            <w:vAlign w:val="center"/>
          </w:tcPr>
          <w:p w14:paraId="3DAD53B8" w14:textId="75859B8B"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Design Appropriateness</w:t>
            </w:r>
          </w:p>
        </w:tc>
      </w:tr>
      <w:tr w:rsidR="006E04F2" w:rsidRPr="00096DFD" w14:paraId="0D00A2F6" w14:textId="77777777" w:rsidTr="00096DFD">
        <w:trPr>
          <w:trHeight w:val="391"/>
        </w:trPr>
        <w:tc>
          <w:tcPr>
            <w:tcW w:w="7928" w:type="dxa"/>
            <w:vAlign w:val="center"/>
          </w:tcPr>
          <w:p w14:paraId="2E8B4D27" w14:textId="21AD0714"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aspects of service delivery do you feel are working well? Why?</w:t>
            </w:r>
          </w:p>
        </w:tc>
        <w:tc>
          <w:tcPr>
            <w:tcW w:w="1843" w:type="dxa"/>
            <w:vAlign w:val="center"/>
          </w:tcPr>
          <w:p w14:paraId="311BA7C9" w14:textId="05F54D2E"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Quality of Delivery</w:t>
            </w:r>
          </w:p>
        </w:tc>
      </w:tr>
      <w:tr w:rsidR="006E04F2" w:rsidRPr="00096DFD" w14:paraId="4DF48C8A" w14:textId="77777777" w:rsidTr="00096DFD">
        <w:trPr>
          <w:trHeight w:val="425"/>
        </w:trPr>
        <w:tc>
          <w:tcPr>
            <w:tcW w:w="7928" w:type="dxa"/>
            <w:vAlign w:val="center"/>
          </w:tcPr>
          <w:p w14:paraId="6C788225" w14:textId="2E9E990E"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aspects of service delivery do you feel are no working so well? Why?</w:t>
            </w:r>
          </w:p>
        </w:tc>
        <w:tc>
          <w:tcPr>
            <w:tcW w:w="1843" w:type="dxa"/>
            <w:vAlign w:val="center"/>
          </w:tcPr>
          <w:p w14:paraId="6625A9EB" w14:textId="15628288"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Quality of Delivery</w:t>
            </w:r>
          </w:p>
        </w:tc>
      </w:tr>
      <w:tr w:rsidR="006E04F2" w:rsidRPr="00096DFD" w14:paraId="25A51715" w14:textId="77777777" w:rsidTr="00096DFD">
        <w:trPr>
          <w:trHeight w:val="558"/>
        </w:trPr>
        <w:tc>
          <w:tcPr>
            <w:tcW w:w="7928" w:type="dxa"/>
            <w:vAlign w:val="center"/>
          </w:tcPr>
          <w:p w14:paraId="39C060C0" w14:textId="66391CA6"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Overall, do you feel the systems, processes and people are in place to support case workers to meet client needs? (prompts: challenges, success factors, gaps)</w:t>
            </w:r>
          </w:p>
        </w:tc>
        <w:tc>
          <w:tcPr>
            <w:tcW w:w="1843" w:type="dxa"/>
            <w:vAlign w:val="center"/>
          </w:tcPr>
          <w:p w14:paraId="244C7EB1" w14:textId="380CF6DB"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Quality of Delivery</w:t>
            </w:r>
          </w:p>
        </w:tc>
      </w:tr>
      <w:tr w:rsidR="006E04F2" w:rsidRPr="00096DFD" w14:paraId="20F4218D" w14:textId="77777777" w:rsidTr="00096DFD">
        <w:trPr>
          <w:trHeight w:val="566"/>
        </w:trPr>
        <w:tc>
          <w:tcPr>
            <w:tcW w:w="7928" w:type="dxa"/>
            <w:vAlign w:val="center"/>
          </w:tcPr>
          <w:p w14:paraId="49733EBF" w14:textId="6466EE46"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What examples of successful outcomes for clients are you aware of? What were the drivers of success in these examples?</w:t>
            </w:r>
          </w:p>
        </w:tc>
        <w:tc>
          <w:tcPr>
            <w:tcW w:w="1843" w:type="dxa"/>
            <w:vAlign w:val="center"/>
          </w:tcPr>
          <w:p w14:paraId="653AEF1D" w14:textId="5BCFCE8B"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Achieving Outcomes</w:t>
            </w:r>
          </w:p>
        </w:tc>
      </w:tr>
      <w:tr w:rsidR="006E04F2" w:rsidRPr="00096DFD" w14:paraId="655A22B7" w14:textId="77777777" w:rsidTr="00096DFD">
        <w:trPr>
          <w:trHeight w:val="561"/>
        </w:trPr>
        <w:tc>
          <w:tcPr>
            <w:tcW w:w="7928" w:type="dxa"/>
            <w:vAlign w:val="center"/>
          </w:tcPr>
          <w:p w14:paraId="50B7D4EB" w14:textId="4E337F8A"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Are you aware of any unintended consequences (positive or negative) for clients, family and the community?</w:t>
            </w:r>
          </w:p>
        </w:tc>
        <w:tc>
          <w:tcPr>
            <w:tcW w:w="1843" w:type="dxa"/>
            <w:vAlign w:val="center"/>
          </w:tcPr>
          <w:p w14:paraId="37702C24" w14:textId="28B0B131"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Unintended Consequences</w:t>
            </w:r>
          </w:p>
        </w:tc>
      </w:tr>
      <w:tr w:rsidR="006E04F2" w:rsidRPr="00096DFD" w14:paraId="395FC8B2" w14:textId="77777777" w:rsidTr="00096DFD">
        <w:trPr>
          <w:trHeight w:val="555"/>
        </w:trPr>
        <w:tc>
          <w:tcPr>
            <w:tcW w:w="7928" w:type="dxa"/>
            <w:vAlign w:val="center"/>
          </w:tcPr>
          <w:p w14:paraId="4DF2A4D1" w14:textId="1D8A7966"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 xml:space="preserve">Overall, what do you think are the opportunities to improve the service, and what do you see as the enablers and barriers to achieving this? </w:t>
            </w:r>
          </w:p>
        </w:tc>
        <w:tc>
          <w:tcPr>
            <w:tcW w:w="1843" w:type="dxa"/>
            <w:vAlign w:val="center"/>
          </w:tcPr>
          <w:p w14:paraId="70A9B3B3" w14:textId="645FF44D"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text1"/>
                <w:kern w:val="24"/>
                <w:sz w:val="20"/>
                <w:szCs w:val="20"/>
                <w:lang w:val="en-US"/>
              </w:rPr>
              <w:t>Making Improvements</w:t>
            </w:r>
          </w:p>
        </w:tc>
      </w:tr>
    </w:tbl>
    <w:p w14:paraId="7A60F908" w14:textId="77777777" w:rsidR="00096DFD" w:rsidRDefault="00096DFD" w:rsidP="00EC273E"/>
    <w:p w14:paraId="7F14B3BB" w14:textId="77777777" w:rsidR="00096DFD" w:rsidRDefault="00096DFD">
      <w:pPr>
        <w:spacing w:after="200" w:line="276" w:lineRule="auto"/>
        <w:jc w:val="both"/>
        <w:rPr>
          <w:rFonts w:ascii="Arial" w:hAnsi="Arial" w:cs="Arial"/>
          <w:b/>
          <w:smallCaps/>
          <w:color w:val="17375D"/>
          <w:spacing w:val="10"/>
        </w:rPr>
      </w:pPr>
      <w:r>
        <w:br w:type="page"/>
      </w:r>
    </w:p>
    <w:p w14:paraId="07128A01" w14:textId="06BD8454" w:rsidR="00096DFD" w:rsidRDefault="006E04F2" w:rsidP="0022592D">
      <w:pPr>
        <w:pStyle w:val="Heading2"/>
      </w:pPr>
      <w:bookmarkStart w:id="42" w:name="_Toc150784216"/>
      <w:r w:rsidRPr="00351FC8">
        <w:t xml:space="preserve">Semi-structured Interview with </w:t>
      </w:r>
      <w:r>
        <w:t>Corrective Services</w:t>
      </w:r>
      <w:bookmarkEnd w:id="42"/>
    </w:p>
    <w:tbl>
      <w:tblPr>
        <w:tblStyle w:val="GridTable1Light-Accent1"/>
        <w:tblW w:w="9771" w:type="dxa"/>
        <w:tblLook w:val="0420" w:firstRow="1" w:lastRow="0" w:firstColumn="0" w:lastColumn="0" w:noHBand="0" w:noVBand="1"/>
        <w:tblCaption w:val="Semi-structured interview with corrective services"/>
        <w:tblDescription w:val="A list of the 16 guiding questions used at the sem-structured invterviews with corrective services is provided in the first column. The second column lists the 'evaluation theme' of each question (whether it was about service duplication, quality of delivery, design appropriateness, achieving outcomes, unintended consequences, or making improvements)."/>
      </w:tblPr>
      <w:tblGrid>
        <w:gridCol w:w="7588"/>
        <w:gridCol w:w="2183"/>
      </w:tblGrid>
      <w:tr w:rsidR="006E04F2" w:rsidRPr="00096DFD" w14:paraId="5739EE38" w14:textId="77777777" w:rsidTr="00696E84">
        <w:trPr>
          <w:cnfStyle w:val="100000000000" w:firstRow="1" w:lastRow="0" w:firstColumn="0" w:lastColumn="0" w:oddVBand="0" w:evenVBand="0" w:oddHBand="0" w:evenHBand="0" w:firstRowFirstColumn="0" w:firstRowLastColumn="0" w:lastRowFirstColumn="0" w:lastRowLastColumn="0"/>
          <w:trHeight w:val="407"/>
          <w:tblHeader/>
        </w:trPr>
        <w:tc>
          <w:tcPr>
            <w:tcW w:w="7928" w:type="dxa"/>
            <w:vAlign w:val="center"/>
            <w:hideMark/>
          </w:tcPr>
          <w:p w14:paraId="28D02CB0" w14:textId="77777777" w:rsidR="006E04F2" w:rsidRPr="00351FC8" w:rsidRDefault="006E04F2" w:rsidP="00793605">
            <w:pPr>
              <w:pStyle w:val="Heading4"/>
              <w:tabs>
                <w:tab w:val="clear" w:pos="1361"/>
                <w:tab w:val="num" w:pos="740"/>
              </w:tabs>
              <w:ind w:hanging="1330"/>
            </w:pPr>
            <w:r w:rsidRPr="00351FC8">
              <w:rPr>
                <w:lang w:val="en-US"/>
              </w:rPr>
              <w:t>Guiding Questions</w:t>
            </w:r>
          </w:p>
        </w:tc>
        <w:tc>
          <w:tcPr>
            <w:tcW w:w="1843" w:type="dxa"/>
            <w:vAlign w:val="center"/>
            <w:hideMark/>
          </w:tcPr>
          <w:p w14:paraId="554F1DE0" w14:textId="77777777" w:rsidR="006E04F2" w:rsidRPr="00351FC8" w:rsidRDefault="006E04F2" w:rsidP="00793605">
            <w:pPr>
              <w:pStyle w:val="Heading4"/>
              <w:ind w:hanging="1361"/>
            </w:pPr>
            <w:r w:rsidRPr="00351FC8">
              <w:rPr>
                <w:lang w:val="en-US"/>
              </w:rPr>
              <w:t>Eval</w:t>
            </w:r>
            <w:r w:rsidRPr="00096DFD">
              <w:rPr>
                <w:lang w:val="en-US"/>
              </w:rPr>
              <w:t>uation Theme</w:t>
            </w:r>
          </w:p>
        </w:tc>
      </w:tr>
      <w:tr w:rsidR="006E04F2" w:rsidRPr="00096DFD" w14:paraId="2695E874" w14:textId="77777777" w:rsidTr="00096DFD">
        <w:trPr>
          <w:trHeight w:val="594"/>
        </w:trPr>
        <w:tc>
          <w:tcPr>
            <w:tcW w:w="7928" w:type="dxa"/>
            <w:vAlign w:val="center"/>
            <w:hideMark/>
          </w:tcPr>
          <w:p w14:paraId="6474BDFF" w14:textId="79D33C4A"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 xml:space="preserve">Do you believe the service to be collaborative in terms of service planning and allocation of referrals? </w:t>
            </w:r>
          </w:p>
        </w:tc>
        <w:tc>
          <w:tcPr>
            <w:tcW w:w="1843" w:type="dxa"/>
            <w:vAlign w:val="center"/>
            <w:hideMark/>
          </w:tcPr>
          <w:p w14:paraId="6DA9CFCD" w14:textId="145A221F"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Service Duplication</w:t>
            </w:r>
          </w:p>
        </w:tc>
      </w:tr>
      <w:tr w:rsidR="006E04F2" w:rsidRPr="00096DFD" w14:paraId="04FF8544" w14:textId="77777777" w:rsidTr="00096DFD">
        <w:trPr>
          <w:trHeight w:val="849"/>
        </w:trPr>
        <w:tc>
          <w:tcPr>
            <w:tcW w:w="7928" w:type="dxa"/>
            <w:vAlign w:val="center"/>
            <w:hideMark/>
          </w:tcPr>
          <w:p w14:paraId="60038314" w14:textId="6A3EED7B" w:rsidR="006E04F2" w:rsidRPr="00351FC8" w:rsidRDefault="006E04F2" w:rsidP="00096DFD">
            <w:pPr>
              <w:rPr>
                <w:rFonts w:cstheme="minorHAnsi"/>
                <w:color w:val="000000" w:themeColor="text1"/>
                <w:sz w:val="20"/>
                <w:szCs w:val="20"/>
              </w:rPr>
            </w:pPr>
            <w:r w:rsidRPr="00096DFD">
              <w:rPr>
                <w:rFonts w:cstheme="minorHAnsi"/>
                <w:color w:val="000000" w:themeColor="dark1"/>
                <w:kern w:val="24"/>
                <w:sz w:val="20"/>
                <w:szCs w:val="20"/>
                <w:lang w:val="en-US"/>
              </w:rPr>
              <w:t>To what extent do you consider the service system to be ‘mature’ in terms of access to and availability of referral services, clarity of referral pathways and follow up? Are your referral processes with the through-care provider effective?</w:t>
            </w:r>
          </w:p>
        </w:tc>
        <w:tc>
          <w:tcPr>
            <w:tcW w:w="1843" w:type="dxa"/>
            <w:vAlign w:val="center"/>
            <w:hideMark/>
          </w:tcPr>
          <w:p w14:paraId="01C88769" w14:textId="5199F4CB"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Service Duplication</w:t>
            </w:r>
          </w:p>
        </w:tc>
      </w:tr>
      <w:tr w:rsidR="006E04F2" w:rsidRPr="00096DFD" w14:paraId="63CA9FCA" w14:textId="77777777" w:rsidTr="00096DFD">
        <w:trPr>
          <w:trHeight w:val="550"/>
        </w:trPr>
        <w:tc>
          <w:tcPr>
            <w:tcW w:w="7928" w:type="dxa"/>
            <w:vAlign w:val="center"/>
            <w:hideMark/>
          </w:tcPr>
          <w:p w14:paraId="59A82512" w14:textId="2EEF9C37" w:rsidR="006E04F2" w:rsidRPr="00351FC8" w:rsidRDefault="006E04F2" w:rsidP="00096DFD">
            <w:pPr>
              <w:rPr>
                <w:rFonts w:cstheme="minorHAnsi"/>
                <w:color w:val="000000" w:themeColor="text1"/>
                <w:sz w:val="20"/>
                <w:szCs w:val="20"/>
              </w:rPr>
            </w:pPr>
            <w:r w:rsidRPr="00096DFD">
              <w:rPr>
                <w:rFonts w:cstheme="minorHAnsi"/>
                <w:color w:val="000000" w:themeColor="dark1"/>
                <w:kern w:val="24"/>
                <w:sz w:val="20"/>
                <w:szCs w:val="20"/>
                <w:lang w:val="en-US"/>
              </w:rPr>
              <w:t xml:space="preserve">How would you describe your relationships with case workers? What interactions do you have with them and are these effective? </w:t>
            </w:r>
          </w:p>
        </w:tc>
        <w:tc>
          <w:tcPr>
            <w:tcW w:w="1843" w:type="dxa"/>
            <w:vAlign w:val="center"/>
            <w:hideMark/>
          </w:tcPr>
          <w:p w14:paraId="22A30A30" w14:textId="352BBC61"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Quality of Delivery</w:t>
            </w:r>
          </w:p>
        </w:tc>
      </w:tr>
      <w:tr w:rsidR="006E04F2" w:rsidRPr="00096DFD" w14:paraId="745EB190" w14:textId="77777777" w:rsidTr="00096DFD">
        <w:trPr>
          <w:trHeight w:val="431"/>
        </w:trPr>
        <w:tc>
          <w:tcPr>
            <w:tcW w:w="7928" w:type="dxa"/>
            <w:vAlign w:val="center"/>
            <w:hideMark/>
          </w:tcPr>
          <w:p w14:paraId="6F60E5BE" w14:textId="5078B3B7" w:rsidR="006E04F2" w:rsidRPr="00351FC8" w:rsidRDefault="006E04F2" w:rsidP="00096DFD">
            <w:pPr>
              <w:rPr>
                <w:rFonts w:cstheme="minorHAnsi"/>
                <w:color w:val="000000" w:themeColor="text1"/>
                <w:sz w:val="20"/>
                <w:szCs w:val="20"/>
              </w:rPr>
            </w:pPr>
            <w:r w:rsidRPr="00096DFD">
              <w:rPr>
                <w:rFonts w:cstheme="minorHAnsi"/>
                <w:color w:val="000000" w:themeColor="dark1"/>
                <w:kern w:val="24"/>
                <w:sz w:val="20"/>
                <w:szCs w:val="20"/>
              </w:rPr>
              <w:t>Do you think there are areas of duplication of service? Or alternatively, clear service gaps?</w:t>
            </w:r>
          </w:p>
        </w:tc>
        <w:tc>
          <w:tcPr>
            <w:tcW w:w="1843" w:type="dxa"/>
            <w:vAlign w:val="center"/>
            <w:hideMark/>
          </w:tcPr>
          <w:p w14:paraId="735A904C" w14:textId="4B940E41"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Service Duplication</w:t>
            </w:r>
          </w:p>
        </w:tc>
      </w:tr>
      <w:tr w:rsidR="006E04F2" w:rsidRPr="00096DFD" w14:paraId="1849226B" w14:textId="77777777" w:rsidTr="00096DFD">
        <w:trPr>
          <w:trHeight w:val="551"/>
        </w:trPr>
        <w:tc>
          <w:tcPr>
            <w:tcW w:w="7928" w:type="dxa"/>
            <w:vAlign w:val="center"/>
            <w:hideMark/>
          </w:tcPr>
          <w:p w14:paraId="6FCEC830" w14:textId="635AD7EF" w:rsidR="006E04F2" w:rsidRPr="00351FC8" w:rsidRDefault="006E04F2" w:rsidP="00096DFD">
            <w:pPr>
              <w:rPr>
                <w:rFonts w:cstheme="minorHAnsi"/>
                <w:color w:val="000000" w:themeColor="text1"/>
                <w:sz w:val="20"/>
                <w:szCs w:val="20"/>
              </w:rPr>
            </w:pPr>
            <w:r w:rsidRPr="00096DFD">
              <w:rPr>
                <w:rFonts w:cstheme="minorHAnsi"/>
                <w:color w:val="000000" w:themeColor="dark1"/>
                <w:kern w:val="24"/>
                <w:sz w:val="20"/>
                <w:szCs w:val="20"/>
                <w:lang w:val="en-US"/>
              </w:rPr>
              <w:t>What in your view are the attributes and circumstances of people who enter through-care? Who is choosing not to access through-care services and why?</w:t>
            </w:r>
          </w:p>
        </w:tc>
        <w:tc>
          <w:tcPr>
            <w:tcW w:w="1843" w:type="dxa"/>
            <w:vAlign w:val="center"/>
            <w:hideMark/>
          </w:tcPr>
          <w:p w14:paraId="6AE2C269" w14:textId="326B4D6E"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Design Appropriateness</w:t>
            </w:r>
          </w:p>
        </w:tc>
      </w:tr>
      <w:tr w:rsidR="006E04F2" w:rsidRPr="00096DFD" w14:paraId="7A66E74A" w14:textId="77777777" w:rsidTr="00096DFD">
        <w:trPr>
          <w:trHeight w:val="403"/>
        </w:trPr>
        <w:tc>
          <w:tcPr>
            <w:tcW w:w="7928" w:type="dxa"/>
            <w:vAlign w:val="center"/>
            <w:hideMark/>
          </w:tcPr>
          <w:p w14:paraId="48BA287B" w14:textId="0DD23F72"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What aspects of service delivery do you feel are working well? Why?</w:t>
            </w:r>
          </w:p>
        </w:tc>
        <w:tc>
          <w:tcPr>
            <w:tcW w:w="1843" w:type="dxa"/>
            <w:vAlign w:val="center"/>
            <w:hideMark/>
          </w:tcPr>
          <w:p w14:paraId="28AFC6B5" w14:textId="74301C88"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Quality of Delivery</w:t>
            </w:r>
          </w:p>
        </w:tc>
      </w:tr>
      <w:tr w:rsidR="006E04F2" w:rsidRPr="00096DFD" w14:paraId="143540C3" w14:textId="77777777" w:rsidTr="00096DFD">
        <w:trPr>
          <w:trHeight w:val="422"/>
        </w:trPr>
        <w:tc>
          <w:tcPr>
            <w:tcW w:w="7928" w:type="dxa"/>
            <w:vAlign w:val="center"/>
            <w:hideMark/>
          </w:tcPr>
          <w:p w14:paraId="58C40468" w14:textId="0C3C3582"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What aspects of service delivery do you feel are not working well? Why?</w:t>
            </w:r>
          </w:p>
        </w:tc>
        <w:tc>
          <w:tcPr>
            <w:tcW w:w="1843" w:type="dxa"/>
            <w:vAlign w:val="center"/>
            <w:hideMark/>
          </w:tcPr>
          <w:p w14:paraId="72E9F3A7" w14:textId="593DB997"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Quality of Delivery</w:t>
            </w:r>
          </w:p>
        </w:tc>
      </w:tr>
      <w:tr w:rsidR="006E04F2" w:rsidRPr="00096DFD" w14:paraId="41B02579" w14:textId="77777777" w:rsidTr="00096DFD">
        <w:trPr>
          <w:trHeight w:val="401"/>
        </w:trPr>
        <w:tc>
          <w:tcPr>
            <w:tcW w:w="7928" w:type="dxa"/>
            <w:vAlign w:val="center"/>
            <w:hideMark/>
          </w:tcPr>
          <w:p w14:paraId="5A022C50" w14:textId="628A5755"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 xml:space="preserve">Are there barriers to achieving outcomes for clients that need to be addressed? Please explain. </w:t>
            </w:r>
          </w:p>
        </w:tc>
        <w:tc>
          <w:tcPr>
            <w:tcW w:w="1843" w:type="dxa"/>
            <w:vAlign w:val="center"/>
            <w:hideMark/>
          </w:tcPr>
          <w:p w14:paraId="206AF11A" w14:textId="295A93F9"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Quality of Delivery</w:t>
            </w:r>
          </w:p>
        </w:tc>
      </w:tr>
      <w:tr w:rsidR="006E04F2" w:rsidRPr="00096DFD" w14:paraId="79F877FD" w14:textId="77777777" w:rsidTr="00096DFD">
        <w:trPr>
          <w:trHeight w:val="576"/>
        </w:trPr>
        <w:tc>
          <w:tcPr>
            <w:tcW w:w="7928" w:type="dxa"/>
            <w:vAlign w:val="center"/>
            <w:hideMark/>
          </w:tcPr>
          <w:p w14:paraId="1D9A612F" w14:textId="725FE036"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Are there any specific barriers to sustaining service delivery or maintaining access? Please provide examples.</w:t>
            </w:r>
          </w:p>
        </w:tc>
        <w:tc>
          <w:tcPr>
            <w:tcW w:w="1843" w:type="dxa"/>
            <w:vAlign w:val="center"/>
            <w:hideMark/>
          </w:tcPr>
          <w:p w14:paraId="468F13D4" w14:textId="44B37567"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Quality of Delivery</w:t>
            </w:r>
          </w:p>
        </w:tc>
      </w:tr>
      <w:tr w:rsidR="006E04F2" w:rsidRPr="00096DFD" w14:paraId="15F8DB3D" w14:textId="77777777" w:rsidTr="00096DFD">
        <w:trPr>
          <w:trHeight w:val="542"/>
        </w:trPr>
        <w:tc>
          <w:tcPr>
            <w:tcW w:w="7928" w:type="dxa"/>
            <w:vAlign w:val="center"/>
            <w:hideMark/>
          </w:tcPr>
          <w:p w14:paraId="4C202C28" w14:textId="6277E0C2" w:rsidR="006E04F2" w:rsidRPr="00351FC8" w:rsidRDefault="006E04F2" w:rsidP="00096DFD">
            <w:pPr>
              <w:rPr>
                <w:rFonts w:cstheme="minorHAnsi"/>
                <w:color w:val="000000" w:themeColor="text1"/>
                <w:sz w:val="20"/>
                <w:szCs w:val="20"/>
              </w:rPr>
            </w:pPr>
            <w:r w:rsidRPr="00096DFD">
              <w:rPr>
                <w:rFonts w:eastAsiaTheme="minorEastAsia" w:cstheme="minorHAnsi"/>
                <w:color w:val="000000" w:themeColor="dark1"/>
                <w:kern w:val="24"/>
                <w:sz w:val="20"/>
                <w:szCs w:val="20"/>
                <w:lang w:val="en-US"/>
              </w:rPr>
              <w:t>To what extent do you think the service model is meeting client needs for effective case management and support to successfully return to the community?</w:t>
            </w:r>
          </w:p>
        </w:tc>
        <w:tc>
          <w:tcPr>
            <w:tcW w:w="1843" w:type="dxa"/>
            <w:vAlign w:val="center"/>
            <w:hideMark/>
          </w:tcPr>
          <w:p w14:paraId="094ACF21" w14:textId="22B532C8" w:rsidR="006E04F2" w:rsidRPr="00351FC8" w:rsidRDefault="006E04F2" w:rsidP="00096DFD">
            <w:pPr>
              <w:rPr>
                <w:rFonts w:cstheme="minorHAnsi"/>
                <w:color w:val="000000" w:themeColor="text1"/>
                <w:sz w:val="20"/>
                <w:szCs w:val="20"/>
              </w:rPr>
            </w:pPr>
            <w:r w:rsidRPr="00096DFD">
              <w:rPr>
                <w:rFonts w:eastAsiaTheme="minorEastAsia" w:cstheme="minorHAnsi"/>
                <w:color w:val="000000"/>
                <w:kern w:val="24"/>
                <w:sz w:val="20"/>
                <w:szCs w:val="20"/>
                <w:lang w:val="en-US"/>
              </w:rPr>
              <w:t>Achieving Outcomes</w:t>
            </w:r>
          </w:p>
        </w:tc>
      </w:tr>
      <w:tr w:rsidR="006E04F2" w:rsidRPr="00096DFD" w14:paraId="2543056E" w14:textId="77777777" w:rsidTr="00096DFD">
        <w:trPr>
          <w:trHeight w:val="564"/>
        </w:trPr>
        <w:tc>
          <w:tcPr>
            <w:tcW w:w="7928" w:type="dxa"/>
            <w:vAlign w:val="center"/>
          </w:tcPr>
          <w:p w14:paraId="06FF7A1F" w14:textId="71357556"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 xml:space="preserve">To what extent would you describe the service as providing individualised support (that puts the needs, </w:t>
            </w:r>
            <w:r w:rsidR="00551C11" w:rsidRPr="00096DFD">
              <w:rPr>
                <w:rFonts w:eastAsiaTheme="minorEastAsia" w:cstheme="minorHAnsi"/>
                <w:color w:val="000000" w:themeColor="dark1"/>
                <w:kern w:val="24"/>
                <w:sz w:val="20"/>
                <w:szCs w:val="20"/>
                <w:lang w:val="en-US"/>
              </w:rPr>
              <w:t>circumstances,</w:t>
            </w:r>
            <w:r w:rsidRPr="00096DFD">
              <w:rPr>
                <w:rFonts w:eastAsiaTheme="minorEastAsia" w:cstheme="minorHAnsi"/>
                <w:color w:val="000000" w:themeColor="dark1"/>
                <w:kern w:val="24"/>
                <w:sz w:val="20"/>
                <w:szCs w:val="20"/>
                <w:lang w:val="en-US"/>
              </w:rPr>
              <w:t xml:space="preserve"> and strengths of the client at the centre).</w:t>
            </w:r>
          </w:p>
        </w:tc>
        <w:tc>
          <w:tcPr>
            <w:tcW w:w="1843" w:type="dxa"/>
            <w:vAlign w:val="center"/>
          </w:tcPr>
          <w:p w14:paraId="11FCAB44" w14:textId="3348B236"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Design Appropriateness</w:t>
            </w:r>
          </w:p>
        </w:tc>
      </w:tr>
      <w:tr w:rsidR="006E04F2" w:rsidRPr="00096DFD" w14:paraId="14D3A196" w14:textId="77777777" w:rsidTr="00096DFD">
        <w:trPr>
          <w:trHeight w:val="1126"/>
        </w:trPr>
        <w:tc>
          <w:tcPr>
            <w:tcW w:w="7928" w:type="dxa"/>
            <w:vAlign w:val="center"/>
          </w:tcPr>
          <w:p w14:paraId="17340981" w14:textId="4865A70D"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What examples of successful outcomes for clients are you aware of? (</w:t>
            </w:r>
            <w:r w:rsidRPr="00096DFD">
              <w:rPr>
                <w:rFonts w:cstheme="minorHAnsi"/>
                <w:color w:val="000000" w:themeColor="dark1"/>
                <w:kern w:val="24"/>
                <w:sz w:val="20"/>
                <w:szCs w:val="20"/>
              </w:rPr>
              <w:t xml:space="preserve">i.e. reduced recidivism, reduced severity of offending, or improved outcomes in protective factors (such as secure housing, engagement in education or employment, reduced substance abuse, engagement in meaningful activities, strengthening cultural and family connections, etc)? </w:t>
            </w:r>
          </w:p>
        </w:tc>
        <w:tc>
          <w:tcPr>
            <w:tcW w:w="1843" w:type="dxa"/>
            <w:vAlign w:val="center"/>
          </w:tcPr>
          <w:p w14:paraId="425D6AB6" w14:textId="1DC34E0C"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Achieving Outcomes</w:t>
            </w:r>
          </w:p>
        </w:tc>
      </w:tr>
      <w:tr w:rsidR="006E04F2" w:rsidRPr="00096DFD" w14:paraId="7D483C5E" w14:textId="77777777" w:rsidTr="00096DFD">
        <w:trPr>
          <w:trHeight w:val="13"/>
        </w:trPr>
        <w:tc>
          <w:tcPr>
            <w:tcW w:w="7928" w:type="dxa"/>
            <w:vAlign w:val="center"/>
          </w:tcPr>
          <w:p w14:paraId="15EAA653" w14:textId="5C0D4CCD"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What were the drivers of success in these examples?</w:t>
            </w:r>
          </w:p>
        </w:tc>
        <w:tc>
          <w:tcPr>
            <w:tcW w:w="1843" w:type="dxa"/>
            <w:vAlign w:val="center"/>
          </w:tcPr>
          <w:p w14:paraId="65FB85C8" w14:textId="41BA4FF8"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Achieving Outcomes</w:t>
            </w:r>
          </w:p>
        </w:tc>
      </w:tr>
      <w:tr w:rsidR="006E04F2" w:rsidRPr="00096DFD" w14:paraId="20F62867" w14:textId="77777777" w:rsidTr="00096DFD">
        <w:trPr>
          <w:trHeight w:val="766"/>
        </w:trPr>
        <w:tc>
          <w:tcPr>
            <w:tcW w:w="7928" w:type="dxa"/>
            <w:vAlign w:val="center"/>
          </w:tcPr>
          <w:p w14:paraId="5740E5DF" w14:textId="19AEBFAB"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To what extent do you think the service model is meeting client needs for cultural strengthening and expanded connections to family, kin and community? [Indigenous interviewees only]</w:t>
            </w:r>
          </w:p>
        </w:tc>
        <w:tc>
          <w:tcPr>
            <w:tcW w:w="1843" w:type="dxa"/>
            <w:vAlign w:val="center"/>
          </w:tcPr>
          <w:p w14:paraId="6FBF8249" w14:textId="59507DF5"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Design Appropriateness</w:t>
            </w:r>
          </w:p>
        </w:tc>
      </w:tr>
      <w:tr w:rsidR="006E04F2" w:rsidRPr="00096DFD" w14:paraId="4899E2ED" w14:textId="77777777" w:rsidTr="00096DFD">
        <w:trPr>
          <w:trHeight w:val="550"/>
        </w:trPr>
        <w:tc>
          <w:tcPr>
            <w:tcW w:w="7928" w:type="dxa"/>
            <w:vAlign w:val="center"/>
          </w:tcPr>
          <w:p w14:paraId="1E78B0E4" w14:textId="26FE25A9"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To what extent would you describe the service as being culturally respectful and culturally safe? [Indigenous interviewees only]</w:t>
            </w:r>
          </w:p>
        </w:tc>
        <w:tc>
          <w:tcPr>
            <w:tcW w:w="1843" w:type="dxa"/>
            <w:vAlign w:val="center"/>
          </w:tcPr>
          <w:p w14:paraId="1726DA85" w14:textId="79259C01"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Design Appropriateness</w:t>
            </w:r>
          </w:p>
        </w:tc>
      </w:tr>
      <w:tr w:rsidR="006E04F2" w:rsidRPr="00096DFD" w14:paraId="1D2D3F87" w14:textId="77777777" w:rsidTr="00096DFD">
        <w:trPr>
          <w:trHeight w:val="572"/>
        </w:trPr>
        <w:tc>
          <w:tcPr>
            <w:tcW w:w="7928" w:type="dxa"/>
            <w:vAlign w:val="center"/>
          </w:tcPr>
          <w:p w14:paraId="52A38A4B" w14:textId="2940D66D" w:rsidR="006E04F2" w:rsidRPr="00096DFD" w:rsidRDefault="006E04F2" w:rsidP="00096DFD">
            <w:pPr>
              <w:rPr>
                <w:rFonts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Are you aware of any unintended consequences (positive or negative) for clients, family and the community from program activities?</w:t>
            </w:r>
          </w:p>
        </w:tc>
        <w:tc>
          <w:tcPr>
            <w:tcW w:w="1843" w:type="dxa"/>
            <w:vAlign w:val="center"/>
          </w:tcPr>
          <w:p w14:paraId="66FD442C" w14:textId="30D20A53" w:rsidR="006E04F2" w:rsidRPr="00096DFD" w:rsidRDefault="006E04F2" w:rsidP="00096DFD">
            <w:pPr>
              <w:rPr>
                <w:rFonts w:cstheme="minorHAnsi"/>
                <w:color w:val="000000" w:themeColor="text1"/>
                <w:kern w:val="24"/>
                <w:sz w:val="20"/>
                <w:szCs w:val="20"/>
              </w:rPr>
            </w:pPr>
            <w:r w:rsidRPr="00096DFD">
              <w:rPr>
                <w:rFonts w:eastAsiaTheme="minorEastAsia" w:cstheme="minorHAnsi"/>
                <w:color w:val="000000"/>
                <w:kern w:val="24"/>
                <w:sz w:val="20"/>
                <w:szCs w:val="20"/>
                <w:lang w:val="en-US"/>
              </w:rPr>
              <w:t>Unintended Consequences</w:t>
            </w:r>
          </w:p>
        </w:tc>
      </w:tr>
      <w:tr w:rsidR="006E04F2" w:rsidRPr="00096DFD" w14:paraId="29C44646" w14:textId="77777777" w:rsidTr="00096DFD">
        <w:trPr>
          <w:trHeight w:val="538"/>
        </w:trPr>
        <w:tc>
          <w:tcPr>
            <w:tcW w:w="7928" w:type="dxa"/>
            <w:vAlign w:val="center"/>
          </w:tcPr>
          <w:p w14:paraId="6BEAD4F7" w14:textId="0E76389E"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themeColor="dark1"/>
                <w:kern w:val="24"/>
                <w:sz w:val="20"/>
                <w:szCs w:val="20"/>
                <w:lang w:val="en-US"/>
              </w:rPr>
              <w:t xml:space="preserve">Overall, what do you think are the opportunities to improve the through-care service, and what do you see as the enablers and barriers to achieving this? </w:t>
            </w:r>
          </w:p>
        </w:tc>
        <w:tc>
          <w:tcPr>
            <w:tcW w:w="1843" w:type="dxa"/>
            <w:vAlign w:val="center"/>
          </w:tcPr>
          <w:p w14:paraId="2AF8E70A" w14:textId="45C6F274" w:rsidR="006E04F2" w:rsidRPr="00096DFD" w:rsidRDefault="006E04F2" w:rsidP="00096DFD">
            <w:pPr>
              <w:rPr>
                <w:rFonts w:eastAsiaTheme="minorEastAsia" w:cstheme="minorHAnsi"/>
                <w:color w:val="000000" w:themeColor="text1"/>
                <w:kern w:val="24"/>
                <w:sz w:val="20"/>
                <w:szCs w:val="20"/>
                <w:lang w:val="en-US"/>
              </w:rPr>
            </w:pPr>
            <w:r w:rsidRPr="00096DFD">
              <w:rPr>
                <w:rFonts w:eastAsiaTheme="minorEastAsia" w:cstheme="minorHAnsi"/>
                <w:color w:val="000000"/>
                <w:kern w:val="24"/>
                <w:sz w:val="20"/>
                <w:szCs w:val="20"/>
                <w:lang w:val="en-US"/>
              </w:rPr>
              <w:t>Making Improvements</w:t>
            </w:r>
          </w:p>
        </w:tc>
      </w:tr>
    </w:tbl>
    <w:p w14:paraId="4E3A488F" w14:textId="77777777" w:rsidR="00096DFD" w:rsidRDefault="00096DFD" w:rsidP="00EC273E"/>
    <w:p w14:paraId="3AE4E998" w14:textId="77777777" w:rsidR="00096DFD" w:rsidRDefault="00096DFD">
      <w:pPr>
        <w:spacing w:after="200" w:line="276" w:lineRule="auto"/>
        <w:jc w:val="both"/>
        <w:rPr>
          <w:rFonts w:ascii="Arial" w:hAnsi="Arial" w:cs="Arial"/>
          <w:b/>
          <w:smallCaps/>
          <w:color w:val="17375D"/>
          <w:spacing w:val="10"/>
        </w:rPr>
      </w:pPr>
      <w:r>
        <w:br w:type="page"/>
      </w:r>
    </w:p>
    <w:p w14:paraId="55CBDD70" w14:textId="61A824E7" w:rsidR="00096DFD" w:rsidRPr="00096DFD" w:rsidRDefault="0083005E" w:rsidP="0022592D">
      <w:pPr>
        <w:pStyle w:val="Heading2"/>
      </w:pPr>
      <w:bookmarkStart w:id="43" w:name="_Toc150784217"/>
      <w:r w:rsidRPr="00096DFD">
        <w:t>Semi-structured Interview with Clients and Family</w:t>
      </w:r>
      <w:bookmarkEnd w:id="43"/>
    </w:p>
    <w:tbl>
      <w:tblPr>
        <w:tblStyle w:val="GridTable1Light-Accent1"/>
        <w:tblW w:w="9771" w:type="dxa"/>
        <w:tblLook w:val="0420" w:firstRow="1" w:lastRow="0" w:firstColumn="0" w:lastColumn="0" w:noHBand="0" w:noVBand="1"/>
        <w:tblCaption w:val="Semi structured interview with clients and family"/>
        <w:tblDescription w:val="The table lists the 32 evaluation questions used at interviews with clients and families. The first column lists all of the 'guiding question' used, such as:  'when did peole start working with a case worker?', 'what did people want to achieve for themselves?', 'did people meet regularly with their case worker after release from detention?'. Each question is categorised in the next column by 'evaluation theme'. This includes the themes of 'design appropriateness', 'quality of delivery', 'achieving outcomes', 'unintended consequences', 'service duplication' and 'making improvements'."/>
      </w:tblPr>
      <w:tblGrid>
        <w:gridCol w:w="7588"/>
        <w:gridCol w:w="2183"/>
      </w:tblGrid>
      <w:tr w:rsidR="00E23603" w:rsidRPr="003636BF" w14:paraId="65C19FBE" w14:textId="77777777" w:rsidTr="00696E84">
        <w:trPr>
          <w:cnfStyle w:val="100000000000" w:firstRow="1" w:lastRow="0" w:firstColumn="0" w:lastColumn="0" w:oddVBand="0" w:evenVBand="0" w:oddHBand="0" w:evenHBand="0" w:firstRowFirstColumn="0" w:firstRowLastColumn="0" w:lastRowFirstColumn="0" w:lastRowLastColumn="0"/>
          <w:trHeight w:val="385"/>
          <w:tblHeader/>
        </w:trPr>
        <w:tc>
          <w:tcPr>
            <w:tcW w:w="7928" w:type="dxa"/>
            <w:vAlign w:val="center"/>
            <w:hideMark/>
          </w:tcPr>
          <w:p w14:paraId="377DDA29" w14:textId="77777777" w:rsidR="00E23603" w:rsidRPr="00351FC8" w:rsidRDefault="00E23603" w:rsidP="00793605">
            <w:pPr>
              <w:pStyle w:val="Heading4"/>
              <w:ind w:hanging="1361"/>
            </w:pPr>
            <w:r w:rsidRPr="00351FC8">
              <w:rPr>
                <w:lang w:val="en-US"/>
              </w:rPr>
              <w:t>Guiding Questions</w:t>
            </w:r>
          </w:p>
        </w:tc>
        <w:tc>
          <w:tcPr>
            <w:tcW w:w="1843" w:type="dxa"/>
            <w:vAlign w:val="center"/>
            <w:hideMark/>
          </w:tcPr>
          <w:p w14:paraId="722738F9" w14:textId="77777777" w:rsidR="00E23603" w:rsidRPr="00351FC8" w:rsidRDefault="00E23603" w:rsidP="00793605">
            <w:pPr>
              <w:pStyle w:val="Heading4"/>
              <w:ind w:hanging="1361"/>
            </w:pPr>
            <w:r w:rsidRPr="00351FC8">
              <w:rPr>
                <w:lang w:val="en-US"/>
              </w:rPr>
              <w:t>Eval</w:t>
            </w:r>
            <w:r w:rsidRPr="003636BF">
              <w:rPr>
                <w:lang w:val="en-US"/>
              </w:rPr>
              <w:t>uation Theme</w:t>
            </w:r>
          </w:p>
        </w:tc>
      </w:tr>
      <w:tr w:rsidR="00E23603" w:rsidRPr="003636BF" w14:paraId="058B46C7" w14:textId="77777777" w:rsidTr="003636BF">
        <w:trPr>
          <w:trHeight w:val="192"/>
        </w:trPr>
        <w:tc>
          <w:tcPr>
            <w:tcW w:w="7928" w:type="dxa"/>
            <w:vAlign w:val="center"/>
            <w:hideMark/>
          </w:tcPr>
          <w:p w14:paraId="501A1C75" w14:textId="427D2E1F" w:rsidR="00E23603" w:rsidRPr="00351FC8" w:rsidRDefault="00E23603" w:rsidP="003636BF">
            <w:pPr>
              <w:rPr>
                <w:rFonts w:cstheme="minorHAnsi"/>
                <w:color w:val="000000" w:themeColor="text1"/>
                <w:sz w:val="20"/>
                <w:szCs w:val="20"/>
              </w:rPr>
            </w:pPr>
            <w:r w:rsidRPr="003636BF">
              <w:rPr>
                <w:rFonts w:eastAsiaTheme="minorEastAsia" w:cstheme="minorHAnsi"/>
                <w:color w:val="000000" w:themeColor="dark1"/>
                <w:kern w:val="24"/>
                <w:sz w:val="20"/>
                <w:szCs w:val="20"/>
                <w:lang w:val="en-US"/>
              </w:rPr>
              <w:t>When did people start working with their case worker? How did this happen?</w:t>
            </w:r>
          </w:p>
        </w:tc>
        <w:tc>
          <w:tcPr>
            <w:tcW w:w="1843" w:type="dxa"/>
            <w:vAlign w:val="center"/>
            <w:hideMark/>
          </w:tcPr>
          <w:p w14:paraId="14C28594" w14:textId="78CD2BE7"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09ED7E5F" w14:textId="77777777" w:rsidTr="003636BF">
        <w:trPr>
          <w:trHeight w:val="302"/>
        </w:trPr>
        <w:tc>
          <w:tcPr>
            <w:tcW w:w="7928" w:type="dxa"/>
            <w:vAlign w:val="center"/>
            <w:hideMark/>
          </w:tcPr>
          <w:p w14:paraId="4B26E2C2" w14:textId="7057A615" w:rsidR="00E23603" w:rsidRPr="00351FC8" w:rsidRDefault="00E23603" w:rsidP="003636BF">
            <w:pPr>
              <w:rPr>
                <w:rFonts w:cstheme="minorHAnsi"/>
                <w:color w:val="000000" w:themeColor="text1"/>
                <w:sz w:val="20"/>
                <w:szCs w:val="20"/>
              </w:rPr>
            </w:pPr>
            <w:r w:rsidRPr="003636BF">
              <w:rPr>
                <w:rFonts w:eastAsiaTheme="minorEastAsia" w:cstheme="minorHAnsi"/>
                <w:color w:val="000000" w:themeColor="dark1"/>
                <w:kern w:val="24"/>
                <w:sz w:val="20"/>
                <w:szCs w:val="20"/>
                <w:lang w:val="en-US"/>
              </w:rPr>
              <w:t>What motivated people to start working with their case worker?</w:t>
            </w:r>
          </w:p>
        </w:tc>
        <w:tc>
          <w:tcPr>
            <w:tcW w:w="1843" w:type="dxa"/>
            <w:vAlign w:val="center"/>
            <w:hideMark/>
          </w:tcPr>
          <w:p w14:paraId="2DD61B99" w14:textId="18101956"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0DA8FAA0" w14:textId="77777777" w:rsidTr="003636BF">
        <w:trPr>
          <w:trHeight w:val="302"/>
        </w:trPr>
        <w:tc>
          <w:tcPr>
            <w:tcW w:w="7928" w:type="dxa"/>
            <w:vAlign w:val="center"/>
            <w:hideMark/>
          </w:tcPr>
          <w:p w14:paraId="7715C86B" w14:textId="3259CF45" w:rsidR="00E23603" w:rsidRPr="00351FC8" w:rsidRDefault="00E23603" w:rsidP="003636BF">
            <w:pPr>
              <w:rPr>
                <w:rFonts w:cstheme="minorHAnsi"/>
                <w:color w:val="000000" w:themeColor="text1"/>
                <w:sz w:val="20"/>
                <w:szCs w:val="20"/>
              </w:rPr>
            </w:pPr>
            <w:r w:rsidRPr="003636BF">
              <w:rPr>
                <w:rFonts w:eastAsiaTheme="minorEastAsia" w:cstheme="minorHAnsi"/>
                <w:color w:val="000000" w:themeColor="dark1"/>
                <w:kern w:val="24"/>
                <w:sz w:val="20"/>
                <w:szCs w:val="20"/>
                <w:lang w:val="en-US"/>
              </w:rPr>
              <w:t>What did people want to achieve for themselves?</w:t>
            </w:r>
          </w:p>
        </w:tc>
        <w:tc>
          <w:tcPr>
            <w:tcW w:w="1843" w:type="dxa"/>
            <w:vAlign w:val="center"/>
            <w:hideMark/>
          </w:tcPr>
          <w:p w14:paraId="19B69CC5" w14:textId="28B6E81D"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0F558737" w14:textId="77777777" w:rsidTr="003636BF">
        <w:trPr>
          <w:trHeight w:val="302"/>
        </w:trPr>
        <w:tc>
          <w:tcPr>
            <w:tcW w:w="7928" w:type="dxa"/>
            <w:vAlign w:val="center"/>
            <w:hideMark/>
          </w:tcPr>
          <w:p w14:paraId="26A3836D" w14:textId="140FA48E"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What did friends and family think about people participating?</w:t>
            </w:r>
          </w:p>
        </w:tc>
        <w:tc>
          <w:tcPr>
            <w:tcW w:w="1843" w:type="dxa"/>
            <w:vAlign w:val="center"/>
            <w:hideMark/>
          </w:tcPr>
          <w:p w14:paraId="69F5A205" w14:textId="2980F06F"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757982CD" w14:textId="77777777" w:rsidTr="003636BF">
        <w:trPr>
          <w:trHeight w:val="586"/>
        </w:trPr>
        <w:tc>
          <w:tcPr>
            <w:tcW w:w="7928" w:type="dxa"/>
            <w:vAlign w:val="center"/>
            <w:hideMark/>
          </w:tcPr>
          <w:p w14:paraId="5F3103F3" w14:textId="2C361D96" w:rsidR="00E23603" w:rsidRPr="00351FC8" w:rsidRDefault="00E23603" w:rsidP="003636BF">
            <w:pPr>
              <w:rPr>
                <w:rFonts w:cstheme="minorHAnsi"/>
                <w:color w:val="000000" w:themeColor="text1"/>
                <w:sz w:val="20"/>
                <w:szCs w:val="20"/>
              </w:rPr>
            </w:pPr>
            <w:r w:rsidRPr="003636BF">
              <w:rPr>
                <w:rFonts w:cstheme="minorHAnsi"/>
                <w:color w:val="000000" w:themeColor="dark1"/>
                <w:kern w:val="24"/>
                <w:sz w:val="20"/>
                <w:szCs w:val="20"/>
                <w:lang w:val="en-US"/>
              </w:rPr>
              <w:t>In what ways did people participate in making the plan for what would happen after release from prison or detention? What did this planning involve?</w:t>
            </w:r>
          </w:p>
        </w:tc>
        <w:tc>
          <w:tcPr>
            <w:tcW w:w="1843" w:type="dxa"/>
            <w:vAlign w:val="center"/>
            <w:hideMark/>
          </w:tcPr>
          <w:p w14:paraId="7671593D" w14:textId="01782120"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79DD05B9" w14:textId="77777777" w:rsidTr="003636BF">
        <w:trPr>
          <w:trHeight w:val="302"/>
        </w:trPr>
        <w:tc>
          <w:tcPr>
            <w:tcW w:w="7928" w:type="dxa"/>
            <w:vAlign w:val="center"/>
            <w:hideMark/>
          </w:tcPr>
          <w:p w14:paraId="519BE63C" w14:textId="7F98C741" w:rsidR="00E23603" w:rsidRPr="00351FC8" w:rsidRDefault="00E23603" w:rsidP="003636BF">
            <w:pPr>
              <w:rPr>
                <w:rFonts w:cstheme="minorHAnsi"/>
                <w:color w:val="000000" w:themeColor="text1"/>
                <w:sz w:val="20"/>
                <w:szCs w:val="20"/>
              </w:rPr>
            </w:pPr>
            <w:r w:rsidRPr="003636BF">
              <w:rPr>
                <w:rFonts w:cstheme="minorHAnsi"/>
                <w:color w:val="000000" w:themeColor="dark1"/>
                <w:kern w:val="24"/>
                <w:sz w:val="20"/>
                <w:szCs w:val="20"/>
                <w:lang w:val="en-US"/>
              </w:rPr>
              <w:t xml:space="preserve">What goals did people set? </w:t>
            </w:r>
          </w:p>
        </w:tc>
        <w:tc>
          <w:tcPr>
            <w:tcW w:w="1843" w:type="dxa"/>
            <w:vAlign w:val="center"/>
            <w:hideMark/>
          </w:tcPr>
          <w:p w14:paraId="64DC7E10" w14:textId="43C99DC7"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63DCFFEF" w14:textId="77777777" w:rsidTr="003636BF">
        <w:trPr>
          <w:trHeight w:val="626"/>
        </w:trPr>
        <w:tc>
          <w:tcPr>
            <w:tcW w:w="7928" w:type="dxa"/>
            <w:vAlign w:val="center"/>
            <w:hideMark/>
          </w:tcPr>
          <w:p w14:paraId="2F318936" w14:textId="05833D30" w:rsidR="00E23603" w:rsidRPr="00351FC8" w:rsidRDefault="00E23603" w:rsidP="003636BF">
            <w:pPr>
              <w:rPr>
                <w:rFonts w:cstheme="minorHAnsi"/>
                <w:color w:val="000000" w:themeColor="text1"/>
                <w:sz w:val="20"/>
                <w:szCs w:val="20"/>
              </w:rPr>
            </w:pPr>
            <w:r w:rsidRPr="003636BF">
              <w:rPr>
                <w:rFonts w:cstheme="minorHAnsi"/>
                <w:color w:val="000000" w:themeColor="dark1"/>
                <w:kern w:val="24"/>
                <w:sz w:val="20"/>
                <w:szCs w:val="20"/>
                <w:lang w:val="en-US"/>
              </w:rPr>
              <w:t>Were your family or friends involved in helping you set your goals? How did they help?</w:t>
            </w:r>
          </w:p>
        </w:tc>
        <w:tc>
          <w:tcPr>
            <w:tcW w:w="1843" w:type="dxa"/>
            <w:vAlign w:val="center"/>
            <w:hideMark/>
          </w:tcPr>
          <w:p w14:paraId="1A69B1F7" w14:textId="232CDAF6"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2C78DD14" w14:textId="77777777" w:rsidTr="003636BF">
        <w:trPr>
          <w:trHeight w:val="413"/>
        </w:trPr>
        <w:tc>
          <w:tcPr>
            <w:tcW w:w="7928" w:type="dxa"/>
            <w:vAlign w:val="center"/>
            <w:hideMark/>
          </w:tcPr>
          <w:p w14:paraId="30535E4C" w14:textId="77C32D36" w:rsidR="00E23603" w:rsidRPr="00351FC8" w:rsidRDefault="00E23603" w:rsidP="003636BF">
            <w:pPr>
              <w:rPr>
                <w:rFonts w:cstheme="minorHAnsi"/>
                <w:color w:val="000000" w:themeColor="text1"/>
                <w:sz w:val="20"/>
                <w:szCs w:val="20"/>
              </w:rPr>
            </w:pPr>
            <w:r w:rsidRPr="003636BF">
              <w:rPr>
                <w:rFonts w:cstheme="minorHAnsi"/>
                <w:color w:val="000000" w:themeColor="text1"/>
                <w:kern w:val="24"/>
                <w:sz w:val="20"/>
                <w:szCs w:val="20"/>
                <w:lang w:val="en-US"/>
              </w:rPr>
              <w:t>Did people like working with their case worker? Were they helpful? How, in what ways?</w:t>
            </w:r>
          </w:p>
        </w:tc>
        <w:tc>
          <w:tcPr>
            <w:tcW w:w="1843" w:type="dxa"/>
            <w:vAlign w:val="center"/>
            <w:hideMark/>
          </w:tcPr>
          <w:p w14:paraId="095567B9" w14:textId="47049678" w:rsidR="00E23603" w:rsidRPr="00351FC8" w:rsidRDefault="00E23603" w:rsidP="003636BF">
            <w:pPr>
              <w:rPr>
                <w:rFonts w:cstheme="minorHAnsi"/>
                <w:color w:val="000000" w:themeColor="text1"/>
                <w:sz w:val="20"/>
                <w:szCs w:val="20"/>
              </w:rPr>
            </w:pPr>
            <w:r w:rsidRPr="003636BF">
              <w:rPr>
                <w:rFonts w:eastAsiaTheme="minorEastAsia" w:cstheme="minorHAnsi"/>
                <w:color w:val="000000" w:themeColor="text1"/>
                <w:kern w:val="24"/>
                <w:sz w:val="20"/>
                <w:szCs w:val="20"/>
                <w:lang w:val="en-US"/>
              </w:rPr>
              <w:t>Quality of Delivery</w:t>
            </w:r>
          </w:p>
        </w:tc>
      </w:tr>
      <w:tr w:rsidR="00E23603" w:rsidRPr="003636BF" w14:paraId="03BDB89F" w14:textId="77777777" w:rsidTr="003636BF">
        <w:trPr>
          <w:trHeight w:val="302"/>
        </w:trPr>
        <w:tc>
          <w:tcPr>
            <w:tcW w:w="7928" w:type="dxa"/>
            <w:vAlign w:val="center"/>
            <w:hideMark/>
          </w:tcPr>
          <w:p w14:paraId="33C61CF0" w14:textId="18C7F52E" w:rsidR="00E23603" w:rsidRPr="00351FC8" w:rsidRDefault="00E23603" w:rsidP="003636BF">
            <w:pPr>
              <w:rPr>
                <w:rFonts w:cstheme="minorHAnsi"/>
                <w:color w:val="000000" w:themeColor="text1"/>
                <w:sz w:val="20"/>
                <w:szCs w:val="20"/>
              </w:rPr>
            </w:pPr>
            <w:r w:rsidRPr="003636BF">
              <w:rPr>
                <w:rFonts w:cstheme="minorHAnsi"/>
                <w:color w:val="000000" w:themeColor="dark1"/>
                <w:kern w:val="24"/>
                <w:sz w:val="20"/>
                <w:szCs w:val="20"/>
                <w:lang w:val="en-US"/>
              </w:rPr>
              <w:t xml:space="preserve">Do people think their case worker was respectful of your culture? </w:t>
            </w:r>
          </w:p>
        </w:tc>
        <w:tc>
          <w:tcPr>
            <w:tcW w:w="1843" w:type="dxa"/>
            <w:vAlign w:val="center"/>
            <w:hideMark/>
          </w:tcPr>
          <w:p w14:paraId="5250E067" w14:textId="3A85ADE5"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Design Appropriateness</w:t>
            </w:r>
          </w:p>
        </w:tc>
      </w:tr>
      <w:tr w:rsidR="00E23603" w:rsidRPr="003636BF" w14:paraId="529F5375" w14:textId="77777777" w:rsidTr="003636BF">
        <w:trPr>
          <w:trHeight w:val="355"/>
        </w:trPr>
        <w:tc>
          <w:tcPr>
            <w:tcW w:w="7928" w:type="dxa"/>
            <w:vAlign w:val="center"/>
            <w:hideMark/>
          </w:tcPr>
          <w:p w14:paraId="20606024" w14:textId="2F63798F" w:rsidR="00E23603" w:rsidRPr="00351FC8" w:rsidRDefault="00E23603" w:rsidP="003636BF">
            <w:pPr>
              <w:rPr>
                <w:rFonts w:cstheme="minorHAnsi"/>
                <w:color w:val="000000" w:themeColor="text1"/>
                <w:sz w:val="20"/>
                <w:szCs w:val="20"/>
              </w:rPr>
            </w:pPr>
            <w:r w:rsidRPr="003636BF">
              <w:rPr>
                <w:rFonts w:cstheme="minorHAnsi"/>
                <w:color w:val="000000" w:themeColor="dark1"/>
                <w:kern w:val="24"/>
                <w:sz w:val="20"/>
                <w:szCs w:val="20"/>
                <w:lang w:val="en-US"/>
              </w:rPr>
              <w:t xml:space="preserve">How often did people meet with their case worker when in prison or detention? </w:t>
            </w:r>
          </w:p>
        </w:tc>
        <w:tc>
          <w:tcPr>
            <w:tcW w:w="1843" w:type="dxa"/>
            <w:vAlign w:val="center"/>
            <w:hideMark/>
          </w:tcPr>
          <w:p w14:paraId="2C54F748" w14:textId="7608AC0C" w:rsidR="00E23603" w:rsidRPr="00351FC8" w:rsidRDefault="00E23603" w:rsidP="003636BF">
            <w:pPr>
              <w:rPr>
                <w:rFonts w:cstheme="minorHAnsi"/>
                <w:color w:val="000000" w:themeColor="text1"/>
                <w:sz w:val="20"/>
                <w:szCs w:val="20"/>
              </w:rPr>
            </w:pPr>
            <w:r w:rsidRPr="003636BF">
              <w:rPr>
                <w:rFonts w:eastAsiaTheme="minorEastAsia" w:cstheme="minorHAnsi"/>
                <w:color w:val="000000"/>
                <w:kern w:val="24"/>
                <w:sz w:val="20"/>
                <w:szCs w:val="20"/>
                <w:lang w:val="en-US"/>
              </w:rPr>
              <w:t>Quality of Delivery</w:t>
            </w:r>
          </w:p>
        </w:tc>
      </w:tr>
      <w:tr w:rsidR="00E23603" w:rsidRPr="003636BF" w14:paraId="39C60F5B" w14:textId="77777777" w:rsidTr="003636BF">
        <w:trPr>
          <w:trHeight w:val="544"/>
        </w:trPr>
        <w:tc>
          <w:tcPr>
            <w:tcW w:w="7928" w:type="dxa"/>
            <w:vAlign w:val="center"/>
          </w:tcPr>
          <w:p w14:paraId="4551823A" w14:textId="5083936A"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text1"/>
                <w:kern w:val="24"/>
                <w:sz w:val="20"/>
                <w:szCs w:val="20"/>
                <w:lang w:val="en-US"/>
              </w:rPr>
              <w:t>Did people stay connected with family and friends? What help did they give people to prepare for their release?</w:t>
            </w:r>
          </w:p>
        </w:tc>
        <w:tc>
          <w:tcPr>
            <w:tcW w:w="1843" w:type="dxa"/>
            <w:vAlign w:val="center"/>
          </w:tcPr>
          <w:p w14:paraId="62FDB2ED" w14:textId="435E5B70"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Achieving Outcomes</w:t>
            </w:r>
          </w:p>
        </w:tc>
      </w:tr>
      <w:tr w:rsidR="00E23603" w:rsidRPr="003636BF" w14:paraId="3E91E75D" w14:textId="77777777" w:rsidTr="003636BF">
        <w:trPr>
          <w:trHeight w:val="552"/>
        </w:trPr>
        <w:tc>
          <w:tcPr>
            <w:tcW w:w="7928" w:type="dxa"/>
            <w:vAlign w:val="center"/>
          </w:tcPr>
          <w:p w14:paraId="7E47E70D" w14:textId="0D0C7C6D"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text1"/>
                <w:kern w:val="24"/>
                <w:sz w:val="20"/>
                <w:szCs w:val="20"/>
                <w:lang w:val="en-US"/>
              </w:rPr>
              <w:t>Were people visited by, or did they go to see, any other service providers for help? Who did people see? Were they helpful?</w:t>
            </w:r>
          </w:p>
        </w:tc>
        <w:tc>
          <w:tcPr>
            <w:tcW w:w="1843" w:type="dxa"/>
            <w:vAlign w:val="center"/>
          </w:tcPr>
          <w:p w14:paraId="2777EB7D" w14:textId="40F1AD0E"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Service Duplication</w:t>
            </w:r>
          </w:p>
        </w:tc>
      </w:tr>
      <w:tr w:rsidR="00E23603" w:rsidRPr="003636BF" w14:paraId="2F531E0D" w14:textId="77777777" w:rsidTr="003636BF">
        <w:trPr>
          <w:trHeight w:val="291"/>
        </w:trPr>
        <w:tc>
          <w:tcPr>
            <w:tcW w:w="7928" w:type="dxa"/>
            <w:vAlign w:val="center"/>
          </w:tcPr>
          <w:p w14:paraId="7E65A32A" w14:textId="22ED6CD4"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text1"/>
                <w:kern w:val="24"/>
                <w:sz w:val="20"/>
                <w:szCs w:val="20"/>
                <w:lang w:val="en-US"/>
              </w:rPr>
              <w:t>How did people feel after seeing the other service providers?</w:t>
            </w:r>
          </w:p>
        </w:tc>
        <w:tc>
          <w:tcPr>
            <w:tcW w:w="1843" w:type="dxa"/>
            <w:vAlign w:val="center"/>
          </w:tcPr>
          <w:p w14:paraId="1C316DEF" w14:textId="5D0F1983"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Service Duplication</w:t>
            </w:r>
          </w:p>
        </w:tc>
      </w:tr>
      <w:tr w:rsidR="00E23603" w:rsidRPr="003636BF" w14:paraId="15231822" w14:textId="77777777" w:rsidTr="003636BF">
        <w:trPr>
          <w:trHeight w:val="565"/>
        </w:trPr>
        <w:tc>
          <w:tcPr>
            <w:tcW w:w="7928" w:type="dxa"/>
            <w:vAlign w:val="center"/>
          </w:tcPr>
          <w:p w14:paraId="22B4A35A" w14:textId="298C2ED2"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dark1"/>
                <w:kern w:val="24"/>
                <w:sz w:val="20"/>
                <w:szCs w:val="20"/>
                <w:lang w:val="en-US"/>
              </w:rPr>
              <w:t>Was it important for your well-being to be connected to culture and community prior to your release? In what ways did you case worker enable this?</w:t>
            </w:r>
          </w:p>
        </w:tc>
        <w:tc>
          <w:tcPr>
            <w:tcW w:w="1843" w:type="dxa"/>
            <w:vAlign w:val="center"/>
          </w:tcPr>
          <w:p w14:paraId="06EB8A3E" w14:textId="78336726"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Quality of Delivery</w:t>
            </w:r>
          </w:p>
        </w:tc>
      </w:tr>
      <w:tr w:rsidR="00E23603" w:rsidRPr="003636BF" w14:paraId="368FF650" w14:textId="77777777" w:rsidTr="003636BF">
        <w:trPr>
          <w:trHeight w:val="389"/>
        </w:trPr>
        <w:tc>
          <w:tcPr>
            <w:tcW w:w="7928" w:type="dxa"/>
            <w:vAlign w:val="center"/>
          </w:tcPr>
          <w:p w14:paraId="7E619F3F" w14:textId="603B25F9"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dark1"/>
                <w:kern w:val="24"/>
                <w:sz w:val="20"/>
                <w:szCs w:val="20"/>
                <w:lang w:val="en-US"/>
              </w:rPr>
              <w:t xml:space="preserve">What happened on the day people were released? </w:t>
            </w:r>
          </w:p>
        </w:tc>
        <w:tc>
          <w:tcPr>
            <w:tcW w:w="1843" w:type="dxa"/>
            <w:vAlign w:val="center"/>
          </w:tcPr>
          <w:p w14:paraId="02273E5C" w14:textId="45E37B07"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Quality of Delivery</w:t>
            </w:r>
          </w:p>
        </w:tc>
      </w:tr>
      <w:tr w:rsidR="00E23603" w:rsidRPr="003636BF" w14:paraId="6E30D052" w14:textId="77777777" w:rsidTr="003636BF">
        <w:trPr>
          <w:trHeight w:val="13"/>
        </w:trPr>
        <w:tc>
          <w:tcPr>
            <w:tcW w:w="7928" w:type="dxa"/>
            <w:vAlign w:val="center"/>
          </w:tcPr>
          <w:p w14:paraId="4BE918F5" w14:textId="141B94C5" w:rsidR="00E23603" w:rsidRPr="003636BF" w:rsidRDefault="00E23603" w:rsidP="003636BF">
            <w:pPr>
              <w:rPr>
                <w:rFonts w:cstheme="minorHAnsi"/>
                <w:color w:val="000000" w:themeColor="text1"/>
                <w:kern w:val="24"/>
                <w:sz w:val="20"/>
                <w:szCs w:val="20"/>
                <w:lang w:val="en-US"/>
              </w:rPr>
            </w:pPr>
            <w:r w:rsidRPr="003636BF">
              <w:rPr>
                <w:rFonts w:cstheme="minorHAnsi"/>
                <w:color w:val="000000" w:themeColor="dark1"/>
                <w:kern w:val="24"/>
                <w:sz w:val="20"/>
                <w:szCs w:val="20"/>
                <w:lang w:val="en-US"/>
              </w:rPr>
              <w:t>Did people return home? How did that feel?</w:t>
            </w:r>
          </w:p>
        </w:tc>
        <w:tc>
          <w:tcPr>
            <w:tcW w:w="1843" w:type="dxa"/>
            <w:vAlign w:val="center"/>
          </w:tcPr>
          <w:p w14:paraId="486F3AD5" w14:textId="51C8E985" w:rsidR="00E23603" w:rsidRPr="003636BF" w:rsidRDefault="00E23603" w:rsidP="003636BF">
            <w:pPr>
              <w:rPr>
                <w:rFonts w:cstheme="minorHAnsi"/>
                <w:color w:val="000000" w:themeColor="text1"/>
                <w:kern w:val="24"/>
                <w:sz w:val="20"/>
                <w:szCs w:val="20"/>
              </w:rPr>
            </w:pPr>
            <w:r w:rsidRPr="003636BF">
              <w:rPr>
                <w:rFonts w:eastAsiaTheme="minorEastAsia" w:cstheme="minorHAnsi"/>
                <w:color w:val="000000"/>
                <w:kern w:val="24"/>
                <w:sz w:val="20"/>
                <w:szCs w:val="20"/>
                <w:lang w:val="en-US"/>
              </w:rPr>
              <w:t>Achieving Outcomes</w:t>
            </w:r>
          </w:p>
        </w:tc>
      </w:tr>
      <w:tr w:rsidR="00E23603" w:rsidRPr="003636BF" w14:paraId="79005D09" w14:textId="77777777" w:rsidTr="003636BF">
        <w:trPr>
          <w:trHeight w:val="13"/>
        </w:trPr>
        <w:tc>
          <w:tcPr>
            <w:tcW w:w="7928" w:type="dxa"/>
            <w:vAlign w:val="center"/>
          </w:tcPr>
          <w:p w14:paraId="61B4DCE9" w14:textId="340DE493"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Who did people spend time with when they went home? How did that feel and what happened?</w:t>
            </w:r>
          </w:p>
        </w:tc>
        <w:tc>
          <w:tcPr>
            <w:tcW w:w="1843" w:type="dxa"/>
            <w:vAlign w:val="center"/>
          </w:tcPr>
          <w:p w14:paraId="60585DB6" w14:textId="77777777" w:rsidR="00E23603" w:rsidRPr="003636BF" w:rsidRDefault="00E23603" w:rsidP="003636BF">
            <w:pPr>
              <w:pStyle w:val="NormalWeb"/>
              <w:spacing w:after="0" w:line="240" w:lineRule="auto"/>
              <w:rPr>
                <w:rFonts w:cstheme="minorHAnsi"/>
                <w:sz w:val="20"/>
                <w:szCs w:val="20"/>
              </w:rPr>
            </w:pPr>
            <w:r w:rsidRPr="003636BF">
              <w:rPr>
                <w:rFonts w:eastAsiaTheme="minorEastAsia" w:cstheme="minorHAnsi"/>
                <w:color w:val="000000"/>
                <w:kern w:val="24"/>
                <w:sz w:val="20"/>
                <w:szCs w:val="20"/>
                <w:lang w:val="en-US"/>
              </w:rPr>
              <w:t>Achieving Outcomes /</w:t>
            </w:r>
          </w:p>
          <w:p w14:paraId="728BD1E6" w14:textId="390FF8FE"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Unintended Consequences</w:t>
            </w:r>
          </w:p>
        </w:tc>
      </w:tr>
      <w:tr w:rsidR="00E23603" w:rsidRPr="003636BF" w14:paraId="521B5E60" w14:textId="77777777" w:rsidTr="003636BF">
        <w:trPr>
          <w:trHeight w:val="628"/>
        </w:trPr>
        <w:tc>
          <w:tcPr>
            <w:tcW w:w="7928" w:type="dxa"/>
            <w:vAlign w:val="center"/>
          </w:tcPr>
          <w:p w14:paraId="1DFE2579" w14:textId="28F6DAD7"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What contact did people have with the case worker at this time? Were they helpful? How, in what ways?</w:t>
            </w:r>
          </w:p>
        </w:tc>
        <w:tc>
          <w:tcPr>
            <w:tcW w:w="1843" w:type="dxa"/>
            <w:vAlign w:val="center"/>
          </w:tcPr>
          <w:p w14:paraId="39F04888" w14:textId="38A01AAF"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Quality of Delivery</w:t>
            </w:r>
          </w:p>
        </w:tc>
      </w:tr>
      <w:tr w:rsidR="00E23603" w:rsidRPr="003636BF" w14:paraId="40CC06A7" w14:textId="77777777" w:rsidTr="003636BF">
        <w:trPr>
          <w:trHeight w:val="425"/>
        </w:trPr>
        <w:tc>
          <w:tcPr>
            <w:tcW w:w="7928" w:type="dxa"/>
            <w:vAlign w:val="center"/>
          </w:tcPr>
          <w:p w14:paraId="7F0061F6" w14:textId="36543512"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text1"/>
                <w:kern w:val="24"/>
                <w:sz w:val="20"/>
                <w:szCs w:val="20"/>
                <w:lang w:val="en-US"/>
              </w:rPr>
              <w:t xml:space="preserve">Did people meet regularly with their case worker after release from detention? </w:t>
            </w:r>
          </w:p>
        </w:tc>
        <w:tc>
          <w:tcPr>
            <w:tcW w:w="1843" w:type="dxa"/>
            <w:vAlign w:val="center"/>
          </w:tcPr>
          <w:p w14:paraId="4CBB1972" w14:textId="18E82088"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Quality of Delivery</w:t>
            </w:r>
          </w:p>
        </w:tc>
      </w:tr>
      <w:tr w:rsidR="00E23603" w:rsidRPr="003636BF" w14:paraId="74991F6E" w14:textId="77777777" w:rsidTr="003636BF">
        <w:trPr>
          <w:trHeight w:val="572"/>
        </w:trPr>
        <w:tc>
          <w:tcPr>
            <w:tcW w:w="7928" w:type="dxa"/>
            <w:vAlign w:val="center"/>
          </w:tcPr>
          <w:p w14:paraId="6E27FF25" w14:textId="2D53F08B"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Did people stay connected with family and friends? What help did they give people after your release from prison or detention?</w:t>
            </w:r>
          </w:p>
        </w:tc>
        <w:tc>
          <w:tcPr>
            <w:tcW w:w="1843" w:type="dxa"/>
            <w:vAlign w:val="center"/>
          </w:tcPr>
          <w:p w14:paraId="0F741D6A" w14:textId="113F2916"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2ADD97BD" w14:textId="77777777" w:rsidTr="003636BF">
        <w:trPr>
          <w:trHeight w:val="538"/>
        </w:trPr>
        <w:tc>
          <w:tcPr>
            <w:tcW w:w="7928" w:type="dxa"/>
            <w:vAlign w:val="center"/>
          </w:tcPr>
          <w:p w14:paraId="3157BA72" w14:textId="1495EAE5"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Were people visited by, or did you go to see, any other service providers for help? Who did people see? Were they helpful?</w:t>
            </w:r>
          </w:p>
        </w:tc>
        <w:tc>
          <w:tcPr>
            <w:tcW w:w="1843" w:type="dxa"/>
            <w:vAlign w:val="center"/>
          </w:tcPr>
          <w:p w14:paraId="0D986815" w14:textId="659CA505"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Service Duplication</w:t>
            </w:r>
          </w:p>
        </w:tc>
      </w:tr>
      <w:tr w:rsidR="00E23603" w:rsidRPr="003636BF" w14:paraId="435C4FC8" w14:textId="77777777" w:rsidTr="003636BF">
        <w:trPr>
          <w:trHeight w:val="560"/>
        </w:trPr>
        <w:tc>
          <w:tcPr>
            <w:tcW w:w="7928" w:type="dxa"/>
            <w:vAlign w:val="center"/>
          </w:tcPr>
          <w:p w14:paraId="12130AA6" w14:textId="00EDCEEB"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How did people feel after seeing the other service providers? Did people tell this to their case worker?</w:t>
            </w:r>
          </w:p>
        </w:tc>
        <w:tc>
          <w:tcPr>
            <w:tcW w:w="1843" w:type="dxa"/>
            <w:vAlign w:val="center"/>
          </w:tcPr>
          <w:p w14:paraId="7F8C45BD" w14:textId="13FECEF3"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Service Duplication</w:t>
            </w:r>
          </w:p>
        </w:tc>
      </w:tr>
      <w:tr w:rsidR="00E23603" w:rsidRPr="003636BF" w14:paraId="7A894A76" w14:textId="77777777" w:rsidTr="003636BF">
        <w:trPr>
          <w:trHeight w:val="13"/>
        </w:trPr>
        <w:tc>
          <w:tcPr>
            <w:tcW w:w="7928" w:type="dxa"/>
            <w:vAlign w:val="center"/>
          </w:tcPr>
          <w:p w14:paraId="476D89B1" w14:textId="4CD91DBA"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Was it important for your well-being to be connected to culture and community after your release? In what ways did you case worker enable this?</w:t>
            </w:r>
          </w:p>
        </w:tc>
        <w:tc>
          <w:tcPr>
            <w:tcW w:w="1843" w:type="dxa"/>
            <w:vAlign w:val="center"/>
          </w:tcPr>
          <w:p w14:paraId="50482391" w14:textId="4B63639B"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Quality of Delivery</w:t>
            </w:r>
          </w:p>
        </w:tc>
      </w:tr>
      <w:tr w:rsidR="00E23603" w:rsidRPr="003636BF" w14:paraId="3D7A726A" w14:textId="77777777" w:rsidTr="003636BF">
        <w:trPr>
          <w:trHeight w:val="13"/>
        </w:trPr>
        <w:tc>
          <w:tcPr>
            <w:tcW w:w="7928" w:type="dxa"/>
            <w:vAlign w:val="center"/>
          </w:tcPr>
          <w:p w14:paraId="7FFA9A6F" w14:textId="3FC1486D"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In what ways do people think they’ve changed as a person having gone through the program?</w:t>
            </w:r>
          </w:p>
        </w:tc>
        <w:tc>
          <w:tcPr>
            <w:tcW w:w="1843" w:type="dxa"/>
            <w:vAlign w:val="center"/>
          </w:tcPr>
          <w:p w14:paraId="4233BA04" w14:textId="77777777" w:rsidR="00E23603" w:rsidRPr="003636BF" w:rsidRDefault="00E23603" w:rsidP="003636BF">
            <w:pPr>
              <w:pStyle w:val="NormalWeb"/>
              <w:spacing w:after="0" w:line="240" w:lineRule="auto"/>
              <w:rPr>
                <w:rFonts w:cstheme="minorHAnsi"/>
                <w:sz w:val="20"/>
                <w:szCs w:val="20"/>
              </w:rPr>
            </w:pPr>
            <w:r w:rsidRPr="003636BF">
              <w:rPr>
                <w:rFonts w:eastAsiaTheme="minorEastAsia" w:cstheme="minorHAnsi"/>
                <w:color w:val="000000"/>
                <w:kern w:val="24"/>
                <w:sz w:val="20"/>
                <w:szCs w:val="20"/>
                <w:lang w:val="en-US"/>
              </w:rPr>
              <w:t>Achieving Outcomes /</w:t>
            </w:r>
          </w:p>
          <w:p w14:paraId="4C03810B" w14:textId="5573FFBF"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Unintended Consequences</w:t>
            </w:r>
          </w:p>
        </w:tc>
      </w:tr>
      <w:tr w:rsidR="00E23603" w:rsidRPr="003636BF" w14:paraId="6454762D" w14:textId="77777777" w:rsidTr="003636BF">
        <w:trPr>
          <w:trHeight w:val="13"/>
        </w:trPr>
        <w:tc>
          <w:tcPr>
            <w:tcW w:w="7928" w:type="dxa"/>
            <w:vAlign w:val="center"/>
          </w:tcPr>
          <w:p w14:paraId="1D842A2C" w14:textId="7F0DEB85"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text1"/>
                <w:kern w:val="24"/>
                <w:sz w:val="20"/>
                <w:szCs w:val="20"/>
                <w:lang w:val="en-US"/>
              </w:rPr>
              <w:t>What are the goals people have been able to achieve because of the program?</w:t>
            </w:r>
          </w:p>
        </w:tc>
        <w:tc>
          <w:tcPr>
            <w:tcW w:w="1843" w:type="dxa"/>
            <w:vAlign w:val="center"/>
          </w:tcPr>
          <w:p w14:paraId="72528F68" w14:textId="34F1EED8"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52BA25A0" w14:textId="77777777" w:rsidTr="003636BF">
        <w:trPr>
          <w:trHeight w:val="13"/>
        </w:trPr>
        <w:tc>
          <w:tcPr>
            <w:tcW w:w="7928" w:type="dxa"/>
            <w:vAlign w:val="center"/>
          </w:tcPr>
          <w:p w14:paraId="17467DAF" w14:textId="7251B4ED"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Was involvement in the program a positive or a negative experience for people? Please explain.</w:t>
            </w:r>
          </w:p>
        </w:tc>
        <w:tc>
          <w:tcPr>
            <w:tcW w:w="1843" w:type="dxa"/>
            <w:vAlign w:val="center"/>
          </w:tcPr>
          <w:p w14:paraId="103239F3" w14:textId="77777777" w:rsidR="00E23603" w:rsidRPr="003636BF" w:rsidRDefault="00E23603" w:rsidP="003636BF">
            <w:pPr>
              <w:pStyle w:val="NormalWeb"/>
              <w:spacing w:after="0" w:line="240" w:lineRule="auto"/>
              <w:rPr>
                <w:rFonts w:cstheme="minorHAnsi"/>
                <w:sz w:val="20"/>
                <w:szCs w:val="20"/>
              </w:rPr>
            </w:pPr>
            <w:r w:rsidRPr="003636BF">
              <w:rPr>
                <w:rFonts w:eastAsiaTheme="minorEastAsia" w:cstheme="minorHAnsi"/>
                <w:color w:val="000000"/>
                <w:kern w:val="24"/>
                <w:sz w:val="20"/>
                <w:szCs w:val="20"/>
                <w:lang w:val="en-US"/>
              </w:rPr>
              <w:t>Achieving Outcomes /</w:t>
            </w:r>
          </w:p>
          <w:p w14:paraId="0650542E" w14:textId="71E5D021"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Unintended Consequences</w:t>
            </w:r>
          </w:p>
        </w:tc>
      </w:tr>
      <w:tr w:rsidR="00E23603" w:rsidRPr="003636BF" w14:paraId="74F4C215" w14:textId="77777777" w:rsidTr="003636BF">
        <w:trPr>
          <w:trHeight w:val="13"/>
        </w:trPr>
        <w:tc>
          <w:tcPr>
            <w:tcW w:w="7928" w:type="dxa"/>
            <w:vAlign w:val="center"/>
          </w:tcPr>
          <w:p w14:paraId="4A425ED0" w14:textId="5F3E094F"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Is there anything else people would’ve liked to have achieved but didn’t?</w:t>
            </w:r>
          </w:p>
        </w:tc>
        <w:tc>
          <w:tcPr>
            <w:tcW w:w="1843" w:type="dxa"/>
            <w:vAlign w:val="center"/>
          </w:tcPr>
          <w:p w14:paraId="6F3C3CC8" w14:textId="6BA9FD3D"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70103C56" w14:textId="77777777" w:rsidTr="003636BF">
        <w:trPr>
          <w:trHeight w:val="13"/>
        </w:trPr>
        <w:tc>
          <w:tcPr>
            <w:tcW w:w="7928" w:type="dxa"/>
            <w:vAlign w:val="center"/>
          </w:tcPr>
          <w:p w14:paraId="6CC6A260" w14:textId="0390FF0F"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 xml:space="preserve">Why did people exit the program? </w:t>
            </w:r>
          </w:p>
        </w:tc>
        <w:tc>
          <w:tcPr>
            <w:tcW w:w="1843" w:type="dxa"/>
            <w:vAlign w:val="center"/>
          </w:tcPr>
          <w:p w14:paraId="1B503BBB" w14:textId="43E45CE8"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4DE66396" w14:textId="77777777" w:rsidTr="003636BF">
        <w:trPr>
          <w:trHeight w:val="13"/>
        </w:trPr>
        <w:tc>
          <w:tcPr>
            <w:tcW w:w="7928" w:type="dxa"/>
            <w:vAlign w:val="center"/>
          </w:tcPr>
          <w:p w14:paraId="39E7B36B" w14:textId="142FF9C9"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 xml:space="preserve">What’s life like for people now, compared to before you were in prison or detention? </w:t>
            </w:r>
          </w:p>
        </w:tc>
        <w:tc>
          <w:tcPr>
            <w:tcW w:w="1843" w:type="dxa"/>
            <w:vAlign w:val="center"/>
          </w:tcPr>
          <w:p w14:paraId="08DAD33C" w14:textId="61EC12B4"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4C58F396" w14:textId="77777777" w:rsidTr="003636BF">
        <w:trPr>
          <w:trHeight w:val="13"/>
        </w:trPr>
        <w:tc>
          <w:tcPr>
            <w:tcW w:w="7928" w:type="dxa"/>
            <w:vAlign w:val="center"/>
          </w:tcPr>
          <w:p w14:paraId="1A875393" w14:textId="7B38B577"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What do people see themselves doing in one or two years from now?</w:t>
            </w:r>
          </w:p>
        </w:tc>
        <w:tc>
          <w:tcPr>
            <w:tcW w:w="1843" w:type="dxa"/>
            <w:vAlign w:val="center"/>
          </w:tcPr>
          <w:p w14:paraId="549DFF53" w14:textId="2FD4008F"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Achieving Outcomes</w:t>
            </w:r>
          </w:p>
        </w:tc>
      </w:tr>
      <w:tr w:rsidR="00E23603" w:rsidRPr="003636BF" w14:paraId="2CA5DE68" w14:textId="77777777" w:rsidTr="003636BF">
        <w:trPr>
          <w:trHeight w:val="13"/>
        </w:trPr>
        <w:tc>
          <w:tcPr>
            <w:tcW w:w="7928" w:type="dxa"/>
            <w:vAlign w:val="center"/>
          </w:tcPr>
          <w:p w14:paraId="0B859291" w14:textId="1A0536F4"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Would people recommend the program to a friend? Why?</w:t>
            </w:r>
          </w:p>
        </w:tc>
        <w:tc>
          <w:tcPr>
            <w:tcW w:w="1843" w:type="dxa"/>
            <w:vAlign w:val="center"/>
          </w:tcPr>
          <w:p w14:paraId="5C972F7C" w14:textId="77777777" w:rsidR="00E23603" w:rsidRPr="003636BF" w:rsidRDefault="00E23603" w:rsidP="003636BF">
            <w:pPr>
              <w:pStyle w:val="NormalWeb"/>
              <w:spacing w:after="0" w:line="240" w:lineRule="auto"/>
              <w:rPr>
                <w:rFonts w:cstheme="minorHAnsi"/>
                <w:sz w:val="20"/>
                <w:szCs w:val="20"/>
              </w:rPr>
            </w:pPr>
            <w:r w:rsidRPr="003636BF">
              <w:rPr>
                <w:rFonts w:eastAsiaTheme="minorEastAsia" w:cstheme="minorHAnsi"/>
                <w:color w:val="000000"/>
                <w:kern w:val="24"/>
                <w:sz w:val="20"/>
                <w:szCs w:val="20"/>
                <w:lang w:val="en-US"/>
              </w:rPr>
              <w:t xml:space="preserve">Achieving Outcomes / </w:t>
            </w:r>
          </w:p>
          <w:p w14:paraId="1E548CAF" w14:textId="2F058496"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Unintended Consequences</w:t>
            </w:r>
          </w:p>
        </w:tc>
      </w:tr>
      <w:tr w:rsidR="00E23603" w:rsidRPr="003636BF" w14:paraId="46F8D8B9" w14:textId="77777777" w:rsidTr="003636BF">
        <w:trPr>
          <w:trHeight w:val="13"/>
        </w:trPr>
        <w:tc>
          <w:tcPr>
            <w:tcW w:w="7928" w:type="dxa"/>
            <w:vAlign w:val="center"/>
          </w:tcPr>
          <w:p w14:paraId="6D5618B7" w14:textId="01BC2E7C" w:rsidR="00E23603" w:rsidRPr="003636BF" w:rsidRDefault="00E23603" w:rsidP="003636BF">
            <w:pPr>
              <w:rPr>
                <w:rFonts w:eastAsiaTheme="minorEastAsia" w:cstheme="minorHAnsi"/>
                <w:color w:val="000000" w:themeColor="text1"/>
                <w:kern w:val="24"/>
                <w:sz w:val="20"/>
                <w:szCs w:val="20"/>
                <w:lang w:val="en-US"/>
              </w:rPr>
            </w:pPr>
            <w:r w:rsidRPr="003636BF">
              <w:rPr>
                <w:rFonts w:cstheme="minorHAnsi"/>
                <w:color w:val="000000" w:themeColor="dark1"/>
                <w:kern w:val="24"/>
                <w:sz w:val="20"/>
                <w:szCs w:val="20"/>
                <w:lang w:val="en-US"/>
              </w:rPr>
              <w:t xml:space="preserve">Can people think of any ways that the case worker could do his/her job better? </w:t>
            </w:r>
          </w:p>
        </w:tc>
        <w:tc>
          <w:tcPr>
            <w:tcW w:w="1843" w:type="dxa"/>
            <w:vAlign w:val="center"/>
          </w:tcPr>
          <w:p w14:paraId="1AFF15ED" w14:textId="2B50032B" w:rsidR="00E23603" w:rsidRPr="003636BF" w:rsidRDefault="00E23603" w:rsidP="003636BF">
            <w:pPr>
              <w:rPr>
                <w:rFonts w:eastAsiaTheme="minorEastAsia" w:cstheme="minorHAnsi"/>
                <w:color w:val="000000" w:themeColor="text1"/>
                <w:kern w:val="24"/>
                <w:sz w:val="20"/>
                <w:szCs w:val="20"/>
                <w:lang w:val="en-US"/>
              </w:rPr>
            </w:pPr>
            <w:r w:rsidRPr="003636BF">
              <w:rPr>
                <w:rFonts w:eastAsiaTheme="minorEastAsia" w:cstheme="minorHAnsi"/>
                <w:color w:val="000000"/>
                <w:kern w:val="24"/>
                <w:sz w:val="20"/>
                <w:szCs w:val="20"/>
                <w:lang w:val="en-US"/>
              </w:rPr>
              <w:t>Making Improvements</w:t>
            </w:r>
          </w:p>
        </w:tc>
      </w:tr>
    </w:tbl>
    <w:p w14:paraId="5CA578F5" w14:textId="77777777" w:rsidR="00E224FD" w:rsidRDefault="00E224FD" w:rsidP="00EC273E"/>
    <w:p w14:paraId="46D27AFC" w14:textId="77777777" w:rsidR="00E224FD" w:rsidRDefault="00E224FD">
      <w:pPr>
        <w:spacing w:after="200" w:line="276" w:lineRule="auto"/>
        <w:jc w:val="both"/>
        <w:rPr>
          <w:rFonts w:ascii="Arial" w:hAnsi="Arial" w:cs="Arial"/>
          <w:b/>
          <w:smallCaps/>
          <w:color w:val="17375D"/>
          <w:spacing w:val="10"/>
        </w:rPr>
      </w:pPr>
      <w:r>
        <w:br w:type="page"/>
      </w:r>
    </w:p>
    <w:p w14:paraId="0F6401F2" w14:textId="77777777" w:rsidR="00E224FD" w:rsidRDefault="00E23603" w:rsidP="0022592D">
      <w:pPr>
        <w:pStyle w:val="Heading2"/>
      </w:pPr>
      <w:bookmarkStart w:id="44" w:name="_Toc150784218"/>
      <w:r>
        <w:t>External Service Provider Survey</w:t>
      </w:r>
      <w:bookmarkEnd w:id="44"/>
    </w:p>
    <w:p w14:paraId="28E899B7" w14:textId="496EF8E0" w:rsidR="00023C72" w:rsidRDefault="00023C72" w:rsidP="00023C72">
      <w:pPr>
        <w:pStyle w:val="SUBHEAD2"/>
        <w:rPr>
          <w:rFonts w:asciiTheme="minorHAnsi" w:hAnsiTheme="minorHAnsi" w:cstheme="minorHAnsi"/>
          <w:b w:val="0"/>
          <w:bCs/>
        </w:rPr>
      </w:pPr>
      <w:r>
        <w:rPr>
          <w:rFonts w:asciiTheme="minorHAnsi" w:hAnsiTheme="minorHAnsi" w:cstheme="minorHAnsi"/>
          <w:b w:val="0"/>
          <w:bCs/>
        </w:rPr>
        <w:t>What is the project about</w:t>
      </w:r>
      <w:r w:rsidRPr="009C2715">
        <w:rPr>
          <w:rFonts w:asciiTheme="minorHAnsi" w:hAnsiTheme="minorHAnsi" w:cstheme="minorHAnsi"/>
          <w:b w:val="0"/>
          <w:bCs/>
        </w:rPr>
        <w:t>?</w:t>
      </w:r>
    </w:p>
    <w:p w14:paraId="7B5B4186" w14:textId="7A3B129A" w:rsidR="00852340" w:rsidRPr="00852340" w:rsidRDefault="00023C72" w:rsidP="00023C72">
      <w:pPr>
        <w:spacing w:before="120" w:after="120"/>
        <w:jc w:val="both"/>
      </w:pPr>
      <w:r w:rsidRPr="009C2715">
        <w:rPr>
          <w:rFonts w:cstheme="minorHAnsi"/>
        </w:rPr>
        <w:t xml:space="preserve">The research is supported by the National Indigenous Australians Agency (NIAA) and the senior </w:t>
      </w:r>
      <w:r w:rsidR="00852340" w:rsidRPr="00852340">
        <w:t>Keogh Bay is evaluating the Commonwealth’s Adult and Youth Through Care Programs. These programs aim to provide intensive case management and support for people who have been in prison or detention, to help them work with family and the services they need to make a successful return to the community.</w:t>
      </w:r>
    </w:p>
    <w:p w14:paraId="4925CA2C" w14:textId="77777777" w:rsidR="009C2715" w:rsidRPr="009C2715" w:rsidRDefault="009C2715" w:rsidP="009C2715">
      <w:pPr>
        <w:rPr>
          <w:rFonts w:cstheme="minorHAnsi"/>
        </w:rPr>
      </w:pPr>
      <w:r w:rsidRPr="009C2715">
        <w:rPr>
          <w:rFonts w:cstheme="minorHAnsi"/>
        </w:rPr>
        <w:br/>
        <w:t>The aims of the evaluation are to assess whether:</w:t>
      </w:r>
    </w:p>
    <w:p w14:paraId="49C9D206" w14:textId="77777777" w:rsidR="009C2715" w:rsidRPr="009C2715" w:rsidRDefault="009C2715" w:rsidP="00C71EF3">
      <w:pPr>
        <w:pStyle w:val="ListParagraph"/>
        <w:numPr>
          <w:ilvl w:val="0"/>
          <w:numId w:val="29"/>
        </w:numPr>
        <w:rPr>
          <w:rFonts w:cstheme="minorHAnsi"/>
        </w:rPr>
      </w:pPr>
      <w:r w:rsidRPr="009C2715">
        <w:rPr>
          <w:rFonts w:cstheme="minorHAnsi"/>
        </w:rPr>
        <w:t>The programs are appropriately designed and collaboratively build on the strengths of Indigenous Australians in ways that are culturally safe and respectful.</w:t>
      </w:r>
    </w:p>
    <w:p w14:paraId="5E8B1A6D" w14:textId="77777777" w:rsidR="009C2715" w:rsidRPr="009C2715" w:rsidRDefault="009C2715" w:rsidP="00C71EF3">
      <w:pPr>
        <w:pStyle w:val="ListParagraph"/>
        <w:numPr>
          <w:ilvl w:val="0"/>
          <w:numId w:val="29"/>
        </w:numPr>
        <w:rPr>
          <w:rFonts w:cstheme="minorHAnsi"/>
        </w:rPr>
      </w:pPr>
      <w:r w:rsidRPr="009C2715">
        <w:rPr>
          <w:rFonts w:cstheme="minorHAnsi"/>
        </w:rPr>
        <w:t>The models are operating as intended (supporting clients with their reintegration journey in partnership with family and other supportive stakeholders)</w:t>
      </w:r>
    </w:p>
    <w:p w14:paraId="1B313EEA" w14:textId="5A00AC59" w:rsidR="009C2715" w:rsidRPr="00E224FD" w:rsidRDefault="009C2715" w:rsidP="00C71EF3">
      <w:pPr>
        <w:pStyle w:val="ListParagraph"/>
        <w:numPr>
          <w:ilvl w:val="0"/>
          <w:numId w:val="29"/>
        </w:numPr>
        <w:rPr>
          <w:rFonts w:cstheme="minorHAnsi"/>
        </w:rPr>
      </w:pPr>
      <w:r w:rsidRPr="009C2715">
        <w:rPr>
          <w:rFonts w:cstheme="minorHAnsi"/>
        </w:rPr>
        <w:t>Outcomes for clients are improving (to reduce rates of repeated offending and recidivism).</w:t>
      </w:r>
    </w:p>
    <w:p w14:paraId="2CA5F070" w14:textId="7505CA48" w:rsidR="00E224FD" w:rsidRDefault="009C2715" w:rsidP="00E224FD">
      <w:pPr>
        <w:pStyle w:val="SUBHEAD2"/>
        <w:rPr>
          <w:rFonts w:asciiTheme="minorHAnsi" w:hAnsiTheme="minorHAnsi" w:cstheme="minorHAnsi"/>
          <w:b w:val="0"/>
          <w:bCs/>
        </w:rPr>
      </w:pPr>
      <w:r w:rsidRPr="009C2715">
        <w:rPr>
          <w:rFonts w:asciiTheme="minorHAnsi" w:hAnsiTheme="minorHAnsi" w:cstheme="minorHAnsi"/>
          <w:b w:val="0"/>
          <w:bCs/>
        </w:rPr>
        <w:t>Who is involved in the project?</w:t>
      </w:r>
    </w:p>
    <w:p w14:paraId="205CB1DB" w14:textId="3DD71E5F" w:rsidR="009C2715" w:rsidRPr="009C2715" w:rsidRDefault="009C2715" w:rsidP="009C2715">
      <w:pPr>
        <w:rPr>
          <w:rFonts w:cstheme="minorHAnsi"/>
        </w:rPr>
      </w:pPr>
      <w:r w:rsidRPr="009C2715">
        <w:rPr>
          <w:rFonts w:cstheme="minorHAnsi"/>
        </w:rPr>
        <w:t>This research is being undertaken over April to July 2023 by Keogh Bay Pty Ltd. The research is supported by the National Indigenous Australians Agency (NIAA) and the senior management of all service providers who deliver the program.</w:t>
      </w:r>
      <w:r w:rsidRPr="009C2715">
        <w:rPr>
          <w:rFonts w:cstheme="minorHAnsi"/>
        </w:rPr>
        <w:br/>
      </w:r>
      <w:r w:rsidRPr="009C2715">
        <w:rPr>
          <w:rFonts w:cstheme="minorHAnsi"/>
        </w:rPr>
        <w:br/>
      </w:r>
      <w:r w:rsidRPr="00E224FD">
        <w:rPr>
          <w:rFonts w:cstheme="minorHAnsi"/>
          <w:bCs/>
          <w:smallCaps/>
          <w:color w:val="17375D"/>
          <w:spacing w:val="10"/>
        </w:rPr>
        <w:t>Why have I been invited to participate?</w:t>
      </w:r>
      <w:r w:rsidRPr="009C2715">
        <w:rPr>
          <w:rFonts w:cstheme="minorHAnsi"/>
        </w:rPr>
        <w:br/>
        <w:t>You have been invited to participate because of your involvement as a staff member of a partner organisation of one of the through care programs being evaluated. The survey provides you with an opportunity to let the researchers know what is working well, what is not working so well, and what could be improved. There are 20 closed (quick click) questions that take less than 5 minutes to complete.</w:t>
      </w:r>
    </w:p>
    <w:p w14:paraId="1F1FF21B" w14:textId="77777777" w:rsidR="009C2715" w:rsidRPr="009C2715" w:rsidRDefault="009C2715" w:rsidP="009C2715">
      <w:pPr>
        <w:rPr>
          <w:rFonts w:cstheme="minorHAnsi"/>
        </w:rPr>
      </w:pPr>
    </w:p>
    <w:p w14:paraId="2797BD97" w14:textId="77777777" w:rsidR="009C2715" w:rsidRPr="00E224FD" w:rsidRDefault="009C2715" w:rsidP="009C2715">
      <w:pPr>
        <w:rPr>
          <w:rFonts w:cstheme="minorHAnsi"/>
          <w:bCs/>
          <w:smallCaps/>
          <w:color w:val="17375D"/>
          <w:spacing w:val="10"/>
        </w:rPr>
      </w:pPr>
      <w:r w:rsidRPr="00E224FD">
        <w:rPr>
          <w:rFonts w:cstheme="minorHAnsi"/>
          <w:bCs/>
          <w:smallCaps/>
          <w:color w:val="17375D"/>
          <w:spacing w:val="10"/>
        </w:rPr>
        <w:t>Privacy</w:t>
      </w:r>
    </w:p>
    <w:p w14:paraId="3BACAD72" w14:textId="67B2C79C" w:rsidR="009C2715" w:rsidRDefault="009C2715" w:rsidP="009C2715">
      <w:pPr>
        <w:rPr>
          <w:rFonts w:cstheme="minorHAnsi"/>
        </w:rPr>
      </w:pPr>
      <w:r w:rsidRPr="009C2715">
        <w:rPr>
          <w:rFonts w:cstheme="minorHAnsi"/>
        </w:rPr>
        <w:t>By completing this survey</w:t>
      </w:r>
      <w:r w:rsidR="00A6555D">
        <w:rPr>
          <w:rFonts w:cstheme="minorHAnsi"/>
        </w:rPr>
        <w:t xml:space="preserve">, </w:t>
      </w:r>
      <w:r w:rsidRPr="009C2715">
        <w:rPr>
          <w:rFonts w:cstheme="minorHAnsi"/>
        </w:rPr>
        <w:t xml:space="preserve">you consent to the information provided being used for the purposes of the evaluation. No identifying information will be reported in the evaluation. All survey data will be managed in accordance with the Australian Privacy Principles in the Privacy Act 1988(Cth). If you have any questions about this survey, please contact the project manager, Jonathan Taylor at </w:t>
      </w:r>
      <w:hyperlink r:id="rId25" w:history="1">
        <w:r w:rsidRPr="002254AB">
          <w:rPr>
            <w:rStyle w:val="Hyperlink"/>
            <w:rFonts w:cstheme="minorHAnsi"/>
          </w:rPr>
          <w:t>jon.taylor@keoghbay.com.au</w:t>
        </w:r>
      </w:hyperlink>
    </w:p>
    <w:p w14:paraId="220F2A41" w14:textId="6805A6F4" w:rsidR="009C2715" w:rsidRPr="009C2715" w:rsidRDefault="00E224FD" w:rsidP="00E224FD">
      <w:pPr>
        <w:spacing w:after="200" w:line="276" w:lineRule="auto"/>
        <w:jc w:val="both"/>
        <w:rPr>
          <w:rFonts w:cstheme="minorHAnsi"/>
        </w:rPr>
      </w:pPr>
      <w:r>
        <w:rPr>
          <w:rFonts w:cstheme="minorHAnsi"/>
        </w:rPr>
        <w:br w:type="page"/>
      </w:r>
    </w:p>
    <w:tbl>
      <w:tblPr>
        <w:tblStyle w:val="GridTable1Light-Accent1"/>
        <w:tblW w:w="9771" w:type="dxa"/>
        <w:tblLook w:val="0420" w:firstRow="1" w:lastRow="0" w:firstColumn="0" w:lastColumn="0" w:noHBand="0" w:noVBand="1"/>
        <w:tblCaption w:val="External service provider survey (table)"/>
        <w:tblDescription w:val="This table provides the 20 survey questions from the External Service Provider Survey. A table format is used to set out the questions using a row for each question."/>
      </w:tblPr>
      <w:tblGrid>
        <w:gridCol w:w="9771"/>
      </w:tblGrid>
      <w:tr w:rsidR="00E224FD" w:rsidRPr="00290B5E" w14:paraId="7F5A7811" w14:textId="77777777" w:rsidTr="00696E84">
        <w:trPr>
          <w:cnfStyle w:val="100000000000" w:firstRow="1" w:lastRow="0" w:firstColumn="0" w:lastColumn="0" w:oddVBand="0" w:evenVBand="0" w:oddHBand="0" w:evenHBand="0" w:firstRowFirstColumn="0" w:firstRowLastColumn="0" w:lastRowFirstColumn="0" w:lastRowLastColumn="0"/>
          <w:trHeight w:val="192"/>
          <w:tblHeader/>
        </w:trPr>
        <w:tc>
          <w:tcPr>
            <w:tcW w:w="9771" w:type="dxa"/>
            <w:hideMark/>
          </w:tcPr>
          <w:p w14:paraId="5177E35E" w14:textId="515C1AA6" w:rsidR="00E224FD" w:rsidRPr="00351FC8" w:rsidRDefault="00E224FD" w:rsidP="00793605">
            <w:pPr>
              <w:pStyle w:val="Heading4"/>
              <w:ind w:hanging="1330"/>
              <w:rPr>
                <w:b w:val="0"/>
                <w:bCs w:val="0"/>
              </w:rPr>
            </w:pPr>
            <w:r w:rsidRPr="00351FC8">
              <w:rPr>
                <w:lang w:val="en-US"/>
              </w:rPr>
              <w:t>Questions</w:t>
            </w:r>
          </w:p>
        </w:tc>
      </w:tr>
      <w:tr w:rsidR="009C2715" w:rsidRPr="00290B5E" w14:paraId="21E554C6" w14:textId="77777777" w:rsidTr="00290B5E">
        <w:trPr>
          <w:trHeight w:val="1094"/>
        </w:trPr>
        <w:tc>
          <w:tcPr>
            <w:tcW w:w="9771" w:type="dxa"/>
            <w:hideMark/>
          </w:tcPr>
          <w:p w14:paraId="330AE343" w14:textId="51358257" w:rsidR="009C2715" w:rsidRPr="00693FC7" w:rsidRDefault="009C2715"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Do you consent to take part in this survey?</w:t>
            </w:r>
          </w:p>
          <w:p w14:paraId="43BD46A6" w14:textId="77777777" w:rsidR="009C2715" w:rsidRPr="00693FC7" w:rsidRDefault="009C2715" w:rsidP="00877CCC">
            <w:pPr>
              <w:rPr>
                <w:rFonts w:cstheme="minorHAnsi"/>
                <w:color w:val="000000" w:themeColor="text1"/>
                <w:sz w:val="20"/>
                <w:szCs w:val="20"/>
              </w:rPr>
            </w:pPr>
          </w:p>
          <w:p w14:paraId="4F4C28D1" w14:textId="3D0DBBFA" w:rsidR="009C2715" w:rsidRPr="00693FC7" w:rsidRDefault="00290B5E" w:rsidP="00877CCC">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Yes</w:t>
            </w:r>
          </w:p>
          <w:p w14:paraId="10518198" w14:textId="091BEAFD" w:rsidR="009C2715" w:rsidRPr="00351FC8" w:rsidRDefault="00290B5E" w:rsidP="00877CCC">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No</w:t>
            </w:r>
          </w:p>
        </w:tc>
      </w:tr>
      <w:tr w:rsidR="009C2715" w:rsidRPr="00290B5E" w14:paraId="4B40CA2B" w14:textId="77777777" w:rsidTr="00693FC7">
        <w:trPr>
          <w:trHeight w:val="3539"/>
        </w:trPr>
        <w:tc>
          <w:tcPr>
            <w:tcW w:w="9771" w:type="dxa"/>
            <w:hideMark/>
          </w:tcPr>
          <w:p w14:paraId="063E3561" w14:textId="7BAC6198" w:rsidR="009C2715" w:rsidRPr="00693FC7" w:rsidRDefault="009C2715"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Which of the following through-care service providers is your local partner?</w:t>
            </w:r>
            <w:r w:rsidR="00497A83" w:rsidRPr="00693FC7">
              <w:rPr>
                <w:rFonts w:cstheme="minorHAnsi"/>
                <w:color w:val="000000" w:themeColor="text1"/>
                <w:sz w:val="20"/>
                <w:szCs w:val="20"/>
              </w:rPr>
              <w:t xml:space="preserve"> You may select more than one option:</w:t>
            </w:r>
          </w:p>
          <w:p w14:paraId="1B926E22" w14:textId="77777777" w:rsidR="009C2715" w:rsidRPr="00693FC7" w:rsidRDefault="009C2715" w:rsidP="00877CCC">
            <w:pPr>
              <w:rPr>
                <w:rFonts w:cstheme="minorHAnsi"/>
                <w:color w:val="000000" w:themeColor="text1"/>
                <w:sz w:val="20"/>
                <w:szCs w:val="20"/>
              </w:rPr>
            </w:pPr>
          </w:p>
          <w:p w14:paraId="5B97C20D" w14:textId="586DEB27"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Aboriginal and Torres Strait Islander Legal Service - Adult Through Care</w:t>
            </w:r>
          </w:p>
          <w:p w14:paraId="67FC534C" w14:textId="23776FBA"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Aboriginal and Torres Strait Islander Legal Service - Youth Through Care</w:t>
            </w:r>
          </w:p>
          <w:p w14:paraId="56147DFF" w14:textId="55572C08"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Circular Head Aboriginal Co</w:t>
            </w:r>
            <w:r w:rsidR="00010A38" w:rsidRPr="00693FC7">
              <w:rPr>
                <w:rFonts w:cstheme="minorHAnsi"/>
                <w:color w:val="000000" w:themeColor="text1"/>
                <w:sz w:val="20"/>
                <w:szCs w:val="20"/>
              </w:rPr>
              <w:t>r</w:t>
            </w:r>
            <w:r w:rsidR="009C2715" w:rsidRPr="00693FC7">
              <w:rPr>
                <w:rFonts w:cstheme="minorHAnsi"/>
                <w:color w:val="000000" w:themeColor="text1"/>
                <w:sz w:val="20"/>
                <w:szCs w:val="20"/>
              </w:rPr>
              <w:t>poration - Adult Through Care</w:t>
            </w:r>
          </w:p>
          <w:p w14:paraId="6B329559" w14:textId="35E819D6"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Community Restorative Centre (NSW) - Adult Through Care</w:t>
            </w:r>
          </w:p>
          <w:p w14:paraId="0E985EE3" w14:textId="77EABE1C"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Five Bridges- Adult Through Care</w:t>
            </w:r>
          </w:p>
          <w:p w14:paraId="067CDEFE" w14:textId="3669C077"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Nulsen (Outcare) - Adult Through Care</w:t>
            </w:r>
          </w:p>
          <w:p w14:paraId="7F837669" w14:textId="0F61326E"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North Australian Aboriginal Justice Agency - Adult Through Care</w:t>
            </w:r>
          </w:p>
          <w:p w14:paraId="71628690" w14:textId="6D000E74"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North Australian Aboriginal Justice Agency - Youth Through Care</w:t>
            </w:r>
          </w:p>
          <w:p w14:paraId="6BD13C38" w14:textId="04ACAC36"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Regional Youth Support Service - Adult Through Care</w:t>
            </w:r>
          </w:p>
          <w:p w14:paraId="55001E90" w14:textId="0240D60B"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Victorian Aboriginal Child Care Agency - Youth Through Care</w:t>
            </w:r>
          </w:p>
          <w:p w14:paraId="04EA22A0" w14:textId="5AB9ADED" w:rsidR="009C2715" w:rsidRPr="00693FC7" w:rsidRDefault="00290B5E" w:rsidP="009C2715">
            <w:pPr>
              <w:rPr>
                <w:rFonts w:cstheme="minorHAnsi"/>
                <w:color w:val="000000" w:themeColor="text1"/>
                <w:sz w:val="20"/>
                <w:szCs w:val="20"/>
              </w:rPr>
            </w:pPr>
            <w:r w:rsidRPr="00693FC7">
              <w:rPr>
                <w:rFonts w:cstheme="minorHAnsi"/>
                <w:color w:val="000000" w:themeColor="text1"/>
                <w:sz w:val="20"/>
                <w:szCs w:val="20"/>
              </w:rPr>
              <w:t xml:space="preserve">- </w:t>
            </w:r>
            <w:r w:rsidR="009C2715" w:rsidRPr="00693FC7">
              <w:rPr>
                <w:rFonts w:cstheme="minorHAnsi"/>
                <w:color w:val="000000" w:themeColor="text1"/>
                <w:sz w:val="20"/>
                <w:szCs w:val="20"/>
              </w:rPr>
              <w:t>Other (please specify)</w:t>
            </w:r>
          </w:p>
          <w:p w14:paraId="5FB8AFE5" w14:textId="6AF07173" w:rsidR="009C2715" w:rsidRPr="00351FC8" w:rsidRDefault="009C2715" w:rsidP="009C2715">
            <w:pPr>
              <w:rPr>
                <w:rFonts w:cstheme="minorHAnsi"/>
                <w:color w:val="000000" w:themeColor="text1"/>
                <w:sz w:val="20"/>
                <w:szCs w:val="20"/>
              </w:rPr>
            </w:pPr>
          </w:p>
        </w:tc>
      </w:tr>
      <w:tr w:rsidR="00497A83" w:rsidRPr="00290B5E" w14:paraId="79C9F29A" w14:textId="77777777" w:rsidTr="00693FC7">
        <w:trPr>
          <w:trHeight w:val="1534"/>
        </w:trPr>
        <w:tc>
          <w:tcPr>
            <w:tcW w:w="9771" w:type="dxa"/>
            <w:hideMark/>
          </w:tcPr>
          <w:p w14:paraId="70B2EB42" w14:textId="68610F75" w:rsidR="00497A83" w:rsidRPr="00693FC7" w:rsidRDefault="00497A83" w:rsidP="00C71EF3">
            <w:pPr>
              <w:pStyle w:val="ListParagraph"/>
              <w:numPr>
                <w:ilvl w:val="0"/>
                <w:numId w:val="31"/>
              </w:numPr>
              <w:rPr>
                <w:rFonts w:eastAsiaTheme="minorEastAsia" w:cstheme="minorHAnsi"/>
                <w:color w:val="000000" w:themeColor="dark1"/>
                <w:kern w:val="24"/>
                <w:sz w:val="20"/>
                <w:szCs w:val="20"/>
                <w:lang w:val="en-US"/>
              </w:rPr>
            </w:pPr>
            <w:r w:rsidRPr="00693FC7">
              <w:rPr>
                <w:rFonts w:eastAsiaTheme="minorEastAsia" w:cstheme="minorHAnsi"/>
                <w:color w:val="000000" w:themeColor="dark1"/>
                <w:kern w:val="24"/>
                <w:sz w:val="20"/>
                <w:szCs w:val="20"/>
                <w:lang w:val="en-US"/>
              </w:rPr>
              <w:t xml:space="preserve">What type of organisation do you represent? </w:t>
            </w:r>
            <w:r w:rsidRPr="00693FC7">
              <w:rPr>
                <w:rFonts w:cstheme="minorHAnsi"/>
                <w:color w:val="000000" w:themeColor="text1"/>
                <w:sz w:val="20"/>
                <w:szCs w:val="20"/>
              </w:rPr>
              <w:t>Please select one from the following options:</w:t>
            </w:r>
          </w:p>
          <w:p w14:paraId="1AF8413C" w14:textId="77777777" w:rsidR="00497A83" w:rsidRPr="00693FC7" w:rsidRDefault="00497A83" w:rsidP="00497A83">
            <w:pPr>
              <w:rPr>
                <w:rFonts w:cstheme="minorHAnsi"/>
                <w:color w:val="000000" w:themeColor="text1"/>
                <w:sz w:val="20"/>
                <w:szCs w:val="20"/>
              </w:rPr>
            </w:pPr>
          </w:p>
          <w:p w14:paraId="40EB50D2" w14:textId="77777777"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Government </w:t>
            </w:r>
          </w:p>
          <w:p w14:paraId="1E8860B5" w14:textId="77777777"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Non-government </w:t>
            </w:r>
          </w:p>
          <w:p w14:paraId="70F2C01D" w14:textId="77777777"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Aboriginal and Torres Strait Islander Community Controlled</w:t>
            </w:r>
          </w:p>
          <w:p w14:paraId="707CAB71" w14:textId="16936EA3" w:rsidR="00497A83" w:rsidRPr="00351FC8" w:rsidRDefault="00497A83" w:rsidP="00877CCC">
            <w:pPr>
              <w:rPr>
                <w:rFonts w:cstheme="minorHAnsi"/>
                <w:color w:val="000000" w:themeColor="text1"/>
                <w:sz w:val="20"/>
                <w:szCs w:val="20"/>
              </w:rPr>
            </w:pPr>
            <w:r w:rsidRPr="00693FC7">
              <w:rPr>
                <w:rFonts w:cstheme="minorHAnsi"/>
                <w:color w:val="000000" w:themeColor="text1"/>
                <w:sz w:val="20"/>
                <w:szCs w:val="20"/>
              </w:rPr>
              <w:t>Other (please specify)</w:t>
            </w:r>
          </w:p>
        </w:tc>
      </w:tr>
      <w:tr w:rsidR="00497A83" w:rsidRPr="00290B5E" w14:paraId="1CD88FEC" w14:textId="77777777" w:rsidTr="00693FC7">
        <w:trPr>
          <w:trHeight w:val="3825"/>
        </w:trPr>
        <w:tc>
          <w:tcPr>
            <w:tcW w:w="9771" w:type="dxa"/>
            <w:hideMark/>
          </w:tcPr>
          <w:p w14:paraId="6D702D6B" w14:textId="6084BC12" w:rsidR="00497A83" w:rsidRPr="00693FC7" w:rsidRDefault="00497A83" w:rsidP="00C71EF3">
            <w:pPr>
              <w:pStyle w:val="ListParagraph"/>
              <w:numPr>
                <w:ilvl w:val="0"/>
                <w:numId w:val="31"/>
              </w:numPr>
              <w:rPr>
                <w:rFonts w:cstheme="minorHAnsi"/>
                <w:color w:val="000000" w:themeColor="text1"/>
                <w:sz w:val="20"/>
                <w:szCs w:val="20"/>
              </w:rPr>
            </w:pPr>
            <w:r w:rsidRPr="00693FC7">
              <w:rPr>
                <w:rFonts w:eastAsiaTheme="minorEastAsia" w:cstheme="minorHAnsi"/>
                <w:color w:val="000000"/>
                <w:kern w:val="24"/>
                <w:sz w:val="20"/>
                <w:szCs w:val="20"/>
                <w:lang w:val="en-US"/>
              </w:rPr>
              <w:t xml:space="preserve">Which of the following services does your organisation provide? </w:t>
            </w:r>
            <w:r w:rsidRPr="00693FC7">
              <w:rPr>
                <w:rFonts w:cstheme="minorHAnsi"/>
                <w:color w:val="000000" w:themeColor="text1"/>
                <w:sz w:val="20"/>
                <w:szCs w:val="20"/>
              </w:rPr>
              <w:t>You may select more than one option:</w:t>
            </w:r>
          </w:p>
          <w:p w14:paraId="038B5EB5" w14:textId="77777777" w:rsidR="00497A83" w:rsidRPr="00693FC7" w:rsidRDefault="00497A83" w:rsidP="00497A83">
            <w:pPr>
              <w:rPr>
                <w:rFonts w:cstheme="minorHAnsi"/>
                <w:color w:val="000000" w:themeColor="text1"/>
                <w:sz w:val="20"/>
                <w:szCs w:val="20"/>
              </w:rPr>
            </w:pPr>
          </w:p>
          <w:p w14:paraId="2E78F7B7" w14:textId="29D65EB5"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Housing or Accommodation </w:t>
            </w:r>
          </w:p>
          <w:p w14:paraId="032F299C" w14:textId="1FFBFF9A"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Primary Health</w:t>
            </w:r>
          </w:p>
          <w:p w14:paraId="39584527" w14:textId="2189731D"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AOD Rehabilitation</w:t>
            </w:r>
          </w:p>
          <w:p w14:paraId="642C8DC4" w14:textId="3111F3E8"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Cultural Strengthening </w:t>
            </w:r>
          </w:p>
          <w:p w14:paraId="7FAC1699" w14:textId="18C6D2FE"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Education and Training </w:t>
            </w:r>
          </w:p>
          <w:p w14:paraId="02006157" w14:textId="1E99073C"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Employment</w:t>
            </w:r>
          </w:p>
          <w:p w14:paraId="7EBFA508" w14:textId="6FB73BAC"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 xml:space="preserve">Transport </w:t>
            </w:r>
          </w:p>
          <w:p w14:paraId="27545513" w14:textId="63791C22"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DFV Support</w:t>
            </w:r>
          </w:p>
          <w:p w14:paraId="52241E7F" w14:textId="38393EB6"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Legal Services</w:t>
            </w:r>
          </w:p>
          <w:p w14:paraId="3F438A3D" w14:textId="07279759"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Parenting Support</w:t>
            </w:r>
          </w:p>
          <w:p w14:paraId="330C642B" w14:textId="14E5F2E6"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Family Support</w:t>
            </w:r>
          </w:p>
          <w:p w14:paraId="21140E9B" w14:textId="54A4128F" w:rsidR="00497A83" w:rsidRPr="00693FC7" w:rsidRDefault="00497A83" w:rsidP="00497A83">
            <w:pPr>
              <w:rPr>
                <w:rFonts w:cstheme="minorHAnsi"/>
                <w:color w:val="000000" w:themeColor="text1"/>
                <w:sz w:val="20"/>
                <w:szCs w:val="20"/>
              </w:rPr>
            </w:pPr>
            <w:r w:rsidRPr="00693FC7">
              <w:rPr>
                <w:rFonts w:cstheme="minorHAnsi"/>
                <w:color w:val="000000" w:themeColor="text1"/>
                <w:sz w:val="20"/>
                <w:szCs w:val="20"/>
              </w:rPr>
              <w:t>Correctional services</w:t>
            </w:r>
          </w:p>
          <w:p w14:paraId="16001955" w14:textId="19812102" w:rsidR="00497A83" w:rsidRPr="00351FC8" w:rsidRDefault="00497A83" w:rsidP="00497A83">
            <w:pPr>
              <w:rPr>
                <w:rFonts w:cstheme="minorHAnsi"/>
                <w:color w:val="000000" w:themeColor="text1"/>
                <w:sz w:val="20"/>
                <w:szCs w:val="20"/>
              </w:rPr>
            </w:pPr>
            <w:r w:rsidRPr="00693FC7">
              <w:rPr>
                <w:rFonts w:cstheme="minorHAnsi"/>
                <w:color w:val="000000" w:themeColor="text1"/>
                <w:sz w:val="20"/>
                <w:szCs w:val="20"/>
              </w:rPr>
              <w:t>Other (please specify)</w:t>
            </w:r>
          </w:p>
        </w:tc>
      </w:tr>
      <w:tr w:rsidR="00497A83" w:rsidRPr="00290B5E" w14:paraId="0DA01AF9" w14:textId="77777777" w:rsidTr="00E224FD">
        <w:trPr>
          <w:trHeight w:val="421"/>
        </w:trPr>
        <w:tc>
          <w:tcPr>
            <w:tcW w:w="9771" w:type="dxa"/>
            <w:hideMark/>
          </w:tcPr>
          <w:p w14:paraId="5BC72F89" w14:textId="41FC6FA0" w:rsidR="00693FC7" w:rsidRPr="00693FC7" w:rsidRDefault="00497A83" w:rsidP="00C71EF3">
            <w:pPr>
              <w:pStyle w:val="ListParagraph"/>
              <w:numPr>
                <w:ilvl w:val="0"/>
                <w:numId w:val="31"/>
              </w:numPr>
              <w:rPr>
                <w:rFonts w:cstheme="minorHAnsi"/>
                <w:color w:val="000000" w:themeColor="dark1"/>
                <w:kern w:val="24"/>
                <w:sz w:val="20"/>
                <w:szCs w:val="20"/>
                <w:lang w:val="en-US"/>
              </w:rPr>
            </w:pPr>
            <w:r w:rsidRPr="00693FC7">
              <w:rPr>
                <w:rFonts w:cstheme="minorHAnsi"/>
                <w:color w:val="000000" w:themeColor="dark1"/>
                <w:kern w:val="24"/>
                <w:sz w:val="20"/>
                <w:szCs w:val="20"/>
                <w:lang w:val="en-US"/>
              </w:rPr>
              <w:t xml:space="preserve">To what extent do you consider your local through care service provider to be delivering a service that is Client-Centred? *Client-Centred: Individualised support and decision making with the person’s needs, </w:t>
            </w:r>
            <w:r w:rsidR="00551C11" w:rsidRPr="00693FC7">
              <w:rPr>
                <w:rFonts w:cstheme="minorHAnsi"/>
                <w:color w:val="000000" w:themeColor="dark1"/>
                <w:kern w:val="24"/>
                <w:sz w:val="20"/>
                <w:szCs w:val="20"/>
                <w:lang w:val="en-US"/>
              </w:rPr>
              <w:t>strengths,</w:t>
            </w:r>
            <w:r w:rsidRPr="00693FC7">
              <w:rPr>
                <w:rFonts w:cstheme="minorHAnsi"/>
                <w:color w:val="000000" w:themeColor="dark1"/>
                <w:kern w:val="24"/>
                <w:sz w:val="20"/>
                <w:szCs w:val="20"/>
                <w:lang w:val="en-US"/>
              </w:rPr>
              <w:t xml:space="preserve"> and risks at the centre.</w:t>
            </w:r>
          </w:p>
          <w:p w14:paraId="595D6F21" w14:textId="77777777" w:rsidR="00497A83" w:rsidRPr="00693FC7" w:rsidRDefault="00497A83" w:rsidP="00877CCC">
            <w:pPr>
              <w:rPr>
                <w:rFonts w:cstheme="minorHAnsi"/>
                <w:color w:val="000000" w:themeColor="dark1"/>
                <w:kern w:val="24"/>
                <w:sz w:val="20"/>
                <w:szCs w:val="20"/>
                <w:lang w:val="en-US"/>
              </w:rPr>
            </w:pPr>
          </w:p>
          <w:p w14:paraId="77E77A1A" w14:textId="77777777" w:rsidR="00497A83" w:rsidRPr="00693FC7" w:rsidRDefault="00497A83" w:rsidP="00877CCC">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3BD60539" w14:textId="77777777" w:rsidR="00497A83" w:rsidRPr="00693FC7" w:rsidRDefault="00497A83" w:rsidP="00877CCC">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566F15F2" w14:textId="77777777" w:rsidR="00497A83" w:rsidRPr="00693FC7" w:rsidRDefault="00497A83" w:rsidP="00877CCC">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58481488" w14:textId="40A375ED" w:rsidR="00497A83" w:rsidRPr="00693FC7" w:rsidRDefault="00497A83" w:rsidP="00877CCC">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58F6C2E8" w14:textId="19408AA1" w:rsidR="00497A83" w:rsidRPr="00351FC8" w:rsidRDefault="00497A83" w:rsidP="00877CCC">
            <w:pPr>
              <w:rPr>
                <w:rFonts w:cstheme="minorHAnsi"/>
                <w:color w:val="000000" w:themeColor="text1"/>
                <w:sz w:val="20"/>
                <w:szCs w:val="20"/>
              </w:rPr>
            </w:pPr>
            <w:r w:rsidRPr="00693FC7">
              <w:rPr>
                <w:rFonts w:cstheme="minorHAnsi"/>
                <w:color w:val="000000" w:themeColor="dark1"/>
                <w:kern w:val="24"/>
                <w:sz w:val="20"/>
                <w:szCs w:val="20"/>
                <w:lang w:val="en-US"/>
              </w:rPr>
              <w:t>Never</w:t>
            </w:r>
          </w:p>
        </w:tc>
      </w:tr>
      <w:tr w:rsidR="00497A83" w:rsidRPr="00290B5E" w14:paraId="0006D3EA" w14:textId="77777777" w:rsidTr="00693FC7">
        <w:trPr>
          <w:trHeight w:val="2372"/>
        </w:trPr>
        <w:tc>
          <w:tcPr>
            <w:tcW w:w="9771" w:type="dxa"/>
            <w:hideMark/>
          </w:tcPr>
          <w:p w14:paraId="77513FDF" w14:textId="13D8AB1E" w:rsidR="00693FC7" w:rsidRPr="00693FC7" w:rsidRDefault="00497A83" w:rsidP="00C71EF3">
            <w:pPr>
              <w:pStyle w:val="ListParagraph"/>
              <w:numPr>
                <w:ilvl w:val="0"/>
                <w:numId w:val="31"/>
              </w:numPr>
              <w:rPr>
                <w:rFonts w:cstheme="minorHAnsi"/>
                <w:color w:val="000000" w:themeColor="dark1"/>
                <w:kern w:val="24"/>
                <w:sz w:val="20"/>
                <w:szCs w:val="20"/>
                <w:lang w:val="en-US"/>
              </w:rPr>
            </w:pPr>
            <w:r w:rsidRPr="00693FC7">
              <w:rPr>
                <w:rFonts w:cstheme="minorHAnsi"/>
                <w:color w:val="000000" w:themeColor="dark1"/>
                <w:kern w:val="24"/>
                <w:sz w:val="20"/>
                <w:szCs w:val="20"/>
                <w:lang w:val="en-US"/>
              </w:rPr>
              <w:t>To what extent do you consider your local through care service provider to be delivering a service that is Culturally Safe? *Cultural safety: A service environment that supports a safe and positive experience in relation to the clients Aboriginal and Torres Strait Islander culture.</w:t>
            </w:r>
          </w:p>
          <w:p w14:paraId="1E997C3F" w14:textId="77777777" w:rsidR="00693FC7" w:rsidRPr="00693FC7" w:rsidRDefault="00693FC7" w:rsidP="00693FC7">
            <w:pPr>
              <w:rPr>
                <w:rFonts w:cstheme="minorHAnsi"/>
                <w:color w:val="000000" w:themeColor="dark1"/>
                <w:kern w:val="24"/>
                <w:sz w:val="20"/>
                <w:szCs w:val="20"/>
                <w:lang w:val="en-US"/>
              </w:rPr>
            </w:pPr>
          </w:p>
          <w:p w14:paraId="6262A213"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7CF0ADC8"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3847CDAA"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35A9BDE9" w14:textId="5183DDD0"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32EB180F" w14:textId="4BE7749A" w:rsidR="00497A83" w:rsidRPr="00351FC8"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Never</w:t>
            </w:r>
          </w:p>
        </w:tc>
      </w:tr>
      <w:tr w:rsidR="00497A83" w:rsidRPr="00290B5E" w14:paraId="153E26C8" w14:textId="77777777" w:rsidTr="00693FC7">
        <w:trPr>
          <w:trHeight w:val="2289"/>
        </w:trPr>
        <w:tc>
          <w:tcPr>
            <w:tcW w:w="9771" w:type="dxa"/>
            <w:hideMark/>
          </w:tcPr>
          <w:p w14:paraId="61750A4C" w14:textId="77777777" w:rsidR="00497A83" w:rsidRPr="00693FC7" w:rsidRDefault="00497A83"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To what extent do you consider your local through care service provider to be delivering a service that is Trauma-Informed? * Trauma-Informed: Practice acknowledges and is informed by experiences of trauma (including intergenerational trauma).</w:t>
            </w:r>
          </w:p>
          <w:p w14:paraId="70EB29BF" w14:textId="77777777" w:rsidR="00497A83" w:rsidRPr="00693FC7" w:rsidRDefault="00497A83" w:rsidP="00497A83">
            <w:pPr>
              <w:rPr>
                <w:rFonts w:cstheme="minorHAnsi"/>
                <w:color w:val="000000" w:themeColor="text1"/>
                <w:sz w:val="20"/>
                <w:szCs w:val="20"/>
              </w:rPr>
            </w:pPr>
          </w:p>
          <w:p w14:paraId="68BFAB6D"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1C20643E"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21B26ABA"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54B530FE" w14:textId="7CA1212E"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0F88FC27" w14:textId="46256ECB" w:rsidR="00497A83" w:rsidRPr="00693FC7" w:rsidRDefault="00497A83" w:rsidP="00497A83">
            <w:pPr>
              <w:rPr>
                <w:rFonts w:cstheme="minorHAnsi"/>
                <w:color w:val="000000" w:themeColor="text1"/>
                <w:sz w:val="20"/>
                <w:szCs w:val="20"/>
              </w:rPr>
            </w:pPr>
            <w:r w:rsidRPr="00693FC7">
              <w:rPr>
                <w:rFonts w:cstheme="minorHAnsi"/>
                <w:color w:val="000000" w:themeColor="dark1"/>
                <w:kern w:val="24"/>
                <w:sz w:val="20"/>
                <w:szCs w:val="20"/>
                <w:lang w:val="en-US"/>
              </w:rPr>
              <w:t>Never</w:t>
            </w:r>
          </w:p>
        </w:tc>
      </w:tr>
      <w:tr w:rsidR="00497A83" w:rsidRPr="00290B5E" w14:paraId="1612E2C9" w14:textId="77777777" w:rsidTr="00693FC7">
        <w:trPr>
          <w:trHeight w:val="1800"/>
        </w:trPr>
        <w:tc>
          <w:tcPr>
            <w:tcW w:w="9771" w:type="dxa"/>
            <w:hideMark/>
          </w:tcPr>
          <w:p w14:paraId="3825EC15" w14:textId="77777777" w:rsidR="00497A83" w:rsidRPr="00693FC7" w:rsidRDefault="00497A83"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To what extent do you consider your local through care service provider to be delivering a service that is Gender-Specific? *Gender-Specific: Support acknowledges and is informed by factors relating to gender.</w:t>
            </w:r>
          </w:p>
          <w:p w14:paraId="0BB7EDA1"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2A23E40D"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3DF080CB"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4E89BCD1" w14:textId="7A1BD350"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3BB47C57" w14:textId="151D8C4C" w:rsidR="00497A83" w:rsidRPr="00693FC7" w:rsidRDefault="00497A83" w:rsidP="00497A83">
            <w:pPr>
              <w:rPr>
                <w:rFonts w:cstheme="minorHAnsi"/>
                <w:color w:val="000000" w:themeColor="text1"/>
                <w:sz w:val="20"/>
                <w:szCs w:val="20"/>
              </w:rPr>
            </w:pPr>
            <w:r w:rsidRPr="00693FC7">
              <w:rPr>
                <w:rFonts w:cstheme="minorHAnsi"/>
                <w:color w:val="000000" w:themeColor="dark1"/>
                <w:kern w:val="24"/>
                <w:sz w:val="20"/>
                <w:szCs w:val="20"/>
                <w:lang w:val="en-US"/>
              </w:rPr>
              <w:t>Never</w:t>
            </w:r>
          </w:p>
        </w:tc>
      </w:tr>
      <w:tr w:rsidR="00497A83" w:rsidRPr="00290B5E" w14:paraId="15320690" w14:textId="77777777" w:rsidTr="00693FC7">
        <w:trPr>
          <w:trHeight w:val="2096"/>
        </w:trPr>
        <w:tc>
          <w:tcPr>
            <w:tcW w:w="9771" w:type="dxa"/>
            <w:hideMark/>
          </w:tcPr>
          <w:p w14:paraId="64257839" w14:textId="77777777" w:rsidR="00497A83" w:rsidRPr="00693FC7" w:rsidRDefault="00497A83"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To what extent do you consider your local through care service provider to be delivering a service that is Led by Motivated Staff?</w:t>
            </w:r>
          </w:p>
          <w:p w14:paraId="2ADAB588" w14:textId="77777777" w:rsidR="00497A83" w:rsidRPr="00693FC7" w:rsidRDefault="00497A83" w:rsidP="00497A83">
            <w:pPr>
              <w:rPr>
                <w:rFonts w:cstheme="minorHAnsi"/>
                <w:color w:val="000000" w:themeColor="dark1"/>
                <w:kern w:val="24"/>
                <w:sz w:val="20"/>
                <w:szCs w:val="20"/>
                <w:lang w:val="en-US"/>
              </w:rPr>
            </w:pPr>
          </w:p>
          <w:p w14:paraId="471888FB" w14:textId="24AA0DA8"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134BDFDA"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60D7596D"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408EA362" w14:textId="14A93620"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390BCFDC" w14:textId="3B1EB8F3" w:rsidR="00497A83" w:rsidRPr="00693FC7" w:rsidRDefault="00497A83" w:rsidP="00497A83">
            <w:pPr>
              <w:rPr>
                <w:rFonts w:cstheme="minorHAnsi"/>
                <w:color w:val="000000" w:themeColor="text1"/>
                <w:sz w:val="20"/>
                <w:szCs w:val="20"/>
              </w:rPr>
            </w:pPr>
            <w:r w:rsidRPr="00693FC7">
              <w:rPr>
                <w:rFonts w:cstheme="minorHAnsi"/>
                <w:color w:val="000000" w:themeColor="dark1"/>
                <w:kern w:val="24"/>
                <w:sz w:val="20"/>
                <w:szCs w:val="20"/>
                <w:lang w:val="en-US"/>
              </w:rPr>
              <w:t>Never</w:t>
            </w:r>
          </w:p>
        </w:tc>
      </w:tr>
      <w:tr w:rsidR="00497A83" w:rsidRPr="00290B5E" w14:paraId="33C03047" w14:textId="77777777" w:rsidTr="00693FC7">
        <w:trPr>
          <w:trHeight w:val="2126"/>
        </w:trPr>
        <w:tc>
          <w:tcPr>
            <w:tcW w:w="9771" w:type="dxa"/>
            <w:hideMark/>
          </w:tcPr>
          <w:p w14:paraId="0BA8C10E" w14:textId="77777777" w:rsidR="00497A83" w:rsidRPr="00693FC7" w:rsidRDefault="00497A83" w:rsidP="00C71EF3">
            <w:pPr>
              <w:pStyle w:val="ListParagraph"/>
              <w:numPr>
                <w:ilvl w:val="0"/>
                <w:numId w:val="31"/>
              </w:numPr>
              <w:rPr>
                <w:rFonts w:cstheme="minorHAnsi"/>
                <w:color w:val="000000" w:themeColor="text1"/>
                <w:sz w:val="20"/>
                <w:szCs w:val="20"/>
              </w:rPr>
            </w:pPr>
            <w:r w:rsidRPr="00693FC7">
              <w:rPr>
                <w:rFonts w:cstheme="minorHAnsi"/>
                <w:color w:val="000000" w:themeColor="text1"/>
                <w:sz w:val="20"/>
                <w:szCs w:val="20"/>
              </w:rPr>
              <w:t>How regularly is your organisation contacted by the through-care service provider seeking a referral from or to your programs or services?</w:t>
            </w:r>
          </w:p>
          <w:p w14:paraId="0B4EEE94" w14:textId="77777777" w:rsidR="00497A83" w:rsidRPr="00693FC7" w:rsidRDefault="00497A83" w:rsidP="00497A83">
            <w:pPr>
              <w:rPr>
                <w:rFonts w:cstheme="minorHAnsi"/>
                <w:color w:val="000000" w:themeColor="text1"/>
                <w:sz w:val="20"/>
                <w:szCs w:val="20"/>
              </w:rPr>
            </w:pPr>
          </w:p>
          <w:p w14:paraId="6E236074"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5E384749"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3013B32E"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7ECDC89E" w14:textId="1AB66E1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1AB52E5C" w14:textId="37965E98" w:rsidR="00497A83" w:rsidRPr="00693FC7" w:rsidRDefault="00497A83" w:rsidP="00497A83">
            <w:pPr>
              <w:rPr>
                <w:rFonts w:cstheme="minorHAnsi"/>
                <w:color w:val="000000" w:themeColor="text1"/>
                <w:sz w:val="20"/>
                <w:szCs w:val="20"/>
              </w:rPr>
            </w:pPr>
            <w:r w:rsidRPr="00693FC7">
              <w:rPr>
                <w:rFonts w:cstheme="minorHAnsi"/>
                <w:color w:val="000000" w:themeColor="dark1"/>
                <w:kern w:val="24"/>
                <w:sz w:val="20"/>
                <w:szCs w:val="20"/>
                <w:lang w:val="en-US"/>
              </w:rPr>
              <w:t>Never</w:t>
            </w:r>
          </w:p>
        </w:tc>
      </w:tr>
      <w:tr w:rsidR="00497A83" w:rsidRPr="00290B5E" w14:paraId="48D4F2FF" w14:textId="77777777" w:rsidTr="00E224FD">
        <w:trPr>
          <w:trHeight w:val="13"/>
        </w:trPr>
        <w:tc>
          <w:tcPr>
            <w:tcW w:w="9771" w:type="dxa"/>
          </w:tcPr>
          <w:p w14:paraId="5DF551C6" w14:textId="77777777" w:rsidR="00497A83" w:rsidRPr="00693FC7" w:rsidRDefault="00497A83" w:rsidP="00C71EF3">
            <w:pPr>
              <w:pStyle w:val="ListParagraph"/>
              <w:numPr>
                <w:ilvl w:val="0"/>
                <w:numId w:val="31"/>
              </w:numPr>
              <w:rPr>
                <w:rFonts w:cstheme="minorHAnsi"/>
                <w:color w:val="000000" w:themeColor="text1"/>
                <w:kern w:val="24"/>
                <w:sz w:val="20"/>
                <w:szCs w:val="20"/>
              </w:rPr>
            </w:pPr>
            <w:r w:rsidRPr="00693FC7">
              <w:rPr>
                <w:rFonts w:cstheme="minorHAnsi"/>
                <w:color w:val="000000" w:themeColor="text1"/>
                <w:kern w:val="24"/>
                <w:sz w:val="20"/>
                <w:szCs w:val="20"/>
              </w:rPr>
              <w:t>To what extent are clients are adequately supported by through-care case workers to effectively engage with your programs or services?</w:t>
            </w:r>
          </w:p>
          <w:p w14:paraId="1A07F489" w14:textId="77777777" w:rsidR="00497A83" w:rsidRPr="00693FC7" w:rsidRDefault="00497A83" w:rsidP="00497A83">
            <w:pPr>
              <w:rPr>
                <w:rFonts w:cstheme="minorHAnsi"/>
                <w:color w:val="000000" w:themeColor="text1"/>
                <w:kern w:val="24"/>
                <w:sz w:val="20"/>
                <w:szCs w:val="20"/>
              </w:rPr>
            </w:pPr>
          </w:p>
          <w:p w14:paraId="3E3CF713"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43DF5C6F"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6AE9E191"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297F7050" w14:textId="224D4EB6"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4149D749" w14:textId="1904717A" w:rsidR="00497A83" w:rsidRPr="00693FC7" w:rsidRDefault="00497A83" w:rsidP="00497A83">
            <w:pPr>
              <w:rPr>
                <w:rFonts w:cstheme="minorHAnsi"/>
                <w:color w:val="000000" w:themeColor="text1"/>
                <w:kern w:val="24"/>
                <w:sz w:val="20"/>
                <w:szCs w:val="20"/>
              </w:rPr>
            </w:pPr>
            <w:r w:rsidRPr="00693FC7">
              <w:rPr>
                <w:rFonts w:cstheme="minorHAnsi"/>
                <w:color w:val="000000" w:themeColor="dark1"/>
                <w:kern w:val="24"/>
                <w:sz w:val="20"/>
                <w:szCs w:val="20"/>
                <w:lang w:val="en-US"/>
              </w:rPr>
              <w:t>Never</w:t>
            </w:r>
          </w:p>
        </w:tc>
      </w:tr>
      <w:tr w:rsidR="00497A83" w:rsidRPr="00290B5E" w14:paraId="489A9B4D" w14:textId="77777777" w:rsidTr="00693FC7">
        <w:trPr>
          <w:trHeight w:val="1380"/>
        </w:trPr>
        <w:tc>
          <w:tcPr>
            <w:tcW w:w="9771" w:type="dxa"/>
          </w:tcPr>
          <w:p w14:paraId="614ACF6E" w14:textId="3C4DE04F" w:rsidR="00497A83" w:rsidRPr="00693FC7" w:rsidRDefault="00497A83" w:rsidP="00C71EF3">
            <w:pPr>
              <w:pStyle w:val="ListParagraph"/>
              <w:numPr>
                <w:ilvl w:val="0"/>
                <w:numId w:val="31"/>
              </w:numPr>
              <w:rPr>
                <w:rFonts w:cstheme="minorHAnsi"/>
                <w:color w:val="000000" w:themeColor="text1"/>
                <w:kern w:val="24"/>
                <w:sz w:val="20"/>
                <w:szCs w:val="20"/>
              </w:rPr>
            </w:pPr>
            <w:r w:rsidRPr="00693FC7">
              <w:rPr>
                <w:rFonts w:cstheme="minorHAnsi"/>
                <w:color w:val="000000" w:themeColor="text1"/>
                <w:kern w:val="24"/>
                <w:sz w:val="20"/>
                <w:szCs w:val="20"/>
              </w:rPr>
              <w:t>To what extent are referrals from or to your organisation well</w:t>
            </w:r>
            <w:r w:rsidR="00A6555D">
              <w:rPr>
                <w:rFonts w:cstheme="minorHAnsi"/>
                <w:color w:val="000000" w:themeColor="text1"/>
                <w:kern w:val="24"/>
                <w:sz w:val="20"/>
                <w:szCs w:val="20"/>
              </w:rPr>
              <w:t>-</w:t>
            </w:r>
            <w:r w:rsidRPr="00693FC7">
              <w:rPr>
                <w:rFonts w:cstheme="minorHAnsi"/>
                <w:color w:val="000000" w:themeColor="text1"/>
                <w:kern w:val="24"/>
                <w:sz w:val="20"/>
                <w:szCs w:val="20"/>
              </w:rPr>
              <w:t>coordinated by through-care case workers?</w:t>
            </w:r>
          </w:p>
          <w:p w14:paraId="1289ABB6" w14:textId="77777777" w:rsidR="00497A83" w:rsidRPr="00693FC7" w:rsidRDefault="00497A83" w:rsidP="00497A83">
            <w:pPr>
              <w:rPr>
                <w:rFonts w:cstheme="minorHAnsi"/>
                <w:color w:val="000000" w:themeColor="text1"/>
                <w:kern w:val="24"/>
                <w:sz w:val="20"/>
                <w:szCs w:val="20"/>
              </w:rPr>
            </w:pPr>
          </w:p>
          <w:p w14:paraId="468D1153"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2CDE7D70"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6E7EF4D2" w14:textId="77777777"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178312E7" w14:textId="60103B69" w:rsidR="00497A83" w:rsidRPr="00693FC7" w:rsidRDefault="00497A83" w:rsidP="00497A83">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w:t>
            </w:r>
            <w:r w:rsidR="007C09DA" w:rsidRPr="00693FC7">
              <w:rPr>
                <w:rFonts w:cstheme="minorHAnsi"/>
                <w:color w:val="000000" w:themeColor="dark1"/>
                <w:kern w:val="24"/>
                <w:sz w:val="20"/>
                <w:szCs w:val="20"/>
                <w:lang w:val="en-US"/>
              </w:rPr>
              <w:t>l</w:t>
            </w:r>
            <w:r w:rsidRPr="00693FC7">
              <w:rPr>
                <w:rFonts w:cstheme="minorHAnsi"/>
                <w:color w:val="000000" w:themeColor="dark1"/>
                <w:kern w:val="24"/>
                <w:sz w:val="20"/>
                <w:szCs w:val="20"/>
                <w:lang w:val="en-US"/>
              </w:rPr>
              <w:t>y</w:t>
            </w:r>
          </w:p>
          <w:p w14:paraId="0404D636" w14:textId="1A78F014" w:rsidR="00497A83" w:rsidRPr="00693FC7" w:rsidRDefault="00497A83" w:rsidP="00497A83">
            <w:pPr>
              <w:rPr>
                <w:rFonts w:cstheme="minorHAnsi"/>
                <w:color w:val="000000" w:themeColor="text1"/>
                <w:kern w:val="24"/>
                <w:sz w:val="20"/>
                <w:szCs w:val="20"/>
              </w:rPr>
            </w:pPr>
            <w:r w:rsidRPr="00693FC7">
              <w:rPr>
                <w:rFonts w:cstheme="minorHAnsi"/>
                <w:color w:val="000000" w:themeColor="dark1"/>
                <w:kern w:val="24"/>
                <w:sz w:val="20"/>
                <w:szCs w:val="20"/>
                <w:lang w:val="en-US"/>
              </w:rPr>
              <w:t>Never</w:t>
            </w:r>
          </w:p>
        </w:tc>
      </w:tr>
      <w:tr w:rsidR="00497A83" w:rsidRPr="00290B5E" w14:paraId="3C84CA57" w14:textId="77777777" w:rsidTr="00693FC7">
        <w:trPr>
          <w:trHeight w:val="2070"/>
        </w:trPr>
        <w:tc>
          <w:tcPr>
            <w:tcW w:w="9771" w:type="dxa"/>
          </w:tcPr>
          <w:p w14:paraId="55BE2496" w14:textId="77777777" w:rsidR="00497A83" w:rsidRPr="00693FC7" w:rsidRDefault="007C09DA" w:rsidP="00C71EF3">
            <w:pPr>
              <w:pStyle w:val="ListParagraph"/>
              <w:numPr>
                <w:ilvl w:val="0"/>
                <w:numId w:val="31"/>
              </w:numPr>
              <w:rPr>
                <w:rFonts w:cstheme="minorHAnsi"/>
                <w:color w:val="000000" w:themeColor="text1"/>
                <w:kern w:val="24"/>
                <w:sz w:val="20"/>
                <w:szCs w:val="20"/>
              </w:rPr>
            </w:pPr>
            <w:r w:rsidRPr="00693FC7">
              <w:rPr>
                <w:rFonts w:cstheme="minorHAnsi"/>
                <w:color w:val="000000" w:themeColor="text1"/>
                <w:kern w:val="24"/>
                <w:sz w:val="20"/>
                <w:szCs w:val="20"/>
              </w:rPr>
              <w:t>After a referral is your organisation typically contacted by the through-care case worker for information, feedback and review?</w:t>
            </w:r>
          </w:p>
          <w:p w14:paraId="34C54122" w14:textId="77777777" w:rsidR="007C09DA" w:rsidRPr="00693FC7" w:rsidRDefault="007C09DA" w:rsidP="007C09DA">
            <w:pPr>
              <w:rPr>
                <w:rFonts w:cstheme="minorHAnsi"/>
                <w:color w:val="000000" w:themeColor="text1"/>
                <w:kern w:val="24"/>
                <w:sz w:val="20"/>
                <w:szCs w:val="20"/>
              </w:rPr>
            </w:pPr>
          </w:p>
          <w:p w14:paraId="0E608B13"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28C40396"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02CA675D"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29EC1468" w14:textId="6004B905"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Rarely</w:t>
            </w:r>
          </w:p>
          <w:p w14:paraId="5C1F6C26" w14:textId="60D7A768" w:rsidR="007C09DA" w:rsidRPr="00693FC7" w:rsidRDefault="007C09DA" w:rsidP="007C09DA">
            <w:pPr>
              <w:rPr>
                <w:rFonts w:cstheme="minorHAnsi"/>
                <w:color w:val="000000" w:themeColor="text1"/>
                <w:kern w:val="24"/>
                <w:sz w:val="20"/>
                <w:szCs w:val="20"/>
              </w:rPr>
            </w:pPr>
            <w:r w:rsidRPr="00693FC7">
              <w:rPr>
                <w:rFonts w:cstheme="minorHAnsi"/>
                <w:color w:val="000000" w:themeColor="dark1"/>
                <w:kern w:val="24"/>
                <w:sz w:val="20"/>
                <w:szCs w:val="20"/>
                <w:lang w:val="en-US"/>
              </w:rPr>
              <w:t>Never</w:t>
            </w:r>
          </w:p>
        </w:tc>
      </w:tr>
      <w:tr w:rsidR="00497A83" w:rsidRPr="00290B5E" w14:paraId="00785120" w14:textId="77777777" w:rsidTr="00693FC7">
        <w:trPr>
          <w:trHeight w:val="2114"/>
        </w:trPr>
        <w:tc>
          <w:tcPr>
            <w:tcW w:w="9771" w:type="dxa"/>
          </w:tcPr>
          <w:p w14:paraId="2E3219E6" w14:textId="77777777" w:rsidR="00497A83" w:rsidRPr="00693FC7" w:rsidRDefault="007C09DA" w:rsidP="00C71EF3">
            <w:pPr>
              <w:pStyle w:val="ListParagraph"/>
              <w:numPr>
                <w:ilvl w:val="0"/>
                <w:numId w:val="31"/>
              </w:numPr>
              <w:rPr>
                <w:rFonts w:cstheme="minorHAnsi"/>
                <w:color w:val="000000" w:themeColor="text1"/>
                <w:kern w:val="24"/>
                <w:sz w:val="20"/>
                <w:szCs w:val="20"/>
              </w:rPr>
            </w:pPr>
            <w:r w:rsidRPr="00693FC7">
              <w:rPr>
                <w:rFonts w:cstheme="minorHAnsi"/>
                <w:color w:val="000000" w:themeColor="text1"/>
                <w:kern w:val="24"/>
                <w:sz w:val="20"/>
                <w:szCs w:val="20"/>
              </w:rPr>
              <w:t>To what extent are the services provided by your local through-care provider duplicative of your or other programs and services available locally?</w:t>
            </w:r>
          </w:p>
          <w:p w14:paraId="65C9263A" w14:textId="77777777" w:rsidR="007C09DA" w:rsidRPr="00693FC7" w:rsidRDefault="007C09DA" w:rsidP="007C09DA">
            <w:pPr>
              <w:rPr>
                <w:rFonts w:cstheme="minorHAnsi"/>
                <w:color w:val="000000" w:themeColor="text1"/>
                <w:kern w:val="24"/>
                <w:sz w:val="20"/>
                <w:szCs w:val="20"/>
              </w:rPr>
            </w:pPr>
          </w:p>
          <w:p w14:paraId="1B79A2EF"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246C76BB"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7013977B"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3AA748B0" w14:textId="70C56BAD"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Rarely</w:t>
            </w:r>
          </w:p>
          <w:p w14:paraId="107C027E" w14:textId="3E9C5D48" w:rsidR="007C09DA" w:rsidRPr="00693FC7" w:rsidRDefault="007C09DA" w:rsidP="007C09DA">
            <w:pPr>
              <w:rPr>
                <w:rFonts w:cstheme="minorHAnsi"/>
                <w:color w:val="000000" w:themeColor="text1"/>
                <w:kern w:val="24"/>
                <w:sz w:val="20"/>
                <w:szCs w:val="20"/>
              </w:rPr>
            </w:pPr>
            <w:r w:rsidRPr="00693FC7">
              <w:rPr>
                <w:rFonts w:cstheme="minorHAnsi"/>
                <w:color w:val="000000" w:themeColor="dark1"/>
                <w:kern w:val="24"/>
                <w:sz w:val="20"/>
                <w:szCs w:val="20"/>
                <w:lang w:val="en-US"/>
              </w:rPr>
              <w:t>Never</w:t>
            </w:r>
          </w:p>
        </w:tc>
      </w:tr>
      <w:tr w:rsidR="00497A83" w:rsidRPr="00290B5E" w14:paraId="7AA4A86B" w14:textId="77777777" w:rsidTr="00693FC7">
        <w:trPr>
          <w:trHeight w:val="2102"/>
        </w:trPr>
        <w:tc>
          <w:tcPr>
            <w:tcW w:w="9771" w:type="dxa"/>
          </w:tcPr>
          <w:p w14:paraId="3DEB14E2" w14:textId="77777777" w:rsidR="00497A83" w:rsidRPr="00693FC7" w:rsidRDefault="007C09DA" w:rsidP="00C71EF3">
            <w:pPr>
              <w:pStyle w:val="ListParagraph"/>
              <w:numPr>
                <w:ilvl w:val="0"/>
                <w:numId w:val="31"/>
              </w:numPr>
              <w:rPr>
                <w:rFonts w:cstheme="minorHAnsi"/>
                <w:color w:val="000000" w:themeColor="text1"/>
                <w:kern w:val="24"/>
                <w:sz w:val="20"/>
                <w:szCs w:val="20"/>
              </w:rPr>
            </w:pPr>
            <w:r w:rsidRPr="00693FC7">
              <w:rPr>
                <w:rFonts w:cstheme="minorHAnsi"/>
                <w:color w:val="000000" w:themeColor="text1"/>
                <w:kern w:val="24"/>
                <w:sz w:val="20"/>
                <w:szCs w:val="20"/>
              </w:rPr>
              <w:t>Do you think your local through-care service provider has the resources and capacity (workforce, systems and processes) to fulfil their role?</w:t>
            </w:r>
          </w:p>
          <w:p w14:paraId="433F91BD" w14:textId="77777777" w:rsidR="007C09DA" w:rsidRPr="00693FC7" w:rsidRDefault="007C09DA" w:rsidP="007C09DA">
            <w:pPr>
              <w:rPr>
                <w:rFonts w:cstheme="minorHAnsi"/>
                <w:color w:val="000000" w:themeColor="text1"/>
                <w:kern w:val="24"/>
                <w:sz w:val="20"/>
                <w:szCs w:val="20"/>
              </w:rPr>
            </w:pPr>
          </w:p>
          <w:p w14:paraId="38B8B300"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Always</w:t>
            </w:r>
          </w:p>
          <w:p w14:paraId="20B7D53A"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Usually</w:t>
            </w:r>
          </w:p>
          <w:p w14:paraId="477BDDD3"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Sometimes</w:t>
            </w:r>
          </w:p>
          <w:p w14:paraId="75F9B3A0" w14:textId="77777777" w:rsidR="007C09DA" w:rsidRPr="00693FC7" w:rsidRDefault="007C09DA" w:rsidP="007C09DA">
            <w:pPr>
              <w:rPr>
                <w:rFonts w:cstheme="minorHAnsi"/>
                <w:color w:val="000000" w:themeColor="dark1"/>
                <w:kern w:val="24"/>
                <w:sz w:val="20"/>
                <w:szCs w:val="20"/>
                <w:lang w:val="en-US"/>
              </w:rPr>
            </w:pPr>
            <w:r w:rsidRPr="00693FC7">
              <w:rPr>
                <w:rFonts w:cstheme="minorHAnsi"/>
                <w:color w:val="000000" w:themeColor="dark1"/>
                <w:kern w:val="24"/>
                <w:sz w:val="20"/>
                <w:szCs w:val="20"/>
                <w:lang w:val="en-US"/>
              </w:rPr>
              <w:t>Rarely</w:t>
            </w:r>
          </w:p>
          <w:p w14:paraId="2C6D5D65" w14:textId="076D0860" w:rsidR="007C09DA" w:rsidRPr="00693FC7" w:rsidRDefault="007C09DA" w:rsidP="007C09DA">
            <w:pPr>
              <w:rPr>
                <w:rFonts w:cstheme="minorHAnsi"/>
                <w:color w:val="000000" w:themeColor="text1"/>
                <w:kern w:val="24"/>
                <w:sz w:val="20"/>
                <w:szCs w:val="20"/>
              </w:rPr>
            </w:pPr>
            <w:r w:rsidRPr="00693FC7">
              <w:rPr>
                <w:rFonts w:cstheme="minorHAnsi"/>
                <w:color w:val="000000" w:themeColor="dark1"/>
                <w:kern w:val="24"/>
                <w:sz w:val="20"/>
                <w:szCs w:val="20"/>
                <w:lang w:val="en-US"/>
              </w:rPr>
              <w:t>Never</w:t>
            </w:r>
          </w:p>
        </w:tc>
      </w:tr>
      <w:tr w:rsidR="007C09DA" w:rsidRPr="00290B5E" w14:paraId="6381106A" w14:textId="77777777" w:rsidTr="00693FC7">
        <w:trPr>
          <w:trHeight w:val="1423"/>
        </w:trPr>
        <w:tc>
          <w:tcPr>
            <w:tcW w:w="9771" w:type="dxa"/>
          </w:tcPr>
          <w:p w14:paraId="2C89A363" w14:textId="1D170F2E" w:rsidR="007C09DA" w:rsidRPr="00693FC7" w:rsidRDefault="007C09DA" w:rsidP="00C71EF3">
            <w:pPr>
              <w:pStyle w:val="ListParagraph"/>
              <w:numPr>
                <w:ilvl w:val="0"/>
                <w:numId w:val="31"/>
              </w:numPr>
              <w:rPr>
                <w:rFonts w:cstheme="minorHAnsi"/>
                <w:color w:val="000000" w:themeColor="dark1"/>
                <w:kern w:val="24"/>
                <w:sz w:val="20"/>
                <w:szCs w:val="20"/>
                <w:lang w:val="en-US"/>
              </w:rPr>
            </w:pPr>
            <w:r w:rsidRPr="00693FC7">
              <w:rPr>
                <w:rFonts w:cstheme="minorHAnsi"/>
                <w:color w:val="000000" w:themeColor="dark1"/>
                <w:kern w:val="24"/>
                <w:sz w:val="20"/>
                <w:szCs w:val="20"/>
                <w:lang w:val="en-US"/>
              </w:rPr>
              <w:t>Are you aware of any interagency meetings or networks facilitated by the through-care manager or case worker?</w:t>
            </w:r>
          </w:p>
          <w:p w14:paraId="3E522FE9" w14:textId="77777777" w:rsidR="007C09DA" w:rsidRPr="00693FC7" w:rsidRDefault="007C09DA" w:rsidP="00877CCC">
            <w:pPr>
              <w:rPr>
                <w:rFonts w:cstheme="minorHAnsi"/>
                <w:color w:val="000000" w:themeColor="text1"/>
                <w:kern w:val="24"/>
                <w:sz w:val="20"/>
                <w:szCs w:val="20"/>
              </w:rPr>
            </w:pPr>
          </w:p>
          <w:p w14:paraId="4605375C" w14:textId="77777777" w:rsidR="007C09DA" w:rsidRPr="00693FC7" w:rsidRDefault="007C09DA" w:rsidP="00877CCC">
            <w:pPr>
              <w:rPr>
                <w:rFonts w:cstheme="minorHAnsi"/>
                <w:color w:val="000000" w:themeColor="text1"/>
                <w:kern w:val="24"/>
                <w:sz w:val="20"/>
                <w:szCs w:val="20"/>
              </w:rPr>
            </w:pPr>
            <w:r w:rsidRPr="00693FC7">
              <w:rPr>
                <w:rFonts w:cstheme="minorHAnsi"/>
                <w:color w:val="000000" w:themeColor="text1"/>
                <w:kern w:val="24"/>
                <w:sz w:val="20"/>
                <w:szCs w:val="20"/>
              </w:rPr>
              <w:t>Yes</w:t>
            </w:r>
          </w:p>
          <w:p w14:paraId="75A55A2B" w14:textId="45C8B514" w:rsidR="007C09DA" w:rsidRPr="00693FC7" w:rsidRDefault="007C09DA" w:rsidP="00877CCC">
            <w:pPr>
              <w:rPr>
                <w:rFonts w:cstheme="minorHAnsi"/>
                <w:color w:val="000000" w:themeColor="text1"/>
                <w:kern w:val="24"/>
                <w:sz w:val="20"/>
                <w:szCs w:val="20"/>
              </w:rPr>
            </w:pPr>
            <w:r w:rsidRPr="00693FC7">
              <w:rPr>
                <w:rFonts w:cstheme="minorHAnsi"/>
                <w:color w:val="000000" w:themeColor="text1"/>
                <w:kern w:val="24"/>
                <w:sz w:val="20"/>
                <w:szCs w:val="20"/>
              </w:rPr>
              <w:t>No</w:t>
            </w:r>
          </w:p>
        </w:tc>
      </w:tr>
      <w:tr w:rsidR="007C09DA" w:rsidRPr="00290B5E" w14:paraId="49528E64" w14:textId="77777777" w:rsidTr="00693FC7">
        <w:trPr>
          <w:trHeight w:val="1117"/>
        </w:trPr>
        <w:tc>
          <w:tcPr>
            <w:tcW w:w="9771" w:type="dxa"/>
          </w:tcPr>
          <w:p w14:paraId="4FC43F98" w14:textId="055F9B26" w:rsidR="007C09DA" w:rsidRPr="00693FC7" w:rsidRDefault="007C09DA" w:rsidP="00C71EF3">
            <w:pPr>
              <w:pStyle w:val="ListParagraph"/>
              <w:numPr>
                <w:ilvl w:val="0"/>
                <w:numId w:val="31"/>
              </w:numPr>
              <w:rPr>
                <w:rFonts w:eastAsiaTheme="minorEastAsia" w:cstheme="minorHAnsi"/>
                <w:color w:val="000000" w:themeColor="text1"/>
                <w:kern w:val="24"/>
                <w:sz w:val="20"/>
                <w:szCs w:val="20"/>
                <w:lang w:val="en-US"/>
              </w:rPr>
            </w:pPr>
            <w:r w:rsidRPr="00693FC7">
              <w:rPr>
                <w:rFonts w:eastAsiaTheme="minorEastAsia" w:cstheme="minorHAnsi"/>
                <w:color w:val="000000" w:themeColor="text1"/>
                <w:kern w:val="24"/>
                <w:sz w:val="20"/>
                <w:szCs w:val="20"/>
                <w:lang w:val="en-US"/>
              </w:rPr>
              <w:t>Do you or a representative from your organis</w:t>
            </w:r>
            <w:r w:rsidR="00010A38" w:rsidRPr="00693FC7">
              <w:rPr>
                <w:rFonts w:eastAsiaTheme="minorEastAsia" w:cstheme="minorHAnsi"/>
                <w:color w:val="000000" w:themeColor="text1"/>
                <w:kern w:val="24"/>
                <w:sz w:val="20"/>
                <w:szCs w:val="20"/>
                <w:lang w:val="en-US"/>
              </w:rPr>
              <w:t>a</w:t>
            </w:r>
            <w:r w:rsidRPr="00693FC7">
              <w:rPr>
                <w:rFonts w:eastAsiaTheme="minorEastAsia" w:cstheme="minorHAnsi"/>
                <w:color w:val="000000" w:themeColor="text1"/>
                <w:kern w:val="24"/>
                <w:sz w:val="20"/>
                <w:szCs w:val="20"/>
                <w:lang w:val="en-US"/>
              </w:rPr>
              <w:t>tion regularly attend these meetings?</w:t>
            </w:r>
          </w:p>
          <w:p w14:paraId="1741CB54" w14:textId="77777777" w:rsidR="007C09DA" w:rsidRPr="00693FC7" w:rsidRDefault="007C09DA" w:rsidP="007C09DA">
            <w:pPr>
              <w:rPr>
                <w:rFonts w:eastAsiaTheme="minorEastAsia" w:cstheme="minorHAnsi"/>
                <w:color w:val="000000" w:themeColor="text1"/>
                <w:kern w:val="24"/>
                <w:sz w:val="20"/>
                <w:szCs w:val="20"/>
                <w:lang w:val="en-US"/>
              </w:rPr>
            </w:pPr>
          </w:p>
          <w:p w14:paraId="52220851" w14:textId="77777777" w:rsidR="007C09DA" w:rsidRPr="00693FC7" w:rsidRDefault="007C09DA" w:rsidP="007C09DA">
            <w:pPr>
              <w:rPr>
                <w:rFonts w:cstheme="minorHAnsi"/>
                <w:color w:val="000000" w:themeColor="text1"/>
                <w:kern w:val="24"/>
                <w:sz w:val="20"/>
                <w:szCs w:val="20"/>
              </w:rPr>
            </w:pPr>
            <w:r w:rsidRPr="00693FC7">
              <w:rPr>
                <w:rFonts w:cstheme="minorHAnsi"/>
                <w:color w:val="000000" w:themeColor="text1"/>
                <w:kern w:val="24"/>
                <w:sz w:val="20"/>
                <w:szCs w:val="20"/>
              </w:rPr>
              <w:t>Yes</w:t>
            </w:r>
          </w:p>
          <w:p w14:paraId="4063A234" w14:textId="7EA5EB1B" w:rsidR="007C09DA" w:rsidRPr="00693FC7" w:rsidRDefault="007C09DA" w:rsidP="007C09DA">
            <w:pPr>
              <w:rPr>
                <w:rFonts w:eastAsiaTheme="minorEastAsia" w:cstheme="minorHAnsi"/>
                <w:color w:val="000000" w:themeColor="text1"/>
                <w:kern w:val="24"/>
                <w:sz w:val="20"/>
                <w:szCs w:val="20"/>
                <w:lang w:val="en-US"/>
              </w:rPr>
            </w:pPr>
            <w:r w:rsidRPr="00693FC7">
              <w:rPr>
                <w:rFonts w:cstheme="minorHAnsi"/>
                <w:color w:val="000000" w:themeColor="text1"/>
                <w:kern w:val="24"/>
                <w:sz w:val="20"/>
                <w:szCs w:val="20"/>
              </w:rPr>
              <w:t>No</w:t>
            </w:r>
          </w:p>
        </w:tc>
      </w:tr>
      <w:tr w:rsidR="007C09DA" w:rsidRPr="00290B5E" w14:paraId="213A47A2" w14:textId="77777777" w:rsidTr="00E224FD">
        <w:trPr>
          <w:trHeight w:val="13"/>
        </w:trPr>
        <w:tc>
          <w:tcPr>
            <w:tcW w:w="9771" w:type="dxa"/>
          </w:tcPr>
          <w:p w14:paraId="2EE46D6A" w14:textId="77777777" w:rsidR="007C09DA" w:rsidRPr="00693FC7" w:rsidRDefault="007C09DA" w:rsidP="00C71EF3">
            <w:pPr>
              <w:pStyle w:val="ListParagraph"/>
              <w:numPr>
                <w:ilvl w:val="0"/>
                <w:numId w:val="31"/>
              </w:numPr>
              <w:rPr>
                <w:rFonts w:eastAsiaTheme="minorEastAsia" w:cstheme="minorHAnsi"/>
                <w:color w:val="000000" w:themeColor="text1"/>
                <w:kern w:val="24"/>
                <w:sz w:val="20"/>
                <w:szCs w:val="20"/>
                <w:lang w:val="en-US"/>
              </w:rPr>
            </w:pPr>
            <w:r w:rsidRPr="00693FC7">
              <w:rPr>
                <w:rFonts w:cstheme="minorHAnsi"/>
                <w:color w:val="000000" w:themeColor="text1"/>
                <w:kern w:val="24"/>
                <w:sz w:val="20"/>
                <w:szCs w:val="20"/>
                <w:lang w:val="en-US"/>
              </w:rPr>
              <w:t>To what extent do you think the through-care program delivered is effective in supporting clients to achieve their case plan goals?</w:t>
            </w:r>
          </w:p>
          <w:p w14:paraId="6424C795" w14:textId="77777777" w:rsidR="007C09DA" w:rsidRPr="00693FC7" w:rsidRDefault="007C09DA" w:rsidP="007C09DA">
            <w:pPr>
              <w:rPr>
                <w:rFonts w:eastAsiaTheme="minorEastAsia" w:cstheme="minorHAnsi"/>
                <w:color w:val="000000" w:themeColor="text1"/>
                <w:kern w:val="24"/>
                <w:sz w:val="20"/>
                <w:szCs w:val="20"/>
                <w:lang w:val="en-US"/>
              </w:rPr>
            </w:pPr>
          </w:p>
          <w:p w14:paraId="7209827B"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Always</w:t>
            </w:r>
          </w:p>
          <w:p w14:paraId="71DFA357"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Usually</w:t>
            </w:r>
          </w:p>
          <w:p w14:paraId="2B8A27C9"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Sometimes</w:t>
            </w:r>
          </w:p>
          <w:p w14:paraId="6E250223"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Rarely</w:t>
            </w:r>
          </w:p>
          <w:p w14:paraId="0B2B8FDA" w14:textId="1CCFFACB" w:rsidR="007C09DA" w:rsidRPr="00693FC7" w:rsidRDefault="007C09DA" w:rsidP="007C09DA">
            <w:pPr>
              <w:rPr>
                <w:rFonts w:eastAsiaTheme="minorEastAsia" w:cstheme="minorHAnsi"/>
                <w:color w:val="000000" w:themeColor="text1"/>
                <w:kern w:val="24"/>
                <w:sz w:val="20"/>
                <w:szCs w:val="20"/>
                <w:lang w:val="en-US"/>
              </w:rPr>
            </w:pPr>
            <w:r w:rsidRPr="00693FC7">
              <w:rPr>
                <w:rFonts w:cstheme="minorHAnsi"/>
                <w:color w:val="000000" w:themeColor="text1"/>
                <w:kern w:val="24"/>
                <w:sz w:val="20"/>
                <w:szCs w:val="20"/>
                <w:lang w:val="en-US"/>
              </w:rPr>
              <w:t>Never</w:t>
            </w:r>
          </w:p>
        </w:tc>
      </w:tr>
      <w:tr w:rsidR="007C09DA" w:rsidRPr="00290B5E" w14:paraId="32F138CA" w14:textId="77777777" w:rsidTr="00693FC7">
        <w:trPr>
          <w:trHeight w:val="2088"/>
        </w:trPr>
        <w:tc>
          <w:tcPr>
            <w:tcW w:w="9771" w:type="dxa"/>
          </w:tcPr>
          <w:p w14:paraId="1C46E470" w14:textId="77777777" w:rsidR="007C09DA" w:rsidRPr="00693FC7" w:rsidRDefault="007C09DA" w:rsidP="00C71EF3">
            <w:pPr>
              <w:pStyle w:val="ListParagraph"/>
              <w:numPr>
                <w:ilvl w:val="0"/>
                <w:numId w:val="31"/>
              </w:numPr>
              <w:rPr>
                <w:rFonts w:eastAsiaTheme="minorEastAsia" w:cstheme="minorHAnsi"/>
                <w:color w:val="000000" w:themeColor="text1"/>
                <w:kern w:val="24"/>
                <w:sz w:val="20"/>
                <w:szCs w:val="20"/>
                <w:lang w:val="en-US"/>
              </w:rPr>
            </w:pPr>
            <w:r w:rsidRPr="00693FC7">
              <w:rPr>
                <w:rFonts w:cstheme="minorHAnsi"/>
                <w:color w:val="000000" w:themeColor="text1"/>
                <w:kern w:val="24"/>
                <w:sz w:val="20"/>
                <w:szCs w:val="20"/>
                <w:lang w:val="en-US"/>
              </w:rPr>
              <w:t>To what extent do you think the through-care program provided is effective in decreasing the likelihood of client’s reoffending?</w:t>
            </w:r>
          </w:p>
          <w:p w14:paraId="01FD42DE" w14:textId="77777777" w:rsidR="007C09DA" w:rsidRPr="00693FC7" w:rsidRDefault="007C09DA" w:rsidP="007C09DA">
            <w:pPr>
              <w:rPr>
                <w:rFonts w:eastAsiaTheme="minorEastAsia" w:cstheme="minorHAnsi"/>
                <w:color w:val="000000" w:themeColor="text1"/>
                <w:kern w:val="24"/>
                <w:sz w:val="20"/>
                <w:szCs w:val="20"/>
                <w:lang w:val="en-US"/>
              </w:rPr>
            </w:pPr>
          </w:p>
          <w:p w14:paraId="6BFAFDD0"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Always</w:t>
            </w:r>
          </w:p>
          <w:p w14:paraId="16E7F321"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Usually</w:t>
            </w:r>
          </w:p>
          <w:p w14:paraId="5B66E5DE"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Sometimes</w:t>
            </w:r>
          </w:p>
          <w:p w14:paraId="158D6E49" w14:textId="77777777" w:rsidR="007C09DA" w:rsidRPr="00693FC7" w:rsidRDefault="007C09DA" w:rsidP="007C09DA">
            <w:pPr>
              <w:rPr>
                <w:rFonts w:cstheme="minorHAnsi"/>
                <w:color w:val="000000" w:themeColor="text1"/>
                <w:kern w:val="24"/>
                <w:sz w:val="20"/>
                <w:szCs w:val="20"/>
                <w:lang w:val="en-US"/>
              </w:rPr>
            </w:pPr>
            <w:r w:rsidRPr="00693FC7">
              <w:rPr>
                <w:rFonts w:cstheme="minorHAnsi"/>
                <w:color w:val="000000" w:themeColor="text1"/>
                <w:kern w:val="24"/>
                <w:sz w:val="20"/>
                <w:szCs w:val="20"/>
                <w:lang w:val="en-US"/>
              </w:rPr>
              <w:t>Rarely</w:t>
            </w:r>
          </w:p>
          <w:p w14:paraId="0D633B93" w14:textId="6DCCAAED" w:rsidR="007C09DA" w:rsidRPr="00693FC7" w:rsidRDefault="007C09DA" w:rsidP="007C09DA">
            <w:pPr>
              <w:rPr>
                <w:rFonts w:eastAsiaTheme="minorEastAsia" w:cstheme="minorHAnsi"/>
                <w:color w:val="000000" w:themeColor="text1"/>
                <w:kern w:val="24"/>
                <w:sz w:val="20"/>
                <w:szCs w:val="20"/>
                <w:lang w:val="en-US"/>
              </w:rPr>
            </w:pPr>
            <w:r w:rsidRPr="00693FC7">
              <w:rPr>
                <w:rFonts w:cstheme="minorHAnsi"/>
                <w:color w:val="000000" w:themeColor="text1"/>
                <w:kern w:val="24"/>
                <w:sz w:val="20"/>
                <w:szCs w:val="20"/>
                <w:lang w:val="en-US"/>
              </w:rPr>
              <w:t>Never</w:t>
            </w:r>
          </w:p>
        </w:tc>
      </w:tr>
      <w:tr w:rsidR="007C09DA" w:rsidRPr="00290B5E" w14:paraId="5E602D58" w14:textId="77777777" w:rsidTr="00693FC7">
        <w:trPr>
          <w:trHeight w:val="558"/>
        </w:trPr>
        <w:tc>
          <w:tcPr>
            <w:tcW w:w="9771" w:type="dxa"/>
          </w:tcPr>
          <w:p w14:paraId="3DB4DBC7" w14:textId="4F642854" w:rsidR="007C09DA" w:rsidRPr="00693FC7" w:rsidRDefault="007C09DA" w:rsidP="00C71EF3">
            <w:pPr>
              <w:pStyle w:val="ListParagraph"/>
              <w:numPr>
                <w:ilvl w:val="0"/>
                <w:numId w:val="31"/>
              </w:numPr>
              <w:rPr>
                <w:rFonts w:eastAsiaTheme="minorEastAsia" w:cstheme="minorHAnsi"/>
                <w:color w:val="000000" w:themeColor="text1"/>
                <w:kern w:val="24"/>
                <w:sz w:val="20"/>
                <w:szCs w:val="20"/>
                <w:lang w:val="en-US"/>
              </w:rPr>
            </w:pPr>
            <w:r w:rsidRPr="00693FC7">
              <w:rPr>
                <w:rFonts w:cstheme="minorHAnsi"/>
                <w:color w:val="000000" w:themeColor="dark1"/>
                <w:kern w:val="24"/>
                <w:sz w:val="20"/>
                <w:szCs w:val="20"/>
                <w:lang w:val="en-US"/>
              </w:rPr>
              <w:t>Do you think there are any potential areas for improvement to the through-care program or service provided? Please write a response in the Comment Box below.</w:t>
            </w:r>
          </w:p>
        </w:tc>
      </w:tr>
    </w:tbl>
    <w:p w14:paraId="13BC42E6" w14:textId="77777777" w:rsidR="00E23603" w:rsidRDefault="00E23603" w:rsidP="00EC273E"/>
    <w:p w14:paraId="7B9BA990" w14:textId="77777777" w:rsidR="006E04F2" w:rsidRDefault="006E04F2" w:rsidP="00EA4093"/>
    <w:p w14:paraId="2C492347" w14:textId="77777777" w:rsidR="006E04F2" w:rsidRDefault="006E04F2" w:rsidP="00EA4093"/>
    <w:p w14:paraId="2411E19F" w14:textId="77777777" w:rsidR="00351FC8" w:rsidRPr="006159DC" w:rsidRDefault="00351FC8" w:rsidP="00EA4093"/>
    <w:p w14:paraId="1E8834C9" w14:textId="77777777" w:rsidR="00A2737F" w:rsidRPr="00A2737F" w:rsidRDefault="00A2737F" w:rsidP="00EA4093">
      <w:pPr>
        <w:rPr>
          <w:lang w:val="en-MY" w:eastAsia="en-AU"/>
        </w:rPr>
      </w:pPr>
    </w:p>
    <w:p w14:paraId="2362E4D6" w14:textId="77777777" w:rsidR="00A2737F" w:rsidRPr="00A2737F" w:rsidRDefault="00A2737F" w:rsidP="00EA4093"/>
    <w:p w14:paraId="53E86572" w14:textId="329137FB" w:rsidR="006603DD" w:rsidRDefault="006603DD" w:rsidP="00EA4093">
      <w:r>
        <w:t xml:space="preserve"> </w:t>
      </w:r>
    </w:p>
    <w:p w14:paraId="6E1E735E" w14:textId="77777777" w:rsidR="006603DD" w:rsidRDefault="006603DD" w:rsidP="00EA4093">
      <w:pPr>
        <w:rPr>
          <w:lang w:val="en-MY" w:eastAsia="en-AU"/>
        </w:rPr>
      </w:pPr>
    </w:p>
    <w:p w14:paraId="1A542F63" w14:textId="77777777" w:rsidR="00A2737F" w:rsidRDefault="00A2737F" w:rsidP="00EA4093">
      <w:pPr>
        <w:rPr>
          <w:lang w:val="en-MY" w:eastAsia="en-AU"/>
        </w:rPr>
      </w:pPr>
    </w:p>
    <w:p w14:paraId="6EFE242F" w14:textId="77777777" w:rsidR="00A2737F" w:rsidRDefault="00A2737F" w:rsidP="00EA4093">
      <w:pPr>
        <w:rPr>
          <w:lang w:val="en-MY" w:eastAsia="en-AU"/>
        </w:rPr>
      </w:pPr>
    </w:p>
    <w:p w14:paraId="0C8A3F45" w14:textId="77777777" w:rsidR="00A2737F" w:rsidRDefault="00A2737F" w:rsidP="00EA4093">
      <w:pPr>
        <w:rPr>
          <w:lang w:val="en-MY" w:eastAsia="en-AU"/>
        </w:rPr>
      </w:pPr>
    </w:p>
    <w:p w14:paraId="46A36F55" w14:textId="77777777" w:rsidR="00A2737F" w:rsidRDefault="00A2737F" w:rsidP="00EA4093">
      <w:pPr>
        <w:rPr>
          <w:lang w:val="en-MY" w:eastAsia="en-AU"/>
        </w:rPr>
      </w:pPr>
    </w:p>
    <w:p w14:paraId="32614DF8" w14:textId="77777777" w:rsidR="00A2737F" w:rsidRDefault="00A2737F" w:rsidP="00EA4093">
      <w:pPr>
        <w:rPr>
          <w:lang w:val="en-MY" w:eastAsia="en-AU"/>
        </w:rPr>
      </w:pPr>
    </w:p>
    <w:p w14:paraId="40AA4762" w14:textId="77777777" w:rsidR="00A2737F" w:rsidRDefault="00A2737F" w:rsidP="00EA4093">
      <w:pPr>
        <w:rPr>
          <w:lang w:val="en-MY" w:eastAsia="en-AU"/>
        </w:rPr>
      </w:pPr>
    </w:p>
    <w:p w14:paraId="00071F6D" w14:textId="77777777" w:rsidR="00A2737F" w:rsidRDefault="00A2737F" w:rsidP="00EA4093">
      <w:pPr>
        <w:rPr>
          <w:lang w:val="en-MY" w:eastAsia="en-AU"/>
        </w:rPr>
      </w:pPr>
    </w:p>
    <w:p w14:paraId="2A080220" w14:textId="77777777" w:rsidR="00A2737F" w:rsidRDefault="00A2737F" w:rsidP="00EA4093">
      <w:pPr>
        <w:rPr>
          <w:lang w:val="en-MY" w:eastAsia="en-AU"/>
        </w:rPr>
      </w:pPr>
    </w:p>
    <w:p w14:paraId="7253FD3E" w14:textId="77777777" w:rsidR="00A2737F" w:rsidRDefault="00A2737F" w:rsidP="00EA4093">
      <w:pPr>
        <w:rPr>
          <w:lang w:val="en-MY" w:eastAsia="en-AU"/>
        </w:rPr>
      </w:pPr>
    </w:p>
    <w:p w14:paraId="47DEB06D" w14:textId="77777777" w:rsidR="00A2737F" w:rsidRDefault="00A2737F" w:rsidP="00EA4093">
      <w:pPr>
        <w:rPr>
          <w:lang w:val="en-MY" w:eastAsia="en-AU"/>
        </w:rPr>
      </w:pPr>
    </w:p>
    <w:p w14:paraId="6FE9F850" w14:textId="77777777" w:rsidR="00A2737F" w:rsidRDefault="00A2737F" w:rsidP="00EA4093">
      <w:pPr>
        <w:rPr>
          <w:lang w:val="en-MY" w:eastAsia="en-AU"/>
        </w:rPr>
      </w:pPr>
    </w:p>
    <w:p w14:paraId="4A5C90B2" w14:textId="77777777" w:rsidR="00A2737F" w:rsidRDefault="00A2737F" w:rsidP="00EA4093">
      <w:pPr>
        <w:rPr>
          <w:lang w:val="en-MY" w:eastAsia="en-AU"/>
        </w:rPr>
      </w:pPr>
    </w:p>
    <w:p w14:paraId="7FAD60E9" w14:textId="77777777" w:rsidR="00A2737F" w:rsidRDefault="00A2737F" w:rsidP="00EA4093">
      <w:pPr>
        <w:rPr>
          <w:lang w:val="en-MY" w:eastAsia="en-AU"/>
        </w:rPr>
      </w:pPr>
    </w:p>
    <w:p w14:paraId="7734F9DE" w14:textId="77777777" w:rsidR="00A2737F" w:rsidRDefault="00A2737F" w:rsidP="00EA4093">
      <w:pPr>
        <w:rPr>
          <w:lang w:val="en-MY" w:eastAsia="en-AU"/>
        </w:rPr>
      </w:pPr>
    </w:p>
    <w:p w14:paraId="55E801B3" w14:textId="77777777" w:rsidR="00A2737F" w:rsidRDefault="00A2737F" w:rsidP="00EA4093">
      <w:pPr>
        <w:rPr>
          <w:lang w:val="en-MY" w:eastAsia="en-AU"/>
        </w:rPr>
      </w:pPr>
    </w:p>
    <w:p w14:paraId="5A3E5634" w14:textId="77777777" w:rsidR="00A2737F" w:rsidRDefault="00A2737F" w:rsidP="00EA4093">
      <w:pPr>
        <w:rPr>
          <w:lang w:val="en-MY" w:eastAsia="en-AU"/>
        </w:rPr>
      </w:pPr>
    </w:p>
    <w:p w14:paraId="0D58C722" w14:textId="77777777" w:rsidR="00A2737F" w:rsidRDefault="00A2737F" w:rsidP="00EA4093">
      <w:pPr>
        <w:rPr>
          <w:lang w:val="en-MY" w:eastAsia="en-AU"/>
        </w:rPr>
      </w:pPr>
    </w:p>
    <w:p w14:paraId="150B21AE" w14:textId="77777777" w:rsidR="00A2737F" w:rsidRDefault="00A2737F" w:rsidP="00EA4093">
      <w:pPr>
        <w:rPr>
          <w:lang w:val="en-MY" w:eastAsia="en-AU"/>
        </w:rPr>
      </w:pPr>
    </w:p>
    <w:p w14:paraId="16DD5B8D" w14:textId="77777777" w:rsidR="00A2737F" w:rsidRDefault="00A2737F" w:rsidP="00EA4093">
      <w:pPr>
        <w:rPr>
          <w:lang w:val="en-MY" w:eastAsia="en-AU"/>
        </w:rPr>
      </w:pPr>
    </w:p>
    <w:p w14:paraId="0409C47F" w14:textId="77777777" w:rsidR="00A2737F" w:rsidRDefault="00A2737F" w:rsidP="00EA4093">
      <w:pPr>
        <w:rPr>
          <w:lang w:val="en-MY" w:eastAsia="en-AU"/>
        </w:rPr>
      </w:pPr>
    </w:p>
    <w:p w14:paraId="4975C414" w14:textId="77777777" w:rsidR="00A2737F" w:rsidRDefault="00A2737F" w:rsidP="00EA4093">
      <w:pPr>
        <w:rPr>
          <w:lang w:val="en-MY" w:eastAsia="en-AU"/>
        </w:rPr>
      </w:pPr>
    </w:p>
    <w:p w14:paraId="23310DA2" w14:textId="77777777" w:rsidR="00A2737F" w:rsidRDefault="00A2737F" w:rsidP="00EA4093">
      <w:pPr>
        <w:rPr>
          <w:lang w:val="en-MY" w:eastAsia="en-AU"/>
        </w:rPr>
      </w:pPr>
    </w:p>
    <w:p w14:paraId="00FF80D6" w14:textId="77777777" w:rsidR="00A2737F" w:rsidRDefault="00A2737F" w:rsidP="00EA4093">
      <w:pPr>
        <w:rPr>
          <w:lang w:val="en-MY" w:eastAsia="en-AU"/>
        </w:rPr>
      </w:pPr>
    </w:p>
    <w:p w14:paraId="0A1122C1" w14:textId="77777777" w:rsidR="00A2737F" w:rsidRDefault="00A2737F" w:rsidP="00EA4093">
      <w:pPr>
        <w:rPr>
          <w:lang w:val="en-MY" w:eastAsia="en-AU"/>
        </w:rPr>
      </w:pPr>
    </w:p>
    <w:p w14:paraId="10EE789A" w14:textId="77777777" w:rsidR="00A2737F" w:rsidRDefault="00A2737F" w:rsidP="00EA4093">
      <w:pPr>
        <w:rPr>
          <w:lang w:val="en-MY" w:eastAsia="en-AU"/>
        </w:rPr>
      </w:pPr>
    </w:p>
    <w:p w14:paraId="73B4C51A" w14:textId="77777777" w:rsidR="006D23DD" w:rsidRDefault="006D23DD" w:rsidP="006603DD">
      <w:pPr>
        <w:rPr>
          <w:lang w:val="en-MY" w:eastAsia="en-AU"/>
        </w:rPr>
        <w:sectPr w:rsidR="006D23DD" w:rsidSect="00A04873">
          <w:pgSz w:w="11906" w:h="16838"/>
          <w:pgMar w:top="851" w:right="1418" w:bottom="1701" w:left="1418" w:header="1531" w:footer="737" w:gutter="0"/>
          <w:cols w:space="720"/>
          <w:docGrid w:linePitch="326"/>
        </w:sectPr>
      </w:pPr>
    </w:p>
    <w:p w14:paraId="7CDB3D81" w14:textId="189C85C7" w:rsidR="00A2737F" w:rsidRPr="006603DD" w:rsidRDefault="006D23DD" w:rsidP="006603DD">
      <w:pPr>
        <w:rPr>
          <w:lang w:val="en-MY" w:eastAsia="en-AU"/>
        </w:rPr>
      </w:pPr>
      <w:r>
        <w:rPr>
          <w:noProof/>
          <w:lang w:eastAsia="en-AU"/>
        </w:rPr>
        <mc:AlternateContent>
          <mc:Choice Requires="wpg">
            <w:drawing>
              <wp:anchor distT="0" distB="0" distL="114300" distR="114300" simplePos="0" relativeHeight="251658241" behindDoc="1" locked="0" layoutInCell="1" allowOverlap="1" wp14:anchorId="47C4DA5D" wp14:editId="421D8ADC">
                <wp:simplePos x="0" y="0"/>
                <wp:positionH relativeFrom="page">
                  <wp:posOffset>444500</wp:posOffset>
                </wp:positionH>
                <wp:positionV relativeFrom="page">
                  <wp:posOffset>166563</wp:posOffset>
                </wp:positionV>
                <wp:extent cx="6864824" cy="10055227"/>
                <wp:effectExtent l="0" t="0" r="0" b="3175"/>
                <wp:wrapNone/>
                <wp:docPr id="762112976" name="Group 31" descr="Last page of document: 'report end', Evaluation of the Adult and Youth Through Care Programs, Keogh Bay People Pty Ltd on behalf of the National Indigenous Australians Agency., 25 August 2023." title="End page"/>
                <wp:cNvGraphicFramePr/>
                <a:graphic xmlns:a="http://schemas.openxmlformats.org/drawingml/2006/main">
                  <a:graphicData uri="http://schemas.microsoft.com/office/word/2010/wordprocessingGroup">
                    <wpg:wgp>
                      <wpg:cNvGrpSpPr/>
                      <wpg:grpSpPr>
                        <a:xfrm>
                          <a:off x="0" y="0"/>
                          <a:ext cx="6864824" cy="10055227"/>
                          <a:chOff x="0" y="0"/>
                          <a:chExt cx="6864824" cy="9106277"/>
                        </a:xfrm>
                      </wpg:grpSpPr>
                      <wps:wsp>
                        <wps:cNvPr id="451043618" name="Rectangle 451043618"/>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261527" name="Rectangle 2094261527"/>
                        <wps:cNvSpPr/>
                        <wps:spPr>
                          <a:xfrm>
                            <a:off x="0" y="4077077"/>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565BB" w14:textId="77777777" w:rsidR="009C42F3" w:rsidRPr="004378E3" w:rsidRDefault="009C42F3" w:rsidP="006D23DD">
                              <w:pPr>
                                <w:pStyle w:val="NoSpacing"/>
                                <w:jc w:val="center"/>
                                <w:rPr>
                                  <w:i/>
                                  <w:iCs/>
                                  <w:sz w:val="52"/>
                                  <w:szCs w:val="52"/>
                                </w:rPr>
                              </w:pPr>
                              <w:r w:rsidRPr="004378E3">
                                <w:rPr>
                                  <w:i/>
                                  <w:iCs/>
                                  <w:sz w:val="52"/>
                                  <w:szCs w:val="52"/>
                                </w:rPr>
                                <w:t xml:space="preserve">EVALUATION OF THE ADULT &amp; YOUTH THROUGH CARE PROGRAMS </w:t>
                              </w:r>
                            </w:p>
                            <w:p w14:paraId="7EA27A9B" w14:textId="77777777" w:rsidR="009C42F3" w:rsidRDefault="009C42F3" w:rsidP="006D23DD">
                              <w:pPr>
                                <w:pStyle w:val="NoSpacing"/>
                                <w:jc w:val="center"/>
                                <w:rPr>
                                  <w:sz w:val="52"/>
                                  <w:szCs w:val="52"/>
                                </w:rPr>
                              </w:pPr>
                            </w:p>
                            <w:p w14:paraId="3DA3851E" w14:textId="77777777" w:rsidR="009C42F3" w:rsidRDefault="009C42F3" w:rsidP="006D23DD">
                              <w:pPr>
                                <w:pStyle w:val="NoSpacing"/>
                                <w:jc w:val="center"/>
                                <w:rPr>
                                  <w:sz w:val="52"/>
                                  <w:szCs w:val="52"/>
                                </w:rPr>
                              </w:pPr>
                            </w:p>
                            <w:p w14:paraId="6807455F" w14:textId="77777777" w:rsidR="009C42F3" w:rsidRDefault="009C42F3" w:rsidP="006D23DD">
                              <w:pPr>
                                <w:pStyle w:val="NoSpacing"/>
                                <w:rPr>
                                  <w:sz w:val="32"/>
                                  <w:szCs w:val="32"/>
                                </w:rPr>
                              </w:pPr>
                            </w:p>
                            <w:p w14:paraId="013189FB" w14:textId="77777777" w:rsidR="009C42F3" w:rsidRDefault="009C42F3" w:rsidP="006D23DD">
                              <w:pPr>
                                <w:pStyle w:val="NoSpacing"/>
                                <w:rPr>
                                  <w:sz w:val="32"/>
                                  <w:szCs w:val="32"/>
                                </w:rPr>
                              </w:pPr>
                            </w:p>
                            <w:p w14:paraId="456AB724" w14:textId="64871D9A" w:rsidR="009C42F3" w:rsidRPr="004378E3" w:rsidRDefault="009C42F3" w:rsidP="006D23DD">
                              <w:pPr>
                                <w:pStyle w:val="NoSpacing"/>
                                <w:rPr>
                                  <w:sz w:val="32"/>
                                  <w:szCs w:val="32"/>
                                </w:rPr>
                              </w:pPr>
                              <w:r w:rsidRPr="004378E3">
                                <w:rPr>
                                  <w:sz w:val="32"/>
                                  <w:szCs w:val="32"/>
                                </w:rPr>
                                <w:t>Keogh Bay People Pty Ltd</w:t>
                              </w:r>
                            </w:p>
                            <w:p w14:paraId="2A00B0B4" w14:textId="77777777" w:rsidR="009C42F3" w:rsidRPr="004378E3" w:rsidRDefault="009C42F3" w:rsidP="006D23DD">
                              <w:pPr>
                                <w:pStyle w:val="NoSpacing"/>
                                <w:rPr>
                                  <w:i/>
                                  <w:iCs/>
                                  <w:sz w:val="32"/>
                                  <w:szCs w:val="32"/>
                                </w:rPr>
                              </w:pPr>
                              <w:r w:rsidRPr="004378E3">
                                <w:rPr>
                                  <w:i/>
                                  <w:iCs/>
                                  <w:sz w:val="32"/>
                                  <w:szCs w:val="32"/>
                                </w:rPr>
                                <w:t>on behalf of the</w:t>
                              </w:r>
                            </w:p>
                            <w:p w14:paraId="7787ADF2" w14:textId="77777777" w:rsidR="009C42F3" w:rsidRPr="004378E3" w:rsidRDefault="009C42F3" w:rsidP="006D23DD">
                              <w:pPr>
                                <w:pStyle w:val="NoSpacing"/>
                                <w:rPr>
                                  <w:b/>
                                  <w:bCs/>
                                  <w:sz w:val="32"/>
                                  <w:szCs w:val="32"/>
                                </w:rPr>
                              </w:pPr>
                              <w:r w:rsidRPr="004378E3">
                                <w:rPr>
                                  <w:b/>
                                  <w:bCs/>
                                  <w:sz w:val="32"/>
                                  <w:szCs w:val="32"/>
                                </w:rPr>
                                <w:t>National Indigenous Australians Agency</w:t>
                              </w:r>
                            </w:p>
                            <w:p w14:paraId="28E767BE" w14:textId="77777777" w:rsidR="009C42F3" w:rsidRDefault="009C42F3" w:rsidP="006D23DD">
                              <w:pPr>
                                <w:pStyle w:val="NoSpacing"/>
                                <w:rPr>
                                  <w:sz w:val="48"/>
                                  <w:szCs w:val="48"/>
                                </w:rPr>
                              </w:pPr>
                            </w:p>
                            <w:p w14:paraId="6476EC3F" w14:textId="6CAF4EED" w:rsidR="009C42F3" w:rsidRPr="004378E3" w:rsidRDefault="009C42F3" w:rsidP="004378E3">
                              <w:pPr>
                                <w:pStyle w:val="NoSpacing"/>
                                <w:rPr>
                                  <w:sz w:val="32"/>
                                  <w:szCs w:val="32"/>
                                </w:rPr>
                              </w:pPr>
                              <w:r w:rsidRPr="004378E3">
                                <w:rPr>
                                  <w:sz w:val="32"/>
                                  <w:szCs w:val="32"/>
                                </w:rPr>
                                <w:t>25 August 2023</w:t>
                              </w:r>
                            </w:p>
                            <w:p w14:paraId="41522A2B" w14:textId="77777777" w:rsidR="009C42F3" w:rsidRDefault="009C42F3" w:rsidP="006D23DD">
                              <w:pPr>
                                <w:pStyle w:val="NoSpacing"/>
                                <w:jc w:val="center"/>
                                <w:rPr>
                                  <w:sz w:val="48"/>
                                  <w:szCs w:val="48"/>
                                </w:rPr>
                              </w:pPr>
                            </w:p>
                            <w:p w14:paraId="0D56DD25" w14:textId="77777777" w:rsidR="009C42F3" w:rsidRDefault="009C42F3" w:rsidP="006D23DD">
                              <w:pPr>
                                <w:pStyle w:val="NoSpacing"/>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394904588" name="Text Box 1394904588"/>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A65F3" w14:textId="67AD732C" w:rsidR="009C42F3" w:rsidRDefault="009C42F3" w:rsidP="006D23DD">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REPORT END</w:t>
                              </w:r>
                            </w:p>
                            <w:p w14:paraId="5245D978" w14:textId="77777777" w:rsidR="009C42F3" w:rsidRDefault="009C42F3" w:rsidP="006D23DD">
                              <w:pPr>
                                <w:pStyle w:val="NoSpacing"/>
                                <w:rPr>
                                  <w:rFonts w:asciiTheme="majorHAnsi" w:eastAsiaTheme="majorEastAsia" w:hAnsiTheme="majorHAnsi" w:cstheme="majorBidi"/>
                                  <w:caps/>
                                  <w:color w:val="4F81BD"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xmlns:w16du="http://schemas.microsoft.com/office/word/2023/wordml/word16du">
            <w:pict>
              <v:group w14:anchorId="47C4DA5D" id="_x0000_s1076" alt="Title: End page - Description: Last page of document: 'report end', Evaluation of the Adult and Youth Through Care Programs, Keogh Bay People Pty Ltd on behalf of the National Indigenous Australians Agency., 25 August 2023." style="position:absolute;margin-left:35pt;margin-top:13.1pt;width:540.55pt;height:791.75pt;z-index:-251658239;mso-width-percent:882;mso-position-horizontal-relative:page;mso-position-vertical-relative:page;mso-width-percent:882" coordsize="68648,9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">
                <v:rect id="Rectangle 451043618" o:spid="_x0000_s107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" fillcolor="#4f81bd [3204]" stroked="f" strokeweight="2pt"/>
                <v:rect id="Rectangle 2094261527" o:spid="_x0000_s1078" style="position:absolute;top:40770;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" fillcolor="#4f81bd [3204]" stroked="f" strokeweight="2pt">
                  <v:textbox inset="36pt,57.6pt,36pt,36pt">
                    <w:txbxContent>
                      <w:p w14:paraId="00A565BB" w14:textId="77777777" w:rsidR="009C42F3" w:rsidRPr="004378E3" w:rsidRDefault="009C42F3" w:rsidP="006D23DD">
                        <w:pPr>
                          <w:pStyle w:val="NoSpacing"/>
                          <w:jc w:val="center"/>
                          <w:rPr>
                            <w:i/>
                            <w:iCs/>
                            <w:sz w:val="52"/>
                            <w:szCs w:val="52"/>
                          </w:rPr>
                        </w:pPr>
                        <w:r w:rsidRPr="004378E3">
                          <w:rPr>
                            <w:i/>
                            <w:iCs/>
                            <w:sz w:val="52"/>
                            <w:szCs w:val="52"/>
                          </w:rPr>
                          <w:t xml:space="preserve">EVALUATION OF THE ADULT &amp; YOUTH THROUGH CARE PROGRAMS </w:t>
                        </w:r>
                      </w:p>
                      <w:p w14:paraId="7EA27A9B" w14:textId="77777777" w:rsidR="009C42F3" w:rsidRDefault="009C42F3" w:rsidP="006D23DD">
                        <w:pPr>
                          <w:pStyle w:val="NoSpacing"/>
                          <w:jc w:val="center"/>
                          <w:rPr>
                            <w:sz w:val="52"/>
                            <w:szCs w:val="52"/>
                          </w:rPr>
                        </w:pPr>
                      </w:p>
                      <w:p w14:paraId="3DA3851E" w14:textId="77777777" w:rsidR="009C42F3" w:rsidRDefault="009C42F3" w:rsidP="006D23DD">
                        <w:pPr>
                          <w:pStyle w:val="NoSpacing"/>
                          <w:jc w:val="center"/>
                          <w:rPr>
                            <w:sz w:val="52"/>
                            <w:szCs w:val="52"/>
                          </w:rPr>
                        </w:pPr>
                      </w:p>
                      <w:p w14:paraId="6807455F" w14:textId="77777777" w:rsidR="009C42F3" w:rsidRDefault="009C42F3" w:rsidP="006D23DD">
                        <w:pPr>
                          <w:pStyle w:val="NoSpacing"/>
                          <w:rPr>
                            <w:sz w:val="32"/>
                            <w:szCs w:val="32"/>
                          </w:rPr>
                        </w:pPr>
                      </w:p>
                      <w:p w14:paraId="013189FB" w14:textId="77777777" w:rsidR="009C42F3" w:rsidRDefault="009C42F3" w:rsidP="006D23DD">
                        <w:pPr>
                          <w:pStyle w:val="NoSpacing"/>
                          <w:rPr>
                            <w:sz w:val="32"/>
                            <w:szCs w:val="32"/>
                          </w:rPr>
                        </w:pPr>
                      </w:p>
                      <w:p w14:paraId="456AB724" w14:textId="64871D9A" w:rsidR="009C42F3" w:rsidRPr="004378E3" w:rsidRDefault="009C42F3" w:rsidP="006D23DD">
                        <w:pPr>
                          <w:pStyle w:val="NoSpacing"/>
                          <w:rPr>
                            <w:sz w:val="32"/>
                            <w:szCs w:val="32"/>
                          </w:rPr>
                        </w:pPr>
                        <w:r w:rsidRPr="004378E3">
                          <w:rPr>
                            <w:sz w:val="32"/>
                            <w:szCs w:val="32"/>
                          </w:rPr>
                          <w:t>Keogh Bay People Pty Ltd</w:t>
                        </w:r>
                      </w:p>
                      <w:p w14:paraId="2A00B0B4" w14:textId="77777777" w:rsidR="009C42F3" w:rsidRPr="004378E3" w:rsidRDefault="009C42F3" w:rsidP="006D23DD">
                        <w:pPr>
                          <w:pStyle w:val="NoSpacing"/>
                          <w:rPr>
                            <w:i/>
                            <w:iCs/>
                            <w:sz w:val="32"/>
                            <w:szCs w:val="32"/>
                          </w:rPr>
                        </w:pPr>
                        <w:r w:rsidRPr="004378E3">
                          <w:rPr>
                            <w:i/>
                            <w:iCs/>
                            <w:sz w:val="32"/>
                            <w:szCs w:val="32"/>
                          </w:rPr>
                          <w:t>on behalf of the</w:t>
                        </w:r>
                      </w:p>
                      <w:p w14:paraId="7787ADF2" w14:textId="77777777" w:rsidR="009C42F3" w:rsidRPr="004378E3" w:rsidRDefault="009C42F3" w:rsidP="006D23DD">
                        <w:pPr>
                          <w:pStyle w:val="NoSpacing"/>
                          <w:rPr>
                            <w:b/>
                            <w:bCs/>
                            <w:sz w:val="32"/>
                            <w:szCs w:val="32"/>
                          </w:rPr>
                        </w:pPr>
                        <w:r w:rsidRPr="004378E3">
                          <w:rPr>
                            <w:b/>
                            <w:bCs/>
                            <w:sz w:val="32"/>
                            <w:szCs w:val="32"/>
                          </w:rPr>
                          <w:t>National Indigenous Australians Agency</w:t>
                        </w:r>
                      </w:p>
                      <w:p w14:paraId="28E767BE" w14:textId="77777777" w:rsidR="009C42F3" w:rsidRDefault="009C42F3" w:rsidP="006D23DD">
                        <w:pPr>
                          <w:pStyle w:val="NoSpacing"/>
                          <w:rPr>
                            <w:sz w:val="48"/>
                            <w:szCs w:val="48"/>
                          </w:rPr>
                        </w:pPr>
                      </w:p>
                      <w:p w14:paraId="6476EC3F" w14:textId="6CAF4EED" w:rsidR="009C42F3" w:rsidRPr="004378E3" w:rsidRDefault="009C42F3" w:rsidP="004378E3">
                        <w:pPr>
                          <w:pStyle w:val="NoSpacing"/>
                          <w:rPr>
                            <w:sz w:val="32"/>
                            <w:szCs w:val="32"/>
                          </w:rPr>
                        </w:pPr>
                        <w:r w:rsidRPr="004378E3">
                          <w:rPr>
                            <w:sz w:val="32"/>
                            <w:szCs w:val="32"/>
                          </w:rPr>
                          <w:t>25 August 2023</w:t>
                        </w:r>
                      </w:p>
                      <w:p w14:paraId="41522A2B" w14:textId="77777777" w:rsidR="009C42F3" w:rsidRDefault="009C42F3" w:rsidP="006D23DD">
                        <w:pPr>
                          <w:pStyle w:val="NoSpacing"/>
                          <w:jc w:val="center"/>
                          <w:rPr>
                            <w:sz w:val="48"/>
                            <w:szCs w:val="48"/>
                          </w:rPr>
                        </w:pPr>
                      </w:p>
                      <w:p w14:paraId="0D56DD25" w14:textId="77777777" w:rsidR="009C42F3" w:rsidRDefault="009C42F3" w:rsidP="006D23DD">
                        <w:pPr>
                          <w:pStyle w:val="NoSpacing"/>
                          <w:jc w:val="center"/>
                          <w:rPr>
                            <w:color w:val="FFFFFF" w:themeColor="background1"/>
                          </w:rPr>
                        </w:pPr>
                      </w:p>
                    </w:txbxContent>
                  </v:textbox>
                </v:rect>
                <v:shape id="Text Box 1394904588" o:spid="_x0000_s107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" fillcolor="white [3212]" stroked="f" strokeweight=".5pt">
                  <v:textbox inset="36pt,7.2pt,36pt,7.2pt">
                    <w:txbxContent>
                      <w:p w14:paraId="249A65F3" w14:textId="67AD732C" w:rsidR="009C42F3" w:rsidRDefault="009C42F3" w:rsidP="006D23DD">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REPORT END</w:t>
                        </w:r>
                      </w:p>
                      <w:p w14:paraId="5245D978" w14:textId="77777777" w:rsidR="009C42F3" w:rsidRDefault="009C42F3" w:rsidP="006D23DD">
                        <w:pPr>
                          <w:pStyle w:val="NoSpacing"/>
                          <w:rPr>
                            <w:rFonts w:asciiTheme="majorHAnsi" w:eastAsiaTheme="majorEastAsia" w:hAnsiTheme="majorHAnsi" w:cstheme="majorBidi"/>
                            <w:caps/>
                            <w:color w:val="4F81BD" w:themeColor="accent1"/>
                            <w:sz w:val="72"/>
                            <w:szCs w:val="72"/>
                          </w:rPr>
                        </w:pPr>
                      </w:p>
                    </w:txbxContent>
                  </v:textbox>
                </v:shape>
                <w10:wrap anchorx="page" anchory="page"/>
              </v:group>
            </w:pict>
          </mc:Fallback>
        </mc:AlternateContent>
      </w:r>
    </w:p>
    <w:sectPr w:rsidR="00A2737F" w:rsidRPr="006603DD" w:rsidSect="00A04873">
      <w:pgSz w:w="11906" w:h="16838"/>
      <w:pgMar w:top="851" w:right="1418" w:bottom="1701" w:left="1418" w:header="1701" w:footer="79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8EE07" w14:textId="77777777" w:rsidR="007F36E3" w:rsidRDefault="007F36E3" w:rsidP="009A4E51">
      <w:r>
        <w:separator/>
      </w:r>
    </w:p>
    <w:p w14:paraId="4650720A" w14:textId="77777777" w:rsidR="007F36E3" w:rsidRDefault="007F36E3"/>
  </w:endnote>
  <w:endnote w:type="continuationSeparator" w:id="0">
    <w:p w14:paraId="37325264" w14:textId="77777777" w:rsidR="007F36E3" w:rsidRDefault="007F36E3" w:rsidP="009A4E51">
      <w:r>
        <w:continuationSeparator/>
      </w:r>
    </w:p>
    <w:p w14:paraId="208F8A71" w14:textId="77777777" w:rsidR="007F36E3" w:rsidRDefault="007F36E3"/>
  </w:endnote>
  <w:endnote w:type="continuationNotice" w:id="1">
    <w:p w14:paraId="5B2A1958" w14:textId="77777777" w:rsidR="007F36E3" w:rsidRDefault="007F3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47 CondensedLight">
    <w:altName w:val="Courier New"/>
    <w:charset w:val="00"/>
    <w:family w:val="auto"/>
    <w:pitch w:val="variable"/>
    <w:sig w:usb0="00000003" w:usb1="00000000" w:usb2="00000000" w:usb3="00000000" w:csb0="00000001" w:csb1="00000000"/>
  </w:font>
  <w:font w:name="Univers 45 Light">
    <w:altName w:val="Calibri"/>
    <w:charset w:val="00"/>
    <w:family w:val="auto"/>
    <w:pitch w:val="variable"/>
    <w:sig w:usb0="80000023" w:usb1="00000000" w:usb2="00000000" w:usb3="00000000" w:csb0="00000001" w:csb1="00000000"/>
  </w:font>
  <w:font w:name="Univers 55">
    <w:altName w:val="Times New Roman"/>
    <w:charset w:val="00"/>
    <w:family w:val="auto"/>
    <w:pitch w:val="variable"/>
    <w:sig w:usb0="00000003" w:usb1="00000000" w:usb2="00000000" w:usb3="00000000" w:csb0="00000001" w:csb1="00000000"/>
  </w:font>
  <w:font w:name="MuseoSans-100">
    <w:altName w:val="Calibri"/>
    <w:charset w:val="4D"/>
    <w:family w:val="auto"/>
    <w:pitch w:val="variable"/>
    <w:sig w:usb0="A00000AF" w:usb1="4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8298334"/>
      <w:docPartObj>
        <w:docPartGallery w:val="Page Numbers (Bottom of Page)"/>
        <w:docPartUnique/>
      </w:docPartObj>
    </w:sdtPr>
    <w:sdtEndPr>
      <w:rPr>
        <w:rStyle w:val="PageNumber"/>
      </w:rPr>
    </w:sdtEndPr>
    <w:sdtContent>
      <w:p w14:paraId="78C75C93" w14:textId="51DF0D1B" w:rsidR="009C42F3" w:rsidRDefault="009C42F3" w:rsidP="007073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E73C7D" w14:textId="77777777" w:rsidR="009C42F3" w:rsidRDefault="009C42F3" w:rsidP="007073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6899" w14:textId="67033B0C" w:rsidR="009C42F3" w:rsidRDefault="009C42F3" w:rsidP="005C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D6F61">
      <w:rPr>
        <w:rStyle w:val="PageNumber"/>
        <w:noProof/>
      </w:rPr>
      <w:t>10</w:t>
    </w:r>
    <w:r>
      <w:rPr>
        <w:rStyle w:val="PageNumber"/>
      </w:rPr>
      <w:fldChar w:fldCharType="end"/>
    </w:r>
  </w:p>
  <w:p w14:paraId="61B988C8" w14:textId="16D1E71F" w:rsidR="009C42F3" w:rsidRPr="008663BE" w:rsidRDefault="009C42F3" w:rsidP="007073A3">
    <w:pPr>
      <w:pStyle w:val="Footer"/>
      <w:ind w:right="360"/>
      <w:rPr>
        <w:sz w:val="18"/>
        <w:szCs w:val="18"/>
      </w:rPr>
    </w:pPr>
    <w:r w:rsidRPr="008663BE">
      <w:rPr>
        <w:sz w:val="18"/>
        <w:szCs w:val="18"/>
      </w:rPr>
      <w:t>Keogh Bay People Pty Ltd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6120177"/>
      <w:docPartObj>
        <w:docPartGallery w:val="Page Numbers (Bottom of Page)"/>
        <w:docPartUnique/>
      </w:docPartObj>
    </w:sdtPr>
    <w:sdtEndPr>
      <w:rPr>
        <w:rStyle w:val="PageNumber"/>
      </w:rPr>
    </w:sdtEndPr>
    <w:sdtContent>
      <w:p w14:paraId="09DCD3D2" w14:textId="749940B8" w:rsidR="009C42F3" w:rsidRDefault="009C42F3" w:rsidP="005C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2654C0" w14:textId="77777777" w:rsidR="009C42F3" w:rsidRDefault="009C42F3" w:rsidP="007073A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73DC" w14:textId="6AA58C74" w:rsidR="009C42F3" w:rsidRDefault="009C42F3" w:rsidP="005C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2D23">
      <w:rPr>
        <w:rStyle w:val="PageNumber"/>
        <w:noProof/>
      </w:rPr>
      <w:t>1</w:t>
    </w:r>
    <w:r>
      <w:rPr>
        <w:rStyle w:val="PageNumber"/>
      </w:rPr>
      <w:fldChar w:fldCharType="end"/>
    </w:r>
  </w:p>
  <w:p w14:paraId="14CA8894" w14:textId="5C219375" w:rsidR="009C42F3" w:rsidRPr="008663BE" w:rsidRDefault="009C42F3" w:rsidP="008663BE">
    <w:pPr>
      <w:pStyle w:val="Footer"/>
      <w:ind w:right="360"/>
      <w:rPr>
        <w:sz w:val="18"/>
        <w:szCs w:val="18"/>
      </w:rPr>
    </w:pPr>
    <w:r w:rsidRPr="008663BE">
      <w:rPr>
        <w:sz w:val="18"/>
        <w:szCs w:val="18"/>
      </w:rPr>
      <w:t>Keogh Bay People Pty Ltd</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FDC48" w14:textId="77777777" w:rsidR="007F36E3" w:rsidRDefault="007F36E3" w:rsidP="009A4E51">
      <w:r>
        <w:separator/>
      </w:r>
    </w:p>
    <w:p w14:paraId="1A62B2B1" w14:textId="77777777" w:rsidR="007F36E3" w:rsidRDefault="007F36E3"/>
  </w:footnote>
  <w:footnote w:type="continuationSeparator" w:id="0">
    <w:p w14:paraId="2D272235" w14:textId="77777777" w:rsidR="007F36E3" w:rsidRDefault="007F36E3" w:rsidP="009A4E51">
      <w:r>
        <w:continuationSeparator/>
      </w:r>
    </w:p>
    <w:p w14:paraId="5158253E" w14:textId="77777777" w:rsidR="007F36E3" w:rsidRDefault="007F36E3"/>
  </w:footnote>
  <w:footnote w:type="continuationNotice" w:id="1">
    <w:p w14:paraId="48E13880" w14:textId="77777777" w:rsidR="007F36E3" w:rsidRDefault="007F36E3"/>
  </w:footnote>
  <w:footnote w:id="2">
    <w:p w14:paraId="5E38ADF5" w14:textId="5442C12D" w:rsidR="009C42F3" w:rsidRDefault="009C42F3" w:rsidP="00B605E4">
      <w:pPr>
        <w:pStyle w:val="FootnoteText"/>
      </w:pPr>
      <w:r>
        <w:rPr>
          <w:rStyle w:val="FootnoteReference"/>
        </w:rPr>
        <w:footnoteRef/>
      </w:r>
      <w:r>
        <w:t xml:space="preserve"> See: </w:t>
      </w:r>
      <w:r w:rsidRPr="00E51C78">
        <w:t>Berghuis, M. (2018). Re</w:t>
      </w:r>
      <w:r>
        <w:t>-</w:t>
      </w:r>
      <w:r w:rsidRPr="00E51C78">
        <w:t>entry Programs for Adult Male Offender Recidivism and Reintegration: A Systematic Review and Meta-Analysis. International Journal of Offender Therapy and Comparative Criminology 62(3)</w:t>
      </w:r>
      <w:r>
        <w:t xml:space="preserve">; </w:t>
      </w:r>
      <w:r w:rsidRPr="00E51C78">
        <w:t>Day, A., Geia, L. and Tamatea, A. (2019). Towards effective throughcare approaches for Indigenous people leaving prison in Australia and New Zealand. Research Brief 25. Indigenous Justice Clearinghouse</w:t>
      </w:r>
      <w:r>
        <w:t xml:space="preserve">; </w:t>
      </w:r>
      <w:r w:rsidRPr="00E51C78">
        <w:t>Kendall, S. et al.  (2018) Systematic review of qualitative evaluations of re-entry programs addressing problematic drug use and mental health disorders amongst people transitioning from prison to communities. Health Justice 6, 4</w:t>
      </w:r>
      <w:r>
        <w:t xml:space="preserve">; and </w:t>
      </w:r>
      <w:r w:rsidRPr="00E51C78">
        <w:t>Pegg, S. (2018). Literature Review: Current Practices in the Reintegration of High Needs Correctional Inmates. Inmate Health &amp; Housing Collective Impact Initiative, John Howard Society of Toronto</w:t>
      </w:r>
      <w:r>
        <w:t>.</w:t>
      </w:r>
    </w:p>
  </w:footnote>
  <w:footnote w:id="3">
    <w:p w14:paraId="58D293AC" w14:textId="77777777" w:rsidR="009C42F3" w:rsidRDefault="009C42F3" w:rsidP="007643EC">
      <w:pPr>
        <w:pStyle w:val="FootnoteText"/>
      </w:pPr>
      <w:r>
        <w:rPr>
          <w:rStyle w:val="FootnoteReference"/>
        </w:rPr>
        <w:footnoteRef/>
      </w:r>
      <w:r>
        <w:t xml:space="preserve"> To assess the extent to which: (i) The ATC and YTC programs have been delivered consistent with their co-designed models; (ii) whether current data collection processes accurately measure program performance; (iii) whether the programs’ outcomes are aligned to client needs; (iv) whether expected outcomes have been achieved, or are likely to be achieved in the longer-term; (v) whether the programs contribute to client’s successfully breaking contact with the criminal justice system and integrating into the community post incarceration; (vi) whether the designs of the ATC and YTC programs are aligned to broader government policy objectives; (vii) whether the ATC and YTC models are based on best practice and give consideration to any alternative approaches that would support improved client and program outcomes; (viii) whether the ATC and YTC Models can be restructured and/or enhanced to address gaps or opportunities in service provision and improve program outcomes, including incentivising provider behaviour towards improving client outcomes; and (ix) whether there is a continued need for the ATC and YTC programs.</w:t>
      </w:r>
    </w:p>
  </w:footnote>
  <w:footnote w:id="4">
    <w:p w14:paraId="2D91FF75" w14:textId="77777777" w:rsidR="009C42F3" w:rsidRDefault="009C42F3" w:rsidP="006A78DB">
      <w:pPr>
        <w:pStyle w:val="FootnoteText"/>
      </w:pPr>
      <w:r>
        <w:rPr>
          <w:rStyle w:val="FootnoteReference"/>
        </w:rPr>
        <w:footnoteRef/>
      </w:r>
      <w:r>
        <w:t xml:space="preserve"> The term ‘brokerage' funding is widely used by case workers to refer to </w:t>
      </w:r>
      <w:r w:rsidRPr="00F46BDF">
        <w:t>discretionary funding</w:t>
      </w:r>
      <w:r>
        <w:t xml:space="preserve"> and expenditure.</w:t>
      </w:r>
    </w:p>
  </w:footnote>
  <w:footnote w:id="5">
    <w:p w14:paraId="5E59901A" w14:textId="77777777" w:rsidR="009C42F3" w:rsidRDefault="009C42F3" w:rsidP="00891887">
      <w:pPr>
        <w:pStyle w:val="FootnoteText"/>
      </w:pPr>
      <w:r>
        <w:rPr>
          <w:rStyle w:val="FootnoteReference"/>
        </w:rPr>
        <w:footnoteRef/>
      </w:r>
      <w:r>
        <w:t xml:space="preserve"> See p.7 of </w:t>
      </w:r>
      <w:r w:rsidRPr="000424D8">
        <w:t>Council of Australian Governments</w:t>
      </w:r>
      <w:r>
        <w:t xml:space="preserve">’ </w:t>
      </w:r>
      <w:r w:rsidRPr="000424D8">
        <w:t>(COAG) Prison to Work Report (2016)</w:t>
      </w:r>
      <w:r>
        <w:t>.</w:t>
      </w:r>
    </w:p>
  </w:footnote>
  <w:footnote w:id="6">
    <w:p w14:paraId="0FA82019" w14:textId="77777777" w:rsidR="009C42F3" w:rsidRDefault="009C42F3" w:rsidP="007D5F16">
      <w:pPr>
        <w:pStyle w:val="FootnoteText"/>
      </w:pPr>
      <w:r>
        <w:rPr>
          <w:rStyle w:val="FootnoteReference"/>
        </w:rPr>
        <w:footnoteRef/>
      </w:r>
      <w:r>
        <w:t xml:space="preserve"> </w:t>
      </w:r>
      <w:r w:rsidRPr="00720BD9">
        <w:t>ABT Associates (2021) Adult Through-Care Model for Aboriginal and Torres Strait Islander Peoples and ABT Associates (2021)  Youth</w:t>
      </w:r>
      <w:r>
        <w:t xml:space="preserve"> </w:t>
      </w:r>
      <w:r w:rsidRPr="00720BD9">
        <w:t>Through-Care Model for Aboriginal and Torres Strait Islander Peoples </w:t>
      </w:r>
    </w:p>
  </w:footnote>
  <w:footnote w:id="7">
    <w:p w14:paraId="53D2A12F" w14:textId="77777777" w:rsidR="009C42F3" w:rsidRDefault="009C42F3" w:rsidP="00B114B8">
      <w:pPr>
        <w:pStyle w:val="FootnoteText"/>
      </w:pPr>
      <w:r>
        <w:rPr>
          <w:rStyle w:val="FootnoteReference"/>
        </w:rPr>
        <w:footnoteRef/>
      </w:r>
      <w:r>
        <w:t xml:space="preserve"> Outcome Area 10:  Aboriginal and Torres Strait Islander people are not overrepresented in the criminal justice system. Target: By 2031, reduce the rate of Aboriginal and Torres Strait Islander adults held in incarceration by at least 15 per cent. Outcome Area 11:  Aboriginal and Torres Strait Islander young people are not overrepresented in the criminal justice system. Target: By 2031, reduce the rate of Aboriginal and Torres Strait Islander young people (10-17 years) in detention by 30 per cent.</w:t>
      </w:r>
    </w:p>
  </w:footnote>
  <w:footnote w:id="8">
    <w:p w14:paraId="3AC0C845" w14:textId="12EA1795" w:rsidR="009C42F3" w:rsidRDefault="009C42F3" w:rsidP="00B66C53">
      <w:pPr>
        <w:pStyle w:val="FootnoteText"/>
      </w:pPr>
      <w:r>
        <w:rPr>
          <w:rStyle w:val="FootnoteReference"/>
        </w:rPr>
        <w:footnoteRef/>
      </w:r>
      <w:r>
        <w:t xml:space="preserve"> To assess the extent to which: (i) The ATC and YTC programs have been delivered consistent with their co-designed models; (ii) whether current data collection processes accurately measure program performance; (iii) whether the programs’ outcomes are aligned to client needs; (iv) whether expected outcomes have been achieved, or are likely to be achieved in the longer-term; (v) whether the programs contribute to client’s successfully breaking contact with the criminal justice system and integrating into the community post incarceration; (vi) whether the designs of the ATC and YTC programs are aligned to broader government policy objectives; (vii) whether the ATC and YTC models are based on best practice and give consideration to any alternative approaches that would support improved client and program outcomes; (viii) whether the ATC and YTC Models can be restructured and/or enhanced to address gaps or opportunities in service provision and improve program outcomes, including incentivising provider behaviour towards improving client outcomes; and (ix) whether there is a continued need for the ATC and YTC programs.</w:t>
      </w:r>
    </w:p>
  </w:footnote>
  <w:footnote w:id="9">
    <w:p w14:paraId="3D9BA468" w14:textId="049487E6" w:rsidR="009C42F3" w:rsidRDefault="009C42F3" w:rsidP="00E46CE7">
      <w:pPr>
        <w:pStyle w:val="FootnoteText"/>
      </w:pPr>
      <w:r>
        <w:rPr>
          <w:rStyle w:val="FootnoteReference"/>
        </w:rPr>
        <w:footnoteRef/>
      </w:r>
      <w:r>
        <w:t xml:space="preserve"> During implementation of the evaluation, it was found that although through-care service providers are delivering services in a manner consistent with some elements of the ABT models described in this report, they are not explicitly delivering services using the ABT practice framework and standards. As such, the focus in the evaluation on ‘fidelity of model implementation’ is on the extent to which service providers depart from the core elements of the ABT models, why this might have been the case, and whether the resulting practice is effective or not. T</w:t>
      </w:r>
      <w:r w:rsidRPr="00360472">
        <w:t>h</w:t>
      </w:r>
      <w:r>
        <w:t xml:space="preserve">is report has therefore </w:t>
      </w:r>
      <w:r w:rsidRPr="00360472">
        <w:t>evaluate</w:t>
      </w:r>
      <w:r>
        <w:t>d</w:t>
      </w:r>
      <w:r w:rsidRPr="00360472">
        <w:t xml:space="preserve"> the services </w:t>
      </w:r>
      <w:r>
        <w:t xml:space="preserve">as </w:t>
      </w:r>
      <w:r w:rsidRPr="00360472">
        <w:t>delivered</w:t>
      </w:r>
      <w:r>
        <w:t>,</w:t>
      </w:r>
      <w:r w:rsidRPr="00360472">
        <w:t xml:space="preserve"> and therefore findings </w:t>
      </w:r>
      <w:r>
        <w:t xml:space="preserve">around </w:t>
      </w:r>
      <w:r w:rsidRPr="00360472">
        <w:t xml:space="preserve">effectiveness </w:t>
      </w:r>
      <w:r>
        <w:t xml:space="preserve">and outcomes are made with respect to </w:t>
      </w:r>
      <w:r w:rsidRPr="00360472">
        <w:t xml:space="preserve">actual delivery </w:t>
      </w:r>
      <w:r>
        <w:t xml:space="preserve">rather than as direct commentary on </w:t>
      </w:r>
      <w:r w:rsidRPr="00360472">
        <w:t>the ABT model</w:t>
      </w:r>
      <w:r>
        <w:t xml:space="preserve"> itself.</w:t>
      </w:r>
    </w:p>
  </w:footnote>
  <w:footnote w:id="10">
    <w:p w14:paraId="74384D96" w14:textId="77777777" w:rsidR="009C42F3" w:rsidRDefault="009C42F3" w:rsidP="004B0F3A">
      <w:pPr>
        <w:pStyle w:val="FootnoteText"/>
      </w:pPr>
      <w:r>
        <w:rPr>
          <w:rStyle w:val="FootnoteReference"/>
        </w:rPr>
        <w:footnoteRef/>
      </w:r>
      <w:r>
        <w:t xml:space="preserve"> </w:t>
      </w:r>
      <w:r w:rsidRPr="00A909AF">
        <w:t xml:space="preserve">ABT Associates (2021) Adult Through-Care Model for Aboriginal and Torres Strait Islander Peoples </w:t>
      </w:r>
    </w:p>
  </w:footnote>
  <w:footnote w:id="11">
    <w:p w14:paraId="2F057066" w14:textId="77777777" w:rsidR="009C42F3" w:rsidRDefault="009C42F3" w:rsidP="004B0F3A">
      <w:pPr>
        <w:pStyle w:val="FootnoteText"/>
      </w:pPr>
      <w:r>
        <w:rPr>
          <w:rStyle w:val="FootnoteReference"/>
        </w:rPr>
        <w:footnoteRef/>
      </w:r>
      <w:r>
        <w:t xml:space="preserve"> </w:t>
      </w:r>
      <w:r w:rsidRPr="00A909AF">
        <w:t>ABT Associates (2021)  Youth Through-Care Model for Aboriginal and Torres Strait Islander Peoples</w:t>
      </w:r>
    </w:p>
  </w:footnote>
  <w:footnote w:id="12">
    <w:p w14:paraId="64C21A75" w14:textId="1F94A71F" w:rsidR="009C42F3" w:rsidRDefault="009C42F3">
      <w:pPr>
        <w:pStyle w:val="FootnoteText"/>
      </w:pPr>
      <w:r>
        <w:rPr>
          <w:rStyle w:val="FootnoteReference"/>
        </w:rPr>
        <w:footnoteRef/>
      </w:r>
      <w:r>
        <w:t xml:space="preserve"> See: </w:t>
      </w:r>
      <w:r w:rsidRPr="00E51C78">
        <w:t>Berghuis, M. (2018). Re</w:t>
      </w:r>
      <w:r>
        <w:t>-</w:t>
      </w:r>
      <w:r w:rsidRPr="00E51C78">
        <w:t>entry Programs for Adult Male Offender Recidivism and Reintegration: A Systematic Review and Meta-Analysis. International Journal of Offender Therapy and Comparative Criminology 62(3)</w:t>
      </w:r>
      <w:r>
        <w:t xml:space="preserve">; </w:t>
      </w:r>
      <w:r w:rsidRPr="00E51C78">
        <w:t>Day, A., Geia, L. and Tamatea, A. (2019). Towards effective throughcare approaches for Indigenous people leaving prison in Australia and New Zealand. Research Brief 25. Indigenous Justice Clearinghouse</w:t>
      </w:r>
      <w:r>
        <w:t xml:space="preserve">; </w:t>
      </w:r>
      <w:r w:rsidRPr="00E51C78">
        <w:t>Kendall, S. et al.  (2018) Systematic review of qualitative evaluations of re-entry programs addressing problematic drug use and mental health disorders amongst people transitioning from prison to communities. Health Justice 6, 4</w:t>
      </w:r>
      <w:r>
        <w:t xml:space="preserve">; and </w:t>
      </w:r>
      <w:r w:rsidRPr="00E51C78">
        <w:t>Pegg, S. (2018). Literature Review: Current Practices in the Reintegration of High Needs Correctional Inmates. Inmate Health &amp; Housing Collective Impact Initiative, John Howard Society of Toronto</w:t>
      </w:r>
      <w:r>
        <w:t>.</w:t>
      </w:r>
    </w:p>
  </w:footnote>
  <w:footnote w:id="13">
    <w:p w14:paraId="44F97E21" w14:textId="11715A0A" w:rsidR="009C42F3" w:rsidRDefault="009C42F3" w:rsidP="001D06A0">
      <w:pPr>
        <w:pStyle w:val="FootnoteText"/>
      </w:pPr>
      <w:r>
        <w:rPr>
          <w:rStyle w:val="FootnoteReference"/>
        </w:rPr>
        <w:footnoteRef/>
      </w:r>
      <w:r>
        <w:t xml:space="preserve"> Information obtained from ATC Program service agreements and verified by service providers. Provides an FTE count of front-line case worker staff and management or coordinators managing a case-load. The count excludes other management or data administration staff also funded through the program.</w:t>
      </w:r>
    </w:p>
  </w:footnote>
  <w:footnote w:id="14">
    <w:p w14:paraId="326886D0" w14:textId="77777777" w:rsidR="009C42F3" w:rsidRDefault="009C42F3" w:rsidP="001D06A0">
      <w:pPr>
        <w:pStyle w:val="FootnoteText"/>
      </w:pPr>
      <w:r>
        <w:rPr>
          <w:rStyle w:val="FootnoteReference"/>
        </w:rPr>
        <w:footnoteRef/>
      </w:r>
      <w:r>
        <w:t xml:space="preserve"> The ATSILS ATC team additionally comprises 4 case workers with a mental health focus, funded by a State-funded program. </w:t>
      </w:r>
    </w:p>
  </w:footnote>
  <w:footnote w:id="15">
    <w:p w14:paraId="6F08B6B2" w14:textId="77777777" w:rsidR="009C42F3" w:rsidRDefault="009C42F3" w:rsidP="001D06A0">
      <w:pPr>
        <w:pStyle w:val="FootnoteText"/>
      </w:pPr>
      <w:r>
        <w:rPr>
          <w:rStyle w:val="FootnoteReference"/>
        </w:rPr>
        <w:footnoteRef/>
      </w:r>
      <w:r>
        <w:t xml:space="preserve"> The locations of </w:t>
      </w:r>
      <w:r w:rsidRPr="00093AC3">
        <w:t>Burnie and Wynyard</w:t>
      </w:r>
      <w:r>
        <w:t xml:space="preserve"> are additionally listed in NIAA service agreements as service delivery sites; however, CHAC currently delivers no through-care services from these locations and all case workers are based in Circular Head.</w:t>
      </w:r>
    </w:p>
  </w:footnote>
  <w:footnote w:id="16">
    <w:p w14:paraId="3C55C266" w14:textId="12A31556" w:rsidR="009C42F3" w:rsidRDefault="009C42F3" w:rsidP="001D06A0">
      <w:pPr>
        <w:pStyle w:val="FootnoteText"/>
      </w:pPr>
      <w:r>
        <w:rPr>
          <w:rStyle w:val="FootnoteReference"/>
        </w:rPr>
        <w:footnoteRef/>
      </w:r>
      <w:r>
        <w:t xml:space="preserve"> </w:t>
      </w:r>
      <w:r w:rsidRPr="00E15D49">
        <w:t>The location</w:t>
      </w:r>
      <w:r>
        <w:t xml:space="preserve"> </w:t>
      </w:r>
      <w:r w:rsidRPr="00E15D49">
        <w:t xml:space="preserve">of </w:t>
      </w:r>
      <w:r>
        <w:t xml:space="preserve">Canterbury is </w:t>
      </w:r>
      <w:r w:rsidRPr="00E15D49">
        <w:t xml:space="preserve">additionally listed </w:t>
      </w:r>
      <w:r>
        <w:t xml:space="preserve">in </w:t>
      </w:r>
      <w:r w:rsidRPr="00E15D49">
        <w:t xml:space="preserve">NIAA </w:t>
      </w:r>
      <w:r>
        <w:t xml:space="preserve">service agreements </w:t>
      </w:r>
      <w:r w:rsidRPr="00E15D49">
        <w:t xml:space="preserve">as </w:t>
      </w:r>
      <w:r>
        <w:t xml:space="preserve">a </w:t>
      </w:r>
      <w:r w:rsidRPr="00E15D49">
        <w:t>service delivery site, however</w:t>
      </w:r>
      <w:r>
        <w:t>,</w:t>
      </w:r>
      <w:r w:rsidRPr="00E15D49">
        <w:t xml:space="preserve"> </w:t>
      </w:r>
      <w:r>
        <w:t xml:space="preserve">CRC </w:t>
      </w:r>
      <w:r w:rsidRPr="00E15D49">
        <w:t xml:space="preserve">currently delivers no </w:t>
      </w:r>
      <w:r>
        <w:t xml:space="preserve">through-care </w:t>
      </w:r>
      <w:r w:rsidRPr="00E15D49">
        <w:t xml:space="preserve">services </w:t>
      </w:r>
      <w:r>
        <w:t>from this location and all case workers are based in Broken Hill and Wilcannia</w:t>
      </w:r>
      <w:r w:rsidRPr="00E15D49">
        <w:t>.</w:t>
      </w:r>
    </w:p>
  </w:footnote>
  <w:footnote w:id="17">
    <w:p w14:paraId="1CD6F3A9" w14:textId="643553A4" w:rsidR="009C42F3" w:rsidRDefault="009C42F3" w:rsidP="00505338">
      <w:pPr>
        <w:pStyle w:val="FootnoteText"/>
      </w:pPr>
      <w:r w:rsidRPr="00B21295">
        <w:rPr>
          <w:rStyle w:val="FootnoteReference"/>
        </w:rPr>
        <w:footnoteRef/>
      </w:r>
      <w:r w:rsidRPr="00B21295">
        <w:t xml:space="preserve"> Topics to be covered through core training include cultural training and working with Aboriginal and Torres Strait Islander stakeholders; trauma-informed care; suicide prevention, self-harm, and Aboriginal Mental Health First Aid training; intensive case work and client support, including in service delivery requirements and standards; and self-care; and understanding the key stakeholders and their roles in the delivery and referral into/from the ATC program.</w:t>
      </w:r>
    </w:p>
  </w:footnote>
  <w:footnote w:id="18">
    <w:p w14:paraId="6AAD0B11" w14:textId="0C359E92" w:rsidR="009C42F3" w:rsidRDefault="009C42F3" w:rsidP="007570A0">
      <w:pPr>
        <w:pStyle w:val="FootnoteText"/>
      </w:pPr>
      <w:r>
        <w:rPr>
          <w:rStyle w:val="FootnoteReference"/>
        </w:rPr>
        <w:footnoteRef/>
      </w:r>
      <w:r>
        <w:t xml:space="preserve"> The ATC guidance requires that ATC service providers: develop, implement and maintain a data governance policy that identifies appropriate procedures for ATC data collection, sharing, privacy, storage, security and disposal; ensure appropriate infrastructure capacity, capability, and compatibility as appropriate to the relevant ICT or client management system, to support ATC data collection and extraction; and apply data management strategies using a team approach, clear workforce roles and responsibilities, adequate resourcing and appropriate skills and training.</w:t>
      </w:r>
    </w:p>
  </w:footnote>
  <w:footnote w:id="19">
    <w:p w14:paraId="292A4487" w14:textId="6339A9CD" w:rsidR="009C42F3" w:rsidRDefault="009C42F3">
      <w:pPr>
        <w:pStyle w:val="FootnoteText"/>
      </w:pPr>
      <w:r>
        <w:rPr>
          <w:rStyle w:val="FootnoteReference"/>
        </w:rPr>
        <w:footnoteRef/>
      </w:r>
      <w:r>
        <w:t xml:space="preserve"> </w:t>
      </w:r>
      <w:r w:rsidRPr="0074234C">
        <w:t>For the ATC model cultural safety is defined as comprising Indigenous leadership and staff; appropriate language and communication; a familiar environment; culturally competent policy, systems and processes; and the acknowledgement of intergenerational trauma, such that clients feel empowered to participate.</w:t>
      </w:r>
    </w:p>
  </w:footnote>
  <w:footnote w:id="20">
    <w:p w14:paraId="0D3D0782" w14:textId="4DA8461B" w:rsidR="009C42F3" w:rsidRDefault="009C42F3">
      <w:pPr>
        <w:pStyle w:val="FootnoteText"/>
      </w:pPr>
      <w:r>
        <w:rPr>
          <w:rStyle w:val="FootnoteReference"/>
        </w:rPr>
        <w:footnoteRef/>
      </w:r>
      <w:r>
        <w:t xml:space="preserve"> ABT Associates (2021) Final Report - Youth Through-care Trial Jan 2020 - June 2021.</w:t>
      </w:r>
    </w:p>
  </w:footnote>
  <w:footnote w:id="21">
    <w:p w14:paraId="410FA6EF" w14:textId="126B32C7" w:rsidR="009C42F3" w:rsidRDefault="009C42F3" w:rsidP="001D06A0">
      <w:pPr>
        <w:pStyle w:val="FootnoteText"/>
      </w:pPr>
      <w:r>
        <w:rPr>
          <w:rStyle w:val="FootnoteReference"/>
        </w:rPr>
        <w:footnoteRef/>
      </w:r>
      <w:r>
        <w:t xml:space="preserve"> Information obtained from YTC Program service agreements and verified by service providers. Provides an FTE count of front-line case worker staff and management or coordinators managing a case-load. The count excludes other management or data administration staff also funded through the program. </w:t>
      </w:r>
    </w:p>
  </w:footnote>
  <w:footnote w:id="22">
    <w:p w14:paraId="7D95E9C9" w14:textId="064591A8" w:rsidR="009C42F3" w:rsidRDefault="009C42F3" w:rsidP="00744571">
      <w:pPr>
        <w:pStyle w:val="FootnoteText"/>
      </w:pPr>
      <w:r>
        <w:rPr>
          <w:rStyle w:val="FootnoteReference"/>
        </w:rPr>
        <w:footnoteRef/>
      </w:r>
      <w:r>
        <w:t xml:space="preserve"> Namely ‘cultural Safety’: cultural competency must be embedded and promoted within all aspects of service delivery; ‘trauma-informed’: practice acknowledges and is informed by experiences of trauma; ‘client-centred’: individualised support and decision-making centred on client needs and risks; gender-appropriate: support acknowledges and is informed by factors relating to gender; ‘connection to country’: connection to culture and family ties.</w:t>
      </w:r>
    </w:p>
  </w:footnote>
  <w:footnote w:id="23">
    <w:p w14:paraId="5859EDAD" w14:textId="21019C89" w:rsidR="009C42F3" w:rsidRDefault="009C42F3" w:rsidP="00031EE7">
      <w:pPr>
        <w:pStyle w:val="FootnoteText"/>
      </w:pPr>
      <w:r>
        <w:rPr>
          <w:rStyle w:val="FootnoteReference"/>
        </w:rPr>
        <w:footnoteRef/>
      </w:r>
      <w:r>
        <w:t xml:space="preserve"> T</w:t>
      </w:r>
      <w:r w:rsidRPr="00031EE7">
        <w:t>o enable empowerment of the client and their family, including cultural competence and connection applicable to the communities in</w:t>
      </w:r>
      <w:r>
        <w:t xml:space="preserve"> </w:t>
      </w:r>
      <w:r w:rsidRPr="00031EE7">
        <w:t>which they work</w:t>
      </w:r>
      <w:r>
        <w:t xml:space="preserve">, and to </w:t>
      </w:r>
      <w:r w:rsidRPr="00031EE7">
        <w:t>work appropriately with the client and their families, and to work collaboratively with external services</w:t>
      </w:r>
      <w:r>
        <w:t xml:space="preserve">, </w:t>
      </w:r>
      <w:r w:rsidRPr="00031EE7">
        <w:t>supporting organisations, community, and the client’s family or peer groups</w:t>
      </w:r>
      <w:r>
        <w:t>.</w:t>
      </w:r>
    </w:p>
  </w:footnote>
  <w:footnote w:id="24">
    <w:p w14:paraId="18238304" w14:textId="77777777" w:rsidR="009C42F3" w:rsidRDefault="009C42F3" w:rsidP="00FE33F5">
      <w:pPr>
        <w:pStyle w:val="FootnoteText"/>
      </w:pPr>
      <w:r>
        <w:rPr>
          <w:rStyle w:val="FootnoteReference"/>
        </w:rPr>
        <w:footnoteRef/>
      </w:r>
      <w:r>
        <w:t xml:space="preserve"> </w:t>
      </w:r>
      <w:r w:rsidRPr="00D15C34">
        <w:t>Tubex, H. (2021) Throughcare for Indigenous Peoples Leaving Prison, Decolonization of Criminology and Justice, 3(1), 82-91</w:t>
      </w:r>
      <w:r>
        <w:t>.</w:t>
      </w:r>
    </w:p>
  </w:footnote>
  <w:footnote w:id="25">
    <w:p w14:paraId="2565F7C9" w14:textId="77777777" w:rsidR="009C42F3" w:rsidRDefault="009C42F3" w:rsidP="00FE33F5">
      <w:pPr>
        <w:pStyle w:val="FootnoteText"/>
      </w:pPr>
      <w:r>
        <w:rPr>
          <w:rStyle w:val="FootnoteReference"/>
        </w:rPr>
        <w:footnoteRef/>
      </w:r>
      <w:r>
        <w:t xml:space="preserve"> </w:t>
      </w:r>
      <w:r w:rsidRPr="00D15C34">
        <w:t>Rynne, J. &amp; Cassematis. P. (2015) Assessing the Prison Experience for Australian First Peoples: A Prospective Research Approach, International Journal for Crime, Justice and Social Democracy 4(1): 96-112</w:t>
      </w:r>
      <w:r>
        <w:t>.</w:t>
      </w:r>
    </w:p>
  </w:footnote>
  <w:footnote w:id="26">
    <w:p w14:paraId="5D9105C2" w14:textId="77777777" w:rsidR="009C42F3" w:rsidRDefault="009C42F3" w:rsidP="00707D68">
      <w:pPr>
        <w:pStyle w:val="FootnoteText"/>
      </w:pPr>
      <w:r>
        <w:rPr>
          <w:rStyle w:val="FootnoteReference"/>
        </w:rPr>
        <w:footnoteRef/>
      </w:r>
      <w:r>
        <w:t xml:space="preserve"> </w:t>
      </w:r>
      <w:r w:rsidRPr="006314D9">
        <w:t>Abbott, P et al. (2017) Do programs for Aboriginal and Torres Strait Islander People Leaving Prison Meet their Health and Social Support Needs? Australian Journal of Rural Health 26(1):6-13</w:t>
      </w:r>
      <w:r>
        <w:t>.</w:t>
      </w:r>
    </w:p>
  </w:footnote>
  <w:footnote w:id="27">
    <w:p w14:paraId="1F96C602" w14:textId="77777777" w:rsidR="009C42F3" w:rsidRDefault="009C42F3" w:rsidP="00707D68">
      <w:pPr>
        <w:pStyle w:val="FootnoteText"/>
      </w:pPr>
      <w:r>
        <w:rPr>
          <w:rStyle w:val="FootnoteReference"/>
        </w:rPr>
        <w:footnoteRef/>
      </w:r>
      <w:r>
        <w:t xml:space="preserve"> </w:t>
      </w:r>
      <w:r w:rsidRPr="00D15C34">
        <w:t>Social Policy Research Centre (2016) Evaluation of Extended Throughcare Pilot Program: Evaluation Plan</w:t>
      </w:r>
      <w:r>
        <w:t>.</w:t>
      </w:r>
    </w:p>
  </w:footnote>
  <w:footnote w:id="28">
    <w:p w14:paraId="2CF42BE0" w14:textId="77777777" w:rsidR="009C42F3" w:rsidRDefault="009C42F3" w:rsidP="00C47C0E">
      <w:pPr>
        <w:pStyle w:val="FootnoteText"/>
      </w:pPr>
      <w:r>
        <w:rPr>
          <w:rStyle w:val="FootnoteReference"/>
        </w:rPr>
        <w:footnoteRef/>
      </w:r>
      <w:r>
        <w:t xml:space="preserve"> </w:t>
      </w:r>
      <w:r w:rsidRPr="006C44A2">
        <w:t>Kendall, S. et al.  (2018) Systematic Review of Qualitative Evaluations of Re-entry Programs Addressing Problematic Drug Use and Mental Health Disorders Amongst People Transitioning from Prison to Communities, Health Justice 6 (4)</w:t>
      </w:r>
      <w:r>
        <w:t>.</w:t>
      </w:r>
    </w:p>
  </w:footnote>
  <w:footnote w:id="29">
    <w:p w14:paraId="52E9FDF8" w14:textId="77777777" w:rsidR="009C42F3" w:rsidRDefault="009C42F3" w:rsidP="00475166">
      <w:pPr>
        <w:pStyle w:val="FootnoteText"/>
      </w:pPr>
      <w:r>
        <w:rPr>
          <w:rStyle w:val="FootnoteReference"/>
        </w:rPr>
        <w:footnoteRef/>
      </w:r>
      <w:r>
        <w:t xml:space="preserve"> </w:t>
      </w:r>
      <w:r w:rsidRPr="008554F4">
        <w:t>PWC (2017) Indigenous Incarceration: Unlock the Facts</w:t>
      </w:r>
      <w:r>
        <w:t>.</w:t>
      </w:r>
    </w:p>
  </w:footnote>
  <w:footnote w:id="30">
    <w:p w14:paraId="47D2F2E1" w14:textId="77777777" w:rsidR="009C42F3" w:rsidRDefault="009C42F3" w:rsidP="00475166">
      <w:pPr>
        <w:pStyle w:val="FootnoteText"/>
      </w:pPr>
      <w:r>
        <w:rPr>
          <w:rStyle w:val="FootnoteReference"/>
        </w:rPr>
        <w:footnoteRef/>
      </w:r>
      <w:r>
        <w:t xml:space="preserve"> </w:t>
      </w:r>
      <w:r w:rsidRPr="006C44A2">
        <w:t>Haswell, M. et al. (2014) Returning Home, Back to Community - Custodial Care Learnings from the Pilot Project Evaluation of Three Sites Around Australia, Muru Marri, School of Public Health and Community Medicine, UNSW Australia, Sydney</w:t>
      </w:r>
      <w:r>
        <w:t>.</w:t>
      </w:r>
    </w:p>
  </w:footnote>
  <w:footnote w:id="31">
    <w:p w14:paraId="19A7BBEC" w14:textId="77777777" w:rsidR="009C42F3" w:rsidRDefault="009C42F3" w:rsidP="005E2198">
      <w:pPr>
        <w:pStyle w:val="FootnoteText"/>
      </w:pPr>
      <w:r>
        <w:rPr>
          <w:rStyle w:val="FootnoteReference"/>
        </w:rPr>
        <w:footnoteRef/>
      </w:r>
      <w:r>
        <w:t xml:space="preserve"> </w:t>
      </w:r>
      <w:r w:rsidRPr="00D15C34">
        <w:t>Tubex, H. (2021) Throughcare for Indigenous Peoples Leaving Prison, Decolonization of Criminology and Justice, 3(1), 82-91</w:t>
      </w:r>
    </w:p>
  </w:footnote>
  <w:footnote w:id="32">
    <w:p w14:paraId="02B62358" w14:textId="65D1781A" w:rsidR="009C42F3" w:rsidRDefault="009C42F3">
      <w:pPr>
        <w:pStyle w:val="FootnoteText"/>
      </w:pPr>
      <w:r>
        <w:rPr>
          <w:rStyle w:val="FootnoteReference"/>
        </w:rPr>
        <w:footnoteRef/>
      </w:r>
      <w:r>
        <w:t xml:space="preserve"> </w:t>
      </w:r>
      <w:r w:rsidRPr="00D15C34">
        <w:t>Tubex, H. (2021) Throughcare for Indigenous Peoples Leaving Prison, Decolonization of Criminology and Justice, 3(1), 82-91</w:t>
      </w:r>
      <w:r>
        <w:t>.</w:t>
      </w:r>
    </w:p>
  </w:footnote>
  <w:footnote w:id="33">
    <w:p w14:paraId="413DA601" w14:textId="77777777" w:rsidR="009C42F3" w:rsidRDefault="009C42F3" w:rsidP="008D7B37">
      <w:pPr>
        <w:pStyle w:val="FootnoteText"/>
      </w:pPr>
      <w:r>
        <w:rPr>
          <w:rStyle w:val="FootnoteReference"/>
        </w:rPr>
        <w:footnoteRef/>
      </w:r>
      <w:r>
        <w:t xml:space="preserve"> </w:t>
      </w:r>
      <w:r w:rsidRPr="00D15C34">
        <w:t>Tubex, H. (2021) Throughcare for Indigenous Peoples Leaving Prison, Decolonization of Criminology and Justice, 3(1), 82-91</w:t>
      </w:r>
      <w:r>
        <w:t>.</w:t>
      </w:r>
    </w:p>
  </w:footnote>
  <w:footnote w:id="34">
    <w:p w14:paraId="09689978" w14:textId="77777777" w:rsidR="009C42F3" w:rsidRDefault="009C42F3" w:rsidP="00D50D89">
      <w:pPr>
        <w:pStyle w:val="FootnoteText"/>
      </w:pPr>
      <w:r>
        <w:rPr>
          <w:rStyle w:val="FootnoteReference"/>
        </w:rPr>
        <w:footnoteRef/>
      </w:r>
      <w:r>
        <w:t xml:space="preserve"> </w:t>
      </w:r>
      <w:r w:rsidRPr="006C44A2">
        <w:t>Pegg, S. (2018) Literature Review: Current Practices in the Reintegration of High Needs Correctional Inmates, Inmate Health &amp; Housing Collective Impact Initiative, John Howard Society of Toronto</w:t>
      </w:r>
      <w:r>
        <w:t>.</w:t>
      </w:r>
    </w:p>
  </w:footnote>
  <w:footnote w:id="35">
    <w:p w14:paraId="45665C75" w14:textId="77777777" w:rsidR="009C42F3" w:rsidRDefault="009C42F3" w:rsidP="00F32DCC">
      <w:pPr>
        <w:pStyle w:val="FootnoteText"/>
      </w:pPr>
      <w:r>
        <w:rPr>
          <w:rStyle w:val="FootnoteReference"/>
        </w:rPr>
        <w:footnoteRef/>
      </w:r>
      <w:r>
        <w:t xml:space="preserve"> </w:t>
      </w:r>
      <w:r w:rsidRPr="00D15C34">
        <w:t>United Nations Office on Drugs and Crime (2018). Introductory Handbook on the Prevention of Recidivism and the Social Reintegration of Offenders, Criminal Justice Handbook Series</w:t>
      </w:r>
      <w:r>
        <w:t>.</w:t>
      </w:r>
    </w:p>
  </w:footnote>
  <w:footnote w:id="36">
    <w:p w14:paraId="431223AE" w14:textId="77777777" w:rsidR="009C42F3" w:rsidRDefault="009C42F3" w:rsidP="0060726E">
      <w:pPr>
        <w:pStyle w:val="FootnoteText"/>
      </w:pPr>
      <w:r>
        <w:rPr>
          <w:rStyle w:val="FootnoteReference"/>
        </w:rPr>
        <w:footnoteRef/>
      </w:r>
      <w:r>
        <w:t xml:space="preserve"> </w:t>
      </w:r>
      <w:r w:rsidRPr="006C44A2">
        <w:t>Queensland Government Statistician’s Office, Queensland Treasury (2021) Wise Practice for Designing and Implementing Criminal Justice Programs for Aboriginal and Torres Strait Islander Peoples, Research Report</w:t>
      </w:r>
      <w:r>
        <w:t>.</w:t>
      </w:r>
    </w:p>
  </w:footnote>
  <w:footnote w:id="37">
    <w:p w14:paraId="6A8F0BB8" w14:textId="77777777" w:rsidR="009C42F3" w:rsidRDefault="009C42F3" w:rsidP="0060726E">
      <w:pPr>
        <w:pStyle w:val="FootnoteText"/>
      </w:pPr>
      <w:r>
        <w:rPr>
          <w:rStyle w:val="FootnoteReference"/>
        </w:rPr>
        <w:footnoteRef/>
      </w:r>
      <w:r>
        <w:t xml:space="preserve"> </w:t>
      </w:r>
      <w:r w:rsidRPr="00D15C34">
        <w:t>Williams, M. (2015) Connective Services: Post-prison Release Support in an Urban Aboriginal Population, A thesis submitted in fulfilment of the requirements for the degree of Doctor of Philosophy, Muru Marri School of Public Health and Community Medicine</w:t>
      </w:r>
      <w:r>
        <w:t>.</w:t>
      </w:r>
    </w:p>
  </w:footnote>
  <w:footnote w:id="38">
    <w:p w14:paraId="6C36573C" w14:textId="77777777" w:rsidR="009C42F3" w:rsidRDefault="009C42F3" w:rsidP="003C2D71">
      <w:pPr>
        <w:pStyle w:val="FootnoteText"/>
      </w:pPr>
      <w:r>
        <w:rPr>
          <w:rStyle w:val="FootnoteReference"/>
        </w:rPr>
        <w:footnoteRef/>
      </w:r>
      <w:r>
        <w:t xml:space="preserve"> </w:t>
      </w:r>
      <w:r w:rsidRPr="00D15C34">
        <w:t>Schlager, M. D. (2018) Through the Looking Glass: Taking Stock of Offender Re-entry, Journal of Contemporary Criminal Justice, 34(1)</w:t>
      </w:r>
      <w:r>
        <w:t>.</w:t>
      </w:r>
    </w:p>
  </w:footnote>
  <w:footnote w:id="39">
    <w:p w14:paraId="6183548E" w14:textId="77777777" w:rsidR="009C42F3" w:rsidRDefault="009C42F3" w:rsidP="00C47C0E">
      <w:pPr>
        <w:pStyle w:val="FootnoteText"/>
      </w:pPr>
      <w:r>
        <w:rPr>
          <w:rStyle w:val="FootnoteReference"/>
        </w:rPr>
        <w:footnoteRef/>
      </w:r>
      <w:r>
        <w:t xml:space="preserve"> </w:t>
      </w:r>
      <w:r w:rsidRPr="006C44A2">
        <w:t>Malloch, M.S., McIvor, G., Schinkel, M.  and Armstrong, S. (2013) The Elements of Effective Through-care - Part 1: International Review, Scottish Government - Community Justice Services, Technical Report, Scottish Centre for Crime and Justice Research, Glasgow</w:t>
      </w:r>
      <w:r>
        <w:t>.</w:t>
      </w:r>
    </w:p>
  </w:footnote>
  <w:footnote w:id="40">
    <w:p w14:paraId="064FBCF5" w14:textId="77777777" w:rsidR="009C42F3" w:rsidRDefault="009C42F3" w:rsidP="00C47C0E">
      <w:pPr>
        <w:pStyle w:val="FootnoteText"/>
      </w:pPr>
      <w:r>
        <w:rPr>
          <w:rStyle w:val="FootnoteReference"/>
        </w:rPr>
        <w:footnoteRef/>
      </w:r>
      <w:r>
        <w:t xml:space="preserve"> </w:t>
      </w:r>
      <w:r w:rsidRPr="00D15C34">
        <w:t>Visher, C. A., Lattimore, P. K., Barrick, K. &amp; Tueller, S. (2017) Evaluating the Long-Term Effects of Prisoner Re-entry Services on Recidivism:</w:t>
      </w:r>
      <w:r>
        <w:t xml:space="preserve"> </w:t>
      </w:r>
      <w:r w:rsidRPr="00D15C34">
        <w:t>What Types of Services Matter? Justice Quarterly, 34:1, 136-165</w:t>
      </w:r>
      <w:r>
        <w:t>.</w:t>
      </w:r>
    </w:p>
  </w:footnote>
  <w:footnote w:id="41">
    <w:p w14:paraId="25B3BF6A" w14:textId="77777777" w:rsidR="009C42F3" w:rsidRDefault="009C42F3" w:rsidP="00D172D3">
      <w:pPr>
        <w:pStyle w:val="FootnoteText"/>
      </w:pPr>
      <w:r>
        <w:rPr>
          <w:rStyle w:val="FootnoteReference"/>
        </w:rPr>
        <w:footnoteRef/>
      </w:r>
      <w:r>
        <w:t xml:space="preserve"> </w:t>
      </w:r>
      <w:r w:rsidRPr="006C44A2">
        <w:t>Cultural Indigenous Research Centre Australia (2013) Evaluation of Indigenous Justice Programs Project B: Offender Support and Reintegration, Final Report</w:t>
      </w:r>
      <w:r>
        <w:t>.</w:t>
      </w:r>
    </w:p>
  </w:footnote>
  <w:footnote w:id="42">
    <w:p w14:paraId="6C4C1900" w14:textId="77777777" w:rsidR="009C42F3" w:rsidRDefault="009C42F3" w:rsidP="00BF75C3">
      <w:pPr>
        <w:pStyle w:val="FootnoteText"/>
      </w:pPr>
      <w:r>
        <w:rPr>
          <w:rStyle w:val="FootnoteReference"/>
        </w:rPr>
        <w:footnoteRef/>
      </w:r>
      <w:r>
        <w:t xml:space="preserve"> </w:t>
      </w:r>
      <w:r w:rsidRPr="006C44A2">
        <w:t>Cultural Indigenous Research Centre Australia (2013) Evaluation of Indigenous Justice Programs Project B: Offender Support and Reintegration, Final Report</w:t>
      </w:r>
      <w:r>
        <w:t>.</w:t>
      </w:r>
    </w:p>
  </w:footnote>
  <w:footnote w:id="43">
    <w:p w14:paraId="3ECD98B9" w14:textId="77777777" w:rsidR="009C42F3" w:rsidRDefault="009C42F3" w:rsidP="00F72E6F">
      <w:pPr>
        <w:pStyle w:val="FootnoteText"/>
      </w:pPr>
      <w:r>
        <w:rPr>
          <w:rStyle w:val="FootnoteReference"/>
        </w:rPr>
        <w:footnoteRef/>
      </w:r>
      <w:r>
        <w:t xml:space="preserve"> </w:t>
      </w:r>
      <w:r w:rsidRPr="006C44A2">
        <w:t>Kendall, S. et al.  (2018) Systematic Review of Qualitative Evaluations of Re-entry Programs Addressing Problematic Drug Use and Mental Health Disorders Amongst People Transitioning from Prison to Communities, Health Justice 6 (4)</w:t>
      </w:r>
      <w:r>
        <w:t>.</w:t>
      </w:r>
    </w:p>
  </w:footnote>
  <w:footnote w:id="44">
    <w:p w14:paraId="31ABFDF2" w14:textId="77777777" w:rsidR="009C42F3" w:rsidRDefault="009C42F3" w:rsidP="0060726E">
      <w:pPr>
        <w:pStyle w:val="FootnoteText"/>
      </w:pPr>
      <w:r>
        <w:rPr>
          <w:rStyle w:val="FootnoteReference"/>
        </w:rPr>
        <w:footnoteRef/>
      </w:r>
      <w:r>
        <w:t xml:space="preserve"> </w:t>
      </w:r>
      <w:r w:rsidRPr="006C44A2">
        <w:t>Pegg, S. (2018) Literature Review: Current Practices in the Reintegration of High Needs Correctional Inmates, Inmate Health &amp; Housing Collective Impact Initiative, John Howard Society of Toront</w:t>
      </w:r>
      <w:r>
        <w:t>o.</w:t>
      </w:r>
    </w:p>
  </w:footnote>
  <w:footnote w:id="45">
    <w:p w14:paraId="1FA422B8" w14:textId="77777777" w:rsidR="009C42F3" w:rsidRDefault="009C42F3" w:rsidP="00C47C0E">
      <w:pPr>
        <w:pStyle w:val="FootnoteText"/>
      </w:pPr>
      <w:r>
        <w:rPr>
          <w:rStyle w:val="FootnoteReference"/>
        </w:rPr>
        <w:footnoteRef/>
      </w:r>
      <w:r>
        <w:t xml:space="preserve"> </w:t>
      </w:r>
      <w:r w:rsidRPr="006C44A2">
        <w:t>Berghuis, M. (2018) Re-entry Programs for Adult Male Offender Recidivism and Reintegration: A Systematic Review and Meta-Analysis, International Journal of Offender Therapy and Comparative Criminology 62(3</w:t>
      </w:r>
      <w:r>
        <w:t>).</w:t>
      </w:r>
    </w:p>
  </w:footnote>
  <w:footnote w:id="46">
    <w:p w14:paraId="4053BF94" w14:textId="77777777" w:rsidR="009C42F3" w:rsidRDefault="009C42F3" w:rsidP="0094153E">
      <w:pPr>
        <w:pStyle w:val="FootnoteText"/>
      </w:pPr>
      <w:r>
        <w:rPr>
          <w:rStyle w:val="FootnoteReference"/>
        </w:rPr>
        <w:footnoteRef/>
      </w:r>
      <w:r>
        <w:t xml:space="preserve"> </w:t>
      </w:r>
      <w:r w:rsidRPr="006C44A2">
        <w:t>PWC (2017). Indigenous Incarceration: Unlock the Facts</w:t>
      </w:r>
      <w:r>
        <w:t>.</w:t>
      </w:r>
    </w:p>
  </w:footnote>
  <w:footnote w:id="47">
    <w:p w14:paraId="743D478C" w14:textId="77777777" w:rsidR="009C42F3" w:rsidRDefault="009C42F3" w:rsidP="00982E13">
      <w:pPr>
        <w:pStyle w:val="FootnoteText"/>
      </w:pPr>
      <w:r>
        <w:rPr>
          <w:rStyle w:val="FootnoteReference"/>
        </w:rPr>
        <w:footnoteRef/>
      </w:r>
      <w:r>
        <w:t xml:space="preserve"> </w:t>
      </w:r>
      <w:r w:rsidRPr="006C44A2">
        <w:t>Office of the Inspector of Custodial Services (2014) Recidivism Rates and the Impact of Treatment Programs</w:t>
      </w:r>
      <w:r>
        <w:t>.</w:t>
      </w:r>
    </w:p>
  </w:footnote>
  <w:footnote w:id="48">
    <w:p w14:paraId="449E8E34" w14:textId="77777777" w:rsidR="009C42F3" w:rsidRDefault="009C42F3" w:rsidP="00982E13">
      <w:pPr>
        <w:pStyle w:val="FootnoteText"/>
      </w:pPr>
      <w:r>
        <w:rPr>
          <w:rStyle w:val="FootnoteReference"/>
        </w:rPr>
        <w:footnoteRef/>
      </w:r>
      <w:r>
        <w:t xml:space="preserve"> </w:t>
      </w:r>
      <w:r w:rsidRPr="006C44A2">
        <w:t>Cultural Indigenous Research Centre Australia (2013) Evaluation of Indigenous Justice Programs Project B: Offender Support and Reintegration, Final Report</w:t>
      </w:r>
      <w:r>
        <w:t>.</w:t>
      </w:r>
    </w:p>
  </w:footnote>
  <w:footnote w:id="49">
    <w:p w14:paraId="142309E1" w14:textId="454D48DC" w:rsidR="009C42F3" w:rsidRDefault="009C42F3">
      <w:pPr>
        <w:pStyle w:val="FootnoteText"/>
      </w:pPr>
      <w:r>
        <w:rPr>
          <w:rStyle w:val="FootnoteReference"/>
        </w:rPr>
        <w:footnoteRef/>
      </w:r>
      <w:r>
        <w:t xml:space="preserve"> </w:t>
      </w:r>
      <w:r w:rsidRPr="006C44A2">
        <w:t>Cultural Indigenous Research Centre Australia (2013) Evaluation of Indigenous Justice Programs Project B: Offender Support and Reintegration, Final Report</w:t>
      </w:r>
      <w:r>
        <w:t>.</w:t>
      </w:r>
    </w:p>
  </w:footnote>
  <w:footnote w:id="50">
    <w:p w14:paraId="09B11FD4" w14:textId="77777777" w:rsidR="009C42F3" w:rsidRDefault="009C42F3" w:rsidP="00753416">
      <w:pPr>
        <w:pStyle w:val="FootnoteText"/>
      </w:pPr>
      <w:r>
        <w:rPr>
          <w:rStyle w:val="FootnoteReference"/>
        </w:rPr>
        <w:footnoteRef/>
      </w:r>
      <w:r>
        <w:t xml:space="preserve"> </w:t>
      </w:r>
      <w:r w:rsidRPr="00D15C34">
        <w:t>Tujague, N, et. al. (2021) Ticking the Box of Cultural Safety is Not Enough: Why Trauma-informed Practice is Critical to Indigenous Healing, Rural and Remote Health Townsville, Vol.21, Issue. 3.</w:t>
      </w:r>
    </w:p>
  </w:footnote>
  <w:footnote w:id="51">
    <w:p w14:paraId="6B1ECD19" w14:textId="77777777" w:rsidR="009C42F3" w:rsidRDefault="009C42F3" w:rsidP="00753416">
      <w:pPr>
        <w:pStyle w:val="FootnoteText"/>
      </w:pPr>
      <w:r>
        <w:rPr>
          <w:rStyle w:val="FootnoteReference"/>
        </w:rPr>
        <w:footnoteRef/>
      </w:r>
      <w:r>
        <w:t xml:space="preserve"> </w:t>
      </w:r>
      <w:r w:rsidRPr="006C44A2">
        <w:t>Queensland Government Statistician’s Office, Queensland Treasury (2021) Wise Practice for Designing and Implementing Criminal Justice Programs for Aboriginal and Torres Strait Islander Peoples, Research Report</w:t>
      </w:r>
      <w:r>
        <w:t>.</w:t>
      </w:r>
    </w:p>
  </w:footnote>
  <w:footnote w:id="52">
    <w:p w14:paraId="4012A150" w14:textId="77777777" w:rsidR="009C42F3" w:rsidRDefault="009C42F3" w:rsidP="00CD46FB">
      <w:pPr>
        <w:pStyle w:val="FootnoteText"/>
      </w:pPr>
      <w:r>
        <w:rPr>
          <w:rStyle w:val="FootnoteReference"/>
        </w:rPr>
        <w:footnoteRef/>
      </w:r>
      <w:r>
        <w:t xml:space="preserve"> </w:t>
      </w:r>
      <w:r w:rsidRPr="006C44A2">
        <w:t>Cultural Indigenous Research Centre Australia (2013) Evaluation of Indigenous Justice Programs Project B: Offender Support and Reintegration, Final Report</w:t>
      </w:r>
      <w:r>
        <w:t>.</w:t>
      </w:r>
    </w:p>
  </w:footnote>
  <w:footnote w:id="53">
    <w:p w14:paraId="03247390" w14:textId="77777777" w:rsidR="009C42F3" w:rsidRDefault="009C42F3" w:rsidP="00CD46FB">
      <w:pPr>
        <w:pStyle w:val="FootnoteText"/>
      </w:pPr>
      <w:r>
        <w:rPr>
          <w:rStyle w:val="FootnoteReference"/>
        </w:rPr>
        <w:footnoteRef/>
      </w:r>
      <w:r>
        <w:t xml:space="preserve"> </w:t>
      </w:r>
      <w:r w:rsidRPr="006314D9">
        <w:t>Bennett, B. and Gates, T. (2022) Decolonization and Trauma-informed Truth-telling about Indigenous Australia in a Social Work Diversity Course, Journal of Ethnic and Cultural Diversity in Social Work</w:t>
      </w:r>
      <w:r>
        <w:t>.</w:t>
      </w:r>
    </w:p>
  </w:footnote>
  <w:footnote w:id="54">
    <w:p w14:paraId="5BC59929" w14:textId="77777777" w:rsidR="009C42F3" w:rsidRDefault="009C42F3" w:rsidP="00B160BD">
      <w:pPr>
        <w:pStyle w:val="FootnoteText"/>
      </w:pPr>
      <w:r>
        <w:rPr>
          <w:rStyle w:val="FootnoteReference"/>
        </w:rPr>
        <w:footnoteRef/>
      </w:r>
      <w:r>
        <w:t xml:space="preserve"> </w:t>
      </w:r>
      <w:r w:rsidRPr="00D15C34">
        <w:t>Williams, M. (2015) Connective Services: Post-prison Release Support in an Urban Aboriginal Population, A thesis submitted in fulfilment of the requirements for the degree of Doctor of Philosophy, Muru Marri School of Public Health and Community Medicine</w:t>
      </w:r>
      <w:r>
        <w:t>.</w:t>
      </w:r>
    </w:p>
  </w:footnote>
  <w:footnote w:id="55">
    <w:p w14:paraId="35153D99" w14:textId="77777777" w:rsidR="009C42F3" w:rsidRDefault="009C42F3" w:rsidP="00E70AA8">
      <w:pPr>
        <w:pStyle w:val="FootnoteText"/>
      </w:pPr>
      <w:r>
        <w:rPr>
          <w:rStyle w:val="FootnoteReference"/>
        </w:rPr>
        <w:footnoteRef/>
      </w:r>
      <w:r>
        <w:t xml:space="preserve"> </w:t>
      </w:r>
      <w:r w:rsidRPr="006C44A2">
        <w:t>Haswell, M. et al. (2014) Returning Home, Back to Community - Custodial Care Learnings from the Pilot Project Evaluation of Three Sites Around Australia, Muru Marri, School of Public Health and Community Medicine, UNSW Australia, Sydney</w:t>
      </w:r>
      <w:r>
        <w:t>.</w:t>
      </w:r>
    </w:p>
  </w:footnote>
  <w:footnote w:id="56">
    <w:p w14:paraId="25C343CB" w14:textId="77777777" w:rsidR="009C42F3" w:rsidRDefault="009C42F3" w:rsidP="00CD46FB">
      <w:pPr>
        <w:pStyle w:val="FootnoteText"/>
      </w:pPr>
      <w:r>
        <w:rPr>
          <w:rStyle w:val="FootnoteReference"/>
        </w:rPr>
        <w:footnoteRef/>
      </w:r>
      <w:r>
        <w:t xml:space="preserve"> </w:t>
      </w:r>
      <w:r w:rsidRPr="00D15C34">
        <w:t>Tubex, H. Rynne, J. and Blagg, H. (2020) Building Effective Throughcare Strategies for Indigenous Offenders in Western Australia and the Northern Territory, Report to the Criminology Research Advisory Council</w:t>
      </w:r>
      <w:r>
        <w:t>.</w:t>
      </w:r>
    </w:p>
  </w:footnote>
  <w:footnote w:id="57">
    <w:p w14:paraId="1093FF5E" w14:textId="77777777" w:rsidR="009C42F3" w:rsidRDefault="009C42F3" w:rsidP="00E70AA8">
      <w:pPr>
        <w:pStyle w:val="FootnoteText"/>
      </w:pPr>
      <w:r>
        <w:rPr>
          <w:rStyle w:val="FootnoteReference"/>
        </w:rPr>
        <w:footnoteRef/>
      </w:r>
      <w:r>
        <w:t xml:space="preserve"> </w:t>
      </w:r>
      <w:r w:rsidRPr="006C44A2">
        <w:t>Day, A., Geia, L. and Tamatea, A. (2019) Towards Effective Throughcare Approaches for Indigenous People Leaving Prison in Australia and New Zealand, Research Brief 25, Indigenous Justice Clearinghouse</w:t>
      </w:r>
      <w:r>
        <w:t>.</w:t>
      </w:r>
    </w:p>
  </w:footnote>
  <w:footnote w:id="58">
    <w:p w14:paraId="4385785D" w14:textId="77777777" w:rsidR="009C42F3" w:rsidRDefault="009C42F3" w:rsidP="004C55CF">
      <w:pPr>
        <w:pStyle w:val="FootnoteText"/>
      </w:pPr>
      <w:r>
        <w:rPr>
          <w:rStyle w:val="FootnoteReference"/>
        </w:rPr>
        <w:footnoteRef/>
      </w:r>
      <w:r>
        <w:t xml:space="preserve"> </w:t>
      </w:r>
      <w:r w:rsidRPr="006C44A2">
        <w:t>Day, A., Geia, L. and Tamatea, A. (2019) Towards Effective Throughcare Approaches for Indigenous People Leaving Prison in Australia and New Zealand, Research Brief 25, Indigenous Justice Clearinghouse</w:t>
      </w:r>
      <w:r>
        <w:t>.</w:t>
      </w:r>
    </w:p>
  </w:footnote>
  <w:footnote w:id="59">
    <w:p w14:paraId="726760A6" w14:textId="77777777" w:rsidR="009C42F3" w:rsidRDefault="009C42F3" w:rsidP="004C55CF">
      <w:pPr>
        <w:pStyle w:val="FootnoteText"/>
      </w:pPr>
      <w:r>
        <w:rPr>
          <w:rStyle w:val="FootnoteReference"/>
        </w:rPr>
        <w:footnoteRef/>
      </w:r>
      <w:r>
        <w:t xml:space="preserve"> </w:t>
      </w:r>
      <w:r w:rsidRPr="006314D9">
        <w:t>Berghuis, M. (2018) Re-entry Programs for Adult Male Offender Recidivism and Reintegration: A Systematic Review and Meta-Analysis, International Journal of Offender Therapy and Comparative Criminology 62(3)</w:t>
      </w:r>
      <w:r>
        <w:t>.</w:t>
      </w:r>
    </w:p>
  </w:footnote>
  <w:footnote w:id="60">
    <w:p w14:paraId="30143981" w14:textId="77777777" w:rsidR="009C42F3" w:rsidRDefault="009C42F3" w:rsidP="0045328A">
      <w:pPr>
        <w:pStyle w:val="FootnoteText"/>
      </w:pPr>
      <w:r>
        <w:rPr>
          <w:rStyle w:val="FootnoteReference"/>
        </w:rPr>
        <w:footnoteRef/>
      </w:r>
      <w:r>
        <w:t xml:space="preserve"> </w:t>
      </w:r>
      <w:r w:rsidRPr="00D15C34">
        <w:t>United Nations Office on Drugs and Crime (2018). Introductory Handbook on the Prevention of Recidivism and the Social Reintegration of Offenders, Criminal Justice Handbook Serie</w:t>
      </w:r>
      <w:r>
        <w:t>s.</w:t>
      </w:r>
    </w:p>
  </w:footnote>
  <w:footnote w:id="61">
    <w:p w14:paraId="626BEAF7" w14:textId="77777777" w:rsidR="009C42F3" w:rsidRDefault="009C42F3" w:rsidP="0045328A">
      <w:pPr>
        <w:pStyle w:val="FootnoteText"/>
      </w:pPr>
      <w:r>
        <w:rPr>
          <w:rStyle w:val="FootnoteReference"/>
        </w:rPr>
        <w:footnoteRef/>
      </w:r>
      <w:r>
        <w:t xml:space="preserve"> </w:t>
      </w:r>
      <w:r w:rsidRPr="006314D9">
        <w:t>Abbott, P et al. (2017) Do programs for Aboriginal and Torres Strait Islander People Leaving Prison Meet their Health and Social Support Needs? Australian Journal of Rural Health 26(1):6-13</w:t>
      </w:r>
      <w:r>
        <w:t>.</w:t>
      </w:r>
    </w:p>
  </w:footnote>
  <w:footnote w:id="62">
    <w:p w14:paraId="0CCC9177" w14:textId="77777777" w:rsidR="009C42F3" w:rsidRDefault="009C42F3" w:rsidP="00092546">
      <w:pPr>
        <w:pStyle w:val="FootnoteText"/>
      </w:pPr>
      <w:r>
        <w:rPr>
          <w:rStyle w:val="FootnoteReference"/>
        </w:rPr>
        <w:footnoteRef/>
      </w:r>
      <w:r>
        <w:t xml:space="preserve"> </w:t>
      </w:r>
      <w:r w:rsidRPr="00D15C34">
        <w:t>United Nations Office on Drugs and Crime (2018). Introductory Handbook on the Prevention of Recidivism and the Social Reintegration of Offenders, Criminal Justice Handbook Series</w:t>
      </w:r>
      <w:r>
        <w:t>.</w:t>
      </w:r>
    </w:p>
  </w:footnote>
  <w:footnote w:id="63">
    <w:p w14:paraId="392018BD" w14:textId="77777777" w:rsidR="009C42F3" w:rsidRDefault="009C42F3" w:rsidP="00AD1940">
      <w:pPr>
        <w:pStyle w:val="FootnoteText"/>
      </w:pPr>
      <w:r>
        <w:rPr>
          <w:rStyle w:val="FootnoteReference"/>
        </w:rPr>
        <w:footnoteRef/>
      </w:r>
      <w:r>
        <w:t xml:space="preserve"> </w:t>
      </w:r>
      <w:r w:rsidRPr="006314D9">
        <w:t>Berghuis, M. (2018) Re-entry Programs for Adult Male Offender Recidivism and Reintegration: A Systematic Review and Meta-Analysis, International Journal of Offender Therapy and Comparative Criminology 62(3)</w:t>
      </w:r>
      <w:r>
        <w:t>.</w:t>
      </w:r>
    </w:p>
  </w:footnote>
  <w:footnote w:id="64">
    <w:p w14:paraId="196AD971" w14:textId="77777777" w:rsidR="009C42F3" w:rsidRDefault="009C42F3" w:rsidP="00BD2168">
      <w:pPr>
        <w:pStyle w:val="FootnoteText"/>
      </w:pPr>
      <w:r>
        <w:rPr>
          <w:rStyle w:val="FootnoteReference"/>
        </w:rPr>
        <w:footnoteRef/>
      </w:r>
      <w:r>
        <w:t xml:space="preserve"> </w:t>
      </w:r>
      <w:r w:rsidRPr="00D15C34">
        <w:t>United Nations Office on Drugs and Crime (2018). Introductory Handbook on the Prevention of Recidivism and the Social Reintegration of Offenders, Criminal Justice Handbook Series</w:t>
      </w:r>
      <w:r>
        <w:t>.</w:t>
      </w:r>
    </w:p>
  </w:footnote>
  <w:footnote w:id="65">
    <w:p w14:paraId="41ECFBD6" w14:textId="3BC08CF7" w:rsidR="009C42F3" w:rsidRDefault="009C42F3" w:rsidP="006951FB">
      <w:pPr>
        <w:pStyle w:val="FootnoteText"/>
      </w:pPr>
      <w:r>
        <w:rPr>
          <w:rStyle w:val="FootnoteReference"/>
        </w:rPr>
        <w:footnoteRef/>
      </w:r>
      <w:r>
        <w:t xml:space="preserve"> Terms of reference for the Evaluation Advisory Group (EAG) include provision of support and guidance regarding the evaluation’s implementation, together with review and feedback to support the development and finalisation of deliverables.</w:t>
      </w:r>
    </w:p>
  </w:footnote>
  <w:footnote w:id="66">
    <w:p w14:paraId="5F545F18" w14:textId="290D6D32" w:rsidR="009C42F3" w:rsidRDefault="009C42F3" w:rsidP="00F7298B">
      <w:pPr>
        <w:pStyle w:val="FootnoteText"/>
      </w:pPr>
      <w:r>
        <w:rPr>
          <w:rStyle w:val="FootnoteReference"/>
        </w:rPr>
        <w:footnoteRef/>
      </w:r>
      <w:r>
        <w:t xml:space="preserve"> The Indigenous Advancement Strategy (IAS) Evaluation Framework is a guide for evaluation of programs and activities under the IA), delivered by NIAA. The Evaluation Framework is intended to align with the wider role of the Productivity Commission in overseeing the development and implementation of a whole of government evaluation strategy of policies and programs affecting Indigenous Australians. The Evaluation Framework outlines standards to guide a consistent approach to all NIAA evaluation activity. These standards include a set of core values and best practice principles, including ethical review. Ethics review must be sought from a National Health and Medical Research Council registered Human Research Ethics Committee (HREC) with experience reviewing Aboriginal and Torres Strait Islander research. The Indigenous Evaluation Committee (IEC) is a key part of the Evaluation Framework. Through the provision of independent strategic and technical advice, the Committee supports the improvement of evaluation practices of NIAA in line with the Framework’s principles of relevance, credibility, robustness and appropriateness.</w:t>
      </w:r>
    </w:p>
  </w:footnote>
  <w:footnote w:id="67">
    <w:p w14:paraId="15E1925D" w14:textId="300D5B74" w:rsidR="009C42F3" w:rsidRDefault="009C42F3" w:rsidP="00E264F8">
      <w:pPr>
        <w:pStyle w:val="FootnoteText"/>
      </w:pPr>
      <w:r>
        <w:rPr>
          <w:rStyle w:val="FootnoteReference"/>
        </w:rPr>
        <w:footnoteRef/>
      </w:r>
      <w:r>
        <w:t xml:space="preserve"> Noting four service delivery sites have no contact with Correctional Services staff locally. T</w:t>
      </w:r>
      <w:r w:rsidRPr="00E264F8">
        <w:t xml:space="preserve">hree primary contacts </w:t>
      </w:r>
      <w:r>
        <w:t xml:space="preserve">were requested for each service delivery </w:t>
      </w:r>
      <w:r w:rsidRPr="00E264F8">
        <w:t xml:space="preserve">site, plus up to three </w:t>
      </w:r>
      <w:r>
        <w:t xml:space="preserve">substitute or reserve </w:t>
      </w:r>
      <w:r w:rsidRPr="00E264F8">
        <w:t>contacts</w:t>
      </w:r>
      <w:r>
        <w:t>.</w:t>
      </w:r>
    </w:p>
  </w:footnote>
  <w:footnote w:id="68">
    <w:p w14:paraId="6A6F4D0D" w14:textId="31592F62" w:rsidR="009C42F3" w:rsidRDefault="009C42F3">
      <w:pPr>
        <w:pStyle w:val="FootnoteText"/>
      </w:pPr>
      <w:r>
        <w:rPr>
          <w:rStyle w:val="FootnoteReference"/>
        </w:rPr>
        <w:footnoteRef/>
      </w:r>
      <w:r>
        <w:t xml:space="preserve"> Some Corrections staff expressed privately that despite confidentiality and privacy provisions they remained uncomfortable discussing the performance of through-care services and for historical reasons – including recent media attention - are wary of participating in interviews. </w:t>
      </w:r>
    </w:p>
  </w:footnote>
  <w:footnote w:id="69">
    <w:p w14:paraId="35BDE381" w14:textId="62C17224" w:rsidR="009C42F3" w:rsidRDefault="009C42F3">
      <w:pPr>
        <w:pStyle w:val="FootnoteText"/>
      </w:pPr>
      <w:r>
        <w:rPr>
          <w:rStyle w:val="FootnoteReference"/>
        </w:rPr>
        <w:footnoteRef/>
      </w:r>
      <w:r>
        <w:t xml:space="preserve"> </w:t>
      </w:r>
      <w:r w:rsidRPr="00B02752">
        <w:t>This typically included use of a private room for face-to-face meetings either at the service or in other private settings locally. Several interviews were also conducted by telephone, typically in circumstances where the client-participant did not reside in the same location as the service base, or else commitments prevented the client-participant from attending the interview at a date when Keogh Bay researchers were present. Flexibility and responsiveness were required of Keogh Bay researchers throughout this process.</w:t>
      </w:r>
      <w:r>
        <w:t xml:space="preserve"> </w:t>
      </w:r>
      <w:r w:rsidRPr="00237241">
        <w:t>Sessions were held in culturally safe, accessible, and welcoming settings with refreshments and $50 dollar voucher payments per participant.</w:t>
      </w:r>
      <w:r w:rsidRPr="00B02752">
        <w:t xml:space="preserve">  </w:t>
      </w:r>
    </w:p>
  </w:footnote>
  <w:footnote w:id="70">
    <w:p w14:paraId="72F4DF90" w14:textId="77777777" w:rsidR="009C42F3" w:rsidRDefault="009C42F3" w:rsidP="00164CAB">
      <w:pPr>
        <w:pStyle w:val="FootnoteText"/>
      </w:pPr>
      <w:r>
        <w:rPr>
          <w:rStyle w:val="FootnoteReference"/>
        </w:rPr>
        <w:footnoteRef/>
      </w:r>
      <w:r>
        <w:t xml:space="preserve"> The participation of client-participants in this evaluation has inevitably tended towards the selection of clients who have positively engaged with the service, since those who have exited the program without achieving their goals are typically disengaged from their case worker and lack up-to-date contact details. </w:t>
      </w:r>
    </w:p>
  </w:footnote>
  <w:footnote w:id="71">
    <w:p w14:paraId="37317A85" w14:textId="77777777" w:rsidR="009C42F3" w:rsidRDefault="009C42F3" w:rsidP="00164CAB">
      <w:pPr>
        <w:pStyle w:val="FootnoteText"/>
      </w:pPr>
      <w:r>
        <w:rPr>
          <w:rStyle w:val="FootnoteReference"/>
        </w:rPr>
        <w:footnoteRef/>
      </w:r>
      <w:r>
        <w:t xml:space="preserve"> A requirement of the Ethics Approval was that </w:t>
      </w:r>
      <w:r w:rsidRPr="00457DFD">
        <w:t>youth participants aged less than 18 years must have a parent or guardian in attendance.</w:t>
      </w:r>
    </w:p>
  </w:footnote>
  <w:footnote w:id="72">
    <w:p w14:paraId="003606AE" w14:textId="17EEA400" w:rsidR="009C42F3" w:rsidRDefault="009C42F3" w:rsidP="00164CAB">
      <w:pPr>
        <w:pStyle w:val="FootnoteText"/>
      </w:pPr>
      <w:r>
        <w:rPr>
          <w:rStyle w:val="FootnoteReference"/>
        </w:rPr>
        <w:footnoteRef/>
      </w:r>
      <w:r>
        <w:t xml:space="preserve"> No youth clients or family members were consulted at one YTC through-care service, despite repeated attempts by staff and Keogh Bay to contact individuals. While engagement with youth in this context is inherently challenging the situation in this instance was compounded by the high proportion of youth clients who are also in statutory care or may be estranged from immediate family members and for whom consent to participate could not be provided.  </w:t>
      </w:r>
    </w:p>
  </w:footnote>
  <w:footnote w:id="73">
    <w:p w14:paraId="02CE9558" w14:textId="77777777" w:rsidR="009C42F3" w:rsidRDefault="009C42F3" w:rsidP="00237C6E">
      <w:pPr>
        <w:pStyle w:val="FootnoteText"/>
      </w:pPr>
      <w:r>
        <w:rPr>
          <w:rStyle w:val="FootnoteReference"/>
        </w:rPr>
        <w:footnoteRef/>
      </w:r>
      <w:r>
        <w:t xml:space="preserve"> The ‘live’ survey can be accessed at https://www.surveymonkey.com/r/7H63R8W</w:t>
      </w:r>
    </w:p>
  </w:footnote>
  <w:footnote w:id="74">
    <w:p w14:paraId="11D9AE97" w14:textId="1BBEAD9A" w:rsidR="009C42F3" w:rsidRDefault="009C42F3" w:rsidP="00164CAB">
      <w:pPr>
        <w:pStyle w:val="FootnoteText"/>
      </w:pPr>
      <w:r>
        <w:rPr>
          <w:rStyle w:val="FootnoteReference"/>
        </w:rPr>
        <w:footnoteRef/>
      </w:r>
      <w:r>
        <w:t xml:space="preserve"> </w:t>
      </w:r>
      <w:r w:rsidRPr="00237C6E">
        <w:t>This count excludes approximately 30 email addresses which bounced and for which no substitute email was obtainable</w:t>
      </w:r>
      <w:r>
        <w:t xml:space="preserve">. A recipient may have left an organisation for example and not provided a forwarding or alternative email. </w:t>
      </w:r>
    </w:p>
  </w:footnote>
  <w:footnote w:id="75">
    <w:p w14:paraId="7E67CEDF" w14:textId="5289BD9E" w:rsidR="009C42F3" w:rsidRDefault="009C42F3">
      <w:pPr>
        <w:pStyle w:val="FootnoteText"/>
      </w:pPr>
      <w:r>
        <w:rPr>
          <w:rStyle w:val="FootnoteReference"/>
        </w:rPr>
        <w:footnoteRef/>
      </w:r>
      <w:r>
        <w:t xml:space="preserve"> </w:t>
      </w:r>
      <w:r w:rsidRPr="00FC5AD2">
        <w:t>Responses were received from partners linked to all services except</w:t>
      </w:r>
      <w:r>
        <w:t xml:space="preserve"> two</w:t>
      </w:r>
      <w:r w:rsidRPr="00FC5AD2">
        <w:t>.</w:t>
      </w:r>
    </w:p>
  </w:footnote>
  <w:footnote w:id="76">
    <w:p w14:paraId="4ED8041C" w14:textId="77777777" w:rsidR="009C42F3" w:rsidRDefault="009C42F3" w:rsidP="00DC621F">
      <w:pPr>
        <w:pStyle w:val="FootnoteText"/>
      </w:pPr>
      <w:r>
        <w:rPr>
          <w:rStyle w:val="FootnoteReference"/>
        </w:rPr>
        <w:footnoteRef/>
      </w:r>
      <w:r>
        <w:t xml:space="preserve"> While this distribution can be attributed to the larger footprint of these services, it should also be noted that more comprehensive partner lists were provided by these services, relative to other services whose administrative capacity may be less.  </w:t>
      </w:r>
    </w:p>
  </w:footnote>
  <w:footnote w:id="77">
    <w:p w14:paraId="1283FC1C" w14:textId="392B4730" w:rsidR="009C42F3" w:rsidRDefault="009C42F3" w:rsidP="00456158">
      <w:pPr>
        <w:pStyle w:val="FootnoteText"/>
      </w:pPr>
      <w:r>
        <w:rPr>
          <w:rStyle w:val="FootnoteReference"/>
        </w:rPr>
        <w:footnoteRef/>
      </w:r>
      <w:r>
        <w:t xml:space="preserve"> Microsoft Excel was used for undertaking analyses and presenting the results of any statistical data analysis in charts and tables.</w:t>
      </w:r>
    </w:p>
  </w:footnote>
  <w:footnote w:id="78">
    <w:p w14:paraId="01983942" w14:textId="656D9276" w:rsidR="009C42F3" w:rsidRDefault="009C42F3">
      <w:pPr>
        <w:pStyle w:val="FootnoteText"/>
      </w:pPr>
      <w:r>
        <w:rPr>
          <w:rStyle w:val="FootnoteReference"/>
        </w:rPr>
        <w:footnoteRef/>
      </w:r>
      <w:r>
        <w:t xml:space="preserve"> F</w:t>
      </w:r>
      <w:r w:rsidRPr="00456158">
        <w:t>or example, different interpretations of the definition of a new client as either a new individual or an existing individual either returning following a period of detention or else being re-entered onto a case</w:t>
      </w:r>
      <w:r>
        <w:t>-</w:t>
      </w:r>
      <w:r w:rsidRPr="00456158">
        <w:t>load after exceeding the eligible period; or differing definitions and interpretations of how to score client progress against pre-release and post-release assessments of criminogenic risk factors.</w:t>
      </w:r>
    </w:p>
  </w:footnote>
  <w:footnote w:id="79">
    <w:p w14:paraId="5816936C" w14:textId="77777777" w:rsidR="009C42F3" w:rsidRDefault="009C42F3" w:rsidP="00296FAD">
      <w:pPr>
        <w:pStyle w:val="FootnoteText"/>
      </w:pPr>
      <w:r>
        <w:rPr>
          <w:rStyle w:val="FootnoteReference"/>
        </w:rPr>
        <w:footnoteRef/>
      </w:r>
      <w:r>
        <w:t xml:space="preserve"> Specifically: ATSILS – July 2021 to December 2022; NAAJA – July 2019 to December 2022; VACCA – January 2022 to December 2022</w:t>
      </w:r>
    </w:p>
  </w:footnote>
  <w:footnote w:id="80">
    <w:p w14:paraId="1AD552FF" w14:textId="77777777" w:rsidR="009C42F3" w:rsidRDefault="009C42F3" w:rsidP="006330EC">
      <w:pPr>
        <w:pStyle w:val="FootnoteText"/>
      </w:pPr>
      <w:r>
        <w:rPr>
          <w:rStyle w:val="FootnoteReference"/>
        </w:rPr>
        <w:footnoteRef/>
      </w:r>
      <w:r>
        <w:t xml:space="preserve"> Both services appear strongly embedded in their respective youth through-care service models, self-reporting as preferred youth service providers or youth justice and corrections referrals from the Baxter and Banksia youth detention centres respectively.</w:t>
      </w:r>
    </w:p>
  </w:footnote>
  <w:footnote w:id="81">
    <w:p w14:paraId="6E6C0351" w14:textId="15A090A9" w:rsidR="009C42F3" w:rsidRDefault="009C42F3">
      <w:pPr>
        <w:pStyle w:val="FootnoteText"/>
      </w:pPr>
      <w:r>
        <w:rPr>
          <w:rStyle w:val="FootnoteReference"/>
        </w:rPr>
        <w:footnoteRef/>
      </w:r>
      <w:r>
        <w:t xml:space="preserve"> See for example Western Australia’s ‘</w:t>
      </w:r>
      <w:r w:rsidRPr="00A06E96">
        <w:t>Aboriginal Community Controlled Organisation Strategy 2022-2032</w:t>
      </w:r>
      <w:r>
        <w:t>’.</w:t>
      </w:r>
    </w:p>
  </w:footnote>
  <w:footnote w:id="82">
    <w:p w14:paraId="0A37C0CD" w14:textId="3B3DFC48" w:rsidR="009C42F3" w:rsidRDefault="009C42F3">
      <w:pPr>
        <w:pStyle w:val="FootnoteText"/>
      </w:pPr>
      <w:r>
        <w:rPr>
          <w:rStyle w:val="FootnoteReference"/>
        </w:rPr>
        <w:footnoteRef/>
      </w:r>
      <w:r>
        <w:t xml:space="preserve"> Also noting that this model relies on services such as Medicare, Centrelink, and the banks, coming into prisons to enable access to these services.</w:t>
      </w:r>
    </w:p>
  </w:footnote>
  <w:footnote w:id="83">
    <w:p w14:paraId="4DE6928F" w14:textId="21379541" w:rsidR="009C42F3" w:rsidRDefault="009C42F3">
      <w:pPr>
        <w:pStyle w:val="FootnoteText"/>
      </w:pPr>
      <w:r>
        <w:rPr>
          <w:rStyle w:val="FootnoteReference"/>
        </w:rPr>
        <w:footnoteRef/>
      </w:r>
      <w:r>
        <w:t xml:space="preserve"> Services mentioned included Mission Australia, Women of Worth, and Reset.</w:t>
      </w:r>
    </w:p>
  </w:footnote>
  <w:footnote w:id="84">
    <w:p w14:paraId="6783C084" w14:textId="78E3FBC1" w:rsidR="009C42F3" w:rsidRDefault="009C42F3">
      <w:pPr>
        <w:pStyle w:val="FootnoteText"/>
      </w:pPr>
      <w:r>
        <w:rPr>
          <w:rStyle w:val="FootnoteReference"/>
        </w:rPr>
        <w:footnoteRef/>
      </w:r>
      <w:r>
        <w:t xml:space="preserve"> For example, Gudjagang Ngara Li-dhi</w:t>
      </w:r>
    </w:p>
  </w:footnote>
  <w:footnote w:id="85">
    <w:p w14:paraId="078E11B4" w14:textId="72179592" w:rsidR="009C42F3" w:rsidRDefault="009C42F3">
      <w:pPr>
        <w:pStyle w:val="FootnoteText"/>
      </w:pPr>
      <w:r>
        <w:rPr>
          <w:rStyle w:val="FootnoteReference"/>
        </w:rPr>
        <w:footnoteRef/>
      </w:r>
      <w:r>
        <w:t xml:space="preserve"> In the case of at least one through-care service funds available for brokerage are sourced not from program funds but from untied funds within the organisation. The fact that brokerage monies are not allocated from program funds may in part explain the administration involved in managing this pool.</w:t>
      </w:r>
    </w:p>
  </w:footnote>
  <w:footnote w:id="86">
    <w:p w14:paraId="76EC6DBF" w14:textId="77777777" w:rsidR="009C42F3" w:rsidRDefault="009C42F3" w:rsidP="00C243F1">
      <w:pPr>
        <w:pStyle w:val="FootnoteText"/>
      </w:pPr>
      <w:r>
        <w:rPr>
          <w:rStyle w:val="FootnoteReference"/>
        </w:rPr>
        <w:footnoteRef/>
      </w:r>
      <w:r>
        <w:t xml:space="preserve"> Most service providers will not onboard prisoners on remand, although NAAJA will do so for older YTC clients (noting YTC clients aged less that 1</w:t>
      </w:r>
      <w:r w:rsidRPr="00FD5EE9">
        <w:t xml:space="preserve">4 years </w:t>
      </w:r>
      <w:r>
        <w:t xml:space="preserve">tend not to be placed on </w:t>
      </w:r>
      <w:r w:rsidRPr="00FD5EE9">
        <w:t xml:space="preserve">remand </w:t>
      </w:r>
      <w:r>
        <w:t>by the courts)</w:t>
      </w:r>
      <w:r w:rsidRPr="00FD5EE9">
        <w:t>.</w:t>
      </w:r>
    </w:p>
  </w:footnote>
  <w:footnote w:id="87">
    <w:p w14:paraId="25ACB986" w14:textId="750B65D5" w:rsidR="009C42F3" w:rsidRDefault="009C42F3">
      <w:pPr>
        <w:pStyle w:val="FootnoteText"/>
      </w:pPr>
      <w:r>
        <w:rPr>
          <w:rStyle w:val="FootnoteReference"/>
        </w:rPr>
        <w:footnoteRef/>
      </w:r>
      <w:r>
        <w:t xml:space="preserve"> Indeed the majority of youth clients at VACCA were youth referred on remand.</w:t>
      </w:r>
    </w:p>
  </w:footnote>
  <w:footnote w:id="88">
    <w:p w14:paraId="06949115" w14:textId="206DC545" w:rsidR="009C42F3" w:rsidRDefault="009C42F3">
      <w:pPr>
        <w:pStyle w:val="FootnoteText"/>
      </w:pPr>
      <w:r>
        <w:rPr>
          <w:rStyle w:val="FootnoteReference"/>
        </w:rPr>
        <w:footnoteRef/>
      </w:r>
      <w:r>
        <w:t xml:space="preserve"> Pay levels for case workers vary by level of experience but typically average $65,000, or the equivalent of the lower salary band for an APS level 3.</w:t>
      </w:r>
    </w:p>
  </w:footnote>
  <w:footnote w:id="89">
    <w:p w14:paraId="4BFD9E91" w14:textId="458AF309" w:rsidR="009C42F3" w:rsidRDefault="009C42F3" w:rsidP="00700AAF">
      <w:pPr>
        <w:pStyle w:val="FootnoteText"/>
      </w:pPr>
      <w:r>
        <w:rPr>
          <w:rStyle w:val="FootnoteReference"/>
        </w:rPr>
        <w:footnoteRef/>
      </w:r>
      <w:r>
        <w:t xml:space="preserve"> In some instances, data is also maintained regarding the number of prospective clients who apply but are deemed ineligible, however, since individuals were deemed ineligible, this does not appropriately reflect true service demand.   </w:t>
      </w:r>
    </w:p>
  </w:footnote>
  <w:footnote w:id="90">
    <w:p w14:paraId="4FCD65DE" w14:textId="753C55A1" w:rsidR="009C42F3" w:rsidRDefault="009C42F3" w:rsidP="001C4A59">
      <w:pPr>
        <w:pStyle w:val="FootnoteText"/>
      </w:pPr>
      <w:r>
        <w:rPr>
          <w:rStyle w:val="FootnoteReference"/>
        </w:rPr>
        <w:footnoteRef/>
      </w:r>
      <w:r>
        <w:t xml:space="preserve"> ABS, Corrective Services, Australia, March Quarter 2023.</w:t>
      </w:r>
    </w:p>
  </w:footnote>
  <w:footnote w:id="91">
    <w:p w14:paraId="1A84D1C3" w14:textId="77777777" w:rsidR="009C42F3" w:rsidRDefault="009C42F3" w:rsidP="002A7494">
      <w:pPr>
        <w:pStyle w:val="FootnoteText"/>
      </w:pPr>
      <w:r>
        <w:rPr>
          <w:rStyle w:val="FootnoteReference"/>
        </w:rPr>
        <w:footnoteRef/>
      </w:r>
      <w:r>
        <w:t xml:space="preserve"> </w:t>
      </w:r>
      <w:r w:rsidRPr="0077533B">
        <w:t>Eight of the reporting periods were quarterly, instead of six monthly</w:t>
      </w:r>
      <w:r>
        <w:t>.</w:t>
      </w:r>
    </w:p>
  </w:footnote>
  <w:footnote w:id="92">
    <w:p w14:paraId="746FE8AC" w14:textId="77777777" w:rsidR="009C42F3" w:rsidRDefault="009C42F3" w:rsidP="002A7494">
      <w:pPr>
        <w:pStyle w:val="FootnoteText"/>
      </w:pPr>
      <w:r>
        <w:rPr>
          <w:rStyle w:val="FootnoteReference"/>
        </w:rPr>
        <w:footnoteRef/>
      </w:r>
      <w:r>
        <w:t xml:space="preserve"> </w:t>
      </w:r>
      <w:r w:rsidRPr="0077533B">
        <w:t>Two reporting periods were quarterly, instead of six monthly</w:t>
      </w:r>
      <w:r>
        <w:t>.</w:t>
      </w:r>
    </w:p>
  </w:footnote>
  <w:footnote w:id="93">
    <w:p w14:paraId="043E0F97" w14:textId="77777777" w:rsidR="009C42F3" w:rsidRDefault="009C42F3" w:rsidP="002A7494">
      <w:pPr>
        <w:pStyle w:val="FootnoteText"/>
      </w:pPr>
      <w:r>
        <w:rPr>
          <w:rStyle w:val="FootnoteReference"/>
        </w:rPr>
        <w:footnoteRef/>
      </w:r>
      <w:r>
        <w:t xml:space="preserve"> </w:t>
      </w:r>
      <w:r w:rsidRPr="0077533B">
        <w:t>Two reporting periods were quarterly, instead of six monthly</w:t>
      </w:r>
      <w:r>
        <w:t>.</w:t>
      </w:r>
    </w:p>
  </w:footnote>
  <w:footnote w:id="94">
    <w:p w14:paraId="0CC18B94" w14:textId="77777777" w:rsidR="009C42F3" w:rsidRDefault="009C42F3" w:rsidP="00852AC9">
      <w:pPr>
        <w:pStyle w:val="FootnoteText"/>
      </w:pPr>
      <w:r>
        <w:rPr>
          <w:rStyle w:val="FootnoteReference"/>
        </w:rPr>
        <w:footnoteRef/>
      </w:r>
      <w:r>
        <w:t xml:space="preserve"> </w:t>
      </w:r>
      <w:r>
        <w:rPr>
          <w:i/>
          <w:iCs/>
        </w:rPr>
        <w:t>YTC Data Reports</w:t>
      </w:r>
      <w:r>
        <w:t xml:space="preserve">. 1 July 2019 to 31 December 2022. </w:t>
      </w:r>
      <w:r w:rsidRPr="00301087">
        <w:t xml:space="preserve">Please note that ATSILS and VACCA did not report data for all this three-and-a-half-year period. </w:t>
      </w:r>
    </w:p>
  </w:footnote>
  <w:footnote w:id="95">
    <w:p w14:paraId="43CECCBC" w14:textId="77777777" w:rsidR="009C42F3" w:rsidRDefault="009C42F3" w:rsidP="00852AC9">
      <w:pPr>
        <w:pStyle w:val="FootnoteText"/>
      </w:pPr>
      <w:r>
        <w:rPr>
          <w:rStyle w:val="FootnoteReference"/>
        </w:rPr>
        <w:footnoteRef/>
      </w:r>
      <w:r>
        <w:t xml:space="preserve"> In some instances, the number of r</w:t>
      </w:r>
      <w:r w:rsidRPr="00BC60FA">
        <w:t xml:space="preserve">eturning and new clients added to be greater that the </w:t>
      </w:r>
      <w:r>
        <w:t xml:space="preserve">total </w:t>
      </w:r>
      <w:r w:rsidRPr="00BC60FA">
        <w:t>number of</w:t>
      </w:r>
      <w:r>
        <w:t xml:space="preserve"> </w:t>
      </w:r>
      <w:r w:rsidRPr="00BC60FA">
        <w:t>active clients. The</w:t>
      </w:r>
      <w:r>
        <w:t xml:space="preserve"> counting rules of service providers vary</w:t>
      </w:r>
      <w:r w:rsidRPr="00BC60FA">
        <w:t>,</w:t>
      </w:r>
      <w:r>
        <w:t xml:space="preserve"> while missing reports and inconsistent reporting periods limit </w:t>
      </w:r>
      <w:r w:rsidRPr="00BC60FA">
        <w:t>comparability</w:t>
      </w:r>
      <w:r>
        <w:t>.</w:t>
      </w:r>
    </w:p>
  </w:footnote>
  <w:footnote w:id="96">
    <w:p w14:paraId="219A45B8" w14:textId="77777777" w:rsidR="009C42F3" w:rsidRDefault="009C42F3" w:rsidP="00A322A0">
      <w:pPr>
        <w:pStyle w:val="FootnoteText"/>
      </w:pPr>
      <w:r>
        <w:rPr>
          <w:rStyle w:val="FootnoteReference"/>
        </w:rPr>
        <w:footnoteRef/>
      </w:r>
      <w:r>
        <w:t xml:space="preserve"> Five Bridges had missing reports in this period, and this may have impacted the client numbers presented.</w:t>
      </w:r>
    </w:p>
  </w:footnote>
  <w:footnote w:id="97">
    <w:p w14:paraId="36717511" w14:textId="77777777" w:rsidR="009C42F3" w:rsidRDefault="009C42F3" w:rsidP="00A322A0">
      <w:pPr>
        <w:pStyle w:val="FootnoteText"/>
      </w:pPr>
      <w:r>
        <w:rPr>
          <w:rStyle w:val="FootnoteReference"/>
        </w:rPr>
        <w:footnoteRef/>
      </w:r>
      <w:r>
        <w:t xml:space="preserve"> </w:t>
      </w:r>
      <w:r w:rsidRPr="003859AD">
        <w:t xml:space="preserve">Based on notes in Nulsen’s reports, the organisation may treat referred clients </w:t>
      </w:r>
      <w:r>
        <w:t xml:space="preserve">that have been accepted, </w:t>
      </w:r>
      <w:r w:rsidRPr="003859AD">
        <w:t xml:space="preserve">but not yet active, </w:t>
      </w:r>
      <w:r>
        <w:t xml:space="preserve">as active clients.  </w:t>
      </w:r>
      <w:r w:rsidRPr="003859AD">
        <w:t>Therefore the ‘new client’ data should be treated with caution.</w:t>
      </w:r>
    </w:p>
  </w:footnote>
  <w:footnote w:id="98">
    <w:p w14:paraId="39A4E31F" w14:textId="77777777" w:rsidR="009C42F3" w:rsidRDefault="009C42F3" w:rsidP="00A322A0">
      <w:pPr>
        <w:pStyle w:val="FootnoteText"/>
      </w:pPr>
      <w:r>
        <w:rPr>
          <w:rStyle w:val="FootnoteReference"/>
        </w:rPr>
        <w:footnoteRef/>
      </w:r>
      <w:r>
        <w:t xml:space="preserve"> RYSS had missing reports in this period, and this may have impacted the client numbers presented.</w:t>
      </w:r>
    </w:p>
  </w:footnote>
  <w:footnote w:id="99">
    <w:p w14:paraId="3334913F" w14:textId="2622410D" w:rsidR="009C42F3" w:rsidRDefault="009C42F3">
      <w:pPr>
        <w:pStyle w:val="FootnoteText"/>
      </w:pPr>
      <w:r>
        <w:rPr>
          <w:rStyle w:val="FootnoteReference"/>
        </w:rPr>
        <w:footnoteRef/>
      </w:r>
      <w:r>
        <w:t xml:space="preserve"> The absence of clear data definitions in through-care reporting means there is no accepted definition of ‘Client Ineligible’. Based on discussions with service managers it can include a range of criteria, including the client’s age, severity of offence, or pre- or post-release status.  </w:t>
      </w:r>
    </w:p>
  </w:footnote>
  <w:footnote w:id="100">
    <w:p w14:paraId="0139941B" w14:textId="77777777" w:rsidR="009C42F3" w:rsidRDefault="009C42F3" w:rsidP="00B6383C">
      <w:pPr>
        <w:pStyle w:val="FootnoteText"/>
      </w:pPr>
      <w:r>
        <w:rPr>
          <w:rStyle w:val="FootnoteReference"/>
        </w:rPr>
        <w:footnoteRef/>
      </w:r>
      <w:r>
        <w:t xml:space="preserve"> </w:t>
      </w:r>
      <w:r w:rsidRPr="005E078F">
        <w:t>As noted in the method section of this report</w:t>
      </w:r>
      <w:r>
        <w:t xml:space="preserve"> </w:t>
      </w:r>
      <w:r w:rsidRPr="005E078F">
        <w:t>the identification of clients for interview as part of this evaluation was self-selecting in that former clients dissatisfied with the service are likely to be disengaged, uncontactable or have returned to detention.</w:t>
      </w:r>
    </w:p>
  </w:footnote>
  <w:footnote w:id="101">
    <w:p w14:paraId="4908D1B7" w14:textId="77777777" w:rsidR="009C42F3" w:rsidRDefault="009C42F3" w:rsidP="00405FC5">
      <w:pPr>
        <w:pStyle w:val="FootnoteText"/>
      </w:pPr>
      <w:r>
        <w:rPr>
          <w:rStyle w:val="FootnoteReference"/>
        </w:rPr>
        <w:footnoteRef/>
      </w:r>
      <w:r>
        <w:t xml:space="preserve"> See </w:t>
      </w:r>
      <w:r w:rsidRPr="00A90CD8">
        <w:t>United Nations Office on Drugs and Crime (2018). Introductory Handbook on the Prevention of Recidivism and the Social Reintegration of Offenders, Criminal Justice Handbook Series https://www.unodc.org/documents/justice-and-prison-reform/18-02303_ebook.pdf</w:t>
      </w:r>
    </w:p>
  </w:footnote>
  <w:footnote w:id="102">
    <w:p w14:paraId="72623CFC" w14:textId="77777777" w:rsidR="009C42F3" w:rsidRDefault="009C42F3" w:rsidP="00405FC5">
      <w:pPr>
        <w:pStyle w:val="FootnoteText"/>
      </w:pPr>
      <w:r>
        <w:rPr>
          <w:rStyle w:val="FootnoteReference"/>
        </w:rPr>
        <w:footnoteRef/>
      </w:r>
      <w:r>
        <w:t xml:space="preserve"> It is also of concern for the integrity of the data that providers offering accommodation as part of their service model do not report 100 percent achievement on this outcome.</w:t>
      </w:r>
    </w:p>
  </w:footnote>
  <w:footnote w:id="103">
    <w:p w14:paraId="755BAAFF" w14:textId="77777777" w:rsidR="009C42F3" w:rsidRDefault="009C42F3" w:rsidP="007349AC">
      <w:pPr>
        <w:pStyle w:val="FootnoteText"/>
      </w:pPr>
      <w:r>
        <w:rPr>
          <w:rStyle w:val="FootnoteReference"/>
        </w:rPr>
        <w:footnoteRef/>
      </w:r>
      <w:r>
        <w:t xml:space="preserve"> Including </w:t>
      </w:r>
      <w:r w:rsidRPr="000D249D">
        <w:t>volunteering</w:t>
      </w:r>
      <w:r>
        <w:t xml:space="preserve"> or participating in </w:t>
      </w:r>
      <w:r w:rsidRPr="000D249D">
        <w:t>community events</w:t>
      </w:r>
      <w:r>
        <w:t>.</w:t>
      </w:r>
    </w:p>
  </w:footnote>
  <w:footnote w:id="104">
    <w:p w14:paraId="779DE5E2" w14:textId="13B8C657" w:rsidR="009C42F3" w:rsidRDefault="009C42F3" w:rsidP="003F6232">
      <w:pPr>
        <w:pStyle w:val="FootnoteText"/>
      </w:pPr>
      <w:r>
        <w:rPr>
          <w:rStyle w:val="FootnoteReference"/>
        </w:rPr>
        <w:footnoteRef/>
      </w:r>
      <w:r>
        <w:t xml:space="preserve"> Note: For many providers the reasons for closures did not add to the number of total closures. Keogh Bay has therefore used the sub-totals to calculate the total closures proportions for ATC. Clients may be counted twice if they exited, re-entered, and exited again in the period examined.</w:t>
      </w:r>
    </w:p>
  </w:footnote>
  <w:footnote w:id="105">
    <w:p w14:paraId="7F8903C3" w14:textId="77777777" w:rsidR="009C42F3" w:rsidRDefault="009C42F3" w:rsidP="003F6232">
      <w:pPr>
        <w:pStyle w:val="FootnoteText"/>
      </w:pPr>
      <w:r>
        <w:rPr>
          <w:rStyle w:val="FootnoteReference"/>
        </w:rPr>
        <w:footnoteRef/>
      </w:r>
      <w:r>
        <w:t xml:space="preserve"> Note: Two providers had missing reports during this period which will likely affect closure numbers. </w:t>
      </w:r>
    </w:p>
  </w:footnote>
  <w:footnote w:id="106">
    <w:p w14:paraId="767561F3" w14:textId="61922CFA" w:rsidR="009C42F3" w:rsidRDefault="009C42F3">
      <w:pPr>
        <w:pStyle w:val="FootnoteText"/>
      </w:pPr>
      <w:r>
        <w:rPr>
          <w:rStyle w:val="FootnoteReference"/>
        </w:rPr>
        <w:footnoteRef/>
      </w:r>
      <w:r>
        <w:t xml:space="preserve"> The proxies used are not a direct comparison to the national recidivism figures and use differing definitions and periods. Additional limitations within the available through-care program data include missing data for available reporting periods, </w:t>
      </w:r>
      <w:r w:rsidRPr="0092295B">
        <w:t>double counting for active clients across reporting periods, variances as to whether a provider counts a new offence only when it has occurred in the reporting period</w:t>
      </w:r>
      <w:r>
        <w:t xml:space="preserve">, significantly different outcomes for some services between periods, and mismatches between offence type counts and the total number of offences. </w:t>
      </w:r>
    </w:p>
  </w:footnote>
  <w:footnote w:id="107">
    <w:p w14:paraId="6FFDE210" w14:textId="525937A3" w:rsidR="009C42F3" w:rsidRDefault="009C42F3">
      <w:pPr>
        <w:pStyle w:val="FootnoteText"/>
      </w:pPr>
      <w:r>
        <w:rPr>
          <w:rStyle w:val="FootnoteReference"/>
        </w:rPr>
        <w:footnoteRef/>
      </w:r>
      <w:r>
        <w:t xml:space="preserve"> Such an anomalously high reported figure may be reflective errors in reporting, for example as a consequence of incorrect data entry or misinterpretation of data definitions. </w:t>
      </w:r>
    </w:p>
  </w:footnote>
  <w:footnote w:id="108">
    <w:p w14:paraId="6EBF7D08" w14:textId="77777777" w:rsidR="002751B7" w:rsidRDefault="002751B7" w:rsidP="002751B7">
      <w:pPr>
        <w:pStyle w:val="FootnoteText"/>
      </w:pPr>
      <w:r>
        <w:rPr>
          <w:rStyle w:val="FootnoteReference"/>
        </w:rPr>
        <w:footnoteRef/>
      </w:r>
      <w:r>
        <w:t xml:space="preserve"> Productivity Commission. ROGS 2022, Table CA 4. Accessed 18 April 2023 at </w:t>
      </w:r>
      <w:r w:rsidRPr="002F2D7C">
        <w:t>https://www.pc.gov.au/ongoing/report-on-government-services/2022/justice</w:t>
      </w:r>
    </w:p>
  </w:footnote>
  <w:footnote w:id="109">
    <w:p w14:paraId="08060E0B" w14:textId="77777777" w:rsidR="009C42F3" w:rsidRDefault="009C42F3" w:rsidP="00F3309B">
      <w:pPr>
        <w:pStyle w:val="FootnoteText"/>
      </w:pPr>
      <w:r>
        <w:rPr>
          <w:rStyle w:val="FootnoteReference"/>
        </w:rPr>
        <w:footnoteRef/>
      </w:r>
      <w:r>
        <w:t xml:space="preserve"> </w:t>
      </w:r>
      <w:r w:rsidRPr="0094701D">
        <w:t>See table CA.4 in the Productivity Commission’s Report on Government Services</w:t>
      </w:r>
    </w:p>
  </w:footnote>
  <w:footnote w:id="110">
    <w:p w14:paraId="68D8893B" w14:textId="2218D34C" w:rsidR="009C42F3" w:rsidRDefault="009C42F3">
      <w:pPr>
        <w:pStyle w:val="FootnoteText"/>
      </w:pPr>
      <w:r>
        <w:rPr>
          <w:rStyle w:val="FootnoteReference"/>
        </w:rPr>
        <w:footnoteRef/>
      </w:r>
      <w:r>
        <w:t xml:space="preserve"> Additional and specific limitations for the YTC program outcomes data include, for example, the </w:t>
      </w:r>
      <w:r w:rsidRPr="00FC369C">
        <w:t>count of active clients with offences and no offences add</w:t>
      </w:r>
      <w:r>
        <w:t>ing</w:t>
      </w:r>
      <w:r w:rsidRPr="00FC369C">
        <w:t xml:space="preserve"> to more than the total </w:t>
      </w:r>
      <w:r>
        <w:t xml:space="preserve">number </w:t>
      </w:r>
      <w:r w:rsidRPr="00FC369C">
        <w:t>of active clients</w:t>
      </w:r>
      <w:r>
        <w:t>. T</w:t>
      </w:r>
      <w:r w:rsidRPr="00FC369C">
        <w:t xml:space="preserve">rial site </w:t>
      </w:r>
      <w:r>
        <w:t xml:space="preserve">data sets have also applied </w:t>
      </w:r>
      <w:r w:rsidRPr="00FC369C">
        <w:t>different accounting rules</w:t>
      </w:r>
      <w:r>
        <w:t>.</w:t>
      </w:r>
    </w:p>
  </w:footnote>
  <w:footnote w:id="111">
    <w:p w14:paraId="4EA93801" w14:textId="3526B46E" w:rsidR="009C42F3" w:rsidRDefault="009C42F3">
      <w:pPr>
        <w:pStyle w:val="FootnoteText"/>
      </w:pPr>
      <w:r>
        <w:rPr>
          <w:rStyle w:val="FootnoteReference"/>
        </w:rPr>
        <w:footnoteRef/>
      </w:r>
      <w:r>
        <w:t xml:space="preserve"> </w:t>
      </w:r>
      <w:r w:rsidRPr="00FC369C">
        <w:t>See Young People Returning to Sentenced Youth Justice Supervision 2018-19.</w:t>
      </w:r>
    </w:p>
  </w:footnote>
  <w:footnote w:id="112">
    <w:p w14:paraId="1489DA89" w14:textId="6FFD6F02" w:rsidR="009C42F3" w:rsidRDefault="009C42F3" w:rsidP="00F65738">
      <w:pPr>
        <w:pStyle w:val="FootnoteText"/>
      </w:pPr>
      <w:r>
        <w:rPr>
          <w:rStyle w:val="FootnoteReference"/>
        </w:rPr>
        <w:footnoteRef/>
      </w:r>
      <w:r>
        <w:t xml:space="preserve"> YTC Summarised Trial Data that supported the </w:t>
      </w:r>
      <w:r>
        <w:rPr>
          <w:i/>
          <w:iCs/>
        </w:rPr>
        <w:t>Final Report-Youth Through-Care Trial</w:t>
      </w:r>
      <w:r>
        <w:t xml:space="preserve"> </w:t>
      </w:r>
      <w:r>
        <w:rPr>
          <w:i/>
          <w:iCs/>
        </w:rPr>
        <w:t>January 2020 – June 2021</w:t>
      </w:r>
      <w:r>
        <w:t xml:space="preserve"> by ABT Associate</w:t>
      </w:r>
    </w:p>
  </w:footnote>
  <w:footnote w:id="113">
    <w:p w14:paraId="07916D19" w14:textId="36D3CDD9" w:rsidR="009C42F3" w:rsidRDefault="009C42F3" w:rsidP="00F65738">
      <w:pPr>
        <w:pStyle w:val="FootnoteText"/>
      </w:pPr>
      <w:r>
        <w:rPr>
          <w:rStyle w:val="FootnoteReference"/>
        </w:rPr>
        <w:footnoteRef/>
      </w:r>
      <w:r>
        <w:t xml:space="preserve"> AIHW. </w:t>
      </w:r>
      <w:r>
        <w:rPr>
          <w:i/>
          <w:iCs/>
        </w:rPr>
        <w:t>Young People Returning to Sentenced Youth Justice Supervision 2018-19</w:t>
      </w:r>
      <w:r>
        <w:t>. Accessed 11 April 2023 at https://www.aihw.gov.au/reports/youth-justice/young-people-returning-sentenced-supervision-2019/contents/summary</w:t>
      </w:r>
    </w:p>
  </w:footnote>
  <w:footnote w:id="114">
    <w:p w14:paraId="26C0210C" w14:textId="77777777" w:rsidR="009C42F3" w:rsidRDefault="009C42F3" w:rsidP="00FC369C">
      <w:pPr>
        <w:pStyle w:val="FootnoteText"/>
      </w:pPr>
      <w:r>
        <w:rPr>
          <w:rStyle w:val="FootnoteReference"/>
        </w:rPr>
        <w:footnoteRef/>
      </w:r>
      <w:r>
        <w:t xml:space="preserve"> Ibid.</w:t>
      </w:r>
    </w:p>
  </w:footnote>
  <w:footnote w:id="115">
    <w:p w14:paraId="687B7298" w14:textId="77777777" w:rsidR="009C42F3" w:rsidRDefault="009C42F3" w:rsidP="00FC369C">
      <w:pPr>
        <w:pStyle w:val="FootnoteText"/>
      </w:pPr>
      <w:r>
        <w:rPr>
          <w:rStyle w:val="FootnoteReference"/>
        </w:rPr>
        <w:footnoteRef/>
      </w:r>
      <w:r>
        <w:t xml:space="preserve"> Ibid.</w:t>
      </w:r>
    </w:p>
  </w:footnote>
  <w:footnote w:id="116">
    <w:p w14:paraId="7FF89F70" w14:textId="77777777" w:rsidR="009C42F3" w:rsidRDefault="009C42F3" w:rsidP="00DA318D">
      <w:pPr>
        <w:pStyle w:val="FootnoteText"/>
      </w:pPr>
      <w:r>
        <w:rPr>
          <w:rStyle w:val="FootnoteReference"/>
        </w:rPr>
        <w:footnoteRef/>
      </w:r>
      <w:r>
        <w:t xml:space="preserve"> Of the eight services only NAAJA employs a dedicated data administrator (operating across both programs).</w:t>
      </w:r>
    </w:p>
  </w:footnote>
  <w:footnote w:id="117">
    <w:p w14:paraId="4F91187A" w14:textId="3798A8BC" w:rsidR="009C42F3" w:rsidRDefault="009C42F3" w:rsidP="00847F25">
      <w:pPr>
        <w:pStyle w:val="FootnoteText"/>
      </w:pPr>
      <w:r>
        <w:rPr>
          <w:rStyle w:val="FootnoteReference"/>
        </w:rPr>
        <w:footnoteRef/>
      </w:r>
      <w:r>
        <w:t xml:space="preserve"> F</w:t>
      </w:r>
      <w:r w:rsidRPr="00456158">
        <w:t>or example, different interpretations of the definition of a new client as either a new individual or an existing individual either returning following a period of detention or else being re-entered onto a case</w:t>
      </w:r>
      <w:r>
        <w:t>-</w:t>
      </w:r>
      <w:r w:rsidRPr="00456158">
        <w:t>load after exceeding the eligible period; or differing definitions and interpretations of how to score client progress against pre-release and post-release assessments of criminogenic risk factors.</w:t>
      </w:r>
    </w:p>
  </w:footnote>
  <w:footnote w:id="118">
    <w:p w14:paraId="08E8014F" w14:textId="360E8E55" w:rsidR="009C42F3" w:rsidRDefault="009C42F3">
      <w:pPr>
        <w:pStyle w:val="FootnoteText"/>
      </w:pPr>
      <w:r>
        <w:rPr>
          <w:rStyle w:val="FootnoteReference"/>
        </w:rPr>
        <w:footnoteRef/>
      </w:r>
      <w:r>
        <w:t xml:space="preserve"> Outcome </w:t>
      </w:r>
      <w:r w:rsidRPr="00457A6B">
        <w:t>10:  Aboriginal and Torres Strait Islander people are not overrepresented in the criminal justice system</w:t>
      </w:r>
      <w:r>
        <w:t xml:space="preserve">; </w:t>
      </w:r>
      <w:r w:rsidRPr="00457A6B">
        <w:t>Outcome Area 11:  Aboriginal and Torres Strait Islander young people are not overrepresented in the criminal justice system.</w:t>
      </w:r>
      <w:r>
        <w:t xml:space="preserve"> </w:t>
      </w:r>
    </w:p>
  </w:footnote>
  <w:footnote w:id="119">
    <w:p w14:paraId="4D16DB84" w14:textId="77777777" w:rsidR="009C42F3" w:rsidRDefault="009C42F3" w:rsidP="00FD6971">
      <w:pPr>
        <w:pStyle w:val="FootnoteText"/>
      </w:pPr>
      <w:r>
        <w:rPr>
          <w:rStyle w:val="FootnoteReference"/>
        </w:rPr>
        <w:footnoteRef/>
      </w:r>
      <w:r>
        <w:t xml:space="preserve"> See ABS Corrective Services and Prisoners in Australia catalogues.</w:t>
      </w:r>
    </w:p>
  </w:footnote>
  <w:footnote w:id="120">
    <w:p w14:paraId="2D7367D6" w14:textId="477725EB" w:rsidR="009C42F3" w:rsidRDefault="009C42F3" w:rsidP="00FD6971">
      <w:pPr>
        <w:pStyle w:val="FootnoteText"/>
      </w:pPr>
      <w:r>
        <w:rPr>
          <w:rStyle w:val="FootnoteReference"/>
        </w:rPr>
        <w:footnoteRef/>
      </w:r>
      <w:r>
        <w:t xml:space="preserve"> See AIHW Youth Justice in Australia, Table S85a: Young people aged 10–17 in detention on an average day by Indigenous status, States and Territories.</w:t>
      </w:r>
    </w:p>
  </w:footnote>
  <w:footnote w:id="121">
    <w:p w14:paraId="3B9A64FA" w14:textId="54085177" w:rsidR="009C42F3" w:rsidRDefault="009C42F3" w:rsidP="00930B85">
      <w:pPr>
        <w:pStyle w:val="FootnoteText"/>
      </w:pPr>
      <w:r>
        <w:rPr>
          <w:rStyle w:val="FootnoteReference"/>
        </w:rPr>
        <w:footnoteRef/>
      </w:r>
      <w:r>
        <w:t xml:space="preserve"> See Productivity Commission. ROGS 2021. Accessed 18 April 2022 at </w:t>
      </w:r>
      <w:r w:rsidRPr="002F2D7C">
        <w:t>https://www.pc.gov.au/ongoing/report-on-government-services/2022/justice</w:t>
      </w:r>
      <w:r>
        <w:t>.</w:t>
      </w:r>
    </w:p>
  </w:footnote>
  <w:footnote w:id="122">
    <w:p w14:paraId="5E393259" w14:textId="3370835D" w:rsidR="009C42F3" w:rsidRDefault="009C42F3">
      <w:pPr>
        <w:pStyle w:val="FootnoteText"/>
      </w:pPr>
      <w:r>
        <w:rPr>
          <w:rStyle w:val="FootnoteReference"/>
        </w:rPr>
        <w:footnoteRef/>
      </w:r>
      <w:r>
        <w:t xml:space="preserve"> See </w:t>
      </w:r>
      <w:r w:rsidRPr="00930B85">
        <w:t>AIHW</w:t>
      </w:r>
      <w:r>
        <w:t xml:space="preserve"> </w:t>
      </w:r>
      <w:r w:rsidRPr="00930B85">
        <w:t>Young People Returning to Sentenced Youth Justice Supervision 2018-19.</w:t>
      </w:r>
    </w:p>
  </w:footnote>
  <w:footnote w:id="123">
    <w:p w14:paraId="20E5D70A" w14:textId="41E2588B" w:rsidR="009C42F3" w:rsidRDefault="009C42F3">
      <w:pPr>
        <w:pStyle w:val="FootnoteText"/>
      </w:pPr>
      <w:r>
        <w:rPr>
          <w:rStyle w:val="FootnoteReference"/>
        </w:rPr>
        <w:footnoteRef/>
      </w:r>
      <w:r>
        <w:t xml:space="preserve"> The Australian </w:t>
      </w:r>
      <w:r w:rsidRPr="002516C4">
        <w:t>National Institute of Justice</w:t>
      </w:r>
      <w:r>
        <w:t xml:space="preserve">, for example, uses a three-year rather than a two-year period </w:t>
      </w:r>
      <w:r w:rsidRPr="002516C4">
        <w:t>following the person's release.</w:t>
      </w:r>
    </w:p>
  </w:footnote>
  <w:footnote w:id="124">
    <w:p w14:paraId="6F7DF2FA" w14:textId="32FB9864" w:rsidR="009C42F3" w:rsidRDefault="009C42F3">
      <w:pPr>
        <w:pStyle w:val="FootnoteText"/>
      </w:pPr>
      <w:r>
        <w:rPr>
          <w:rStyle w:val="FootnoteReference"/>
        </w:rPr>
        <w:footnoteRef/>
      </w:r>
      <w:r>
        <w:t xml:space="preserve"> </w:t>
      </w:r>
      <w:r w:rsidRPr="00311B6E">
        <w:t>Examples where further clarification is required, include whether a client remaining with a service beyond a 24 month period is entered as a new client; how to account for a client that re-joins a service following a repeat period of detention; when to take a client off the active case</w:t>
      </w:r>
      <w:r>
        <w:t>-</w:t>
      </w:r>
      <w:r w:rsidRPr="00311B6E">
        <w:t>load; when to transfer a ‘brief intervention’ client to the active case</w:t>
      </w:r>
      <w:r>
        <w:t>-</w:t>
      </w:r>
      <w:r w:rsidRPr="00311B6E">
        <w:t>load; and whether to define a repeat offender on the basis of a charge or a conviction (and how this intersects with the severity of the offence-type). Furthermore, where the criterion of ‘returned to prison or detention’ is not used as the basis for a definition of recidivism, a consistent definition of reoffending must be defined, both in terms of the definition of an offence (whether this results in an arrest, a charge, a conviction or leads to a custodial sentence) and the period of measurement between offences.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EE94" w14:textId="7BB02733"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0" behindDoc="1" locked="0" layoutInCell="1" allowOverlap="1" wp14:anchorId="7DA996BA" wp14:editId="5FA9762E">
          <wp:simplePos x="0" y="0"/>
          <wp:positionH relativeFrom="page">
            <wp:posOffset>5624118</wp:posOffset>
          </wp:positionH>
          <wp:positionV relativeFrom="page">
            <wp:posOffset>386715</wp:posOffset>
          </wp:positionV>
          <wp:extent cx="991636" cy="471273"/>
          <wp:effectExtent l="0" t="0" r="0" b="5080"/>
          <wp:wrapNone/>
          <wp:docPr id="449352121" name="Picture 449352121"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BCD7"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1" behindDoc="1" locked="0" layoutInCell="1" allowOverlap="1" wp14:anchorId="40D04FEF" wp14:editId="3EE916BB">
          <wp:simplePos x="0" y="0"/>
          <wp:positionH relativeFrom="page">
            <wp:posOffset>8508944</wp:posOffset>
          </wp:positionH>
          <wp:positionV relativeFrom="page">
            <wp:posOffset>358863</wp:posOffset>
          </wp:positionV>
          <wp:extent cx="991636" cy="471273"/>
          <wp:effectExtent l="0" t="0" r="0" b="5080"/>
          <wp:wrapNone/>
          <wp:docPr id="768438063" name="Picture 768438063"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0789"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2" behindDoc="1" locked="0" layoutInCell="1" allowOverlap="1" wp14:anchorId="3793FD3E" wp14:editId="273DC2B8">
          <wp:simplePos x="0" y="0"/>
          <wp:positionH relativeFrom="page">
            <wp:posOffset>5602584</wp:posOffset>
          </wp:positionH>
          <wp:positionV relativeFrom="page">
            <wp:posOffset>386803</wp:posOffset>
          </wp:positionV>
          <wp:extent cx="991636" cy="471273"/>
          <wp:effectExtent l="0" t="0" r="0" b="5080"/>
          <wp:wrapNone/>
          <wp:docPr id="637001497" name="Picture 637001497"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69F3"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5" behindDoc="1" locked="0" layoutInCell="1" allowOverlap="1" wp14:anchorId="426762D3" wp14:editId="70E29505">
          <wp:simplePos x="0" y="0"/>
          <wp:positionH relativeFrom="page">
            <wp:posOffset>8565368</wp:posOffset>
          </wp:positionH>
          <wp:positionV relativeFrom="page">
            <wp:posOffset>386715</wp:posOffset>
          </wp:positionV>
          <wp:extent cx="991636" cy="471273"/>
          <wp:effectExtent l="0" t="0" r="0" b="5080"/>
          <wp:wrapNone/>
          <wp:docPr id="426172240" name="Picture 426172240"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9F33"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6" behindDoc="1" locked="0" layoutInCell="1" allowOverlap="1" wp14:anchorId="71B75153" wp14:editId="22BE0C5E">
          <wp:simplePos x="0" y="0"/>
          <wp:positionH relativeFrom="page">
            <wp:posOffset>5622681</wp:posOffset>
          </wp:positionH>
          <wp:positionV relativeFrom="page">
            <wp:posOffset>386803</wp:posOffset>
          </wp:positionV>
          <wp:extent cx="991636" cy="471273"/>
          <wp:effectExtent l="0" t="0" r="0" b="5080"/>
          <wp:wrapNone/>
          <wp:docPr id="239836734" name="Picture 239836734"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95BC"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3" behindDoc="1" locked="0" layoutInCell="1" allowOverlap="1" wp14:anchorId="412FF53C" wp14:editId="6F9F8570">
          <wp:simplePos x="0" y="0"/>
          <wp:positionH relativeFrom="page">
            <wp:posOffset>8560058</wp:posOffset>
          </wp:positionH>
          <wp:positionV relativeFrom="page">
            <wp:posOffset>386803</wp:posOffset>
          </wp:positionV>
          <wp:extent cx="991636" cy="471273"/>
          <wp:effectExtent l="0" t="0" r="0" b="5080"/>
          <wp:wrapNone/>
          <wp:docPr id="1873913939" name="Picture 1873913939"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63CC" w14:textId="77777777" w:rsidR="009C42F3" w:rsidRPr="006159DC" w:rsidRDefault="009C42F3" w:rsidP="00F91581">
    <w:pPr>
      <w:pStyle w:val="Header"/>
      <w:jc w:val="right"/>
      <w:rPr>
        <w:i/>
        <w:iCs/>
        <w:sz w:val="18"/>
        <w:szCs w:val="18"/>
      </w:rPr>
    </w:pPr>
    <w:r w:rsidRPr="006159DC">
      <w:rPr>
        <w:i/>
        <w:iCs/>
        <w:noProof/>
        <w:sz w:val="18"/>
        <w:szCs w:val="18"/>
        <w:lang w:eastAsia="en-AU"/>
      </w:rPr>
      <w:drawing>
        <wp:anchor distT="0" distB="0" distL="114300" distR="114300" simplePos="0" relativeHeight="251658244" behindDoc="1" locked="0" layoutInCell="1" allowOverlap="1" wp14:anchorId="74AF517D" wp14:editId="21D52AB9">
          <wp:simplePos x="0" y="0"/>
          <wp:positionH relativeFrom="page">
            <wp:posOffset>5562391</wp:posOffset>
          </wp:positionH>
          <wp:positionV relativeFrom="page">
            <wp:posOffset>326424</wp:posOffset>
          </wp:positionV>
          <wp:extent cx="991636" cy="471273"/>
          <wp:effectExtent l="0" t="0" r="0" b="5080"/>
          <wp:wrapNone/>
          <wp:docPr id="1586064996" name="Picture 1586064996" descr="Small rectangle logo with 'Keogh Bay' along the top . Underneath this is an image of green grass, a winding path, and blue water." title="Keogh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OGH BAY LOGO TRANS.png"/>
                  <pic:cNvPicPr/>
                </pic:nvPicPr>
                <pic:blipFill>
                  <a:blip r:embed="rId1" cstate="print">
                    <a:extLst>
                      <a:ext uri="{28A0092B-C50C-407E-A947-70E740481C1C}">
                        <a14:useLocalDpi xmlns:a14="http://schemas.microsoft.com/office/drawing/2010/main"/>
                      </a:ext>
                    </a:extLst>
                  </a:blip>
                  <a:stretch>
                    <a:fillRect/>
                  </a:stretch>
                </pic:blipFill>
                <pic:spPr>
                  <a:xfrm>
                    <a:off x="0" y="0"/>
                    <a:ext cx="991636" cy="471273"/>
                  </a:xfrm>
                  <a:prstGeom prst="rect">
                    <a:avLst/>
                  </a:prstGeom>
                </pic:spPr>
              </pic:pic>
            </a:graphicData>
          </a:graphic>
          <wp14:sizeRelH relativeFrom="page">
            <wp14:pctWidth>0</wp14:pctWidth>
          </wp14:sizeRelH>
          <wp14:sizeRelV relativeFrom="page">
            <wp14:pctHeight>0</wp14:pctHeight>
          </wp14:sizeRelV>
        </wp:anchor>
      </w:drawing>
    </w:r>
    <w:r w:rsidRPr="006159DC">
      <w:rPr>
        <w:i/>
        <w:iCs/>
        <w:sz w:val="18"/>
        <w:szCs w:val="18"/>
      </w:rPr>
      <w:t>Evaluation of the Adult &amp; Youth Through-Care Programs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1001C8"/>
    <w:lvl w:ilvl="0">
      <w:start w:val="1"/>
      <w:numFmt w:val="decimal"/>
      <w:pStyle w:val="ListNumber5"/>
      <w:lvlText w:val="%1."/>
      <w:lvlJc w:val="left"/>
      <w:pPr>
        <w:tabs>
          <w:tab w:val="num" w:pos="3619"/>
        </w:tabs>
        <w:ind w:left="3619"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4046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15:restartNumberingAfterBreak="0">
    <w:nsid w:val="00C537AC"/>
    <w:multiLevelType w:val="hybridMultilevel"/>
    <w:tmpl w:val="CF20A50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14968F5"/>
    <w:multiLevelType w:val="hybridMultilevel"/>
    <w:tmpl w:val="BD1EA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AD6666"/>
    <w:multiLevelType w:val="hybridMultilevel"/>
    <w:tmpl w:val="8946AFDE"/>
    <w:lvl w:ilvl="0" w:tplc="62B893BE">
      <w:start w:val="1"/>
      <w:numFmt w:val="bullet"/>
      <w:pStyle w:val="ListBullet"/>
      <w:lvlText w:val=""/>
      <w:lvlJc w:val="left"/>
      <w:pPr>
        <w:tabs>
          <w:tab w:val="num" w:pos="340"/>
        </w:tabs>
        <w:ind w:left="340" w:hanging="34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AF309F"/>
    <w:multiLevelType w:val="hybridMultilevel"/>
    <w:tmpl w:val="E2CC6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49B5762"/>
    <w:multiLevelType w:val="multilevel"/>
    <w:tmpl w:val="A30A6602"/>
    <w:lvl w:ilvl="0">
      <w:start w:val="1"/>
      <w:numFmt w:val="decimal"/>
      <w:pStyle w:val="MENumber1"/>
      <w:lvlText w:val="%1."/>
      <w:lvlJc w:val="left"/>
      <w:pPr>
        <w:tabs>
          <w:tab w:val="num" w:pos="680"/>
        </w:tabs>
        <w:ind w:left="680" w:hanging="680"/>
      </w:pPr>
      <w:rPr>
        <w:rFonts w:hint="default"/>
      </w:rPr>
    </w:lvl>
    <w:lvl w:ilvl="1">
      <w:start w:val="1"/>
      <w:numFmt w:val="lowerLetter"/>
      <w:pStyle w:val="MENumber2"/>
      <w:lvlText w:val="(%2)"/>
      <w:lvlJc w:val="left"/>
      <w:pPr>
        <w:tabs>
          <w:tab w:val="num" w:pos="1361"/>
        </w:tabs>
        <w:ind w:left="1361" w:hanging="681"/>
      </w:pPr>
      <w:rPr>
        <w:rFonts w:hint="default"/>
      </w:rPr>
    </w:lvl>
    <w:lvl w:ilvl="2">
      <w:start w:val="1"/>
      <w:numFmt w:val="lowerRoman"/>
      <w:pStyle w:val="MENumber3"/>
      <w:lvlText w:val="(%3)"/>
      <w:lvlJc w:val="left"/>
      <w:pPr>
        <w:tabs>
          <w:tab w:val="num" w:pos="2041"/>
        </w:tabs>
        <w:ind w:left="2041" w:hanging="680"/>
      </w:pPr>
      <w:rPr>
        <w:rFonts w:hint="default"/>
      </w:rPr>
    </w:lvl>
    <w:lvl w:ilvl="3">
      <w:start w:val="1"/>
      <w:numFmt w:val="upperLetter"/>
      <w:pStyle w:val="MENumber4"/>
      <w:lvlText w:val="(%4)"/>
      <w:lvlJc w:val="left"/>
      <w:pPr>
        <w:tabs>
          <w:tab w:val="num" w:pos="2722"/>
        </w:tabs>
        <w:ind w:left="2722" w:hanging="681"/>
      </w:pPr>
      <w:rPr>
        <w:rFonts w:hint="default"/>
      </w:rPr>
    </w:lvl>
    <w:lvl w:ilvl="4">
      <w:start w:val="1"/>
      <w:numFmt w:val="upperRoman"/>
      <w:pStyle w:val="MENumber5"/>
      <w:lvlText w:val="(%5)"/>
      <w:lvlJc w:val="left"/>
      <w:pPr>
        <w:tabs>
          <w:tab w:val="num" w:pos="3402"/>
        </w:tabs>
        <w:ind w:left="3402" w:hanging="680"/>
      </w:pPr>
      <w:rPr>
        <w:rFonts w:hint="default"/>
      </w:rPr>
    </w:lvl>
    <w:lvl w:ilvl="5">
      <w:start w:val="1"/>
      <w:numFmt w:val="decimal"/>
      <w:pStyle w:val="MENumber6"/>
      <w:lvlText w:val="(%6)"/>
      <w:lvlJc w:val="left"/>
      <w:pPr>
        <w:tabs>
          <w:tab w:val="num" w:pos="4082"/>
        </w:tabs>
        <w:ind w:left="4082" w:hanging="68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05634F43"/>
    <w:multiLevelType w:val="hybridMultilevel"/>
    <w:tmpl w:val="11FA1D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84B5FDA"/>
    <w:multiLevelType w:val="hybridMultilevel"/>
    <w:tmpl w:val="DC08AACC"/>
    <w:lvl w:ilvl="0" w:tplc="C7E634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7320C9"/>
    <w:multiLevelType w:val="hybridMultilevel"/>
    <w:tmpl w:val="A6E2C5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A5C1DB0"/>
    <w:multiLevelType w:val="hybridMultilevel"/>
    <w:tmpl w:val="5520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CA1DCA"/>
    <w:multiLevelType w:val="hybridMultilevel"/>
    <w:tmpl w:val="EAE01A38"/>
    <w:lvl w:ilvl="0" w:tplc="C7E634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346C8B"/>
    <w:multiLevelType w:val="multilevel"/>
    <w:tmpl w:val="559249E8"/>
    <w:lvl w:ilvl="0">
      <w:start w:val="1"/>
      <w:numFmt w:val="upperLetter"/>
      <w:pStyle w:val="Level1"/>
      <w:lvlText w:val="%1"/>
      <w:lvlJc w:val="left"/>
      <w:pPr>
        <w:tabs>
          <w:tab w:val="num" w:pos="680"/>
        </w:tabs>
        <w:ind w:left="680" w:hanging="680"/>
      </w:pPr>
      <w:rPr>
        <w:rFonts w:ascii="Arial" w:hAnsi="Arial" w:hint="default"/>
        <w:sz w:val="20"/>
      </w:rPr>
    </w:lvl>
    <w:lvl w:ilvl="1">
      <w:start w:val="1"/>
      <w:numFmt w:val="lowerRoman"/>
      <w:pStyle w:val="Level2"/>
      <w:lvlText w:val="(%2)"/>
      <w:lvlJc w:val="left"/>
      <w:pPr>
        <w:tabs>
          <w:tab w:val="num" w:pos="1361"/>
        </w:tabs>
        <w:ind w:left="1361" w:hanging="681"/>
      </w:pPr>
      <w:rPr>
        <w:rFonts w:hint="default"/>
      </w:rPr>
    </w:lvl>
    <w:lvl w:ilvl="2">
      <w:start w:val="1"/>
      <w:numFmt w:val="lowerLetter"/>
      <w:pStyle w:val="Level3"/>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20" w15:restartNumberingAfterBreak="0">
    <w:nsid w:val="0D371F18"/>
    <w:multiLevelType w:val="hybridMultilevel"/>
    <w:tmpl w:val="2694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D5C4279"/>
    <w:multiLevelType w:val="multilevel"/>
    <w:tmpl w:val="BA48DABE"/>
    <w:lvl w:ilvl="0">
      <w:start w:val="1"/>
      <w:numFmt w:val="decimal"/>
      <w:pStyle w:val="MOTermsL1"/>
      <w:lvlText w:val="%1"/>
      <w:lvlJc w:val="left"/>
      <w:pPr>
        <w:tabs>
          <w:tab w:val="num" w:pos="851"/>
        </w:tabs>
        <w:ind w:left="851" w:hanging="851"/>
      </w:pPr>
      <w:rPr>
        <w:rFonts w:hint="default"/>
      </w:rPr>
    </w:lvl>
    <w:lvl w:ilvl="1">
      <w:start w:val="1"/>
      <w:numFmt w:val="decimal"/>
      <w:pStyle w:val="MOTermsL2"/>
      <w:lvlText w:val="%1.%2"/>
      <w:lvlJc w:val="left"/>
      <w:pPr>
        <w:tabs>
          <w:tab w:val="num" w:pos="851"/>
        </w:tabs>
        <w:ind w:left="851" w:hanging="851"/>
      </w:pPr>
      <w:rPr>
        <w:rFonts w:hint="default"/>
      </w:rPr>
    </w:lvl>
    <w:lvl w:ilvl="2">
      <w:start w:val="1"/>
      <w:numFmt w:val="none"/>
      <w:lvlRestart w:val="0"/>
      <w:suff w:val="nothing"/>
      <w:lvlText w:val=""/>
      <w:lvlJc w:val="left"/>
      <w:pPr>
        <w:ind w:left="851" w:firstLine="0"/>
      </w:pPr>
      <w:rPr>
        <w:rFonts w:hint="default"/>
      </w:rPr>
    </w:lvl>
    <w:lvl w:ilvl="3">
      <w:start w:val="1"/>
      <w:numFmt w:val="decimal"/>
      <w:lvlRestart w:val="1"/>
      <w:pStyle w:val="MOTermsL4"/>
      <w:lvlText w:val="%1.%4"/>
      <w:lvlJc w:val="left"/>
      <w:pPr>
        <w:tabs>
          <w:tab w:val="num" w:pos="851"/>
        </w:tabs>
        <w:ind w:left="851" w:hanging="851"/>
      </w:pPr>
      <w:rPr>
        <w:rFonts w:hint="default"/>
      </w:rPr>
    </w:lvl>
    <w:lvl w:ilvl="4">
      <w:start w:val="1"/>
      <w:numFmt w:val="lowerLetter"/>
      <w:pStyle w:val="MOTermsL5"/>
      <w:lvlText w:val="(%5)"/>
      <w:lvlJc w:val="left"/>
      <w:pPr>
        <w:tabs>
          <w:tab w:val="num" w:pos="1701"/>
        </w:tabs>
        <w:ind w:left="1701" w:hanging="850"/>
      </w:pPr>
      <w:rPr>
        <w:rFonts w:hint="default"/>
      </w:rPr>
    </w:lvl>
    <w:lvl w:ilvl="5">
      <w:start w:val="1"/>
      <w:numFmt w:val="lowerRoman"/>
      <w:pStyle w:val="MOTermsL6"/>
      <w:lvlText w:val="(%6)"/>
      <w:lvlJc w:val="left"/>
      <w:pPr>
        <w:tabs>
          <w:tab w:val="num" w:pos="2552"/>
        </w:tabs>
        <w:ind w:left="2552" w:hanging="851"/>
      </w:pPr>
      <w:rPr>
        <w:rFonts w:hint="default"/>
      </w:rPr>
    </w:lvl>
    <w:lvl w:ilvl="6">
      <w:start w:val="1"/>
      <w:numFmt w:val="upperLetter"/>
      <w:pStyle w:val="MOTermsL7"/>
      <w:lvlText w:val="(%7)"/>
      <w:lvlJc w:val="left"/>
      <w:pPr>
        <w:tabs>
          <w:tab w:val="num" w:pos="3402"/>
        </w:tabs>
        <w:ind w:left="3402" w:hanging="850"/>
      </w:pPr>
      <w:rPr>
        <w:rFonts w:hint="default"/>
      </w:rPr>
    </w:lvl>
    <w:lvl w:ilvl="7">
      <w:start w:val="1"/>
      <w:numFmt w:val="decimal"/>
      <w:pStyle w:val="MOTermsL8"/>
      <w:lvlText w:val="(%8)"/>
      <w:lvlJc w:val="left"/>
      <w:pPr>
        <w:tabs>
          <w:tab w:val="num" w:pos="4253"/>
        </w:tabs>
        <w:ind w:left="4253" w:hanging="851"/>
      </w:pPr>
      <w:rPr>
        <w:rFonts w:hint="default"/>
      </w:rPr>
    </w:lvl>
    <w:lvl w:ilvl="8">
      <w:start w:val="1"/>
      <w:numFmt w:val="upperRoman"/>
      <w:pStyle w:val="MOTermsL9"/>
      <w:lvlText w:val="(%9)"/>
      <w:lvlJc w:val="left"/>
      <w:pPr>
        <w:tabs>
          <w:tab w:val="num" w:pos="5103"/>
        </w:tabs>
        <w:ind w:left="5103" w:hanging="850"/>
      </w:pPr>
      <w:rPr>
        <w:rFonts w:hint="default"/>
      </w:rPr>
    </w:lvl>
  </w:abstractNum>
  <w:abstractNum w:abstractNumId="22" w15:restartNumberingAfterBreak="0">
    <w:nsid w:val="0E3706AE"/>
    <w:multiLevelType w:val="hybridMultilevel"/>
    <w:tmpl w:val="E91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0D1426"/>
    <w:multiLevelType w:val="hybridMultilevel"/>
    <w:tmpl w:val="41B8AB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FE90121"/>
    <w:multiLevelType w:val="hybridMultilevel"/>
    <w:tmpl w:val="DBE477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1B74A1F"/>
    <w:multiLevelType w:val="multilevel"/>
    <w:tmpl w:val="7E18F06C"/>
    <w:lvl w:ilvl="0">
      <w:start w:val="1"/>
      <w:numFmt w:val="decimal"/>
      <w:pStyle w:val="WarrantyL1"/>
      <w:suff w:val="nothing"/>
      <w:lvlText w:val="Warranty %1"/>
      <w:lvlJc w:val="left"/>
      <w:pPr>
        <w:ind w:left="1277" w:firstLine="0"/>
      </w:pPr>
      <w:rPr>
        <w:rFonts w:hint="default"/>
      </w:rPr>
    </w:lvl>
    <w:lvl w:ilvl="1">
      <w:start w:val="1"/>
      <w:numFmt w:val="decimal"/>
      <w:pStyle w:val="WarrantyL2"/>
      <w:lvlText w:val="%1.%2"/>
      <w:lvlJc w:val="left"/>
      <w:pPr>
        <w:tabs>
          <w:tab w:val="num" w:pos="1957"/>
        </w:tabs>
        <w:ind w:left="1957" w:hanging="680"/>
      </w:pPr>
      <w:rPr>
        <w:rFonts w:hint="default"/>
      </w:rPr>
    </w:lvl>
    <w:lvl w:ilvl="2">
      <w:start w:val="1"/>
      <w:numFmt w:val="lowerLetter"/>
      <w:pStyle w:val="WarrantyL3"/>
      <w:lvlText w:val="(%3)"/>
      <w:lvlJc w:val="left"/>
      <w:pPr>
        <w:tabs>
          <w:tab w:val="num" w:pos="2638"/>
        </w:tabs>
        <w:ind w:left="2638" w:hanging="681"/>
      </w:pPr>
      <w:rPr>
        <w:rFonts w:hint="default"/>
      </w:rPr>
    </w:lvl>
    <w:lvl w:ilvl="3">
      <w:start w:val="1"/>
      <w:numFmt w:val="lowerRoman"/>
      <w:pStyle w:val="WarrantyL4"/>
      <w:lvlText w:val="(%4)"/>
      <w:lvlJc w:val="left"/>
      <w:pPr>
        <w:tabs>
          <w:tab w:val="num" w:pos="3318"/>
        </w:tabs>
        <w:ind w:left="3318" w:hanging="680"/>
      </w:pPr>
      <w:rPr>
        <w:rFonts w:hint="default"/>
      </w:rPr>
    </w:lvl>
    <w:lvl w:ilvl="4">
      <w:start w:val="1"/>
      <w:numFmt w:val="upperLetter"/>
      <w:pStyle w:val="WarrantyL5"/>
      <w:lvlText w:val="(%5)"/>
      <w:lvlJc w:val="left"/>
      <w:pPr>
        <w:tabs>
          <w:tab w:val="num" w:pos="3999"/>
        </w:tabs>
        <w:ind w:left="3999" w:hanging="681"/>
      </w:pPr>
      <w:rPr>
        <w:rFonts w:hint="default"/>
      </w:rPr>
    </w:lvl>
    <w:lvl w:ilvl="5">
      <w:start w:val="1"/>
      <w:numFmt w:val="none"/>
      <w:lvlText w:val=""/>
      <w:lvlJc w:val="left"/>
      <w:pPr>
        <w:tabs>
          <w:tab w:val="num" w:pos="1277"/>
        </w:tabs>
        <w:ind w:left="1277" w:firstLine="0"/>
      </w:pPr>
      <w:rPr>
        <w:rFonts w:hint="default"/>
      </w:rPr>
    </w:lvl>
    <w:lvl w:ilvl="6">
      <w:start w:val="1"/>
      <w:numFmt w:val="none"/>
      <w:lvlText w:val=""/>
      <w:lvlJc w:val="left"/>
      <w:pPr>
        <w:tabs>
          <w:tab w:val="num" w:pos="1277"/>
        </w:tabs>
        <w:ind w:left="1277" w:firstLine="567"/>
      </w:pPr>
      <w:rPr>
        <w:rFonts w:hint="default"/>
      </w:rPr>
    </w:lvl>
    <w:lvl w:ilvl="7">
      <w:start w:val="1"/>
      <w:numFmt w:val="none"/>
      <w:lvlText w:val=""/>
      <w:lvlJc w:val="left"/>
      <w:pPr>
        <w:tabs>
          <w:tab w:val="num" w:pos="1277"/>
        </w:tabs>
        <w:ind w:left="1277" w:firstLine="0"/>
      </w:pPr>
      <w:rPr>
        <w:rFonts w:hint="default"/>
      </w:rPr>
    </w:lvl>
    <w:lvl w:ilvl="8">
      <w:start w:val="1"/>
      <w:numFmt w:val="none"/>
      <w:lvlText w:val=""/>
      <w:lvlJc w:val="left"/>
      <w:pPr>
        <w:tabs>
          <w:tab w:val="num" w:pos="1277"/>
        </w:tabs>
        <w:ind w:left="1277" w:firstLine="0"/>
      </w:pPr>
      <w:rPr>
        <w:rFonts w:hint="default"/>
      </w:rPr>
    </w:lvl>
  </w:abstractNum>
  <w:abstractNum w:abstractNumId="26" w15:restartNumberingAfterBreak="0">
    <w:nsid w:val="13794DBF"/>
    <w:multiLevelType w:val="hybridMultilevel"/>
    <w:tmpl w:val="BA447D48"/>
    <w:lvl w:ilvl="0" w:tplc="C7E63496">
      <w:start w:val="1"/>
      <w:numFmt w:val="bullet"/>
      <w:lvlText w:val="-"/>
      <w:lvlJc w:val="left"/>
      <w:pPr>
        <w:tabs>
          <w:tab w:val="num" w:pos="720"/>
        </w:tabs>
        <w:ind w:left="720" w:hanging="360"/>
      </w:pPr>
      <w:rPr>
        <w:rFonts w:ascii="Arial" w:hAnsi="Arial" w:hint="default"/>
      </w:rPr>
    </w:lvl>
    <w:lvl w:ilvl="1" w:tplc="EF4CC9B6">
      <w:start w:val="1"/>
      <w:numFmt w:val="bullet"/>
      <w:lvlText w:val="-"/>
      <w:lvlJc w:val="left"/>
      <w:pPr>
        <w:tabs>
          <w:tab w:val="num" w:pos="1440"/>
        </w:tabs>
        <w:ind w:left="1440" w:hanging="360"/>
      </w:pPr>
      <w:rPr>
        <w:rFonts w:ascii="Arial" w:hAnsi="Arial" w:hint="default"/>
      </w:rPr>
    </w:lvl>
    <w:lvl w:ilvl="2" w:tplc="D4D8E406" w:tentative="1">
      <w:start w:val="1"/>
      <w:numFmt w:val="bullet"/>
      <w:lvlText w:val="-"/>
      <w:lvlJc w:val="left"/>
      <w:pPr>
        <w:tabs>
          <w:tab w:val="num" w:pos="2160"/>
        </w:tabs>
        <w:ind w:left="2160" w:hanging="360"/>
      </w:pPr>
      <w:rPr>
        <w:rFonts w:ascii="Arial" w:hAnsi="Arial" w:hint="default"/>
      </w:rPr>
    </w:lvl>
    <w:lvl w:ilvl="3" w:tplc="7F160DA0" w:tentative="1">
      <w:start w:val="1"/>
      <w:numFmt w:val="bullet"/>
      <w:lvlText w:val="-"/>
      <w:lvlJc w:val="left"/>
      <w:pPr>
        <w:tabs>
          <w:tab w:val="num" w:pos="2880"/>
        </w:tabs>
        <w:ind w:left="2880" w:hanging="360"/>
      </w:pPr>
      <w:rPr>
        <w:rFonts w:ascii="Arial" w:hAnsi="Arial" w:hint="default"/>
      </w:rPr>
    </w:lvl>
    <w:lvl w:ilvl="4" w:tplc="12E88CA8" w:tentative="1">
      <w:start w:val="1"/>
      <w:numFmt w:val="bullet"/>
      <w:lvlText w:val="-"/>
      <w:lvlJc w:val="left"/>
      <w:pPr>
        <w:tabs>
          <w:tab w:val="num" w:pos="3600"/>
        </w:tabs>
        <w:ind w:left="3600" w:hanging="360"/>
      </w:pPr>
      <w:rPr>
        <w:rFonts w:ascii="Arial" w:hAnsi="Arial" w:hint="default"/>
      </w:rPr>
    </w:lvl>
    <w:lvl w:ilvl="5" w:tplc="94CCCDEE" w:tentative="1">
      <w:start w:val="1"/>
      <w:numFmt w:val="bullet"/>
      <w:lvlText w:val="-"/>
      <w:lvlJc w:val="left"/>
      <w:pPr>
        <w:tabs>
          <w:tab w:val="num" w:pos="4320"/>
        </w:tabs>
        <w:ind w:left="4320" w:hanging="360"/>
      </w:pPr>
      <w:rPr>
        <w:rFonts w:ascii="Arial" w:hAnsi="Arial" w:hint="default"/>
      </w:rPr>
    </w:lvl>
    <w:lvl w:ilvl="6" w:tplc="B7362384" w:tentative="1">
      <w:start w:val="1"/>
      <w:numFmt w:val="bullet"/>
      <w:lvlText w:val="-"/>
      <w:lvlJc w:val="left"/>
      <w:pPr>
        <w:tabs>
          <w:tab w:val="num" w:pos="5040"/>
        </w:tabs>
        <w:ind w:left="5040" w:hanging="360"/>
      </w:pPr>
      <w:rPr>
        <w:rFonts w:ascii="Arial" w:hAnsi="Arial" w:hint="default"/>
      </w:rPr>
    </w:lvl>
    <w:lvl w:ilvl="7" w:tplc="D6C29382" w:tentative="1">
      <w:start w:val="1"/>
      <w:numFmt w:val="bullet"/>
      <w:lvlText w:val="-"/>
      <w:lvlJc w:val="left"/>
      <w:pPr>
        <w:tabs>
          <w:tab w:val="num" w:pos="5760"/>
        </w:tabs>
        <w:ind w:left="5760" w:hanging="360"/>
      </w:pPr>
      <w:rPr>
        <w:rFonts w:ascii="Arial" w:hAnsi="Arial" w:hint="default"/>
      </w:rPr>
    </w:lvl>
    <w:lvl w:ilvl="8" w:tplc="482E6D8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4FE7F79"/>
    <w:multiLevelType w:val="hybridMultilevel"/>
    <w:tmpl w:val="2FDC633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7CC2AF4"/>
    <w:multiLevelType w:val="hybridMultilevel"/>
    <w:tmpl w:val="CDC202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84F3877"/>
    <w:multiLevelType w:val="multilevel"/>
    <w:tmpl w:val="799A88CA"/>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AF8403B"/>
    <w:multiLevelType w:val="hybridMultilevel"/>
    <w:tmpl w:val="19461A8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C786C59"/>
    <w:multiLevelType w:val="hybridMultilevel"/>
    <w:tmpl w:val="DC46FD62"/>
    <w:lvl w:ilvl="0" w:tplc="C7E634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CCE4CA9"/>
    <w:multiLevelType w:val="hybridMultilevel"/>
    <w:tmpl w:val="7F567452"/>
    <w:name w:val="AGSQA222222222"/>
    <w:lvl w:ilvl="0" w:tplc="B34883BC">
      <w:start w:val="1"/>
      <w:numFmt w:val="decimal"/>
      <w:lvlText w:val="%1."/>
      <w:lvlJc w:val="left"/>
      <w:pPr>
        <w:ind w:left="720" w:hanging="360"/>
      </w:pPr>
      <w:rPr>
        <w:rFonts w:cs="Times New Roman" w:hint="default"/>
      </w:rPr>
    </w:lvl>
    <w:lvl w:ilvl="1" w:tplc="28CEEAA4" w:tentative="1">
      <w:start w:val="1"/>
      <w:numFmt w:val="lowerLetter"/>
      <w:lvlText w:val="%2."/>
      <w:lvlJc w:val="left"/>
      <w:pPr>
        <w:ind w:left="1440" w:hanging="360"/>
      </w:pPr>
      <w:rPr>
        <w:rFonts w:cs="Times New Roman"/>
      </w:rPr>
    </w:lvl>
    <w:lvl w:ilvl="2" w:tplc="5D74B468" w:tentative="1">
      <w:start w:val="1"/>
      <w:numFmt w:val="lowerRoman"/>
      <w:lvlText w:val="%3."/>
      <w:lvlJc w:val="right"/>
      <w:pPr>
        <w:ind w:left="2160" w:hanging="180"/>
      </w:pPr>
      <w:rPr>
        <w:rFonts w:cs="Times New Roman"/>
      </w:rPr>
    </w:lvl>
    <w:lvl w:ilvl="3" w:tplc="A4909952" w:tentative="1">
      <w:start w:val="1"/>
      <w:numFmt w:val="decimal"/>
      <w:lvlText w:val="%4."/>
      <w:lvlJc w:val="left"/>
      <w:pPr>
        <w:ind w:left="2880" w:hanging="360"/>
      </w:pPr>
      <w:rPr>
        <w:rFonts w:cs="Times New Roman"/>
      </w:rPr>
    </w:lvl>
    <w:lvl w:ilvl="4" w:tplc="6ED8F0F2" w:tentative="1">
      <w:start w:val="1"/>
      <w:numFmt w:val="lowerLetter"/>
      <w:lvlText w:val="%5."/>
      <w:lvlJc w:val="left"/>
      <w:pPr>
        <w:ind w:left="3600" w:hanging="360"/>
      </w:pPr>
      <w:rPr>
        <w:rFonts w:cs="Times New Roman"/>
      </w:rPr>
    </w:lvl>
    <w:lvl w:ilvl="5" w:tplc="22D25178" w:tentative="1">
      <w:start w:val="1"/>
      <w:numFmt w:val="lowerRoman"/>
      <w:lvlText w:val="%6."/>
      <w:lvlJc w:val="right"/>
      <w:pPr>
        <w:ind w:left="4320" w:hanging="180"/>
      </w:pPr>
      <w:rPr>
        <w:rFonts w:cs="Times New Roman"/>
      </w:rPr>
    </w:lvl>
    <w:lvl w:ilvl="6" w:tplc="ED9E8C82" w:tentative="1">
      <w:start w:val="1"/>
      <w:numFmt w:val="decimal"/>
      <w:lvlText w:val="%7."/>
      <w:lvlJc w:val="left"/>
      <w:pPr>
        <w:ind w:left="5040" w:hanging="360"/>
      </w:pPr>
      <w:rPr>
        <w:rFonts w:cs="Times New Roman"/>
      </w:rPr>
    </w:lvl>
    <w:lvl w:ilvl="7" w:tplc="D98C6F96" w:tentative="1">
      <w:start w:val="1"/>
      <w:numFmt w:val="lowerLetter"/>
      <w:lvlText w:val="%8."/>
      <w:lvlJc w:val="left"/>
      <w:pPr>
        <w:ind w:left="5760" w:hanging="360"/>
      </w:pPr>
      <w:rPr>
        <w:rFonts w:cs="Times New Roman"/>
      </w:rPr>
    </w:lvl>
    <w:lvl w:ilvl="8" w:tplc="377C086C" w:tentative="1">
      <w:start w:val="1"/>
      <w:numFmt w:val="lowerRoman"/>
      <w:lvlText w:val="%9."/>
      <w:lvlJc w:val="right"/>
      <w:pPr>
        <w:ind w:left="6480" w:hanging="180"/>
      </w:pPr>
      <w:rPr>
        <w:rFonts w:cs="Times New Roman"/>
      </w:rPr>
    </w:lvl>
  </w:abstractNum>
  <w:abstractNum w:abstractNumId="33" w15:restartNumberingAfterBreak="0">
    <w:nsid w:val="212C45A1"/>
    <w:multiLevelType w:val="hybridMultilevel"/>
    <w:tmpl w:val="298A0A7C"/>
    <w:name w:val="AGSTableList"/>
    <w:lvl w:ilvl="0" w:tplc="93AA5152">
      <w:start w:val="2"/>
      <w:numFmt w:val="lowerLetter"/>
      <w:pStyle w:val="listalphabet-2"/>
      <w:lvlText w:val="(%1)"/>
      <w:lvlJc w:val="left"/>
      <w:pPr>
        <w:tabs>
          <w:tab w:val="num" w:pos="1689"/>
        </w:tabs>
        <w:ind w:left="1689" w:hanging="555"/>
      </w:pPr>
      <w:rPr>
        <w:rFonts w:cs="Times New Roman" w:hint="default"/>
      </w:rPr>
    </w:lvl>
    <w:lvl w:ilvl="1" w:tplc="43D24B26" w:tentative="1">
      <w:start w:val="1"/>
      <w:numFmt w:val="lowerLetter"/>
      <w:lvlText w:val="%2."/>
      <w:lvlJc w:val="left"/>
      <w:pPr>
        <w:tabs>
          <w:tab w:val="num" w:pos="2214"/>
        </w:tabs>
        <w:ind w:left="2214" w:hanging="360"/>
      </w:pPr>
      <w:rPr>
        <w:rFonts w:cs="Times New Roman"/>
      </w:rPr>
    </w:lvl>
    <w:lvl w:ilvl="2" w:tplc="6B76266E" w:tentative="1">
      <w:start w:val="1"/>
      <w:numFmt w:val="lowerRoman"/>
      <w:lvlText w:val="%3."/>
      <w:lvlJc w:val="right"/>
      <w:pPr>
        <w:tabs>
          <w:tab w:val="num" w:pos="2934"/>
        </w:tabs>
        <w:ind w:left="2934" w:hanging="180"/>
      </w:pPr>
      <w:rPr>
        <w:rFonts w:cs="Times New Roman"/>
      </w:rPr>
    </w:lvl>
    <w:lvl w:ilvl="3" w:tplc="A9689796" w:tentative="1">
      <w:start w:val="1"/>
      <w:numFmt w:val="decimal"/>
      <w:lvlText w:val="%4."/>
      <w:lvlJc w:val="left"/>
      <w:pPr>
        <w:tabs>
          <w:tab w:val="num" w:pos="3654"/>
        </w:tabs>
        <w:ind w:left="3654" w:hanging="360"/>
      </w:pPr>
      <w:rPr>
        <w:rFonts w:cs="Times New Roman"/>
      </w:rPr>
    </w:lvl>
    <w:lvl w:ilvl="4" w:tplc="CBAAD758" w:tentative="1">
      <w:start w:val="1"/>
      <w:numFmt w:val="lowerLetter"/>
      <w:lvlText w:val="%5."/>
      <w:lvlJc w:val="left"/>
      <w:pPr>
        <w:tabs>
          <w:tab w:val="num" w:pos="4374"/>
        </w:tabs>
        <w:ind w:left="4374" w:hanging="360"/>
      </w:pPr>
      <w:rPr>
        <w:rFonts w:cs="Times New Roman"/>
      </w:rPr>
    </w:lvl>
    <w:lvl w:ilvl="5" w:tplc="FDB6C302" w:tentative="1">
      <w:start w:val="1"/>
      <w:numFmt w:val="lowerRoman"/>
      <w:lvlText w:val="%6."/>
      <w:lvlJc w:val="right"/>
      <w:pPr>
        <w:tabs>
          <w:tab w:val="num" w:pos="5094"/>
        </w:tabs>
        <w:ind w:left="5094" w:hanging="180"/>
      </w:pPr>
      <w:rPr>
        <w:rFonts w:cs="Times New Roman"/>
      </w:rPr>
    </w:lvl>
    <w:lvl w:ilvl="6" w:tplc="A48C06D2" w:tentative="1">
      <w:start w:val="1"/>
      <w:numFmt w:val="decimal"/>
      <w:lvlText w:val="%7."/>
      <w:lvlJc w:val="left"/>
      <w:pPr>
        <w:tabs>
          <w:tab w:val="num" w:pos="5814"/>
        </w:tabs>
        <w:ind w:left="5814" w:hanging="360"/>
      </w:pPr>
      <w:rPr>
        <w:rFonts w:cs="Times New Roman"/>
      </w:rPr>
    </w:lvl>
    <w:lvl w:ilvl="7" w:tplc="1304F92C" w:tentative="1">
      <w:start w:val="1"/>
      <w:numFmt w:val="lowerLetter"/>
      <w:lvlText w:val="%8."/>
      <w:lvlJc w:val="left"/>
      <w:pPr>
        <w:tabs>
          <w:tab w:val="num" w:pos="6534"/>
        </w:tabs>
        <w:ind w:left="6534" w:hanging="360"/>
      </w:pPr>
      <w:rPr>
        <w:rFonts w:cs="Times New Roman"/>
      </w:rPr>
    </w:lvl>
    <w:lvl w:ilvl="8" w:tplc="C5E0CA48" w:tentative="1">
      <w:start w:val="1"/>
      <w:numFmt w:val="lowerRoman"/>
      <w:lvlText w:val="%9."/>
      <w:lvlJc w:val="right"/>
      <w:pPr>
        <w:tabs>
          <w:tab w:val="num" w:pos="7254"/>
        </w:tabs>
        <w:ind w:left="7254" w:hanging="180"/>
      </w:pPr>
      <w:rPr>
        <w:rFonts w:cs="Times New Roman"/>
      </w:rPr>
    </w:lvl>
  </w:abstractNum>
  <w:abstractNum w:abstractNumId="34" w15:restartNumberingAfterBreak="0">
    <w:nsid w:val="22610CEE"/>
    <w:multiLevelType w:val="hybridMultilevel"/>
    <w:tmpl w:val="BB900C58"/>
    <w:lvl w:ilvl="0" w:tplc="F0C454EC">
      <w:start w:val="1"/>
      <w:numFmt w:val="decimal"/>
      <w:pStyle w:val="2BulletStyle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3C037F3"/>
    <w:multiLevelType w:val="hybridMultilevel"/>
    <w:tmpl w:val="2626F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885114"/>
    <w:multiLevelType w:val="hybridMultilevel"/>
    <w:tmpl w:val="5A26D7F6"/>
    <w:lvl w:ilvl="0" w:tplc="C7E634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E45AD5"/>
    <w:multiLevelType w:val="hybridMultilevel"/>
    <w:tmpl w:val="F8AA1F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4B703A9"/>
    <w:multiLevelType w:val="hybridMultilevel"/>
    <w:tmpl w:val="A5C87A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7322588"/>
    <w:multiLevelType w:val="hybridMultilevel"/>
    <w:tmpl w:val="2220A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8208E9"/>
    <w:multiLevelType w:val="hybridMultilevel"/>
    <w:tmpl w:val="63042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8D45A73"/>
    <w:multiLevelType w:val="hybridMultilevel"/>
    <w:tmpl w:val="C9041F0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9287812"/>
    <w:multiLevelType w:val="hybridMultilevel"/>
    <w:tmpl w:val="324E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9786855"/>
    <w:multiLevelType w:val="hybridMultilevel"/>
    <w:tmpl w:val="8190E5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ABE4FF6"/>
    <w:multiLevelType w:val="hybridMultilevel"/>
    <w:tmpl w:val="5B92773C"/>
    <w:lvl w:ilvl="0" w:tplc="C7E6349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892442"/>
    <w:multiLevelType w:val="hybridMultilevel"/>
    <w:tmpl w:val="6980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D45D5E"/>
    <w:multiLevelType w:val="hybridMultilevel"/>
    <w:tmpl w:val="2FAC3DD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1B614C0"/>
    <w:multiLevelType w:val="multilevel"/>
    <w:tmpl w:val="2744D10C"/>
    <w:styleLink w:val="CurrentList7"/>
    <w:lvl w:ilvl="0">
      <w:start w:val="1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36C4C56"/>
    <w:multiLevelType w:val="hybridMultilevel"/>
    <w:tmpl w:val="8CFA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8331E1"/>
    <w:multiLevelType w:val="hybridMultilevel"/>
    <w:tmpl w:val="A594A29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5D25C6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47D0390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15:restartNumberingAfterBreak="0">
    <w:nsid w:val="48407C76"/>
    <w:multiLevelType w:val="hybridMultilevel"/>
    <w:tmpl w:val="4C3613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A9E64B6"/>
    <w:multiLevelType w:val="hybridMultilevel"/>
    <w:tmpl w:val="C972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CE944A3"/>
    <w:multiLevelType w:val="multilevel"/>
    <w:tmpl w:val="799A88C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4B57C07"/>
    <w:multiLevelType w:val="hybridMultilevel"/>
    <w:tmpl w:val="6750FBCE"/>
    <w:name w:val="AGSConfDash2"/>
    <w:lvl w:ilvl="0" w:tplc="C0FC22FA">
      <w:start w:val="1"/>
      <w:numFmt w:val="decimal"/>
      <w:lvlText w:val="%1."/>
      <w:lvlJc w:val="left"/>
      <w:pPr>
        <w:ind w:left="1033" w:hanging="360"/>
      </w:pPr>
      <w:rPr>
        <w:rFonts w:cs="Times New Roman" w:hint="default"/>
      </w:rPr>
    </w:lvl>
    <w:lvl w:ilvl="1" w:tplc="27B26494">
      <w:start w:val="1"/>
      <w:numFmt w:val="lowerLetter"/>
      <w:lvlText w:val="%2."/>
      <w:lvlJc w:val="left"/>
      <w:pPr>
        <w:ind w:left="1753" w:hanging="360"/>
      </w:pPr>
      <w:rPr>
        <w:rFonts w:cs="Times New Roman"/>
      </w:rPr>
    </w:lvl>
    <w:lvl w:ilvl="2" w:tplc="202A64FE">
      <w:start w:val="1"/>
      <w:numFmt w:val="lowerRoman"/>
      <w:lvlText w:val="%3."/>
      <w:lvlJc w:val="right"/>
      <w:pPr>
        <w:ind w:left="2473" w:hanging="180"/>
      </w:pPr>
      <w:rPr>
        <w:rFonts w:cs="Times New Roman"/>
      </w:rPr>
    </w:lvl>
    <w:lvl w:ilvl="3" w:tplc="EB386ACE" w:tentative="1">
      <w:start w:val="1"/>
      <w:numFmt w:val="decimal"/>
      <w:lvlText w:val="%4."/>
      <w:lvlJc w:val="left"/>
      <w:pPr>
        <w:ind w:left="3193" w:hanging="360"/>
      </w:pPr>
      <w:rPr>
        <w:rFonts w:cs="Times New Roman"/>
      </w:rPr>
    </w:lvl>
    <w:lvl w:ilvl="4" w:tplc="F4005CB0" w:tentative="1">
      <w:start w:val="1"/>
      <w:numFmt w:val="lowerLetter"/>
      <w:lvlText w:val="%5."/>
      <w:lvlJc w:val="left"/>
      <w:pPr>
        <w:ind w:left="3913" w:hanging="360"/>
      </w:pPr>
      <w:rPr>
        <w:rFonts w:cs="Times New Roman"/>
      </w:rPr>
    </w:lvl>
    <w:lvl w:ilvl="5" w:tplc="57E2EC3C" w:tentative="1">
      <w:start w:val="1"/>
      <w:numFmt w:val="lowerRoman"/>
      <w:lvlText w:val="%6."/>
      <w:lvlJc w:val="right"/>
      <w:pPr>
        <w:ind w:left="4633" w:hanging="180"/>
      </w:pPr>
      <w:rPr>
        <w:rFonts w:cs="Times New Roman"/>
      </w:rPr>
    </w:lvl>
    <w:lvl w:ilvl="6" w:tplc="3CDE95D6" w:tentative="1">
      <w:start w:val="1"/>
      <w:numFmt w:val="decimal"/>
      <w:lvlText w:val="%7."/>
      <w:lvlJc w:val="left"/>
      <w:pPr>
        <w:ind w:left="5353" w:hanging="360"/>
      </w:pPr>
      <w:rPr>
        <w:rFonts w:cs="Times New Roman"/>
      </w:rPr>
    </w:lvl>
    <w:lvl w:ilvl="7" w:tplc="BB8EA658" w:tentative="1">
      <w:start w:val="1"/>
      <w:numFmt w:val="lowerLetter"/>
      <w:lvlText w:val="%8."/>
      <w:lvlJc w:val="left"/>
      <w:pPr>
        <w:ind w:left="6073" w:hanging="360"/>
      </w:pPr>
      <w:rPr>
        <w:rFonts w:cs="Times New Roman"/>
      </w:rPr>
    </w:lvl>
    <w:lvl w:ilvl="8" w:tplc="06CC3BBE" w:tentative="1">
      <w:start w:val="1"/>
      <w:numFmt w:val="lowerRoman"/>
      <w:lvlText w:val="%9."/>
      <w:lvlJc w:val="right"/>
      <w:pPr>
        <w:ind w:left="6793" w:hanging="180"/>
      </w:pPr>
      <w:rPr>
        <w:rFonts w:cs="Times New Roman"/>
      </w:rPr>
    </w:lvl>
  </w:abstractNum>
  <w:abstractNum w:abstractNumId="56" w15:restartNumberingAfterBreak="0">
    <w:nsid w:val="5B2C66C9"/>
    <w:multiLevelType w:val="hybridMultilevel"/>
    <w:tmpl w:val="EA8813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BDB1C20"/>
    <w:multiLevelType w:val="multilevel"/>
    <w:tmpl w:val="B0EE076C"/>
    <w:lvl w:ilvl="0">
      <w:start w:val="1"/>
      <w:numFmt w:val="decimal"/>
      <w:pStyle w:val="MENoIndent1"/>
      <w:suff w:val="space"/>
      <w:lvlText w:val="%1."/>
      <w:lvlJc w:val="left"/>
      <w:pPr>
        <w:ind w:left="0" w:firstLine="0"/>
      </w:pPr>
      <w:rPr>
        <w:rFonts w:hint="default"/>
      </w:rPr>
    </w:lvl>
    <w:lvl w:ilvl="1">
      <w:start w:val="1"/>
      <w:numFmt w:val="decimal"/>
      <w:pStyle w:val="MENoIndent2"/>
      <w:suff w:val="space"/>
      <w:lvlText w:val="%1.%2"/>
      <w:lvlJc w:val="left"/>
      <w:pPr>
        <w:ind w:left="0" w:firstLine="0"/>
      </w:pPr>
      <w:rPr>
        <w:rFonts w:hint="default"/>
      </w:rPr>
    </w:lvl>
    <w:lvl w:ilvl="2">
      <w:start w:val="1"/>
      <w:numFmt w:val="lowerLetter"/>
      <w:pStyle w:val="MENoIndent3"/>
      <w:suff w:val="space"/>
      <w:lvlText w:val="(%3)"/>
      <w:lvlJc w:val="left"/>
      <w:pPr>
        <w:ind w:left="0" w:firstLine="0"/>
      </w:pPr>
      <w:rPr>
        <w:rFonts w:hint="default"/>
      </w:rPr>
    </w:lvl>
    <w:lvl w:ilvl="3">
      <w:start w:val="1"/>
      <w:numFmt w:val="lowerRoman"/>
      <w:pStyle w:val="MENoIndent4"/>
      <w:suff w:val="space"/>
      <w:lvlText w:val="(%4)"/>
      <w:lvlJc w:val="left"/>
      <w:pPr>
        <w:ind w:left="0" w:firstLine="0"/>
      </w:pPr>
      <w:rPr>
        <w:rFonts w:hint="default"/>
      </w:rPr>
    </w:lvl>
    <w:lvl w:ilvl="4">
      <w:start w:val="1"/>
      <w:numFmt w:val="upperLetter"/>
      <w:pStyle w:val="MENoIndent5"/>
      <w:suff w:val="space"/>
      <w:lvlText w:val="(%5)"/>
      <w:lvlJc w:val="left"/>
      <w:pPr>
        <w:ind w:left="0" w:firstLine="0"/>
      </w:pPr>
      <w:rPr>
        <w:rFonts w:hint="default"/>
      </w:rPr>
    </w:lvl>
    <w:lvl w:ilvl="5">
      <w:start w:val="1"/>
      <w:numFmt w:val="upperRoman"/>
      <w:pStyle w:val="MENoIndent6"/>
      <w:suff w:val="space"/>
      <w:lvlText w:val="(%6)"/>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8" w15:restartNumberingAfterBreak="0">
    <w:nsid w:val="5D4C05C9"/>
    <w:multiLevelType w:val="hybridMultilevel"/>
    <w:tmpl w:val="26D65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EE1219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5FA76763"/>
    <w:multiLevelType w:val="multilevel"/>
    <w:tmpl w:val="672EA5C4"/>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33411F2"/>
    <w:multiLevelType w:val="singleLevel"/>
    <w:tmpl w:val="90524780"/>
    <w:lvl w:ilvl="0">
      <w:numFmt w:val="none"/>
      <w:pStyle w:val="Heading"/>
      <w:lvlText w:val=""/>
      <w:legacy w:legacy="1" w:legacySpace="0" w:legacyIndent="360"/>
      <w:lvlJc w:val="left"/>
      <w:pPr>
        <w:ind w:left="360" w:hanging="360"/>
      </w:pPr>
      <w:rPr>
        <w:rFonts w:ascii="Times New Roman" w:hAnsi="Times New Roman" w:hint="default"/>
      </w:rPr>
    </w:lvl>
  </w:abstractNum>
  <w:abstractNum w:abstractNumId="62" w15:restartNumberingAfterBreak="0">
    <w:nsid w:val="634D52F1"/>
    <w:multiLevelType w:val="hybridMultilevel"/>
    <w:tmpl w:val="97CAB8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44E6124"/>
    <w:multiLevelType w:val="multilevel"/>
    <w:tmpl w:val="AA58A57E"/>
    <w:lvl w:ilvl="0">
      <w:start w:val="1"/>
      <w:numFmt w:val="decimal"/>
      <w:lvlText w:val="%1."/>
      <w:lvlJc w:val="left"/>
      <w:pPr>
        <w:tabs>
          <w:tab w:val="num" w:pos="680"/>
        </w:tabs>
        <w:ind w:left="680" w:hanging="680"/>
      </w:pPr>
      <w:rPr>
        <w:rFonts w:ascii="Times New Roman" w:hAnsi="Times New Roman" w:cs="Times New Roman" w:hint="default"/>
        <w:b w:val="0"/>
        <w:bCs/>
        <w:sz w:val="20"/>
        <w:szCs w:val="20"/>
      </w:rPr>
    </w:lvl>
    <w:lvl w:ilvl="1">
      <w:start w:val="1"/>
      <w:numFmt w:val="decimal"/>
      <w:pStyle w:val="MEBasic2"/>
      <w:lvlText w:val="%1.%2"/>
      <w:lvlJc w:val="left"/>
      <w:pPr>
        <w:tabs>
          <w:tab w:val="num" w:pos="680"/>
        </w:tabs>
        <w:ind w:left="680" w:hanging="680"/>
      </w:pPr>
      <w:rPr>
        <w:rFonts w:hint="default"/>
      </w:rPr>
    </w:lvl>
    <w:lvl w:ilvl="2">
      <w:start w:val="1"/>
      <w:numFmt w:val="lowerLetter"/>
      <w:pStyle w:val="MEBasic3"/>
      <w:lvlText w:val="(%3)"/>
      <w:lvlJc w:val="left"/>
      <w:pPr>
        <w:tabs>
          <w:tab w:val="num" w:pos="1361"/>
        </w:tabs>
        <w:ind w:left="1361" w:hanging="681"/>
      </w:pPr>
      <w:rPr>
        <w:rFonts w:hint="default"/>
      </w:rPr>
    </w:lvl>
    <w:lvl w:ilvl="3">
      <w:start w:val="1"/>
      <w:numFmt w:val="lowerRoman"/>
      <w:pStyle w:val="MEBasic4"/>
      <w:lvlText w:val="(%4)"/>
      <w:lvlJc w:val="left"/>
      <w:pPr>
        <w:tabs>
          <w:tab w:val="num" w:pos="2041"/>
        </w:tabs>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4" w15:restartNumberingAfterBreak="0">
    <w:nsid w:val="65BF158D"/>
    <w:multiLevelType w:val="hybridMultilevel"/>
    <w:tmpl w:val="D898C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78403B7"/>
    <w:multiLevelType w:val="multilevel"/>
    <w:tmpl w:val="799A88CA"/>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7DE6FA6"/>
    <w:multiLevelType w:val="multilevel"/>
    <w:tmpl w:val="32CC38CA"/>
    <w:styleLink w:val="CurrentList5"/>
    <w:lvl w:ilvl="0">
      <w:start w:val="8"/>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7E63C4F"/>
    <w:multiLevelType w:val="hybridMultilevel"/>
    <w:tmpl w:val="1BB67D8A"/>
    <w:name w:val="AGSClause2"/>
    <w:lvl w:ilvl="0" w:tplc="0FCA2B86">
      <w:start w:val="1"/>
      <w:numFmt w:val="decimal"/>
      <w:lvlText w:val="%1."/>
      <w:lvlJc w:val="left"/>
      <w:pPr>
        <w:tabs>
          <w:tab w:val="num" w:pos="965"/>
        </w:tabs>
        <w:ind w:left="965" w:hanging="360"/>
      </w:pPr>
      <w:rPr>
        <w:rFonts w:cs="Times New Roman"/>
      </w:rPr>
    </w:lvl>
    <w:lvl w:ilvl="1" w:tplc="0A860D60">
      <w:start w:val="1"/>
      <w:numFmt w:val="lowerLetter"/>
      <w:lvlText w:val="%2."/>
      <w:lvlJc w:val="left"/>
      <w:pPr>
        <w:tabs>
          <w:tab w:val="num" w:pos="1685"/>
        </w:tabs>
        <w:ind w:left="1685" w:hanging="360"/>
      </w:pPr>
      <w:rPr>
        <w:rFonts w:cs="Times New Roman"/>
      </w:rPr>
    </w:lvl>
    <w:lvl w:ilvl="2" w:tplc="80A259D6">
      <w:start w:val="1"/>
      <w:numFmt w:val="lowerRoman"/>
      <w:lvlText w:val="%3."/>
      <w:lvlJc w:val="right"/>
      <w:pPr>
        <w:tabs>
          <w:tab w:val="num" w:pos="2405"/>
        </w:tabs>
        <w:ind w:left="2405" w:hanging="180"/>
      </w:pPr>
      <w:rPr>
        <w:rFonts w:cs="Times New Roman"/>
      </w:rPr>
    </w:lvl>
    <w:lvl w:ilvl="3" w:tplc="E9E2411A">
      <w:start w:val="1"/>
      <w:numFmt w:val="decimal"/>
      <w:lvlText w:val="%4."/>
      <w:lvlJc w:val="left"/>
      <w:pPr>
        <w:tabs>
          <w:tab w:val="num" w:pos="3125"/>
        </w:tabs>
        <w:ind w:left="3125" w:hanging="360"/>
      </w:pPr>
      <w:rPr>
        <w:rFonts w:cs="Times New Roman"/>
      </w:rPr>
    </w:lvl>
    <w:lvl w:ilvl="4" w:tplc="D688B566">
      <w:start w:val="1"/>
      <w:numFmt w:val="lowerLetter"/>
      <w:lvlText w:val="%5."/>
      <w:lvlJc w:val="left"/>
      <w:pPr>
        <w:tabs>
          <w:tab w:val="num" w:pos="3845"/>
        </w:tabs>
        <w:ind w:left="3845" w:hanging="360"/>
      </w:pPr>
      <w:rPr>
        <w:rFonts w:cs="Times New Roman"/>
      </w:rPr>
    </w:lvl>
    <w:lvl w:ilvl="5" w:tplc="B9CC5452">
      <w:start w:val="1"/>
      <w:numFmt w:val="lowerRoman"/>
      <w:lvlText w:val="%6."/>
      <w:lvlJc w:val="right"/>
      <w:pPr>
        <w:tabs>
          <w:tab w:val="num" w:pos="4565"/>
        </w:tabs>
        <w:ind w:left="4565" w:hanging="180"/>
      </w:pPr>
      <w:rPr>
        <w:rFonts w:cs="Times New Roman"/>
      </w:rPr>
    </w:lvl>
    <w:lvl w:ilvl="6" w:tplc="49689044">
      <w:start w:val="1"/>
      <w:numFmt w:val="decimal"/>
      <w:lvlText w:val="%7."/>
      <w:lvlJc w:val="left"/>
      <w:pPr>
        <w:tabs>
          <w:tab w:val="num" w:pos="5285"/>
        </w:tabs>
        <w:ind w:left="5285" w:hanging="360"/>
      </w:pPr>
      <w:rPr>
        <w:rFonts w:cs="Times New Roman"/>
      </w:rPr>
    </w:lvl>
    <w:lvl w:ilvl="7" w:tplc="05E0A884">
      <w:start w:val="1"/>
      <w:numFmt w:val="lowerLetter"/>
      <w:lvlText w:val="%8."/>
      <w:lvlJc w:val="left"/>
      <w:pPr>
        <w:tabs>
          <w:tab w:val="num" w:pos="6005"/>
        </w:tabs>
        <w:ind w:left="6005" w:hanging="360"/>
      </w:pPr>
      <w:rPr>
        <w:rFonts w:cs="Times New Roman"/>
      </w:rPr>
    </w:lvl>
    <w:lvl w:ilvl="8" w:tplc="4F329724">
      <w:start w:val="1"/>
      <w:numFmt w:val="lowerRoman"/>
      <w:lvlText w:val="%9."/>
      <w:lvlJc w:val="right"/>
      <w:pPr>
        <w:tabs>
          <w:tab w:val="num" w:pos="6725"/>
        </w:tabs>
        <w:ind w:left="6725" w:hanging="180"/>
      </w:pPr>
      <w:rPr>
        <w:rFonts w:cs="Times New Roman"/>
      </w:rPr>
    </w:lvl>
  </w:abstractNum>
  <w:abstractNum w:abstractNumId="68" w15:restartNumberingAfterBreak="0">
    <w:nsid w:val="69DB38AC"/>
    <w:multiLevelType w:val="multilevel"/>
    <w:tmpl w:val="C8C4A0D8"/>
    <w:lvl w:ilvl="0">
      <w:start w:val="1"/>
      <w:numFmt w:val="decimal"/>
      <w:pStyle w:val="PartL1"/>
      <w:suff w:val="nothing"/>
      <w:lvlText w:val="Part %1"/>
      <w:lvlJc w:val="left"/>
      <w:pPr>
        <w:ind w:left="0" w:firstLine="0"/>
      </w:pPr>
      <w:rPr>
        <w:rFonts w:hint="default"/>
      </w:rPr>
    </w:lvl>
    <w:lvl w:ilvl="1">
      <w:start w:val="1"/>
      <w:numFmt w:val="none"/>
      <w:lvlText w:val=""/>
      <w:lvlJc w:val="left"/>
      <w:pPr>
        <w:tabs>
          <w:tab w:val="num" w:pos="360"/>
        </w:tabs>
        <w:ind w:left="0" w:firstLine="0"/>
      </w:pPr>
      <w:rPr>
        <w:rFonts w:hint="default"/>
      </w:rPr>
    </w:lvl>
    <w:lvl w:ilvl="2">
      <w:start w:val="1"/>
      <w:numFmt w:val="none"/>
      <w:lvlText w:val=""/>
      <w:lvlJc w:val="left"/>
      <w:pPr>
        <w:tabs>
          <w:tab w:val="num" w:pos="360"/>
        </w:tabs>
        <w:ind w:left="0" w:firstLine="0"/>
      </w:pPr>
      <w:rPr>
        <w:rFonts w:hint="default"/>
      </w:rPr>
    </w:lvl>
    <w:lvl w:ilvl="3">
      <w:start w:val="1"/>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69" w15:restartNumberingAfterBreak="0">
    <w:nsid w:val="6A103D69"/>
    <w:multiLevelType w:val="hybridMultilevel"/>
    <w:tmpl w:val="AFBE88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B1420C2"/>
    <w:multiLevelType w:val="multilevel"/>
    <w:tmpl w:val="25522C3E"/>
    <w:lvl w:ilvl="0">
      <w:start w:val="1"/>
      <w:numFmt w:val="decimal"/>
      <w:pStyle w:val="ScheduleL1"/>
      <w:suff w:val="nothing"/>
      <w:lvlText w:val="Schedule %1"/>
      <w:lvlJc w:val="left"/>
      <w:pPr>
        <w:ind w:left="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8"/>
      <w:lvlJc w:val="left"/>
      <w:pPr>
        <w:ind w:left="0" w:firstLine="0"/>
      </w:pPr>
      <w:rPr>
        <w:rFonts w:hint="default"/>
      </w:rPr>
    </w:lvl>
    <w:lvl w:ilvl="8">
      <w:start w:val="1"/>
      <w:numFmt w:val="none"/>
      <w:pStyle w:val="Heading9"/>
      <w:suff w:val="nothing"/>
      <w:lvlText w:val="%9"/>
      <w:lvlJc w:val="left"/>
      <w:pPr>
        <w:ind w:left="0" w:firstLine="0"/>
      </w:pPr>
      <w:rPr>
        <w:rFonts w:hint="default"/>
      </w:rPr>
    </w:lvl>
  </w:abstractNum>
  <w:abstractNum w:abstractNumId="71" w15:restartNumberingAfterBreak="0">
    <w:nsid w:val="6C6F3CDB"/>
    <w:multiLevelType w:val="hybridMultilevel"/>
    <w:tmpl w:val="B9940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CAA1048"/>
    <w:multiLevelType w:val="singleLevel"/>
    <w:tmpl w:val="BB3433B8"/>
    <w:lvl w:ilvl="0">
      <w:start w:val="1"/>
      <w:numFmt w:val="lowerLetter"/>
      <w:pStyle w:val="IndentA"/>
      <w:lvlText w:val="%1."/>
      <w:legacy w:legacy="1" w:legacySpace="0" w:legacyIndent="851"/>
      <w:lvlJc w:val="left"/>
      <w:pPr>
        <w:ind w:left="2051" w:hanging="851"/>
      </w:pPr>
    </w:lvl>
  </w:abstractNum>
  <w:abstractNum w:abstractNumId="73" w15:restartNumberingAfterBreak="0">
    <w:nsid w:val="70DA281A"/>
    <w:multiLevelType w:val="hybridMultilevel"/>
    <w:tmpl w:val="3982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B302126"/>
    <w:multiLevelType w:val="multilevel"/>
    <w:tmpl w:val="37C4D75E"/>
    <w:lvl w:ilvl="0">
      <w:start w:val="1"/>
      <w:numFmt w:val="decimal"/>
      <w:pStyle w:val="ScheduleHeading"/>
      <w:lvlText w:val="Schedule %1"/>
      <w:lvlJc w:val="left"/>
      <w:pPr>
        <w:tabs>
          <w:tab w:val="num" w:pos="1418"/>
        </w:tabs>
        <w:ind w:left="1418" w:hanging="1418"/>
      </w:pPr>
      <w:rPr>
        <w:rFonts w:cs="Times New Roman" w:hint="default"/>
      </w:rPr>
    </w:lvl>
    <w:lvl w:ilvl="1">
      <w:start w:val="1"/>
      <w:numFmt w:val="upperLetter"/>
      <w:pStyle w:val="ScheduleLevel1"/>
      <w:lvlText w:val="%2."/>
      <w:lvlJc w:val="left"/>
      <w:pPr>
        <w:tabs>
          <w:tab w:val="num" w:pos="1134"/>
        </w:tabs>
        <w:ind w:left="1134" w:hanging="1134"/>
      </w:pPr>
      <w:rPr>
        <w:rFonts w:cs="Times New Roman" w:hint="default"/>
      </w:rPr>
    </w:lvl>
    <w:lvl w:ilvl="2">
      <w:start w:val="1"/>
      <w:numFmt w:val="decimal"/>
      <w:lvlText w:val="%2.%3."/>
      <w:lvlJc w:val="left"/>
      <w:pPr>
        <w:tabs>
          <w:tab w:val="num" w:pos="1134"/>
        </w:tabs>
        <w:ind w:left="1134" w:hanging="1134"/>
      </w:pPr>
      <w:rPr>
        <w:rFonts w:cs="Times New Roman" w:hint="default"/>
      </w:rPr>
    </w:lvl>
    <w:lvl w:ilvl="3">
      <w:start w:val="1"/>
      <w:numFmt w:val="decimal"/>
      <w:lvlText w:val="%2.%3.%4."/>
      <w:lvlJc w:val="left"/>
      <w:pPr>
        <w:tabs>
          <w:tab w:val="num" w:pos="1134"/>
        </w:tabs>
        <w:ind w:left="1134" w:hanging="1134"/>
      </w:pPr>
      <w:rPr>
        <w:rFonts w:cs="Times New Roman" w:hint="default"/>
      </w:rPr>
    </w:lvl>
    <w:lvl w:ilvl="4">
      <w:start w:val="1"/>
      <w:numFmt w:val="lowerLetter"/>
      <w:lvlText w:val="%5."/>
      <w:lvlJc w:val="left"/>
      <w:pPr>
        <w:tabs>
          <w:tab w:val="num" w:pos="1418"/>
        </w:tabs>
        <w:ind w:left="1418" w:hanging="425"/>
      </w:pPr>
      <w:rPr>
        <w:rFonts w:cs="Times New Roman" w:hint="default"/>
      </w:rPr>
    </w:lvl>
    <w:lvl w:ilvl="5">
      <w:start w:val="1"/>
      <w:numFmt w:val="lowerRoman"/>
      <w:lvlText w:val="%6."/>
      <w:lvlJc w:val="left"/>
      <w:pPr>
        <w:tabs>
          <w:tab w:val="num" w:pos="1985"/>
        </w:tabs>
        <w:ind w:left="1985" w:hanging="426"/>
      </w:pPr>
      <w:rPr>
        <w:rFonts w:cs="Times New Roman" w:hint="default"/>
      </w:rPr>
    </w:lvl>
    <w:lvl w:ilvl="6">
      <w:start w:val="1"/>
      <w:numFmt w:val="upperLetter"/>
      <w:lvlText w:val="%7."/>
      <w:lvlJc w:val="left"/>
      <w:pPr>
        <w:tabs>
          <w:tab w:val="num" w:pos="2410"/>
        </w:tabs>
        <w:ind w:left="2410" w:hanging="425"/>
      </w:pPr>
      <w:rPr>
        <w:rFonts w:cs="Times New Roman" w:hint="default"/>
      </w:rPr>
    </w:lvl>
    <w:lvl w:ilvl="7">
      <w:start w:val="1"/>
      <w:numFmt w:val="upperLetter"/>
      <w:lvlText w:val="%8."/>
      <w:lvlJc w:val="left"/>
      <w:pPr>
        <w:tabs>
          <w:tab w:val="num" w:pos="1985"/>
        </w:tabs>
        <w:ind w:left="1985" w:hanging="426"/>
      </w:pPr>
      <w:rPr>
        <w:rFonts w:cs="Times New Roman" w:hint="default"/>
      </w:rPr>
    </w:lvl>
    <w:lvl w:ilvl="8">
      <w:start w:val="1"/>
      <w:numFmt w:val="upperLetter"/>
      <w:lvlText w:val="%9."/>
      <w:lvlJc w:val="left"/>
      <w:pPr>
        <w:tabs>
          <w:tab w:val="num" w:pos="1985"/>
        </w:tabs>
        <w:ind w:left="1985" w:hanging="426"/>
      </w:pPr>
      <w:rPr>
        <w:rFonts w:cs="Times New Roman" w:hint="default"/>
      </w:rPr>
    </w:lvl>
  </w:abstractNum>
  <w:abstractNum w:abstractNumId="75" w15:restartNumberingAfterBreak="0">
    <w:nsid w:val="7C0B7F25"/>
    <w:multiLevelType w:val="multilevel"/>
    <w:tmpl w:val="4ED840FA"/>
    <w:name w:val="AGSQA2"/>
    <w:lvl w:ilvl="0">
      <w:start w:val="1"/>
      <w:numFmt w:val="decimal"/>
      <w:lvlText w:val="Schedule %1."/>
      <w:lvlJc w:val="left"/>
      <w:pPr>
        <w:tabs>
          <w:tab w:val="num" w:pos="1418"/>
        </w:tabs>
        <w:ind w:left="1418" w:hanging="1418"/>
      </w:pPr>
      <w:rPr>
        <w:rFonts w:cs="Times New Roman" w:hint="default"/>
      </w:rPr>
    </w:lvl>
    <w:lvl w:ilvl="1">
      <w:start w:val="1"/>
      <w:numFmt w:val="decimal"/>
      <w:lvlText w:val="%2."/>
      <w:lvlJc w:val="left"/>
      <w:pPr>
        <w:tabs>
          <w:tab w:val="num" w:pos="1134"/>
        </w:tabs>
        <w:ind w:left="1134" w:hanging="1134"/>
      </w:pPr>
      <w:rPr>
        <w:rFonts w:cs="Times New Roman" w:hint="default"/>
      </w:rPr>
    </w:lvl>
    <w:lvl w:ilvl="2">
      <w:start w:val="1"/>
      <w:numFmt w:val="decimal"/>
      <w:lvlText w:val="%2.%3."/>
      <w:lvlJc w:val="left"/>
      <w:pPr>
        <w:tabs>
          <w:tab w:val="num" w:pos="1134"/>
        </w:tabs>
        <w:ind w:left="1134" w:hanging="1134"/>
      </w:pPr>
      <w:rPr>
        <w:rFonts w:cs="Times New Roman" w:hint="default"/>
      </w:rPr>
    </w:lvl>
    <w:lvl w:ilvl="3">
      <w:start w:val="1"/>
      <w:numFmt w:val="lowerLetter"/>
      <w:lvlText w:val="%4."/>
      <w:lvlJc w:val="left"/>
      <w:pPr>
        <w:tabs>
          <w:tab w:val="num" w:pos="1559"/>
        </w:tabs>
        <w:ind w:left="1559" w:hanging="425"/>
      </w:pPr>
      <w:rPr>
        <w:rFonts w:cs="Times New Roman" w:hint="default"/>
        <w:color w:val="auto"/>
      </w:rPr>
    </w:lvl>
    <w:lvl w:ilvl="4">
      <w:start w:val="1"/>
      <w:numFmt w:val="lowerRoman"/>
      <w:lvlText w:val="%5."/>
      <w:lvlJc w:val="left"/>
      <w:pPr>
        <w:tabs>
          <w:tab w:val="num" w:pos="1985"/>
        </w:tabs>
        <w:ind w:left="1985" w:hanging="426"/>
      </w:pPr>
      <w:rPr>
        <w:rFonts w:cs="Times New Roman" w:hint="default"/>
      </w:rPr>
    </w:lvl>
    <w:lvl w:ilvl="5">
      <w:start w:val="1"/>
      <w:numFmt w:val="upperLetter"/>
      <w:lvlText w:val="%6."/>
      <w:lvlJc w:val="left"/>
      <w:pPr>
        <w:tabs>
          <w:tab w:val="num" w:pos="2410"/>
        </w:tabs>
        <w:ind w:left="2410" w:hanging="425"/>
      </w:pPr>
      <w:rPr>
        <w:rFonts w:cs="Times New Roman" w:hint="default"/>
      </w:rPr>
    </w:lvl>
    <w:lvl w:ilvl="6">
      <w:start w:val="1"/>
      <w:numFmt w:val="upperLetter"/>
      <w:lvlText w:val="%7."/>
      <w:lvlJc w:val="left"/>
      <w:pPr>
        <w:tabs>
          <w:tab w:val="num" w:pos="1985"/>
        </w:tabs>
        <w:ind w:left="1985" w:hanging="426"/>
      </w:pPr>
      <w:rPr>
        <w:rFonts w:cs="Times New Roman" w:hint="default"/>
      </w:rPr>
    </w:lvl>
    <w:lvl w:ilvl="7">
      <w:start w:val="1"/>
      <w:numFmt w:val="upperLetter"/>
      <w:lvlText w:val="%8."/>
      <w:lvlJc w:val="left"/>
      <w:pPr>
        <w:tabs>
          <w:tab w:val="num" w:pos="1985"/>
        </w:tabs>
        <w:ind w:left="1985" w:hanging="426"/>
      </w:pPr>
      <w:rPr>
        <w:rFonts w:cs="Times New Roman" w:hint="default"/>
      </w:rPr>
    </w:lvl>
    <w:lvl w:ilvl="8">
      <w:start w:val="1"/>
      <w:numFmt w:val="upperLetter"/>
      <w:lvlText w:val="%9."/>
      <w:lvlJc w:val="left"/>
      <w:pPr>
        <w:tabs>
          <w:tab w:val="num" w:pos="1985"/>
        </w:tabs>
        <w:ind w:left="1985" w:hanging="426"/>
      </w:pPr>
      <w:rPr>
        <w:rFonts w:cs="Times New Roman" w:hint="default"/>
      </w:rPr>
    </w:lvl>
  </w:abstractNum>
  <w:abstractNum w:abstractNumId="76" w15:restartNumberingAfterBreak="0">
    <w:nsid w:val="7D184D52"/>
    <w:multiLevelType w:val="hybridMultilevel"/>
    <w:tmpl w:val="292CF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F4B2A8D"/>
    <w:multiLevelType w:val="multilevel"/>
    <w:tmpl w:val="57E8F206"/>
    <w:styleLink w:val="CurrentList6"/>
    <w:lvl w:ilvl="0">
      <w:start w:val="1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6893463">
    <w:abstractNumId w:val="11"/>
  </w:num>
  <w:num w:numId="2" w16cid:durableId="2035225112">
    <w:abstractNumId w:val="7"/>
  </w:num>
  <w:num w:numId="3" w16cid:durableId="1316177423">
    <w:abstractNumId w:val="33"/>
  </w:num>
  <w:num w:numId="4" w16cid:durableId="148332117">
    <w:abstractNumId w:val="74"/>
  </w:num>
  <w:num w:numId="5" w16cid:durableId="1049109190">
    <w:abstractNumId w:val="70"/>
  </w:num>
  <w:num w:numId="6" w16cid:durableId="430127995">
    <w:abstractNumId w:val="25"/>
  </w:num>
  <w:num w:numId="7" w16cid:durableId="1427656333">
    <w:abstractNumId w:val="19"/>
  </w:num>
  <w:num w:numId="8" w16cid:durableId="585655291">
    <w:abstractNumId w:val="68"/>
  </w:num>
  <w:num w:numId="9" w16cid:durableId="121267614">
    <w:abstractNumId w:val="50"/>
  </w:num>
  <w:num w:numId="10" w16cid:durableId="1651905531">
    <w:abstractNumId w:val="59"/>
  </w:num>
  <w:num w:numId="11" w16cid:durableId="1795368541">
    <w:abstractNumId w:val="51"/>
  </w:num>
  <w:num w:numId="12" w16cid:durableId="74592523">
    <w:abstractNumId w:val="6"/>
  </w:num>
  <w:num w:numId="13" w16cid:durableId="989750578">
    <w:abstractNumId w:val="5"/>
  </w:num>
  <w:num w:numId="14" w16cid:durableId="1730494213">
    <w:abstractNumId w:val="4"/>
  </w:num>
  <w:num w:numId="15" w16cid:durableId="1892568347">
    <w:abstractNumId w:val="8"/>
  </w:num>
  <w:num w:numId="16" w16cid:durableId="32538402">
    <w:abstractNumId w:val="3"/>
  </w:num>
  <w:num w:numId="17" w16cid:durableId="767235054">
    <w:abstractNumId w:val="2"/>
  </w:num>
  <w:num w:numId="18" w16cid:durableId="2049523356">
    <w:abstractNumId w:val="1"/>
  </w:num>
  <w:num w:numId="19" w16cid:durableId="489366993">
    <w:abstractNumId w:val="0"/>
  </w:num>
  <w:num w:numId="20" w16cid:durableId="188689296">
    <w:abstractNumId w:val="57"/>
  </w:num>
  <w:num w:numId="21" w16cid:durableId="656229798">
    <w:abstractNumId w:val="13"/>
  </w:num>
  <w:num w:numId="22" w16cid:durableId="1501584561">
    <w:abstractNumId w:val="61"/>
  </w:num>
  <w:num w:numId="23" w16cid:durableId="901452594">
    <w:abstractNumId w:val="63"/>
  </w:num>
  <w:num w:numId="24" w16cid:durableId="1578057616">
    <w:abstractNumId w:val="72"/>
  </w:num>
  <w:num w:numId="25" w16cid:durableId="1891460101">
    <w:abstractNumId w:val="21"/>
  </w:num>
  <w:num w:numId="26" w16cid:durableId="1950700917">
    <w:abstractNumId w:val="26"/>
  </w:num>
  <w:num w:numId="27" w16cid:durableId="1927490776">
    <w:abstractNumId w:val="31"/>
  </w:num>
  <w:num w:numId="28" w16cid:durableId="1551725667">
    <w:abstractNumId w:val="15"/>
  </w:num>
  <w:num w:numId="29" w16cid:durableId="1683387338">
    <w:abstractNumId w:val="44"/>
  </w:num>
  <w:num w:numId="30" w16cid:durableId="1034841920">
    <w:abstractNumId w:val="18"/>
  </w:num>
  <w:num w:numId="31" w16cid:durableId="474444807">
    <w:abstractNumId w:val="40"/>
  </w:num>
  <w:num w:numId="32" w16cid:durableId="142698975">
    <w:abstractNumId w:val="36"/>
  </w:num>
  <w:num w:numId="33" w16cid:durableId="1545285612">
    <w:abstractNumId w:val="37"/>
  </w:num>
  <w:num w:numId="34" w16cid:durableId="459419524">
    <w:abstractNumId w:val="60"/>
  </w:num>
  <w:num w:numId="35" w16cid:durableId="550118343">
    <w:abstractNumId w:val="54"/>
  </w:num>
  <w:num w:numId="36" w16cid:durableId="2073917039">
    <w:abstractNumId w:val="65"/>
  </w:num>
  <w:num w:numId="37" w16cid:durableId="466360247">
    <w:abstractNumId w:val="29"/>
  </w:num>
  <w:num w:numId="38" w16cid:durableId="143859654">
    <w:abstractNumId w:val="66"/>
  </w:num>
  <w:num w:numId="39" w16cid:durableId="1612006154">
    <w:abstractNumId w:val="77"/>
  </w:num>
  <w:num w:numId="40" w16cid:durableId="827475171">
    <w:abstractNumId w:val="47"/>
  </w:num>
  <w:num w:numId="41" w16cid:durableId="1067528921">
    <w:abstractNumId w:val="34"/>
  </w:num>
  <w:num w:numId="42" w16cid:durableId="259681768">
    <w:abstractNumId w:val="12"/>
  </w:num>
  <w:num w:numId="43" w16cid:durableId="422334441">
    <w:abstractNumId w:val="49"/>
  </w:num>
  <w:num w:numId="44" w16cid:durableId="458185635">
    <w:abstractNumId w:val="64"/>
  </w:num>
  <w:num w:numId="45" w16cid:durableId="1019087958">
    <w:abstractNumId w:val="24"/>
  </w:num>
  <w:num w:numId="46" w16cid:durableId="1225531348">
    <w:abstractNumId w:val="71"/>
  </w:num>
  <w:num w:numId="47" w16cid:durableId="1951157185">
    <w:abstractNumId w:val="17"/>
  </w:num>
  <w:num w:numId="48" w16cid:durableId="416680613">
    <w:abstractNumId w:val="39"/>
  </w:num>
  <w:num w:numId="49" w16cid:durableId="1919555436">
    <w:abstractNumId w:val="35"/>
  </w:num>
  <w:num w:numId="50" w16cid:durableId="948510033">
    <w:abstractNumId w:val="20"/>
  </w:num>
  <w:num w:numId="51" w16cid:durableId="1035886816">
    <w:abstractNumId w:val="23"/>
  </w:num>
  <w:num w:numId="52" w16cid:durableId="425154184">
    <w:abstractNumId w:val="9"/>
  </w:num>
  <w:num w:numId="53" w16cid:durableId="1311905509">
    <w:abstractNumId w:val="73"/>
  </w:num>
  <w:num w:numId="54" w16cid:durableId="933587130">
    <w:abstractNumId w:val="22"/>
  </w:num>
  <w:num w:numId="55" w16cid:durableId="1093667027">
    <w:abstractNumId w:val="53"/>
  </w:num>
  <w:num w:numId="56" w16cid:durableId="791946505">
    <w:abstractNumId w:val="45"/>
  </w:num>
  <w:num w:numId="57" w16cid:durableId="974724695">
    <w:abstractNumId w:val="16"/>
  </w:num>
  <w:num w:numId="58" w16cid:durableId="1870292717">
    <w:abstractNumId w:val="43"/>
  </w:num>
  <w:num w:numId="59" w16cid:durableId="476459152">
    <w:abstractNumId w:val="41"/>
  </w:num>
  <w:num w:numId="60" w16cid:durableId="399055950">
    <w:abstractNumId w:val="56"/>
  </w:num>
  <w:num w:numId="61" w16cid:durableId="1619874518">
    <w:abstractNumId w:val="58"/>
  </w:num>
  <w:num w:numId="62" w16cid:durableId="1622227704">
    <w:abstractNumId w:val="10"/>
  </w:num>
  <w:num w:numId="63" w16cid:durableId="645360023">
    <w:abstractNumId w:val="27"/>
  </w:num>
  <w:num w:numId="64" w16cid:durableId="343673455">
    <w:abstractNumId w:val="62"/>
  </w:num>
  <w:num w:numId="65" w16cid:durableId="2098095618">
    <w:abstractNumId w:val="69"/>
  </w:num>
  <w:num w:numId="66" w16cid:durableId="2123189231">
    <w:abstractNumId w:val="52"/>
  </w:num>
  <w:num w:numId="67" w16cid:durableId="1566573683">
    <w:abstractNumId w:val="28"/>
  </w:num>
  <w:num w:numId="68" w16cid:durableId="214631060">
    <w:abstractNumId w:val="14"/>
  </w:num>
  <w:num w:numId="69" w16cid:durableId="1052384778">
    <w:abstractNumId w:val="38"/>
  </w:num>
  <w:num w:numId="70" w16cid:durableId="2097090559">
    <w:abstractNumId w:val="46"/>
  </w:num>
  <w:num w:numId="71" w16cid:durableId="101918520">
    <w:abstractNumId w:val="30"/>
  </w:num>
  <w:num w:numId="72" w16cid:durableId="1827938153">
    <w:abstractNumId w:val="48"/>
  </w:num>
  <w:num w:numId="73" w16cid:durableId="1129278481">
    <w:abstractNumId w:val="42"/>
  </w:num>
  <w:num w:numId="74" w16cid:durableId="639506325">
    <w:abstractNumId w:val="7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n-US" w:vendorID="64" w:dllVersion="0" w:nlCheck="1" w:checkStyle="0"/>
  <w:activeWritingStyle w:appName="MSWord" w:lang="en-AU" w:vendorID="64" w:dllVersion="0" w:nlCheck="1" w:checkStyle="0"/>
  <w:activeWritingStyle w:appName="MSWord" w:lang="en-MY"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MY"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51"/>
    <w:rsid w:val="0000158E"/>
    <w:rsid w:val="00001FAE"/>
    <w:rsid w:val="00002976"/>
    <w:rsid w:val="00003380"/>
    <w:rsid w:val="0000367F"/>
    <w:rsid w:val="00003AC2"/>
    <w:rsid w:val="00003AE0"/>
    <w:rsid w:val="0000440F"/>
    <w:rsid w:val="000047CA"/>
    <w:rsid w:val="00004809"/>
    <w:rsid w:val="00005758"/>
    <w:rsid w:val="00005963"/>
    <w:rsid w:val="000062FA"/>
    <w:rsid w:val="00006AAE"/>
    <w:rsid w:val="00007010"/>
    <w:rsid w:val="0000721F"/>
    <w:rsid w:val="00007C85"/>
    <w:rsid w:val="00007F79"/>
    <w:rsid w:val="00010A38"/>
    <w:rsid w:val="00010FE5"/>
    <w:rsid w:val="0001167E"/>
    <w:rsid w:val="00011F86"/>
    <w:rsid w:val="00012580"/>
    <w:rsid w:val="00012770"/>
    <w:rsid w:val="00012CF8"/>
    <w:rsid w:val="00012DA0"/>
    <w:rsid w:val="0001318D"/>
    <w:rsid w:val="00013C65"/>
    <w:rsid w:val="00014285"/>
    <w:rsid w:val="00014AE9"/>
    <w:rsid w:val="00014B68"/>
    <w:rsid w:val="00014CFC"/>
    <w:rsid w:val="0001526A"/>
    <w:rsid w:val="00015DB3"/>
    <w:rsid w:val="00015E07"/>
    <w:rsid w:val="00016F48"/>
    <w:rsid w:val="0001726D"/>
    <w:rsid w:val="0001745D"/>
    <w:rsid w:val="000179E2"/>
    <w:rsid w:val="000205C1"/>
    <w:rsid w:val="00020616"/>
    <w:rsid w:val="00020C01"/>
    <w:rsid w:val="00020D2D"/>
    <w:rsid w:val="000212C3"/>
    <w:rsid w:val="00021409"/>
    <w:rsid w:val="00021415"/>
    <w:rsid w:val="00021A88"/>
    <w:rsid w:val="00021FB4"/>
    <w:rsid w:val="000224A2"/>
    <w:rsid w:val="000227BF"/>
    <w:rsid w:val="00022BA1"/>
    <w:rsid w:val="00023284"/>
    <w:rsid w:val="00023C72"/>
    <w:rsid w:val="00023D7D"/>
    <w:rsid w:val="00024565"/>
    <w:rsid w:val="00024C78"/>
    <w:rsid w:val="00024D33"/>
    <w:rsid w:val="000255B3"/>
    <w:rsid w:val="000256CD"/>
    <w:rsid w:val="0002622E"/>
    <w:rsid w:val="00026D83"/>
    <w:rsid w:val="000277BB"/>
    <w:rsid w:val="00027908"/>
    <w:rsid w:val="00030041"/>
    <w:rsid w:val="0003021F"/>
    <w:rsid w:val="00030A12"/>
    <w:rsid w:val="00030CC9"/>
    <w:rsid w:val="00030CF4"/>
    <w:rsid w:val="00031366"/>
    <w:rsid w:val="00031EE7"/>
    <w:rsid w:val="00031EFE"/>
    <w:rsid w:val="000321A8"/>
    <w:rsid w:val="00032343"/>
    <w:rsid w:val="00032F02"/>
    <w:rsid w:val="0003409C"/>
    <w:rsid w:val="000340C6"/>
    <w:rsid w:val="00035362"/>
    <w:rsid w:val="000355CB"/>
    <w:rsid w:val="00035CB6"/>
    <w:rsid w:val="00036105"/>
    <w:rsid w:val="00037E2A"/>
    <w:rsid w:val="0004004C"/>
    <w:rsid w:val="000401DE"/>
    <w:rsid w:val="00040BF7"/>
    <w:rsid w:val="00041006"/>
    <w:rsid w:val="000418DE"/>
    <w:rsid w:val="00041FA0"/>
    <w:rsid w:val="000424D8"/>
    <w:rsid w:val="000425BC"/>
    <w:rsid w:val="000427BD"/>
    <w:rsid w:val="0004322F"/>
    <w:rsid w:val="000432AF"/>
    <w:rsid w:val="0004330D"/>
    <w:rsid w:val="00043573"/>
    <w:rsid w:val="00043C86"/>
    <w:rsid w:val="000445CA"/>
    <w:rsid w:val="00044715"/>
    <w:rsid w:val="00044F3E"/>
    <w:rsid w:val="00046855"/>
    <w:rsid w:val="0004696D"/>
    <w:rsid w:val="00046F79"/>
    <w:rsid w:val="000477DC"/>
    <w:rsid w:val="000509D6"/>
    <w:rsid w:val="00050B75"/>
    <w:rsid w:val="00050C8B"/>
    <w:rsid w:val="0005122A"/>
    <w:rsid w:val="000512BF"/>
    <w:rsid w:val="00051941"/>
    <w:rsid w:val="00051A0B"/>
    <w:rsid w:val="00051E91"/>
    <w:rsid w:val="000525C7"/>
    <w:rsid w:val="00052A00"/>
    <w:rsid w:val="000530F2"/>
    <w:rsid w:val="0005326A"/>
    <w:rsid w:val="000536D1"/>
    <w:rsid w:val="00054453"/>
    <w:rsid w:val="0005487E"/>
    <w:rsid w:val="00054A38"/>
    <w:rsid w:val="00055325"/>
    <w:rsid w:val="00055636"/>
    <w:rsid w:val="00055884"/>
    <w:rsid w:val="00055EC3"/>
    <w:rsid w:val="00055F93"/>
    <w:rsid w:val="00056033"/>
    <w:rsid w:val="00056093"/>
    <w:rsid w:val="0005619A"/>
    <w:rsid w:val="00056592"/>
    <w:rsid w:val="00056C47"/>
    <w:rsid w:val="000575F8"/>
    <w:rsid w:val="00057918"/>
    <w:rsid w:val="00060879"/>
    <w:rsid w:val="000624C4"/>
    <w:rsid w:val="000629E6"/>
    <w:rsid w:val="000632A9"/>
    <w:rsid w:val="000639AB"/>
    <w:rsid w:val="00063C51"/>
    <w:rsid w:val="00064052"/>
    <w:rsid w:val="00064DAA"/>
    <w:rsid w:val="00065086"/>
    <w:rsid w:val="00065A6B"/>
    <w:rsid w:val="00065D61"/>
    <w:rsid w:val="00065D7C"/>
    <w:rsid w:val="00066271"/>
    <w:rsid w:val="000666CF"/>
    <w:rsid w:val="0006685B"/>
    <w:rsid w:val="00067651"/>
    <w:rsid w:val="00067FEB"/>
    <w:rsid w:val="00072B8B"/>
    <w:rsid w:val="00072CFB"/>
    <w:rsid w:val="00073CF1"/>
    <w:rsid w:val="000744D1"/>
    <w:rsid w:val="00074625"/>
    <w:rsid w:val="00075CB7"/>
    <w:rsid w:val="0007617D"/>
    <w:rsid w:val="000766EF"/>
    <w:rsid w:val="00076833"/>
    <w:rsid w:val="00077950"/>
    <w:rsid w:val="000779F5"/>
    <w:rsid w:val="00080024"/>
    <w:rsid w:val="000805C5"/>
    <w:rsid w:val="0008094D"/>
    <w:rsid w:val="00080B9F"/>
    <w:rsid w:val="00081277"/>
    <w:rsid w:val="000815B4"/>
    <w:rsid w:val="00081773"/>
    <w:rsid w:val="000824A9"/>
    <w:rsid w:val="00083097"/>
    <w:rsid w:val="00083415"/>
    <w:rsid w:val="00083F71"/>
    <w:rsid w:val="000843DF"/>
    <w:rsid w:val="0008461A"/>
    <w:rsid w:val="00084943"/>
    <w:rsid w:val="000854A1"/>
    <w:rsid w:val="00085879"/>
    <w:rsid w:val="00085D14"/>
    <w:rsid w:val="00086A62"/>
    <w:rsid w:val="00087E79"/>
    <w:rsid w:val="0009021D"/>
    <w:rsid w:val="00091CD4"/>
    <w:rsid w:val="00092546"/>
    <w:rsid w:val="00093AC3"/>
    <w:rsid w:val="00094A3A"/>
    <w:rsid w:val="00094C78"/>
    <w:rsid w:val="00094D46"/>
    <w:rsid w:val="0009632D"/>
    <w:rsid w:val="00096346"/>
    <w:rsid w:val="000967F4"/>
    <w:rsid w:val="00096C58"/>
    <w:rsid w:val="00096D58"/>
    <w:rsid w:val="00096DFD"/>
    <w:rsid w:val="00096E3D"/>
    <w:rsid w:val="00097420"/>
    <w:rsid w:val="0009743B"/>
    <w:rsid w:val="0009768B"/>
    <w:rsid w:val="000976FE"/>
    <w:rsid w:val="00097A94"/>
    <w:rsid w:val="000A0E5E"/>
    <w:rsid w:val="000A1704"/>
    <w:rsid w:val="000A19FA"/>
    <w:rsid w:val="000A2048"/>
    <w:rsid w:val="000A231F"/>
    <w:rsid w:val="000A2970"/>
    <w:rsid w:val="000A2FB1"/>
    <w:rsid w:val="000A376F"/>
    <w:rsid w:val="000A37F6"/>
    <w:rsid w:val="000A4E92"/>
    <w:rsid w:val="000A507E"/>
    <w:rsid w:val="000A63B8"/>
    <w:rsid w:val="000A7266"/>
    <w:rsid w:val="000A78B3"/>
    <w:rsid w:val="000A7A61"/>
    <w:rsid w:val="000B0713"/>
    <w:rsid w:val="000B1207"/>
    <w:rsid w:val="000B1EE3"/>
    <w:rsid w:val="000B2A82"/>
    <w:rsid w:val="000B2C06"/>
    <w:rsid w:val="000B3ADE"/>
    <w:rsid w:val="000B3EF1"/>
    <w:rsid w:val="000B43EE"/>
    <w:rsid w:val="000B5722"/>
    <w:rsid w:val="000B5BCA"/>
    <w:rsid w:val="000B5C0D"/>
    <w:rsid w:val="000B65F3"/>
    <w:rsid w:val="000B7CAC"/>
    <w:rsid w:val="000C0025"/>
    <w:rsid w:val="000C0040"/>
    <w:rsid w:val="000C06CE"/>
    <w:rsid w:val="000C0913"/>
    <w:rsid w:val="000C0B68"/>
    <w:rsid w:val="000C1319"/>
    <w:rsid w:val="000C18F6"/>
    <w:rsid w:val="000C1AEF"/>
    <w:rsid w:val="000C1D12"/>
    <w:rsid w:val="000C2383"/>
    <w:rsid w:val="000C2897"/>
    <w:rsid w:val="000C28B8"/>
    <w:rsid w:val="000C2D12"/>
    <w:rsid w:val="000C2FF5"/>
    <w:rsid w:val="000C3CDF"/>
    <w:rsid w:val="000C3E7E"/>
    <w:rsid w:val="000C41EF"/>
    <w:rsid w:val="000C42D6"/>
    <w:rsid w:val="000C4648"/>
    <w:rsid w:val="000C4A9C"/>
    <w:rsid w:val="000C4E4E"/>
    <w:rsid w:val="000C6D62"/>
    <w:rsid w:val="000C6DD8"/>
    <w:rsid w:val="000C6E06"/>
    <w:rsid w:val="000C7B35"/>
    <w:rsid w:val="000C7D18"/>
    <w:rsid w:val="000D07A1"/>
    <w:rsid w:val="000D09A9"/>
    <w:rsid w:val="000D0BC4"/>
    <w:rsid w:val="000D1160"/>
    <w:rsid w:val="000D249D"/>
    <w:rsid w:val="000D321B"/>
    <w:rsid w:val="000D397B"/>
    <w:rsid w:val="000D3BB4"/>
    <w:rsid w:val="000D3FD6"/>
    <w:rsid w:val="000D467A"/>
    <w:rsid w:val="000D48D6"/>
    <w:rsid w:val="000D4CB6"/>
    <w:rsid w:val="000D52BC"/>
    <w:rsid w:val="000D64AD"/>
    <w:rsid w:val="000D6802"/>
    <w:rsid w:val="000D6D00"/>
    <w:rsid w:val="000D6E59"/>
    <w:rsid w:val="000D6E86"/>
    <w:rsid w:val="000D7231"/>
    <w:rsid w:val="000D7402"/>
    <w:rsid w:val="000D7822"/>
    <w:rsid w:val="000D7B11"/>
    <w:rsid w:val="000E00EA"/>
    <w:rsid w:val="000E0C76"/>
    <w:rsid w:val="000E0E29"/>
    <w:rsid w:val="000E1430"/>
    <w:rsid w:val="000E1D5D"/>
    <w:rsid w:val="000E1EDF"/>
    <w:rsid w:val="000E2057"/>
    <w:rsid w:val="000E211D"/>
    <w:rsid w:val="000E23F2"/>
    <w:rsid w:val="000E271C"/>
    <w:rsid w:val="000E370E"/>
    <w:rsid w:val="000E3A22"/>
    <w:rsid w:val="000E3C20"/>
    <w:rsid w:val="000E4543"/>
    <w:rsid w:val="000E4620"/>
    <w:rsid w:val="000E4AA2"/>
    <w:rsid w:val="000E4FAF"/>
    <w:rsid w:val="000E5702"/>
    <w:rsid w:val="000E5748"/>
    <w:rsid w:val="000E6E3A"/>
    <w:rsid w:val="000E7272"/>
    <w:rsid w:val="000E7FB0"/>
    <w:rsid w:val="000E7FF4"/>
    <w:rsid w:val="000F0569"/>
    <w:rsid w:val="000F0958"/>
    <w:rsid w:val="000F1579"/>
    <w:rsid w:val="000F16EA"/>
    <w:rsid w:val="000F1701"/>
    <w:rsid w:val="000F1935"/>
    <w:rsid w:val="000F26FC"/>
    <w:rsid w:val="000F2C15"/>
    <w:rsid w:val="000F30D6"/>
    <w:rsid w:val="000F342B"/>
    <w:rsid w:val="000F3561"/>
    <w:rsid w:val="000F36B9"/>
    <w:rsid w:val="000F3BCA"/>
    <w:rsid w:val="000F3BE3"/>
    <w:rsid w:val="000F3C8D"/>
    <w:rsid w:val="000F3E9A"/>
    <w:rsid w:val="000F417D"/>
    <w:rsid w:val="000F443D"/>
    <w:rsid w:val="000F4916"/>
    <w:rsid w:val="000F5135"/>
    <w:rsid w:val="000F51B7"/>
    <w:rsid w:val="000F530B"/>
    <w:rsid w:val="000F586C"/>
    <w:rsid w:val="000F5D4A"/>
    <w:rsid w:val="000F6739"/>
    <w:rsid w:val="000F74F4"/>
    <w:rsid w:val="0010092E"/>
    <w:rsid w:val="00100B2A"/>
    <w:rsid w:val="00100E2A"/>
    <w:rsid w:val="0010122C"/>
    <w:rsid w:val="0010152C"/>
    <w:rsid w:val="001015B2"/>
    <w:rsid w:val="00102A07"/>
    <w:rsid w:val="00102D9B"/>
    <w:rsid w:val="00103165"/>
    <w:rsid w:val="00103820"/>
    <w:rsid w:val="00103E13"/>
    <w:rsid w:val="00104057"/>
    <w:rsid w:val="00104503"/>
    <w:rsid w:val="0010469D"/>
    <w:rsid w:val="00104B44"/>
    <w:rsid w:val="001050F1"/>
    <w:rsid w:val="00105549"/>
    <w:rsid w:val="00105838"/>
    <w:rsid w:val="00105925"/>
    <w:rsid w:val="00105E1A"/>
    <w:rsid w:val="00107114"/>
    <w:rsid w:val="001072A5"/>
    <w:rsid w:val="001074EE"/>
    <w:rsid w:val="0010767A"/>
    <w:rsid w:val="00107B21"/>
    <w:rsid w:val="00107FF2"/>
    <w:rsid w:val="0011050F"/>
    <w:rsid w:val="001106A2"/>
    <w:rsid w:val="001106BE"/>
    <w:rsid w:val="00110955"/>
    <w:rsid w:val="00110957"/>
    <w:rsid w:val="00110E0E"/>
    <w:rsid w:val="001127C0"/>
    <w:rsid w:val="001134F4"/>
    <w:rsid w:val="00114473"/>
    <w:rsid w:val="0011471B"/>
    <w:rsid w:val="00114B74"/>
    <w:rsid w:val="00115004"/>
    <w:rsid w:val="0011673F"/>
    <w:rsid w:val="00116F1D"/>
    <w:rsid w:val="00117756"/>
    <w:rsid w:val="00117A92"/>
    <w:rsid w:val="0012002B"/>
    <w:rsid w:val="0012098A"/>
    <w:rsid w:val="00120996"/>
    <w:rsid w:val="00120AA6"/>
    <w:rsid w:val="0012157E"/>
    <w:rsid w:val="00121E79"/>
    <w:rsid w:val="00122018"/>
    <w:rsid w:val="00122BF1"/>
    <w:rsid w:val="00123BF2"/>
    <w:rsid w:val="00123C1D"/>
    <w:rsid w:val="00123EF6"/>
    <w:rsid w:val="001245C5"/>
    <w:rsid w:val="00124AF8"/>
    <w:rsid w:val="00124E6C"/>
    <w:rsid w:val="00124F7D"/>
    <w:rsid w:val="00125265"/>
    <w:rsid w:val="0012573F"/>
    <w:rsid w:val="00125EDB"/>
    <w:rsid w:val="00125EF9"/>
    <w:rsid w:val="001260FB"/>
    <w:rsid w:val="00126401"/>
    <w:rsid w:val="00126AD8"/>
    <w:rsid w:val="00126C0F"/>
    <w:rsid w:val="00127322"/>
    <w:rsid w:val="00127408"/>
    <w:rsid w:val="00127739"/>
    <w:rsid w:val="00130090"/>
    <w:rsid w:val="00130CF9"/>
    <w:rsid w:val="00130DF0"/>
    <w:rsid w:val="00130EE6"/>
    <w:rsid w:val="00131EAE"/>
    <w:rsid w:val="001325D6"/>
    <w:rsid w:val="001330D9"/>
    <w:rsid w:val="00133121"/>
    <w:rsid w:val="0013337F"/>
    <w:rsid w:val="0013414F"/>
    <w:rsid w:val="0013435B"/>
    <w:rsid w:val="001343CF"/>
    <w:rsid w:val="00134DB3"/>
    <w:rsid w:val="00135276"/>
    <w:rsid w:val="001359C4"/>
    <w:rsid w:val="0013617C"/>
    <w:rsid w:val="00136292"/>
    <w:rsid w:val="0013675F"/>
    <w:rsid w:val="00136D0E"/>
    <w:rsid w:val="00136EF5"/>
    <w:rsid w:val="00136FD7"/>
    <w:rsid w:val="00137A5F"/>
    <w:rsid w:val="00137C24"/>
    <w:rsid w:val="00140DD9"/>
    <w:rsid w:val="00140FB0"/>
    <w:rsid w:val="00141262"/>
    <w:rsid w:val="00141C77"/>
    <w:rsid w:val="00142137"/>
    <w:rsid w:val="001422A8"/>
    <w:rsid w:val="001422C6"/>
    <w:rsid w:val="0014298B"/>
    <w:rsid w:val="00143216"/>
    <w:rsid w:val="0014386C"/>
    <w:rsid w:val="00143AAC"/>
    <w:rsid w:val="00144264"/>
    <w:rsid w:val="00144D0B"/>
    <w:rsid w:val="00144EEF"/>
    <w:rsid w:val="001451B9"/>
    <w:rsid w:val="001454FC"/>
    <w:rsid w:val="00145B6F"/>
    <w:rsid w:val="00147692"/>
    <w:rsid w:val="00147B10"/>
    <w:rsid w:val="00147C39"/>
    <w:rsid w:val="00147DE6"/>
    <w:rsid w:val="00150371"/>
    <w:rsid w:val="001503B8"/>
    <w:rsid w:val="001503E6"/>
    <w:rsid w:val="00150A34"/>
    <w:rsid w:val="0015192E"/>
    <w:rsid w:val="00151C9C"/>
    <w:rsid w:val="001527EC"/>
    <w:rsid w:val="00152F23"/>
    <w:rsid w:val="0015306E"/>
    <w:rsid w:val="0015387E"/>
    <w:rsid w:val="00154043"/>
    <w:rsid w:val="0015453E"/>
    <w:rsid w:val="00154906"/>
    <w:rsid w:val="00155295"/>
    <w:rsid w:val="001557C7"/>
    <w:rsid w:val="001571AA"/>
    <w:rsid w:val="00157A8C"/>
    <w:rsid w:val="00157F3E"/>
    <w:rsid w:val="001604C2"/>
    <w:rsid w:val="001607A8"/>
    <w:rsid w:val="00160A8D"/>
    <w:rsid w:val="00161DAD"/>
    <w:rsid w:val="001621B8"/>
    <w:rsid w:val="001628AD"/>
    <w:rsid w:val="00162C73"/>
    <w:rsid w:val="001643DF"/>
    <w:rsid w:val="00164497"/>
    <w:rsid w:val="00164B55"/>
    <w:rsid w:val="00164C63"/>
    <w:rsid w:val="00164CAB"/>
    <w:rsid w:val="00165144"/>
    <w:rsid w:val="001652D7"/>
    <w:rsid w:val="0016530B"/>
    <w:rsid w:val="00165BEA"/>
    <w:rsid w:val="00166AE3"/>
    <w:rsid w:val="001673B5"/>
    <w:rsid w:val="001676F1"/>
    <w:rsid w:val="00167B35"/>
    <w:rsid w:val="0017070D"/>
    <w:rsid w:val="00171E3E"/>
    <w:rsid w:val="001728D1"/>
    <w:rsid w:val="001729D8"/>
    <w:rsid w:val="00172FCB"/>
    <w:rsid w:val="001736D7"/>
    <w:rsid w:val="00173783"/>
    <w:rsid w:val="001739C8"/>
    <w:rsid w:val="00173DB7"/>
    <w:rsid w:val="001743E9"/>
    <w:rsid w:val="0017450A"/>
    <w:rsid w:val="00174EBE"/>
    <w:rsid w:val="001754B1"/>
    <w:rsid w:val="0017573B"/>
    <w:rsid w:val="001766FD"/>
    <w:rsid w:val="00177D90"/>
    <w:rsid w:val="00177DB8"/>
    <w:rsid w:val="00177DD7"/>
    <w:rsid w:val="0018044F"/>
    <w:rsid w:val="0018045B"/>
    <w:rsid w:val="001808B5"/>
    <w:rsid w:val="00180E38"/>
    <w:rsid w:val="0018103D"/>
    <w:rsid w:val="0018111C"/>
    <w:rsid w:val="00181B6C"/>
    <w:rsid w:val="00181B91"/>
    <w:rsid w:val="00181CC2"/>
    <w:rsid w:val="001820CA"/>
    <w:rsid w:val="00182523"/>
    <w:rsid w:val="001826D1"/>
    <w:rsid w:val="00182848"/>
    <w:rsid w:val="001833AB"/>
    <w:rsid w:val="001835ED"/>
    <w:rsid w:val="00183981"/>
    <w:rsid w:val="00183B0D"/>
    <w:rsid w:val="00183B84"/>
    <w:rsid w:val="001841FA"/>
    <w:rsid w:val="00184780"/>
    <w:rsid w:val="00184EFF"/>
    <w:rsid w:val="0018539A"/>
    <w:rsid w:val="001857DC"/>
    <w:rsid w:val="001859B8"/>
    <w:rsid w:val="00185D2E"/>
    <w:rsid w:val="00186D73"/>
    <w:rsid w:val="00187283"/>
    <w:rsid w:val="00187574"/>
    <w:rsid w:val="00187CC9"/>
    <w:rsid w:val="001901F5"/>
    <w:rsid w:val="0019087A"/>
    <w:rsid w:val="00190980"/>
    <w:rsid w:val="001911D4"/>
    <w:rsid w:val="00191402"/>
    <w:rsid w:val="001915EC"/>
    <w:rsid w:val="00191819"/>
    <w:rsid w:val="001931A2"/>
    <w:rsid w:val="001939CA"/>
    <w:rsid w:val="00193FBF"/>
    <w:rsid w:val="00194356"/>
    <w:rsid w:val="0019461B"/>
    <w:rsid w:val="0019468C"/>
    <w:rsid w:val="0019470C"/>
    <w:rsid w:val="00194FB3"/>
    <w:rsid w:val="0019596C"/>
    <w:rsid w:val="00195FF1"/>
    <w:rsid w:val="001960CB"/>
    <w:rsid w:val="00196684"/>
    <w:rsid w:val="00196CC3"/>
    <w:rsid w:val="00197265"/>
    <w:rsid w:val="001972D6"/>
    <w:rsid w:val="001975E3"/>
    <w:rsid w:val="00197D50"/>
    <w:rsid w:val="001A037B"/>
    <w:rsid w:val="001A0952"/>
    <w:rsid w:val="001A0C44"/>
    <w:rsid w:val="001A323D"/>
    <w:rsid w:val="001A3531"/>
    <w:rsid w:val="001A35CF"/>
    <w:rsid w:val="001A360D"/>
    <w:rsid w:val="001A3D31"/>
    <w:rsid w:val="001A45D6"/>
    <w:rsid w:val="001A57F1"/>
    <w:rsid w:val="001A631F"/>
    <w:rsid w:val="001A64BA"/>
    <w:rsid w:val="001A707F"/>
    <w:rsid w:val="001A74EB"/>
    <w:rsid w:val="001A78E5"/>
    <w:rsid w:val="001A7E63"/>
    <w:rsid w:val="001B0176"/>
    <w:rsid w:val="001B02CC"/>
    <w:rsid w:val="001B06DE"/>
    <w:rsid w:val="001B0979"/>
    <w:rsid w:val="001B0AA8"/>
    <w:rsid w:val="001B0CB8"/>
    <w:rsid w:val="001B15A5"/>
    <w:rsid w:val="001B2179"/>
    <w:rsid w:val="001B2D61"/>
    <w:rsid w:val="001B2E1D"/>
    <w:rsid w:val="001B31BB"/>
    <w:rsid w:val="001B3DD9"/>
    <w:rsid w:val="001B425A"/>
    <w:rsid w:val="001B4408"/>
    <w:rsid w:val="001B48EA"/>
    <w:rsid w:val="001B4D1E"/>
    <w:rsid w:val="001B5AE1"/>
    <w:rsid w:val="001B5ECD"/>
    <w:rsid w:val="001B6C79"/>
    <w:rsid w:val="001B75C0"/>
    <w:rsid w:val="001B77B1"/>
    <w:rsid w:val="001C0A78"/>
    <w:rsid w:val="001C0D60"/>
    <w:rsid w:val="001C1754"/>
    <w:rsid w:val="001C19AC"/>
    <w:rsid w:val="001C21F7"/>
    <w:rsid w:val="001C275E"/>
    <w:rsid w:val="001C279E"/>
    <w:rsid w:val="001C2955"/>
    <w:rsid w:val="001C3621"/>
    <w:rsid w:val="001C39FA"/>
    <w:rsid w:val="001C3BD9"/>
    <w:rsid w:val="001C3BF5"/>
    <w:rsid w:val="001C3E3C"/>
    <w:rsid w:val="001C4A3E"/>
    <w:rsid w:val="001C4A59"/>
    <w:rsid w:val="001C4C6D"/>
    <w:rsid w:val="001C54FA"/>
    <w:rsid w:val="001C5A32"/>
    <w:rsid w:val="001C5B63"/>
    <w:rsid w:val="001C5D7D"/>
    <w:rsid w:val="001C6F3A"/>
    <w:rsid w:val="001C6FBE"/>
    <w:rsid w:val="001C706A"/>
    <w:rsid w:val="001C7ACE"/>
    <w:rsid w:val="001C7B31"/>
    <w:rsid w:val="001C7E3D"/>
    <w:rsid w:val="001C7E56"/>
    <w:rsid w:val="001C7FE8"/>
    <w:rsid w:val="001D0323"/>
    <w:rsid w:val="001D06A0"/>
    <w:rsid w:val="001D09FF"/>
    <w:rsid w:val="001D11E8"/>
    <w:rsid w:val="001D18CA"/>
    <w:rsid w:val="001D18F3"/>
    <w:rsid w:val="001D1E20"/>
    <w:rsid w:val="001D20BB"/>
    <w:rsid w:val="001D21ED"/>
    <w:rsid w:val="001D2E4C"/>
    <w:rsid w:val="001D31E3"/>
    <w:rsid w:val="001D352B"/>
    <w:rsid w:val="001D35A5"/>
    <w:rsid w:val="001D3956"/>
    <w:rsid w:val="001D39A0"/>
    <w:rsid w:val="001D3FEE"/>
    <w:rsid w:val="001D408C"/>
    <w:rsid w:val="001D46D3"/>
    <w:rsid w:val="001D4913"/>
    <w:rsid w:val="001D4A26"/>
    <w:rsid w:val="001D4C20"/>
    <w:rsid w:val="001D4C96"/>
    <w:rsid w:val="001D51A3"/>
    <w:rsid w:val="001D664C"/>
    <w:rsid w:val="001D66F6"/>
    <w:rsid w:val="001D7070"/>
    <w:rsid w:val="001D727E"/>
    <w:rsid w:val="001D754F"/>
    <w:rsid w:val="001D75A1"/>
    <w:rsid w:val="001D77AE"/>
    <w:rsid w:val="001D7F77"/>
    <w:rsid w:val="001E0100"/>
    <w:rsid w:val="001E0661"/>
    <w:rsid w:val="001E0AA4"/>
    <w:rsid w:val="001E0D0B"/>
    <w:rsid w:val="001E1A4B"/>
    <w:rsid w:val="001E1CF1"/>
    <w:rsid w:val="001E293B"/>
    <w:rsid w:val="001E32F7"/>
    <w:rsid w:val="001E35D8"/>
    <w:rsid w:val="001E3973"/>
    <w:rsid w:val="001E3DA8"/>
    <w:rsid w:val="001E5B91"/>
    <w:rsid w:val="001E75CB"/>
    <w:rsid w:val="001E78C4"/>
    <w:rsid w:val="001F06E9"/>
    <w:rsid w:val="001F0E82"/>
    <w:rsid w:val="001F132A"/>
    <w:rsid w:val="001F1692"/>
    <w:rsid w:val="001F20AD"/>
    <w:rsid w:val="001F22A1"/>
    <w:rsid w:val="001F247D"/>
    <w:rsid w:val="001F271F"/>
    <w:rsid w:val="001F273B"/>
    <w:rsid w:val="001F2BDD"/>
    <w:rsid w:val="001F3424"/>
    <w:rsid w:val="001F3656"/>
    <w:rsid w:val="001F383A"/>
    <w:rsid w:val="001F3FB1"/>
    <w:rsid w:val="001F4411"/>
    <w:rsid w:val="001F44B3"/>
    <w:rsid w:val="001F4724"/>
    <w:rsid w:val="001F4764"/>
    <w:rsid w:val="001F47D2"/>
    <w:rsid w:val="001F48CE"/>
    <w:rsid w:val="001F4D56"/>
    <w:rsid w:val="001F4FBA"/>
    <w:rsid w:val="001F5709"/>
    <w:rsid w:val="001F5B36"/>
    <w:rsid w:val="001F6348"/>
    <w:rsid w:val="001F6B55"/>
    <w:rsid w:val="001F773B"/>
    <w:rsid w:val="001F7BD3"/>
    <w:rsid w:val="001F7EE4"/>
    <w:rsid w:val="0020073E"/>
    <w:rsid w:val="00200B4E"/>
    <w:rsid w:val="00200C92"/>
    <w:rsid w:val="00201D47"/>
    <w:rsid w:val="002020E8"/>
    <w:rsid w:val="00202852"/>
    <w:rsid w:val="00202E03"/>
    <w:rsid w:val="00203101"/>
    <w:rsid w:val="00203B01"/>
    <w:rsid w:val="0020453C"/>
    <w:rsid w:val="00204EE2"/>
    <w:rsid w:val="002054C3"/>
    <w:rsid w:val="00205700"/>
    <w:rsid w:val="00205C46"/>
    <w:rsid w:val="00205F0C"/>
    <w:rsid w:val="00206409"/>
    <w:rsid w:val="0020640D"/>
    <w:rsid w:val="00206610"/>
    <w:rsid w:val="00206859"/>
    <w:rsid w:val="0020697F"/>
    <w:rsid w:val="0020788D"/>
    <w:rsid w:val="00207961"/>
    <w:rsid w:val="00207EDD"/>
    <w:rsid w:val="00210289"/>
    <w:rsid w:val="0021067D"/>
    <w:rsid w:val="002108BC"/>
    <w:rsid w:val="00210B76"/>
    <w:rsid w:val="00210FE2"/>
    <w:rsid w:val="0021156B"/>
    <w:rsid w:val="00211727"/>
    <w:rsid w:val="00211A5A"/>
    <w:rsid w:val="00212474"/>
    <w:rsid w:val="00213B9C"/>
    <w:rsid w:val="0021448D"/>
    <w:rsid w:val="00215926"/>
    <w:rsid w:val="0021594A"/>
    <w:rsid w:val="002162E8"/>
    <w:rsid w:val="00216AC2"/>
    <w:rsid w:val="00217136"/>
    <w:rsid w:val="002201D4"/>
    <w:rsid w:val="00220695"/>
    <w:rsid w:val="00220AA0"/>
    <w:rsid w:val="00220B8F"/>
    <w:rsid w:val="00221244"/>
    <w:rsid w:val="002215C9"/>
    <w:rsid w:val="0022160F"/>
    <w:rsid w:val="0022195F"/>
    <w:rsid w:val="00221B60"/>
    <w:rsid w:val="00223263"/>
    <w:rsid w:val="00223B01"/>
    <w:rsid w:val="0022467A"/>
    <w:rsid w:val="00224B93"/>
    <w:rsid w:val="00224CB0"/>
    <w:rsid w:val="00224F1F"/>
    <w:rsid w:val="00225453"/>
    <w:rsid w:val="0022564B"/>
    <w:rsid w:val="002257E8"/>
    <w:rsid w:val="0022592D"/>
    <w:rsid w:val="00225B1F"/>
    <w:rsid w:val="00226C76"/>
    <w:rsid w:val="00226F3D"/>
    <w:rsid w:val="0022743D"/>
    <w:rsid w:val="00227DEB"/>
    <w:rsid w:val="00227E55"/>
    <w:rsid w:val="00230808"/>
    <w:rsid w:val="002313EB"/>
    <w:rsid w:val="002319B2"/>
    <w:rsid w:val="00231C89"/>
    <w:rsid w:val="002322DF"/>
    <w:rsid w:val="002325C9"/>
    <w:rsid w:val="00232B10"/>
    <w:rsid w:val="00232BE3"/>
    <w:rsid w:val="00233141"/>
    <w:rsid w:val="0023355D"/>
    <w:rsid w:val="00233B18"/>
    <w:rsid w:val="002342C0"/>
    <w:rsid w:val="0023486E"/>
    <w:rsid w:val="002348F2"/>
    <w:rsid w:val="00234BC2"/>
    <w:rsid w:val="00234C19"/>
    <w:rsid w:val="00234E49"/>
    <w:rsid w:val="0023505F"/>
    <w:rsid w:val="002359AC"/>
    <w:rsid w:val="00235C0B"/>
    <w:rsid w:val="0023605D"/>
    <w:rsid w:val="00236252"/>
    <w:rsid w:val="002370BF"/>
    <w:rsid w:val="00237241"/>
    <w:rsid w:val="00237317"/>
    <w:rsid w:val="00237A19"/>
    <w:rsid w:val="00237C6E"/>
    <w:rsid w:val="0024073F"/>
    <w:rsid w:val="00240C05"/>
    <w:rsid w:val="00240D2C"/>
    <w:rsid w:val="00241FCF"/>
    <w:rsid w:val="0024253A"/>
    <w:rsid w:val="0024254F"/>
    <w:rsid w:val="00242B6A"/>
    <w:rsid w:val="002434EF"/>
    <w:rsid w:val="00244B87"/>
    <w:rsid w:val="00244BB3"/>
    <w:rsid w:val="00244EBA"/>
    <w:rsid w:val="00244FAB"/>
    <w:rsid w:val="00245245"/>
    <w:rsid w:val="00245398"/>
    <w:rsid w:val="002457C2"/>
    <w:rsid w:val="0024595F"/>
    <w:rsid w:val="00245E18"/>
    <w:rsid w:val="0024612A"/>
    <w:rsid w:val="00246290"/>
    <w:rsid w:val="00246457"/>
    <w:rsid w:val="0024789C"/>
    <w:rsid w:val="00250D29"/>
    <w:rsid w:val="0025102A"/>
    <w:rsid w:val="0025151D"/>
    <w:rsid w:val="002516C4"/>
    <w:rsid w:val="0025316C"/>
    <w:rsid w:val="00253CF5"/>
    <w:rsid w:val="00255C3F"/>
    <w:rsid w:val="00255DEC"/>
    <w:rsid w:val="00255F22"/>
    <w:rsid w:val="00255F66"/>
    <w:rsid w:val="00256240"/>
    <w:rsid w:val="00256E8A"/>
    <w:rsid w:val="00256FB9"/>
    <w:rsid w:val="00257425"/>
    <w:rsid w:val="0025778C"/>
    <w:rsid w:val="00257814"/>
    <w:rsid w:val="002579CE"/>
    <w:rsid w:val="00257E2C"/>
    <w:rsid w:val="00260570"/>
    <w:rsid w:val="0026057C"/>
    <w:rsid w:val="002605BD"/>
    <w:rsid w:val="00260BA8"/>
    <w:rsid w:val="00260D58"/>
    <w:rsid w:val="00260E4B"/>
    <w:rsid w:val="00260F7C"/>
    <w:rsid w:val="00261645"/>
    <w:rsid w:val="00262B44"/>
    <w:rsid w:val="00262EA6"/>
    <w:rsid w:val="002631DD"/>
    <w:rsid w:val="00263729"/>
    <w:rsid w:val="002638AE"/>
    <w:rsid w:val="002639D7"/>
    <w:rsid w:val="00263DF1"/>
    <w:rsid w:val="00263E1C"/>
    <w:rsid w:val="0026431C"/>
    <w:rsid w:val="0026438B"/>
    <w:rsid w:val="00264AB7"/>
    <w:rsid w:val="002651A7"/>
    <w:rsid w:val="00265915"/>
    <w:rsid w:val="00265F97"/>
    <w:rsid w:val="00266091"/>
    <w:rsid w:val="002662EA"/>
    <w:rsid w:val="00266EAD"/>
    <w:rsid w:val="00266F34"/>
    <w:rsid w:val="00267582"/>
    <w:rsid w:val="0026760C"/>
    <w:rsid w:val="00267D0B"/>
    <w:rsid w:val="00267F19"/>
    <w:rsid w:val="002702BE"/>
    <w:rsid w:val="00270535"/>
    <w:rsid w:val="002705A0"/>
    <w:rsid w:val="002725B5"/>
    <w:rsid w:val="0027286D"/>
    <w:rsid w:val="00272949"/>
    <w:rsid w:val="0027376D"/>
    <w:rsid w:val="00273805"/>
    <w:rsid w:val="00273D4B"/>
    <w:rsid w:val="002750F4"/>
    <w:rsid w:val="002751B7"/>
    <w:rsid w:val="00275589"/>
    <w:rsid w:val="0027564B"/>
    <w:rsid w:val="002757CB"/>
    <w:rsid w:val="00276151"/>
    <w:rsid w:val="002764C7"/>
    <w:rsid w:val="00280696"/>
    <w:rsid w:val="00280A9B"/>
    <w:rsid w:val="00280CD8"/>
    <w:rsid w:val="00281668"/>
    <w:rsid w:val="002821EB"/>
    <w:rsid w:val="0028297B"/>
    <w:rsid w:val="00282E76"/>
    <w:rsid w:val="00282F3E"/>
    <w:rsid w:val="0028372C"/>
    <w:rsid w:val="002838CC"/>
    <w:rsid w:val="00283910"/>
    <w:rsid w:val="00284B88"/>
    <w:rsid w:val="00284BC3"/>
    <w:rsid w:val="00284D2C"/>
    <w:rsid w:val="002862B1"/>
    <w:rsid w:val="0028639E"/>
    <w:rsid w:val="0028681F"/>
    <w:rsid w:val="002870C2"/>
    <w:rsid w:val="0028745D"/>
    <w:rsid w:val="00290B5E"/>
    <w:rsid w:val="002914F1"/>
    <w:rsid w:val="0029155B"/>
    <w:rsid w:val="002920DD"/>
    <w:rsid w:val="00292A1B"/>
    <w:rsid w:val="00292C29"/>
    <w:rsid w:val="00292DC2"/>
    <w:rsid w:val="0029427F"/>
    <w:rsid w:val="00294844"/>
    <w:rsid w:val="00294D79"/>
    <w:rsid w:val="00295065"/>
    <w:rsid w:val="00295DCC"/>
    <w:rsid w:val="00296EBA"/>
    <w:rsid w:val="00296FAD"/>
    <w:rsid w:val="00297992"/>
    <w:rsid w:val="00297AFF"/>
    <w:rsid w:val="00297B22"/>
    <w:rsid w:val="00297E75"/>
    <w:rsid w:val="002A01DB"/>
    <w:rsid w:val="002A042C"/>
    <w:rsid w:val="002A0787"/>
    <w:rsid w:val="002A1346"/>
    <w:rsid w:val="002A185B"/>
    <w:rsid w:val="002A2165"/>
    <w:rsid w:val="002A2A70"/>
    <w:rsid w:val="002A2D06"/>
    <w:rsid w:val="002A322C"/>
    <w:rsid w:val="002A383C"/>
    <w:rsid w:val="002A3F53"/>
    <w:rsid w:val="002A4295"/>
    <w:rsid w:val="002A437B"/>
    <w:rsid w:val="002A4C6C"/>
    <w:rsid w:val="002A4D88"/>
    <w:rsid w:val="002A52FF"/>
    <w:rsid w:val="002A5336"/>
    <w:rsid w:val="002A579B"/>
    <w:rsid w:val="002A5A32"/>
    <w:rsid w:val="002A5CC2"/>
    <w:rsid w:val="002A60EF"/>
    <w:rsid w:val="002A6766"/>
    <w:rsid w:val="002A68DB"/>
    <w:rsid w:val="002A7494"/>
    <w:rsid w:val="002B03BF"/>
    <w:rsid w:val="002B10FB"/>
    <w:rsid w:val="002B120E"/>
    <w:rsid w:val="002B1590"/>
    <w:rsid w:val="002B1821"/>
    <w:rsid w:val="002B1E21"/>
    <w:rsid w:val="002B1E81"/>
    <w:rsid w:val="002B1F39"/>
    <w:rsid w:val="002B21C1"/>
    <w:rsid w:val="002B2A40"/>
    <w:rsid w:val="002B2DC4"/>
    <w:rsid w:val="002B36C7"/>
    <w:rsid w:val="002B36E1"/>
    <w:rsid w:val="002B3879"/>
    <w:rsid w:val="002B3B60"/>
    <w:rsid w:val="002B4EDB"/>
    <w:rsid w:val="002B4F5A"/>
    <w:rsid w:val="002B5936"/>
    <w:rsid w:val="002B5A23"/>
    <w:rsid w:val="002B5AE5"/>
    <w:rsid w:val="002B5DE8"/>
    <w:rsid w:val="002B5F60"/>
    <w:rsid w:val="002B6790"/>
    <w:rsid w:val="002B7068"/>
    <w:rsid w:val="002B72B7"/>
    <w:rsid w:val="002B7471"/>
    <w:rsid w:val="002B772A"/>
    <w:rsid w:val="002B7BFC"/>
    <w:rsid w:val="002C0629"/>
    <w:rsid w:val="002C1049"/>
    <w:rsid w:val="002C118A"/>
    <w:rsid w:val="002C1390"/>
    <w:rsid w:val="002C17ED"/>
    <w:rsid w:val="002C28FC"/>
    <w:rsid w:val="002C317F"/>
    <w:rsid w:val="002C3E4F"/>
    <w:rsid w:val="002C4206"/>
    <w:rsid w:val="002C479A"/>
    <w:rsid w:val="002C521E"/>
    <w:rsid w:val="002C5780"/>
    <w:rsid w:val="002C5C98"/>
    <w:rsid w:val="002C5DF0"/>
    <w:rsid w:val="002C5F92"/>
    <w:rsid w:val="002C6388"/>
    <w:rsid w:val="002C6EE9"/>
    <w:rsid w:val="002C7DB0"/>
    <w:rsid w:val="002D08EC"/>
    <w:rsid w:val="002D0B23"/>
    <w:rsid w:val="002D0EE2"/>
    <w:rsid w:val="002D1A57"/>
    <w:rsid w:val="002D22B2"/>
    <w:rsid w:val="002D254D"/>
    <w:rsid w:val="002D2CD3"/>
    <w:rsid w:val="002D2F35"/>
    <w:rsid w:val="002D3376"/>
    <w:rsid w:val="002D35AC"/>
    <w:rsid w:val="002D3E79"/>
    <w:rsid w:val="002D3EE8"/>
    <w:rsid w:val="002D48B8"/>
    <w:rsid w:val="002D49EB"/>
    <w:rsid w:val="002D517C"/>
    <w:rsid w:val="002D53F3"/>
    <w:rsid w:val="002D5A69"/>
    <w:rsid w:val="002D5B2D"/>
    <w:rsid w:val="002D5CDD"/>
    <w:rsid w:val="002D617E"/>
    <w:rsid w:val="002D641E"/>
    <w:rsid w:val="002D6582"/>
    <w:rsid w:val="002D672B"/>
    <w:rsid w:val="002D6EBD"/>
    <w:rsid w:val="002D7020"/>
    <w:rsid w:val="002D71FF"/>
    <w:rsid w:val="002E0058"/>
    <w:rsid w:val="002E0128"/>
    <w:rsid w:val="002E029C"/>
    <w:rsid w:val="002E0576"/>
    <w:rsid w:val="002E1011"/>
    <w:rsid w:val="002E1114"/>
    <w:rsid w:val="002E24F0"/>
    <w:rsid w:val="002E3A2F"/>
    <w:rsid w:val="002E3F86"/>
    <w:rsid w:val="002E472E"/>
    <w:rsid w:val="002E4B66"/>
    <w:rsid w:val="002E5057"/>
    <w:rsid w:val="002E5099"/>
    <w:rsid w:val="002E571C"/>
    <w:rsid w:val="002E6E58"/>
    <w:rsid w:val="002E70AC"/>
    <w:rsid w:val="002E726D"/>
    <w:rsid w:val="002E7430"/>
    <w:rsid w:val="002E74FB"/>
    <w:rsid w:val="002E7CE3"/>
    <w:rsid w:val="002F009C"/>
    <w:rsid w:val="002F072E"/>
    <w:rsid w:val="002F11B0"/>
    <w:rsid w:val="002F121D"/>
    <w:rsid w:val="002F13A6"/>
    <w:rsid w:val="002F164E"/>
    <w:rsid w:val="002F1D94"/>
    <w:rsid w:val="002F29D5"/>
    <w:rsid w:val="002F2A93"/>
    <w:rsid w:val="002F2EAE"/>
    <w:rsid w:val="002F3519"/>
    <w:rsid w:val="002F362C"/>
    <w:rsid w:val="002F3F59"/>
    <w:rsid w:val="002F4460"/>
    <w:rsid w:val="002F4A46"/>
    <w:rsid w:val="002F4B53"/>
    <w:rsid w:val="002F4DA2"/>
    <w:rsid w:val="002F4DE9"/>
    <w:rsid w:val="002F506F"/>
    <w:rsid w:val="002F6224"/>
    <w:rsid w:val="00300096"/>
    <w:rsid w:val="00300489"/>
    <w:rsid w:val="00300B0B"/>
    <w:rsid w:val="00300CB4"/>
    <w:rsid w:val="00301087"/>
    <w:rsid w:val="003013E8"/>
    <w:rsid w:val="003016ED"/>
    <w:rsid w:val="00301F02"/>
    <w:rsid w:val="003022F4"/>
    <w:rsid w:val="0030254D"/>
    <w:rsid w:val="00303347"/>
    <w:rsid w:val="003034B1"/>
    <w:rsid w:val="00303654"/>
    <w:rsid w:val="003037D2"/>
    <w:rsid w:val="003040BC"/>
    <w:rsid w:val="00304194"/>
    <w:rsid w:val="003048A1"/>
    <w:rsid w:val="00304E50"/>
    <w:rsid w:val="00306442"/>
    <w:rsid w:val="00306737"/>
    <w:rsid w:val="00307774"/>
    <w:rsid w:val="00307936"/>
    <w:rsid w:val="00307AF2"/>
    <w:rsid w:val="0031001F"/>
    <w:rsid w:val="003102E5"/>
    <w:rsid w:val="00310340"/>
    <w:rsid w:val="00310C8A"/>
    <w:rsid w:val="00310F81"/>
    <w:rsid w:val="0031108A"/>
    <w:rsid w:val="0031137E"/>
    <w:rsid w:val="00311B6E"/>
    <w:rsid w:val="00311D93"/>
    <w:rsid w:val="00311FAC"/>
    <w:rsid w:val="0031284D"/>
    <w:rsid w:val="00312BF4"/>
    <w:rsid w:val="00312C24"/>
    <w:rsid w:val="0031335D"/>
    <w:rsid w:val="003133BF"/>
    <w:rsid w:val="00313AB6"/>
    <w:rsid w:val="00313F30"/>
    <w:rsid w:val="003146E3"/>
    <w:rsid w:val="00314E90"/>
    <w:rsid w:val="003153D6"/>
    <w:rsid w:val="00315E09"/>
    <w:rsid w:val="00316A67"/>
    <w:rsid w:val="00316DC8"/>
    <w:rsid w:val="003175AB"/>
    <w:rsid w:val="00317A41"/>
    <w:rsid w:val="0032090A"/>
    <w:rsid w:val="00320EEA"/>
    <w:rsid w:val="00321026"/>
    <w:rsid w:val="00321391"/>
    <w:rsid w:val="00321543"/>
    <w:rsid w:val="003219E0"/>
    <w:rsid w:val="00321EFE"/>
    <w:rsid w:val="00322814"/>
    <w:rsid w:val="003232E7"/>
    <w:rsid w:val="00323483"/>
    <w:rsid w:val="003239C1"/>
    <w:rsid w:val="00323B43"/>
    <w:rsid w:val="00323F44"/>
    <w:rsid w:val="00324195"/>
    <w:rsid w:val="0032526F"/>
    <w:rsid w:val="003253C3"/>
    <w:rsid w:val="003267C0"/>
    <w:rsid w:val="00326973"/>
    <w:rsid w:val="00326DFF"/>
    <w:rsid w:val="003272D5"/>
    <w:rsid w:val="003300B9"/>
    <w:rsid w:val="003313B0"/>
    <w:rsid w:val="00331B8C"/>
    <w:rsid w:val="00331C16"/>
    <w:rsid w:val="00331FC8"/>
    <w:rsid w:val="0033277D"/>
    <w:rsid w:val="00332B34"/>
    <w:rsid w:val="0033312F"/>
    <w:rsid w:val="00333364"/>
    <w:rsid w:val="003349C9"/>
    <w:rsid w:val="00334B08"/>
    <w:rsid w:val="0033503E"/>
    <w:rsid w:val="00335CED"/>
    <w:rsid w:val="003363E0"/>
    <w:rsid w:val="00336433"/>
    <w:rsid w:val="00336F66"/>
    <w:rsid w:val="003400E7"/>
    <w:rsid w:val="00340150"/>
    <w:rsid w:val="0034029F"/>
    <w:rsid w:val="00340984"/>
    <w:rsid w:val="00340CF4"/>
    <w:rsid w:val="00340E0B"/>
    <w:rsid w:val="00341294"/>
    <w:rsid w:val="00341A94"/>
    <w:rsid w:val="00341AB2"/>
    <w:rsid w:val="00342798"/>
    <w:rsid w:val="00343CC1"/>
    <w:rsid w:val="00344DED"/>
    <w:rsid w:val="00345160"/>
    <w:rsid w:val="003451BE"/>
    <w:rsid w:val="00345969"/>
    <w:rsid w:val="00345F22"/>
    <w:rsid w:val="00345FE1"/>
    <w:rsid w:val="00346030"/>
    <w:rsid w:val="00346072"/>
    <w:rsid w:val="00346283"/>
    <w:rsid w:val="003475EE"/>
    <w:rsid w:val="00347C6C"/>
    <w:rsid w:val="00347F0B"/>
    <w:rsid w:val="00351820"/>
    <w:rsid w:val="00351E27"/>
    <w:rsid w:val="00351FC8"/>
    <w:rsid w:val="00352070"/>
    <w:rsid w:val="0035279F"/>
    <w:rsid w:val="003529C6"/>
    <w:rsid w:val="0035342A"/>
    <w:rsid w:val="00354210"/>
    <w:rsid w:val="003547F6"/>
    <w:rsid w:val="00354C28"/>
    <w:rsid w:val="003551BD"/>
    <w:rsid w:val="00355542"/>
    <w:rsid w:val="00355F55"/>
    <w:rsid w:val="00356566"/>
    <w:rsid w:val="00356952"/>
    <w:rsid w:val="00356F33"/>
    <w:rsid w:val="003578FF"/>
    <w:rsid w:val="00357D30"/>
    <w:rsid w:val="003601DD"/>
    <w:rsid w:val="00360472"/>
    <w:rsid w:val="0036096A"/>
    <w:rsid w:val="00360CC4"/>
    <w:rsid w:val="00361152"/>
    <w:rsid w:val="003612F0"/>
    <w:rsid w:val="003617C0"/>
    <w:rsid w:val="00361E31"/>
    <w:rsid w:val="00362500"/>
    <w:rsid w:val="00362742"/>
    <w:rsid w:val="00362F59"/>
    <w:rsid w:val="003636BF"/>
    <w:rsid w:val="00363854"/>
    <w:rsid w:val="0036438D"/>
    <w:rsid w:val="00364838"/>
    <w:rsid w:val="003648D6"/>
    <w:rsid w:val="00364D7C"/>
    <w:rsid w:val="0036511C"/>
    <w:rsid w:val="00365B91"/>
    <w:rsid w:val="00367934"/>
    <w:rsid w:val="0037001A"/>
    <w:rsid w:val="00370052"/>
    <w:rsid w:val="00370764"/>
    <w:rsid w:val="00370B45"/>
    <w:rsid w:val="00370CAB"/>
    <w:rsid w:val="00370CCF"/>
    <w:rsid w:val="00371125"/>
    <w:rsid w:val="00371380"/>
    <w:rsid w:val="0037176A"/>
    <w:rsid w:val="00371781"/>
    <w:rsid w:val="00371D15"/>
    <w:rsid w:val="00371DB0"/>
    <w:rsid w:val="00371EB2"/>
    <w:rsid w:val="003724DB"/>
    <w:rsid w:val="00372666"/>
    <w:rsid w:val="00373022"/>
    <w:rsid w:val="00373A6B"/>
    <w:rsid w:val="00374041"/>
    <w:rsid w:val="00374B4A"/>
    <w:rsid w:val="003755BE"/>
    <w:rsid w:val="003757BC"/>
    <w:rsid w:val="00376C4D"/>
    <w:rsid w:val="00380524"/>
    <w:rsid w:val="003808CB"/>
    <w:rsid w:val="0038090B"/>
    <w:rsid w:val="0038120B"/>
    <w:rsid w:val="00381351"/>
    <w:rsid w:val="0038169D"/>
    <w:rsid w:val="00381F3A"/>
    <w:rsid w:val="003822EF"/>
    <w:rsid w:val="0038237A"/>
    <w:rsid w:val="0038379D"/>
    <w:rsid w:val="0038383F"/>
    <w:rsid w:val="00385281"/>
    <w:rsid w:val="0038566B"/>
    <w:rsid w:val="00385A7F"/>
    <w:rsid w:val="00385C1C"/>
    <w:rsid w:val="00385E28"/>
    <w:rsid w:val="003865EC"/>
    <w:rsid w:val="00386B5A"/>
    <w:rsid w:val="00386D81"/>
    <w:rsid w:val="003874BE"/>
    <w:rsid w:val="003876F4"/>
    <w:rsid w:val="00387744"/>
    <w:rsid w:val="00387D35"/>
    <w:rsid w:val="00387F26"/>
    <w:rsid w:val="0039029B"/>
    <w:rsid w:val="00390AAF"/>
    <w:rsid w:val="00391759"/>
    <w:rsid w:val="00392454"/>
    <w:rsid w:val="0039282E"/>
    <w:rsid w:val="0039289E"/>
    <w:rsid w:val="003929FB"/>
    <w:rsid w:val="00392A13"/>
    <w:rsid w:val="003937D6"/>
    <w:rsid w:val="003946E7"/>
    <w:rsid w:val="00394FE0"/>
    <w:rsid w:val="00395FBC"/>
    <w:rsid w:val="0039602F"/>
    <w:rsid w:val="003968D8"/>
    <w:rsid w:val="00396A7F"/>
    <w:rsid w:val="00396D78"/>
    <w:rsid w:val="00396E8A"/>
    <w:rsid w:val="00397215"/>
    <w:rsid w:val="00397D84"/>
    <w:rsid w:val="003A031A"/>
    <w:rsid w:val="003A08EB"/>
    <w:rsid w:val="003A143A"/>
    <w:rsid w:val="003A19A4"/>
    <w:rsid w:val="003A1FA7"/>
    <w:rsid w:val="003A23A4"/>
    <w:rsid w:val="003A241B"/>
    <w:rsid w:val="003A2ACC"/>
    <w:rsid w:val="003A2F60"/>
    <w:rsid w:val="003A31BD"/>
    <w:rsid w:val="003A369E"/>
    <w:rsid w:val="003A3EDD"/>
    <w:rsid w:val="003A3F34"/>
    <w:rsid w:val="003A4318"/>
    <w:rsid w:val="003A44F5"/>
    <w:rsid w:val="003A4849"/>
    <w:rsid w:val="003A49B2"/>
    <w:rsid w:val="003A4A15"/>
    <w:rsid w:val="003A6D6A"/>
    <w:rsid w:val="003A6E83"/>
    <w:rsid w:val="003A722E"/>
    <w:rsid w:val="003A73A0"/>
    <w:rsid w:val="003B005E"/>
    <w:rsid w:val="003B01E3"/>
    <w:rsid w:val="003B0212"/>
    <w:rsid w:val="003B099F"/>
    <w:rsid w:val="003B0AA9"/>
    <w:rsid w:val="003B0D59"/>
    <w:rsid w:val="003B0E0F"/>
    <w:rsid w:val="003B10D0"/>
    <w:rsid w:val="003B27EC"/>
    <w:rsid w:val="003B2DD5"/>
    <w:rsid w:val="003B4373"/>
    <w:rsid w:val="003B4440"/>
    <w:rsid w:val="003B4798"/>
    <w:rsid w:val="003B4EF8"/>
    <w:rsid w:val="003B51C7"/>
    <w:rsid w:val="003B56C1"/>
    <w:rsid w:val="003B5AB7"/>
    <w:rsid w:val="003B5CD4"/>
    <w:rsid w:val="003B6767"/>
    <w:rsid w:val="003B75A9"/>
    <w:rsid w:val="003C0079"/>
    <w:rsid w:val="003C0607"/>
    <w:rsid w:val="003C0D4B"/>
    <w:rsid w:val="003C112E"/>
    <w:rsid w:val="003C1F1C"/>
    <w:rsid w:val="003C22E3"/>
    <w:rsid w:val="003C2B68"/>
    <w:rsid w:val="003C2D71"/>
    <w:rsid w:val="003C2F0F"/>
    <w:rsid w:val="003C310A"/>
    <w:rsid w:val="003C383A"/>
    <w:rsid w:val="003C44C4"/>
    <w:rsid w:val="003C4914"/>
    <w:rsid w:val="003C5F24"/>
    <w:rsid w:val="003C6253"/>
    <w:rsid w:val="003C6A5E"/>
    <w:rsid w:val="003C7EB6"/>
    <w:rsid w:val="003D005C"/>
    <w:rsid w:val="003D010D"/>
    <w:rsid w:val="003D08B2"/>
    <w:rsid w:val="003D08D4"/>
    <w:rsid w:val="003D0E0F"/>
    <w:rsid w:val="003D1390"/>
    <w:rsid w:val="003D1596"/>
    <w:rsid w:val="003D16BD"/>
    <w:rsid w:val="003D1F1C"/>
    <w:rsid w:val="003D2922"/>
    <w:rsid w:val="003D2A67"/>
    <w:rsid w:val="003D2E97"/>
    <w:rsid w:val="003D320A"/>
    <w:rsid w:val="003D3FDB"/>
    <w:rsid w:val="003D4746"/>
    <w:rsid w:val="003D49FB"/>
    <w:rsid w:val="003D5780"/>
    <w:rsid w:val="003D69BB"/>
    <w:rsid w:val="003D7733"/>
    <w:rsid w:val="003D778F"/>
    <w:rsid w:val="003E014F"/>
    <w:rsid w:val="003E0E18"/>
    <w:rsid w:val="003E102A"/>
    <w:rsid w:val="003E157F"/>
    <w:rsid w:val="003E24E4"/>
    <w:rsid w:val="003E2C5C"/>
    <w:rsid w:val="003E309F"/>
    <w:rsid w:val="003E3781"/>
    <w:rsid w:val="003E37A6"/>
    <w:rsid w:val="003E37AD"/>
    <w:rsid w:val="003E404A"/>
    <w:rsid w:val="003E47BE"/>
    <w:rsid w:val="003E49DC"/>
    <w:rsid w:val="003E4A9A"/>
    <w:rsid w:val="003E53EF"/>
    <w:rsid w:val="003E55BE"/>
    <w:rsid w:val="003E5E75"/>
    <w:rsid w:val="003E66E5"/>
    <w:rsid w:val="003E6ADF"/>
    <w:rsid w:val="003E6E65"/>
    <w:rsid w:val="003E713E"/>
    <w:rsid w:val="003E77F8"/>
    <w:rsid w:val="003E7821"/>
    <w:rsid w:val="003E7CCF"/>
    <w:rsid w:val="003E7FB8"/>
    <w:rsid w:val="003F01BA"/>
    <w:rsid w:val="003F11D1"/>
    <w:rsid w:val="003F35DB"/>
    <w:rsid w:val="003F3C42"/>
    <w:rsid w:val="003F4124"/>
    <w:rsid w:val="003F43B8"/>
    <w:rsid w:val="003F4783"/>
    <w:rsid w:val="003F48AA"/>
    <w:rsid w:val="003F48BD"/>
    <w:rsid w:val="003F4CA1"/>
    <w:rsid w:val="003F527A"/>
    <w:rsid w:val="003F58D2"/>
    <w:rsid w:val="003F5BE2"/>
    <w:rsid w:val="003F5C17"/>
    <w:rsid w:val="003F5F23"/>
    <w:rsid w:val="003F6232"/>
    <w:rsid w:val="003F6292"/>
    <w:rsid w:val="003F65ED"/>
    <w:rsid w:val="003F776D"/>
    <w:rsid w:val="004002A3"/>
    <w:rsid w:val="00400825"/>
    <w:rsid w:val="00400ADA"/>
    <w:rsid w:val="00400B6E"/>
    <w:rsid w:val="00400CAF"/>
    <w:rsid w:val="004012E1"/>
    <w:rsid w:val="004019E2"/>
    <w:rsid w:val="00401F19"/>
    <w:rsid w:val="004028A8"/>
    <w:rsid w:val="00402B94"/>
    <w:rsid w:val="00403B22"/>
    <w:rsid w:val="00403B7C"/>
    <w:rsid w:val="00403D06"/>
    <w:rsid w:val="00404204"/>
    <w:rsid w:val="00404245"/>
    <w:rsid w:val="0040441E"/>
    <w:rsid w:val="004049A8"/>
    <w:rsid w:val="00404DD1"/>
    <w:rsid w:val="00404FEA"/>
    <w:rsid w:val="004050F6"/>
    <w:rsid w:val="00405506"/>
    <w:rsid w:val="00405FC5"/>
    <w:rsid w:val="004062FA"/>
    <w:rsid w:val="00406817"/>
    <w:rsid w:val="00406EF6"/>
    <w:rsid w:val="00406F03"/>
    <w:rsid w:val="004070DD"/>
    <w:rsid w:val="00407235"/>
    <w:rsid w:val="0040728A"/>
    <w:rsid w:val="004072DE"/>
    <w:rsid w:val="004072EC"/>
    <w:rsid w:val="00407E7F"/>
    <w:rsid w:val="00410029"/>
    <w:rsid w:val="0041017C"/>
    <w:rsid w:val="004104EF"/>
    <w:rsid w:val="0041176F"/>
    <w:rsid w:val="00411A89"/>
    <w:rsid w:val="00411F8F"/>
    <w:rsid w:val="00412032"/>
    <w:rsid w:val="004124A1"/>
    <w:rsid w:val="00412605"/>
    <w:rsid w:val="0041326F"/>
    <w:rsid w:val="00413893"/>
    <w:rsid w:val="004145E2"/>
    <w:rsid w:val="00414DDF"/>
    <w:rsid w:val="00415043"/>
    <w:rsid w:val="004153F8"/>
    <w:rsid w:val="004159E1"/>
    <w:rsid w:val="00415DF5"/>
    <w:rsid w:val="00416D46"/>
    <w:rsid w:val="00417278"/>
    <w:rsid w:val="0041738B"/>
    <w:rsid w:val="0041739D"/>
    <w:rsid w:val="004173DD"/>
    <w:rsid w:val="0041791E"/>
    <w:rsid w:val="004201C1"/>
    <w:rsid w:val="00420575"/>
    <w:rsid w:val="00421213"/>
    <w:rsid w:val="0042188E"/>
    <w:rsid w:val="00421B4E"/>
    <w:rsid w:val="00421BAE"/>
    <w:rsid w:val="00421CD3"/>
    <w:rsid w:val="00422DE5"/>
    <w:rsid w:val="004239A7"/>
    <w:rsid w:val="00423F72"/>
    <w:rsid w:val="004242E0"/>
    <w:rsid w:val="004246AD"/>
    <w:rsid w:val="00424839"/>
    <w:rsid w:val="00424C5D"/>
    <w:rsid w:val="00425218"/>
    <w:rsid w:val="00425C76"/>
    <w:rsid w:val="00426422"/>
    <w:rsid w:val="00427692"/>
    <w:rsid w:val="0042791E"/>
    <w:rsid w:val="00427B32"/>
    <w:rsid w:val="00427C76"/>
    <w:rsid w:val="004303C1"/>
    <w:rsid w:val="00430653"/>
    <w:rsid w:val="00431546"/>
    <w:rsid w:val="00431A16"/>
    <w:rsid w:val="0043212D"/>
    <w:rsid w:val="0043213F"/>
    <w:rsid w:val="00432159"/>
    <w:rsid w:val="0043246A"/>
    <w:rsid w:val="00432581"/>
    <w:rsid w:val="00432658"/>
    <w:rsid w:val="0043281B"/>
    <w:rsid w:val="00432F29"/>
    <w:rsid w:val="0043361E"/>
    <w:rsid w:val="004336A4"/>
    <w:rsid w:val="00433922"/>
    <w:rsid w:val="00434329"/>
    <w:rsid w:val="004344D1"/>
    <w:rsid w:val="00435782"/>
    <w:rsid w:val="00435B9C"/>
    <w:rsid w:val="00436766"/>
    <w:rsid w:val="00436E88"/>
    <w:rsid w:val="004376A3"/>
    <w:rsid w:val="004378E3"/>
    <w:rsid w:val="00437B55"/>
    <w:rsid w:val="00437C98"/>
    <w:rsid w:val="0044017E"/>
    <w:rsid w:val="00440632"/>
    <w:rsid w:val="00440FD6"/>
    <w:rsid w:val="004415C2"/>
    <w:rsid w:val="0044232D"/>
    <w:rsid w:val="0044254F"/>
    <w:rsid w:val="004438C8"/>
    <w:rsid w:val="00443C06"/>
    <w:rsid w:val="00443CE9"/>
    <w:rsid w:val="004442FB"/>
    <w:rsid w:val="004449FA"/>
    <w:rsid w:val="00444C73"/>
    <w:rsid w:val="00444CAE"/>
    <w:rsid w:val="00444E5F"/>
    <w:rsid w:val="00445046"/>
    <w:rsid w:val="004454C4"/>
    <w:rsid w:val="004460D6"/>
    <w:rsid w:val="00446791"/>
    <w:rsid w:val="004469C7"/>
    <w:rsid w:val="00446EF9"/>
    <w:rsid w:val="00446F50"/>
    <w:rsid w:val="004478D9"/>
    <w:rsid w:val="00447D60"/>
    <w:rsid w:val="00450404"/>
    <w:rsid w:val="00450F06"/>
    <w:rsid w:val="004512EE"/>
    <w:rsid w:val="00451333"/>
    <w:rsid w:val="00452258"/>
    <w:rsid w:val="00452328"/>
    <w:rsid w:val="00452FE8"/>
    <w:rsid w:val="004531A5"/>
    <w:rsid w:val="0045328A"/>
    <w:rsid w:val="0045370E"/>
    <w:rsid w:val="004540EA"/>
    <w:rsid w:val="00454389"/>
    <w:rsid w:val="00454D11"/>
    <w:rsid w:val="00454EED"/>
    <w:rsid w:val="0045506B"/>
    <w:rsid w:val="00455459"/>
    <w:rsid w:val="0045545F"/>
    <w:rsid w:val="00455A73"/>
    <w:rsid w:val="00455FA3"/>
    <w:rsid w:val="00456158"/>
    <w:rsid w:val="0045633B"/>
    <w:rsid w:val="00456682"/>
    <w:rsid w:val="00456A72"/>
    <w:rsid w:val="00456CD4"/>
    <w:rsid w:val="00457908"/>
    <w:rsid w:val="00457A6B"/>
    <w:rsid w:val="00457DFD"/>
    <w:rsid w:val="0046002D"/>
    <w:rsid w:val="004606CE"/>
    <w:rsid w:val="00461ADA"/>
    <w:rsid w:val="00461EE7"/>
    <w:rsid w:val="00461F54"/>
    <w:rsid w:val="004624F4"/>
    <w:rsid w:val="00462642"/>
    <w:rsid w:val="00462B59"/>
    <w:rsid w:val="00463863"/>
    <w:rsid w:val="0046393C"/>
    <w:rsid w:val="00463DEB"/>
    <w:rsid w:val="00464686"/>
    <w:rsid w:val="004646A5"/>
    <w:rsid w:val="00464A8A"/>
    <w:rsid w:val="00465066"/>
    <w:rsid w:val="004650AE"/>
    <w:rsid w:val="00465AFA"/>
    <w:rsid w:val="00465B15"/>
    <w:rsid w:val="00465C09"/>
    <w:rsid w:val="00465C96"/>
    <w:rsid w:val="004667BD"/>
    <w:rsid w:val="004668F1"/>
    <w:rsid w:val="00466C84"/>
    <w:rsid w:val="00466EB5"/>
    <w:rsid w:val="004705EE"/>
    <w:rsid w:val="00470F3B"/>
    <w:rsid w:val="00471891"/>
    <w:rsid w:val="00471C17"/>
    <w:rsid w:val="00471E8C"/>
    <w:rsid w:val="0047212D"/>
    <w:rsid w:val="004729EF"/>
    <w:rsid w:val="00472A4E"/>
    <w:rsid w:val="00473021"/>
    <w:rsid w:val="0047338D"/>
    <w:rsid w:val="00473572"/>
    <w:rsid w:val="00473742"/>
    <w:rsid w:val="00473948"/>
    <w:rsid w:val="004746FA"/>
    <w:rsid w:val="00475166"/>
    <w:rsid w:val="00475A3D"/>
    <w:rsid w:val="00475E6B"/>
    <w:rsid w:val="004765A2"/>
    <w:rsid w:val="0047660A"/>
    <w:rsid w:val="00476914"/>
    <w:rsid w:val="004772A2"/>
    <w:rsid w:val="0047735F"/>
    <w:rsid w:val="00480771"/>
    <w:rsid w:val="00480A79"/>
    <w:rsid w:val="00481EAE"/>
    <w:rsid w:val="004820CD"/>
    <w:rsid w:val="0048223D"/>
    <w:rsid w:val="0048276A"/>
    <w:rsid w:val="0048297A"/>
    <w:rsid w:val="00483F79"/>
    <w:rsid w:val="004846F8"/>
    <w:rsid w:val="00484F56"/>
    <w:rsid w:val="004858DF"/>
    <w:rsid w:val="00485D0E"/>
    <w:rsid w:val="0048660E"/>
    <w:rsid w:val="004867A9"/>
    <w:rsid w:val="0048690E"/>
    <w:rsid w:val="00486AB8"/>
    <w:rsid w:val="00487364"/>
    <w:rsid w:val="00487847"/>
    <w:rsid w:val="00490066"/>
    <w:rsid w:val="00490700"/>
    <w:rsid w:val="004909E5"/>
    <w:rsid w:val="0049105C"/>
    <w:rsid w:val="00491ACA"/>
    <w:rsid w:val="00492824"/>
    <w:rsid w:val="00492F48"/>
    <w:rsid w:val="00493392"/>
    <w:rsid w:val="004935DC"/>
    <w:rsid w:val="00493D56"/>
    <w:rsid w:val="00494804"/>
    <w:rsid w:val="00495A39"/>
    <w:rsid w:val="00495C32"/>
    <w:rsid w:val="00495D21"/>
    <w:rsid w:val="004961B0"/>
    <w:rsid w:val="00496434"/>
    <w:rsid w:val="00496A52"/>
    <w:rsid w:val="00496BA0"/>
    <w:rsid w:val="00496FE4"/>
    <w:rsid w:val="0049797B"/>
    <w:rsid w:val="00497A83"/>
    <w:rsid w:val="00497FB4"/>
    <w:rsid w:val="004A09D1"/>
    <w:rsid w:val="004A108F"/>
    <w:rsid w:val="004A1143"/>
    <w:rsid w:val="004A2448"/>
    <w:rsid w:val="004A24C4"/>
    <w:rsid w:val="004A31BC"/>
    <w:rsid w:val="004A31EE"/>
    <w:rsid w:val="004A3984"/>
    <w:rsid w:val="004A5987"/>
    <w:rsid w:val="004A5D2E"/>
    <w:rsid w:val="004A5D55"/>
    <w:rsid w:val="004A6491"/>
    <w:rsid w:val="004A69DC"/>
    <w:rsid w:val="004A7650"/>
    <w:rsid w:val="004A7D51"/>
    <w:rsid w:val="004A7FC6"/>
    <w:rsid w:val="004B0421"/>
    <w:rsid w:val="004B0D4A"/>
    <w:rsid w:val="004B0F3A"/>
    <w:rsid w:val="004B246D"/>
    <w:rsid w:val="004B24CC"/>
    <w:rsid w:val="004B28AC"/>
    <w:rsid w:val="004B3A44"/>
    <w:rsid w:val="004B4807"/>
    <w:rsid w:val="004B481E"/>
    <w:rsid w:val="004B4895"/>
    <w:rsid w:val="004B5174"/>
    <w:rsid w:val="004B535E"/>
    <w:rsid w:val="004B58DC"/>
    <w:rsid w:val="004B5A09"/>
    <w:rsid w:val="004B642A"/>
    <w:rsid w:val="004B64C5"/>
    <w:rsid w:val="004B655D"/>
    <w:rsid w:val="004B6745"/>
    <w:rsid w:val="004B6F7D"/>
    <w:rsid w:val="004B70D6"/>
    <w:rsid w:val="004B7393"/>
    <w:rsid w:val="004B7760"/>
    <w:rsid w:val="004B78A1"/>
    <w:rsid w:val="004B7A4D"/>
    <w:rsid w:val="004B7CFC"/>
    <w:rsid w:val="004C08B0"/>
    <w:rsid w:val="004C0A59"/>
    <w:rsid w:val="004C0C7C"/>
    <w:rsid w:val="004C208B"/>
    <w:rsid w:val="004C2348"/>
    <w:rsid w:val="004C3B21"/>
    <w:rsid w:val="004C547E"/>
    <w:rsid w:val="004C55CF"/>
    <w:rsid w:val="004C593D"/>
    <w:rsid w:val="004C6B9C"/>
    <w:rsid w:val="004C6CF0"/>
    <w:rsid w:val="004C739D"/>
    <w:rsid w:val="004C7691"/>
    <w:rsid w:val="004C7E65"/>
    <w:rsid w:val="004D0B94"/>
    <w:rsid w:val="004D0FF0"/>
    <w:rsid w:val="004D11D5"/>
    <w:rsid w:val="004D15DF"/>
    <w:rsid w:val="004D1968"/>
    <w:rsid w:val="004D1972"/>
    <w:rsid w:val="004D1E53"/>
    <w:rsid w:val="004D20CD"/>
    <w:rsid w:val="004D24E1"/>
    <w:rsid w:val="004D2BFD"/>
    <w:rsid w:val="004D2E41"/>
    <w:rsid w:val="004D3AD1"/>
    <w:rsid w:val="004D48EA"/>
    <w:rsid w:val="004D4D5D"/>
    <w:rsid w:val="004D6358"/>
    <w:rsid w:val="004D63C8"/>
    <w:rsid w:val="004D6563"/>
    <w:rsid w:val="004D6589"/>
    <w:rsid w:val="004D66ED"/>
    <w:rsid w:val="004D6C04"/>
    <w:rsid w:val="004D725F"/>
    <w:rsid w:val="004D75C5"/>
    <w:rsid w:val="004D7734"/>
    <w:rsid w:val="004D79B2"/>
    <w:rsid w:val="004D7B46"/>
    <w:rsid w:val="004D7B4E"/>
    <w:rsid w:val="004E0C4B"/>
    <w:rsid w:val="004E0EE5"/>
    <w:rsid w:val="004E12A8"/>
    <w:rsid w:val="004E193F"/>
    <w:rsid w:val="004E1CAA"/>
    <w:rsid w:val="004E1D45"/>
    <w:rsid w:val="004E24E7"/>
    <w:rsid w:val="004E2F12"/>
    <w:rsid w:val="004E3D90"/>
    <w:rsid w:val="004E53A5"/>
    <w:rsid w:val="004E542E"/>
    <w:rsid w:val="004E5914"/>
    <w:rsid w:val="004E59A6"/>
    <w:rsid w:val="004E59F2"/>
    <w:rsid w:val="004E5AC0"/>
    <w:rsid w:val="004E5B02"/>
    <w:rsid w:val="004E5B0D"/>
    <w:rsid w:val="004E6552"/>
    <w:rsid w:val="004E6C04"/>
    <w:rsid w:val="004E6E20"/>
    <w:rsid w:val="004E7947"/>
    <w:rsid w:val="004F030E"/>
    <w:rsid w:val="004F0B3B"/>
    <w:rsid w:val="004F1672"/>
    <w:rsid w:val="004F1681"/>
    <w:rsid w:val="004F1C4F"/>
    <w:rsid w:val="004F1DE5"/>
    <w:rsid w:val="004F2194"/>
    <w:rsid w:val="004F38CC"/>
    <w:rsid w:val="004F3E84"/>
    <w:rsid w:val="004F423A"/>
    <w:rsid w:val="004F4469"/>
    <w:rsid w:val="004F4761"/>
    <w:rsid w:val="004F69FC"/>
    <w:rsid w:val="004F6A43"/>
    <w:rsid w:val="004F6B3F"/>
    <w:rsid w:val="004F6FF7"/>
    <w:rsid w:val="004F7033"/>
    <w:rsid w:val="004F7BED"/>
    <w:rsid w:val="004F7FE6"/>
    <w:rsid w:val="00500E64"/>
    <w:rsid w:val="0050120C"/>
    <w:rsid w:val="00501703"/>
    <w:rsid w:val="005021AB"/>
    <w:rsid w:val="00502E4E"/>
    <w:rsid w:val="0050372B"/>
    <w:rsid w:val="00503FB2"/>
    <w:rsid w:val="00504210"/>
    <w:rsid w:val="00504403"/>
    <w:rsid w:val="0050458E"/>
    <w:rsid w:val="00505190"/>
    <w:rsid w:val="005052C9"/>
    <w:rsid w:val="00505338"/>
    <w:rsid w:val="005053B8"/>
    <w:rsid w:val="005060D8"/>
    <w:rsid w:val="00506351"/>
    <w:rsid w:val="00506B61"/>
    <w:rsid w:val="00506F0D"/>
    <w:rsid w:val="00506FB4"/>
    <w:rsid w:val="00507070"/>
    <w:rsid w:val="00507561"/>
    <w:rsid w:val="00507B44"/>
    <w:rsid w:val="00507D34"/>
    <w:rsid w:val="00510322"/>
    <w:rsid w:val="00511C8C"/>
    <w:rsid w:val="005127DD"/>
    <w:rsid w:val="00512BF9"/>
    <w:rsid w:val="00512D2C"/>
    <w:rsid w:val="00512FAC"/>
    <w:rsid w:val="00512FFF"/>
    <w:rsid w:val="005131B2"/>
    <w:rsid w:val="00513422"/>
    <w:rsid w:val="00514267"/>
    <w:rsid w:val="00515398"/>
    <w:rsid w:val="0051576E"/>
    <w:rsid w:val="0051577B"/>
    <w:rsid w:val="00515A60"/>
    <w:rsid w:val="00516188"/>
    <w:rsid w:val="0051632D"/>
    <w:rsid w:val="00516A58"/>
    <w:rsid w:val="00517761"/>
    <w:rsid w:val="005212D0"/>
    <w:rsid w:val="005215D8"/>
    <w:rsid w:val="0052167C"/>
    <w:rsid w:val="005221FA"/>
    <w:rsid w:val="00522A2B"/>
    <w:rsid w:val="00522B54"/>
    <w:rsid w:val="00523EAC"/>
    <w:rsid w:val="00523FB3"/>
    <w:rsid w:val="005252F1"/>
    <w:rsid w:val="005264EB"/>
    <w:rsid w:val="00526B55"/>
    <w:rsid w:val="00526DC6"/>
    <w:rsid w:val="00526DFA"/>
    <w:rsid w:val="00527013"/>
    <w:rsid w:val="005275DA"/>
    <w:rsid w:val="005306C3"/>
    <w:rsid w:val="0053096D"/>
    <w:rsid w:val="00530A98"/>
    <w:rsid w:val="00530BEF"/>
    <w:rsid w:val="005311A1"/>
    <w:rsid w:val="005313BC"/>
    <w:rsid w:val="005318A1"/>
    <w:rsid w:val="005319BE"/>
    <w:rsid w:val="0053265A"/>
    <w:rsid w:val="005328C2"/>
    <w:rsid w:val="0053379D"/>
    <w:rsid w:val="00533C0E"/>
    <w:rsid w:val="00533F5F"/>
    <w:rsid w:val="00533FEA"/>
    <w:rsid w:val="00534030"/>
    <w:rsid w:val="00534342"/>
    <w:rsid w:val="00534E4B"/>
    <w:rsid w:val="00535B33"/>
    <w:rsid w:val="00536101"/>
    <w:rsid w:val="00536DC3"/>
    <w:rsid w:val="00537D57"/>
    <w:rsid w:val="00537EC2"/>
    <w:rsid w:val="0054083C"/>
    <w:rsid w:val="00540E28"/>
    <w:rsid w:val="00540E65"/>
    <w:rsid w:val="00540F77"/>
    <w:rsid w:val="00541283"/>
    <w:rsid w:val="005417FE"/>
    <w:rsid w:val="00542534"/>
    <w:rsid w:val="00542A91"/>
    <w:rsid w:val="005433D1"/>
    <w:rsid w:val="00543CE4"/>
    <w:rsid w:val="00544217"/>
    <w:rsid w:val="00544253"/>
    <w:rsid w:val="00544652"/>
    <w:rsid w:val="0054474C"/>
    <w:rsid w:val="0054545D"/>
    <w:rsid w:val="00545483"/>
    <w:rsid w:val="00545966"/>
    <w:rsid w:val="00545EB3"/>
    <w:rsid w:val="00546A97"/>
    <w:rsid w:val="00546E2B"/>
    <w:rsid w:val="00547483"/>
    <w:rsid w:val="0054797A"/>
    <w:rsid w:val="00547F00"/>
    <w:rsid w:val="00550AEC"/>
    <w:rsid w:val="005513A1"/>
    <w:rsid w:val="00551C11"/>
    <w:rsid w:val="00551CB8"/>
    <w:rsid w:val="00551E19"/>
    <w:rsid w:val="00552264"/>
    <w:rsid w:val="005522B2"/>
    <w:rsid w:val="005523C5"/>
    <w:rsid w:val="005524CB"/>
    <w:rsid w:val="005529E9"/>
    <w:rsid w:val="00552A80"/>
    <w:rsid w:val="00552B08"/>
    <w:rsid w:val="00552DFC"/>
    <w:rsid w:val="005547E6"/>
    <w:rsid w:val="00554B67"/>
    <w:rsid w:val="00554B9E"/>
    <w:rsid w:val="00556135"/>
    <w:rsid w:val="00556573"/>
    <w:rsid w:val="0055716B"/>
    <w:rsid w:val="00557266"/>
    <w:rsid w:val="00557F39"/>
    <w:rsid w:val="005603AF"/>
    <w:rsid w:val="005603FE"/>
    <w:rsid w:val="00560814"/>
    <w:rsid w:val="00560896"/>
    <w:rsid w:val="00560F5B"/>
    <w:rsid w:val="00561575"/>
    <w:rsid w:val="005616E9"/>
    <w:rsid w:val="00561734"/>
    <w:rsid w:val="00561A4B"/>
    <w:rsid w:val="005620D9"/>
    <w:rsid w:val="00562BC3"/>
    <w:rsid w:val="00562E36"/>
    <w:rsid w:val="005637DD"/>
    <w:rsid w:val="00564076"/>
    <w:rsid w:val="005641BE"/>
    <w:rsid w:val="005642CC"/>
    <w:rsid w:val="00564739"/>
    <w:rsid w:val="00564866"/>
    <w:rsid w:val="00564929"/>
    <w:rsid w:val="005649AF"/>
    <w:rsid w:val="00564ACC"/>
    <w:rsid w:val="005650CA"/>
    <w:rsid w:val="005657E9"/>
    <w:rsid w:val="005658F6"/>
    <w:rsid w:val="00567041"/>
    <w:rsid w:val="005674A1"/>
    <w:rsid w:val="0056785D"/>
    <w:rsid w:val="00567CE0"/>
    <w:rsid w:val="00567CE4"/>
    <w:rsid w:val="0057094D"/>
    <w:rsid w:val="00570CF5"/>
    <w:rsid w:val="00570E41"/>
    <w:rsid w:val="0057141C"/>
    <w:rsid w:val="005717E1"/>
    <w:rsid w:val="0057288F"/>
    <w:rsid w:val="005733F9"/>
    <w:rsid w:val="00574B92"/>
    <w:rsid w:val="00574FBB"/>
    <w:rsid w:val="005750ED"/>
    <w:rsid w:val="00575133"/>
    <w:rsid w:val="00575242"/>
    <w:rsid w:val="005756AF"/>
    <w:rsid w:val="00575E12"/>
    <w:rsid w:val="00576874"/>
    <w:rsid w:val="0057737C"/>
    <w:rsid w:val="00580977"/>
    <w:rsid w:val="00580DAF"/>
    <w:rsid w:val="0058159B"/>
    <w:rsid w:val="00581994"/>
    <w:rsid w:val="00582A3C"/>
    <w:rsid w:val="00582AFA"/>
    <w:rsid w:val="00582E79"/>
    <w:rsid w:val="0058343D"/>
    <w:rsid w:val="00583E00"/>
    <w:rsid w:val="00583F31"/>
    <w:rsid w:val="00584045"/>
    <w:rsid w:val="005842C9"/>
    <w:rsid w:val="005845F0"/>
    <w:rsid w:val="00584AC7"/>
    <w:rsid w:val="00584C42"/>
    <w:rsid w:val="00584E14"/>
    <w:rsid w:val="00585719"/>
    <w:rsid w:val="005858C3"/>
    <w:rsid w:val="00585E41"/>
    <w:rsid w:val="00585F7C"/>
    <w:rsid w:val="00586007"/>
    <w:rsid w:val="00586186"/>
    <w:rsid w:val="005864FF"/>
    <w:rsid w:val="00587BDE"/>
    <w:rsid w:val="00587F35"/>
    <w:rsid w:val="00587F9E"/>
    <w:rsid w:val="005900BF"/>
    <w:rsid w:val="005901D8"/>
    <w:rsid w:val="005905E7"/>
    <w:rsid w:val="005908D9"/>
    <w:rsid w:val="0059125F"/>
    <w:rsid w:val="00591481"/>
    <w:rsid w:val="005917FE"/>
    <w:rsid w:val="005918E6"/>
    <w:rsid w:val="00591B8E"/>
    <w:rsid w:val="00592015"/>
    <w:rsid w:val="005921BA"/>
    <w:rsid w:val="00592935"/>
    <w:rsid w:val="00592EB7"/>
    <w:rsid w:val="005939AD"/>
    <w:rsid w:val="00593BE0"/>
    <w:rsid w:val="00593D3F"/>
    <w:rsid w:val="005944D9"/>
    <w:rsid w:val="00594677"/>
    <w:rsid w:val="005946BD"/>
    <w:rsid w:val="00594C17"/>
    <w:rsid w:val="00595526"/>
    <w:rsid w:val="0059616B"/>
    <w:rsid w:val="00596564"/>
    <w:rsid w:val="00596D83"/>
    <w:rsid w:val="00596F4E"/>
    <w:rsid w:val="005973BE"/>
    <w:rsid w:val="005973D1"/>
    <w:rsid w:val="00597757"/>
    <w:rsid w:val="00597A20"/>
    <w:rsid w:val="00597D6E"/>
    <w:rsid w:val="00597F42"/>
    <w:rsid w:val="005A0772"/>
    <w:rsid w:val="005A0CF6"/>
    <w:rsid w:val="005A1624"/>
    <w:rsid w:val="005A1881"/>
    <w:rsid w:val="005A20FB"/>
    <w:rsid w:val="005A21AD"/>
    <w:rsid w:val="005A2A46"/>
    <w:rsid w:val="005A2C86"/>
    <w:rsid w:val="005A3D2B"/>
    <w:rsid w:val="005A4F06"/>
    <w:rsid w:val="005A4FF1"/>
    <w:rsid w:val="005A5003"/>
    <w:rsid w:val="005A58ED"/>
    <w:rsid w:val="005A608A"/>
    <w:rsid w:val="005A6B64"/>
    <w:rsid w:val="005A79DF"/>
    <w:rsid w:val="005A7AA9"/>
    <w:rsid w:val="005B0F2F"/>
    <w:rsid w:val="005B10CF"/>
    <w:rsid w:val="005B115D"/>
    <w:rsid w:val="005B14E4"/>
    <w:rsid w:val="005B18C6"/>
    <w:rsid w:val="005B231C"/>
    <w:rsid w:val="005B26CA"/>
    <w:rsid w:val="005B27C8"/>
    <w:rsid w:val="005B2954"/>
    <w:rsid w:val="005B2B72"/>
    <w:rsid w:val="005B2D1C"/>
    <w:rsid w:val="005B4B9D"/>
    <w:rsid w:val="005B53A2"/>
    <w:rsid w:val="005B5676"/>
    <w:rsid w:val="005B57AA"/>
    <w:rsid w:val="005B5D49"/>
    <w:rsid w:val="005B5FE7"/>
    <w:rsid w:val="005B607D"/>
    <w:rsid w:val="005C0FD7"/>
    <w:rsid w:val="005C1374"/>
    <w:rsid w:val="005C1DCE"/>
    <w:rsid w:val="005C1FD7"/>
    <w:rsid w:val="005C284B"/>
    <w:rsid w:val="005C2A85"/>
    <w:rsid w:val="005C3211"/>
    <w:rsid w:val="005C35C0"/>
    <w:rsid w:val="005C430B"/>
    <w:rsid w:val="005C59C6"/>
    <w:rsid w:val="005C5A68"/>
    <w:rsid w:val="005C5DB2"/>
    <w:rsid w:val="005C5F07"/>
    <w:rsid w:val="005C6311"/>
    <w:rsid w:val="005C64AA"/>
    <w:rsid w:val="005C7093"/>
    <w:rsid w:val="005C7868"/>
    <w:rsid w:val="005C7E71"/>
    <w:rsid w:val="005C7E99"/>
    <w:rsid w:val="005C7EB9"/>
    <w:rsid w:val="005D074C"/>
    <w:rsid w:val="005D0756"/>
    <w:rsid w:val="005D0C96"/>
    <w:rsid w:val="005D0F02"/>
    <w:rsid w:val="005D0FA4"/>
    <w:rsid w:val="005D121A"/>
    <w:rsid w:val="005D1786"/>
    <w:rsid w:val="005D1E17"/>
    <w:rsid w:val="005D21AA"/>
    <w:rsid w:val="005D21B2"/>
    <w:rsid w:val="005D270D"/>
    <w:rsid w:val="005D282F"/>
    <w:rsid w:val="005D3430"/>
    <w:rsid w:val="005D38F5"/>
    <w:rsid w:val="005D3AD4"/>
    <w:rsid w:val="005D3B5B"/>
    <w:rsid w:val="005D48DB"/>
    <w:rsid w:val="005D4ED7"/>
    <w:rsid w:val="005D5A93"/>
    <w:rsid w:val="005D5DBF"/>
    <w:rsid w:val="005D5E73"/>
    <w:rsid w:val="005D5FDE"/>
    <w:rsid w:val="005D694B"/>
    <w:rsid w:val="005D735B"/>
    <w:rsid w:val="005D795A"/>
    <w:rsid w:val="005E013F"/>
    <w:rsid w:val="005E078F"/>
    <w:rsid w:val="005E0840"/>
    <w:rsid w:val="005E08BF"/>
    <w:rsid w:val="005E0BFE"/>
    <w:rsid w:val="005E10E6"/>
    <w:rsid w:val="005E2198"/>
    <w:rsid w:val="005E21EE"/>
    <w:rsid w:val="005E393F"/>
    <w:rsid w:val="005E3A65"/>
    <w:rsid w:val="005E3FC5"/>
    <w:rsid w:val="005E41FF"/>
    <w:rsid w:val="005E450E"/>
    <w:rsid w:val="005E4604"/>
    <w:rsid w:val="005E4799"/>
    <w:rsid w:val="005E48BE"/>
    <w:rsid w:val="005E4A1E"/>
    <w:rsid w:val="005E538A"/>
    <w:rsid w:val="005E5653"/>
    <w:rsid w:val="005E5813"/>
    <w:rsid w:val="005E63F3"/>
    <w:rsid w:val="005E668F"/>
    <w:rsid w:val="005E6C12"/>
    <w:rsid w:val="005E76C3"/>
    <w:rsid w:val="005E782D"/>
    <w:rsid w:val="005E7C87"/>
    <w:rsid w:val="005E7ED5"/>
    <w:rsid w:val="005F0071"/>
    <w:rsid w:val="005F08BF"/>
    <w:rsid w:val="005F0DC1"/>
    <w:rsid w:val="005F0F9F"/>
    <w:rsid w:val="005F16E3"/>
    <w:rsid w:val="005F18E4"/>
    <w:rsid w:val="005F24F3"/>
    <w:rsid w:val="005F2B11"/>
    <w:rsid w:val="005F2E38"/>
    <w:rsid w:val="005F358A"/>
    <w:rsid w:val="005F376C"/>
    <w:rsid w:val="005F3D08"/>
    <w:rsid w:val="005F46A4"/>
    <w:rsid w:val="005F493B"/>
    <w:rsid w:val="005F4EBD"/>
    <w:rsid w:val="005F57B5"/>
    <w:rsid w:val="005F5DFC"/>
    <w:rsid w:val="005F63FC"/>
    <w:rsid w:val="005F6BE4"/>
    <w:rsid w:val="005F79EA"/>
    <w:rsid w:val="00600D56"/>
    <w:rsid w:val="0060133D"/>
    <w:rsid w:val="006018A2"/>
    <w:rsid w:val="0060192B"/>
    <w:rsid w:val="00601CBC"/>
    <w:rsid w:val="006027C8"/>
    <w:rsid w:val="00602B48"/>
    <w:rsid w:val="00604516"/>
    <w:rsid w:val="00604581"/>
    <w:rsid w:val="00604833"/>
    <w:rsid w:val="00604895"/>
    <w:rsid w:val="00604CBA"/>
    <w:rsid w:val="00604E5D"/>
    <w:rsid w:val="00604F84"/>
    <w:rsid w:val="006050B9"/>
    <w:rsid w:val="00606042"/>
    <w:rsid w:val="00606518"/>
    <w:rsid w:val="00606560"/>
    <w:rsid w:val="00606F2E"/>
    <w:rsid w:val="0060710A"/>
    <w:rsid w:val="0060726E"/>
    <w:rsid w:val="00607466"/>
    <w:rsid w:val="006076A4"/>
    <w:rsid w:val="0060782C"/>
    <w:rsid w:val="00607E2D"/>
    <w:rsid w:val="00607EFD"/>
    <w:rsid w:val="006101B9"/>
    <w:rsid w:val="006105E5"/>
    <w:rsid w:val="006108DE"/>
    <w:rsid w:val="006119AB"/>
    <w:rsid w:val="00611C3B"/>
    <w:rsid w:val="006126C5"/>
    <w:rsid w:val="00612876"/>
    <w:rsid w:val="00613BC5"/>
    <w:rsid w:val="0061433B"/>
    <w:rsid w:val="0061468F"/>
    <w:rsid w:val="00614A9C"/>
    <w:rsid w:val="00615343"/>
    <w:rsid w:val="00615575"/>
    <w:rsid w:val="006159DC"/>
    <w:rsid w:val="00616262"/>
    <w:rsid w:val="00616BD1"/>
    <w:rsid w:val="00616F13"/>
    <w:rsid w:val="00620B3D"/>
    <w:rsid w:val="00621949"/>
    <w:rsid w:val="00621F07"/>
    <w:rsid w:val="006220C7"/>
    <w:rsid w:val="006220EE"/>
    <w:rsid w:val="00622399"/>
    <w:rsid w:val="006229D9"/>
    <w:rsid w:val="00622E87"/>
    <w:rsid w:val="00623A4E"/>
    <w:rsid w:val="0062444F"/>
    <w:rsid w:val="00624464"/>
    <w:rsid w:val="0062451C"/>
    <w:rsid w:val="00624EC1"/>
    <w:rsid w:val="00625241"/>
    <w:rsid w:val="00625781"/>
    <w:rsid w:val="00625C3F"/>
    <w:rsid w:val="00625C81"/>
    <w:rsid w:val="00626121"/>
    <w:rsid w:val="00626136"/>
    <w:rsid w:val="00627035"/>
    <w:rsid w:val="0063035B"/>
    <w:rsid w:val="006307CB"/>
    <w:rsid w:val="0063094A"/>
    <w:rsid w:val="006314D9"/>
    <w:rsid w:val="0063192E"/>
    <w:rsid w:val="006319DD"/>
    <w:rsid w:val="00631E7A"/>
    <w:rsid w:val="0063213D"/>
    <w:rsid w:val="00632666"/>
    <w:rsid w:val="006326E4"/>
    <w:rsid w:val="006330EC"/>
    <w:rsid w:val="00633146"/>
    <w:rsid w:val="00633487"/>
    <w:rsid w:val="00634078"/>
    <w:rsid w:val="00634705"/>
    <w:rsid w:val="006347BA"/>
    <w:rsid w:val="00635958"/>
    <w:rsid w:val="00635B47"/>
    <w:rsid w:val="00636109"/>
    <w:rsid w:val="006369CF"/>
    <w:rsid w:val="00636E36"/>
    <w:rsid w:val="00636EE8"/>
    <w:rsid w:val="006371B2"/>
    <w:rsid w:val="00637252"/>
    <w:rsid w:val="00637DBA"/>
    <w:rsid w:val="00640742"/>
    <w:rsid w:val="00640E6F"/>
    <w:rsid w:val="006413E5"/>
    <w:rsid w:val="00641896"/>
    <w:rsid w:val="00641DBB"/>
    <w:rsid w:val="00641FAC"/>
    <w:rsid w:val="006423A7"/>
    <w:rsid w:val="0064282D"/>
    <w:rsid w:val="00642AAA"/>
    <w:rsid w:val="00642BAB"/>
    <w:rsid w:val="00642CBE"/>
    <w:rsid w:val="00642DBE"/>
    <w:rsid w:val="006434EC"/>
    <w:rsid w:val="00643DED"/>
    <w:rsid w:val="0064497D"/>
    <w:rsid w:val="00644A98"/>
    <w:rsid w:val="0064556A"/>
    <w:rsid w:val="00645D89"/>
    <w:rsid w:val="00645DBB"/>
    <w:rsid w:val="006463B2"/>
    <w:rsid w:val="006464F5"/>
    <w:rsid w:val="006466A6"/>
    <w:rsid w:val="00646CDA"/>
    <w:rsid w:val="0064710A"/>
    <w:rsid w:val="006476E8"/>
    <w:rsid w:val="00647D4A"/>
    <w:rsid w:val="00647F1A"/>
    <w:rsid w:val="00650404"/>
    <w:rsid w:val="006507E6"/>
    <w:rsid w:val="00651475"/>
    <w:rsid w:val="00651A4A"/>
    <w:rsid w:val="00651DA5"/>
    <w:rsid w:val="00652A56"/>
    <w:rsid w:val="00653154"/>
    <w:rsid w:val="006533D2"/>
    <w:rsid w:val="00653AF0"/>
    <w:rsid w:val="00653DAB"/>
    <w:rsid w:val="0065469C"/>
    <w:rsid w:val="006547C6"/>
    <w:rsid w:val="00654F32"/>
    <w:rsid w:val="0065501A"/>
    <w:rsid w:val="00655C4A"/>
    <w:rsid w:val="00656209"/>
    <w:rsid w:val="00656547"/>
    <w:rsid w:val="00656EBF"/>
    <w:rsid w:val="006572B2"/>
    <w:rsid w:val="00657B2F"/>
    <w:rsid w:val="006603DD"/>
    <w:rsid w:val="006607BD"/>
    <w:rsid w:val="0066083C"/>
    <w:rsid w:val="00660B93"/>
    <w:rsid w:val="006618A1"/>
    <w:rsid w:val="00662781"/>
    <w:rsid w:val="00662D45"/>
    <w:rsid w:val="0066321E"/>
    <w:rsid w:val="00663862"/>
    <w:rsid w:val="00664834"/>
    <w:rsid w:val="0066490D"/>
    <w:rsid w:val="00664A74"/>
    <w:rsid w:val="00664D6E"/>
    <w:rsid w:val="00664E1A"/>
    <w:rsid w:val="0066580D"/>
    <w:rsid w:val="00665AB1"/>
    <w:rsid w:val="006664B4"/>
    <w:rsid w:val="00666EA2"/>
    <w:rsid w:val="00667197"/>
    <w:rsid w:val="00667263"/>
    <w:rsid w:val="0066734A"/>
    <w:rsid w:val="006673FE"/>
    <w:rsid w:val="00670102"/>
    <w:rsid w:val="0067040D"/>
    <w:rsid w:val="0067069B"/>
    <w:rsid w:val="0067070B"/>
    <w:rsid w:val="006709F0"/>
    <w:rsid w:val="00670FA1"/>
    <w:rsid w:val="00671C3E"/>
    <w:rsid w:val="00671D17"/>
    <w:rsid w:val="00671FF2"/>
    <w:rsid w:val="00672E15"/>
    <w:rsid w:val="00672E19"/>
    <w:rsid w:val="00673047"/>
    <w:rsid w:val="006744DF"/>
    <w:rsid w:val="0067459E"/>
    <w:rsid w:val="00674AC6"/>
    <w:rsid w:val="006758C5"/>
    <w:rsid w:val="00675CB8"/>
    <w:rsid w:val="0067602A"/>
    <w:rsid w:val="006764CF"/>
    <w:rsid w:val="00676E6C"/>
    <w:rsid w:val="006778DA"/>
    <w:rsid w:val="00680918"/>
    <w:rsid w:val="00680B1F"/>
    <w:rsid w:val="00680C12"/>
    <w:rsid w:val="00680E83"/>
    <w:rsid w:val="00680E91"/>
    <w:rsid w:val="006814B9"/>
    <w:rsid w:val="006818A7"/>
    <w:rsid w:val="00681E02"/>
    <w:rsid w:val="0068209B"/>
    <w:rsid w:val="006821ED"/>
    <w:rsid w:val="00682708"/>
    <w:rsid w:val="0068289E"/>
    <w:rsid w:val="00682ACE"/>
    <w:rsid w:val="0068340B"/>
    <w:rsid w:val="0068340C"/>
    <w:rsid w:val="00683703"/>
    <w:rsid w:val="00683CA7"/>
    <w:rsid w:val="006844A4"/>
    <w:rsid w:val="006844A8"/>
    <w:rsid w:val="00684D86"/>
    <w:rsid w:val="00685BBF"/>
    <w:rsid w:val="00685C81"/>
    <w:rsid w:val="00685E4A"/>
    <w:rsid w:val="00686438"/>
    <w:rsid w:val="00686A13"/>
    <w:rsid w:val="00686A57"/>
    <w:rsid w:val="00687134"/>
    <w:rsid w:val="0068797F"/>
    <w:rsid w:val="006905DC"/>
    <w:rsid w:val="006906DC"/>
    <w:rsid w:val="00690726"/>
    <w:rsid w:val="00690D6B"/>
    <w:rsid w:val="00690F3B"/>
    <w:rsid w:val="006911BB"/>
    <w:rsid w:val="006912B3"/>
    <w:rsid w:val="0069160E"/>
    <w:rsid w:val="00691792"/>
    <w:rsid w:val="00691A5E"/>
    <w:rsid w:val="00691F59"/>
    <w:rsid w:val="006921FC"/>
    <w:rsid w:val="00692267"/>
    <w:rsid w:val="006929C7"/>
    <w:rsid w:val="00692C7A"/>
    <w:rsid w:val="00693436"/>
    <w:rsid w:val="00693497"/>
    <w:rsid w:val="00693FC7"/>
    <w:rsid w:val="006942BE"/>
    <w:rsid w:val="00694565"/>
    <w:rsid w:val="006951FB"/>
    <w:rsid w:val="00695878"/>
    <w:rsid w:val="0069591C"/>
    <w:rsid w:val="0069697A"/>
    <w:rsid w:val="00696C74"/>
    <w:rsid w:val="00696E84"/>
    <w:rsid w:val="00697CDC"/>
    <w:rsid w:val="00697E49"/>
    <w:rsid w:val="006A0BD4"/>
    <w:rsid w:val="006A1197"/>
    <w:rsid w:val="006A11DA"/>
    <w:rsid w:val="006A13BD"/>
    <w:rsid w:val="006A22BD"/>
    <w:rsid w:val="006A32B3"/>
    <w:rsid w:val="006A39DC"/>
    <w:rsid w:val="006A43E0"/>
    <w:rsid w:val="006A440D"/>
    <w:rsid w:val="006A4764"/>
    <w:rsid w:val="006A4ABF"/>
    <w:rsid w:val="006A4D1D"/>
    <w:rsid w:val="006A5058"/>
    <w:rsid w:val="006A51B3"/>
    <w:rsid w:val="006A5F3A"/>
    <w:rsid w:val="006A6BD5"/>
    <w:rsid w:val="006A6D69"/>
    <w:rsid w:val="006A7604"/>
    <w:rsid w:val="006A777E"/>
    <w:rsid w:val="006A78DB"/>
    <w:rsid w:val="006B03C7"/>
    <w:rsid w:val="006B0670"/>
    <w:rsid w:val="006B07C7"/>
    <w:rsid w:val="006B07F9"/>
    <w:rsid w:val="006B0BA3"/>
    <w:rsid w:val="006B12B6"/>
    <w:rsid w:val="006B12F6"/>
    <w:rsid w:val="006B1315"/>
    <w:rsid w:val="006B1CBF"/>
    <w:rsid w:val="006B1F27"/>
    <w:rsid w:val="006B1FF8"/>
    <w:rsid w:val="006B2979"/>
    <w:rsid w:val="006B33E4"/>
    <w:rsid w:val="006B362C"/>
    <w:rsid w:val="006B3829"/>
    <w:rsid w:val="006B3E50"/>
    <w:rsid w:val="006B3F28"/>
    <w:rsid w:val="006B4482"/>
    <w:rsid w:val="006B4510"/>
    <w:rsid w:val="006B455E"/>
    <w:rsid w:val="006B45B5"/>
    <w:rsid w:val="006B4904"/>
    <w:rsid w:val="006B4F30"/>
    <w:rsid w:val="006B5AD2"/>
    <w:rsid w:val="006B5F52"/>
    <w:rsid w:val="006B5F8F"/>
    <w:rsid w:val="006B6299"/>
    <w:rsid w:val="006B653F"/>
    <w:rsid w:val="006B66BF"/>
    <w:rsid w:val="006B6B25"/>
    <w:rsid w:val="006B6D84"/>
    <w:rsid w:val="006B7552"/>
    <w:rsid w:val="006C03C6"/>
    <w:rsid w:val="006C05AF"/>
    <w:rsid w:val="006C066F"/>
    <w:rsid w:val="006C12AA"/>
    <w:rsid w:val="006C1BD6"/>
    <w:rsid w:val="006C1E77"/>
    <w:rsid w:val="006C2C30"/>
    <w:rsid w:val="006C363C"/>
    <w:rsid w:val="006C44A2"/>
    <w:rsid w:val="006C44D2"/>
    <w:rsid w:val="006C492A"/>
    <w:rsid w:val="006C4953"/>
    <w:rsid w:val="006C4B91"/>
    <w:rsid w:val="006C4CEC"/>
    <w:rsid w:val="006C4F6A"/>
    <w:rsid w:val="006C509E"/>
    <w:rsid w:val="006C515F"/>
    <w:rsid w:val="006C5981"/>
    <w:rsid w:val="006C6568"/>
    <w:rsid w:val="006C6960"/>
    <w:rsid w:val="006C6975"/>
    <w:rsid w:val="006C6D88"/>
    <w:rsid w:val="006C6EA9"/>
    <w:rsid w:val="006C7343"/>
    <w:rsid w:val="006C7BAA"/>
    <w:rsid w:val="006D0026"/>
    <w:rsid w:val="006D00DA"/>
    <w:rsid w:val="006D074F"/>
    <w:rsid w:val="006D0E36"/>
    <w:rsid w:val="006D1580"/>
    <w:rsid w:val="006D175D"/>
    <w:rsid w:val="006D1B89"/>
    <w:rsid w:val="006D226B"/>
    <w:rsid w:val="006D23DD"/>
    <w:rsid w:val="006D2A36"/>
    <w:rsid w:val="006D2EF5"/>
    <w:rsid w:val="006D3097"/>
    <w:rsid w:val="006D38B9"/>
    <w:rsid w:val="006D3942"/>
    <w:rsid w:val="006D45EE"/>
    <w:rsid w:val="006D52F6"/>
    <w:rsid w:val="006D58B6"/>
    <w:rsid w:val="006D5C6C"/>
    <w:rsid w:val="006D612F"/>
    <w:rsid w:val="006D6475"/>
    <w:rsid w:val="006D6B92"/>
    <w:rsid w:val="006D7AE0"/>
    <w:rsid w:val="006E006A"/>
    <w:rsid w:val="006E01B4"/>
    <w:rsid w:val="006E033E"/>
    <w:rsid w:val="006E04F2"/>
    <w:rsid w:val="006E0A22"/>
    <w:rsid w:val="006E13B8"/>
    <w:rsid w:val="006E15D4"/>
    <w:rsid w:val="006E16F1"/>
    <w:rsid w:val="006E27EA"/>
    <w:rsid w:val="006E2AA3"/>
    <w:rsid w:val="006E2BEA"/>
    <w:rsid w:val="006E2BED"/>
    <w:rsid w:val="006E3012"/>
    <w:rsid w:val="006E376B"/>
    <w:rsid w:val="006E3E9A"/>
    <w:rsid w:val="006E49AB"/>
    <w:rsid w:val="006E5148"/>
    <w:rsid w:val="006E53CA"/>
    <w:rsid w:val="006E576F"/>
    <w:rsid w:val="006E59C2"/>
    <w:rsid w:val="006E5B62"/>
    <w:rsid w:val="006E68CA"/>
    <w:rsid w:val="006E6A55"/>
    <w:rsid w:val="006E7124"/>
    <w:rsid w:val="006E76E6"/>
    <w:rsid w:val="006E772F"/>
    <w:rsid w:val="006E77DB"/>
    <w:rsid w:val="006E7972"/>
    <w:rsid w:val="006F00C9"/>
    <w:rsid w:val="006F0D29"/>
    <w:rsid w:val="006F0D37"/>
    <w:rsid w:val="006F0F27"/>
    <w:rsid w:val="006F1A58"/>
    <w:rsid w:val="006F242F"/>
    <w:rsid w:val="006F33B1"/>
    <w:rsid w:val="006F3482"/>
    <w:rsid w:val="006F3955"/>
    <w:rsid w:val="006F3DD4"/>
    <w:rsid w:val="006F43BE"/>
    <w:rsid w:val="006F4400"/>
    <w:rsid w:val="006F4489"/>
    <w:rsid w:val="006F45A3"/>
    <w:rsid w:val="006F4C16"/>
    <w:rsid w:val="006F4D9A"/>
    <w:rsid w:val="006F53E4"/>
    <w:rsid w:val="006F56AE"/>
    <w:rsid w:val="006F599C"/>
    <w:rsid w:val="006F6114"/>
    <w:rsid w:val="006F63FA"/>
    <w:rsid w:val="006F6AD5"/>
    <w:rsid w:val="006F7EF9"/>
    <w:rsid w:val="00700AAF"/>
    <w:rsid w:val="00700DE0"/>
    <w:rsid w:val="0070139F"/>
    <w:rsid w:val="00701BBC"/>
    <w:rsid w:val="00701C70"/>
    <w:rsid w:val="00701D11"/>
    <w:rsid w:val="00701F0D"/>
    <w:rsid w:val="00702141"/>
    <w:rsid w:val="00702196"/>
    <w:rsid w:val="007023C4"/>
    <w:rsid w:val="007025B3"/>
    <w:rsid w:val="007039D7"/>
    <w:rsid w:val="00704AEB"/>
    <w:rsid w:val="00704C17"/>
    <w:rsid w:val="00704C91"/>
    <w:rsid w:val="0070589B"/>
    <w:rsid w:val="0070636D"/>
    <w:rsid w:val="00706567"/>
    <w:rsid w:val="007066D8"/>
    <w:rsid w:val="0070682F"/>
    <w:rsid w:val="007069EF"/>
    <w:rsid w:val="00706F1B"/>
    <w:rsid w:val="007073A3"/>
    <w:rsid w:val="0070767B"/>
    <w:rsid w:val="007076A9"/>
    <w:rsid w:val="00707A0B"/>
    <w:rsid w:val="00707AC6"/>
    <w:rsid w:val="00707D68"/>
    <w:rsid w:val="00710AD1"/>
    <w:rsid w:val="00710B97"/>
    <w:rsid w:val="00710E1C"/>
    <w:rsid w:val="0071146C"/>
    <w:rsid w:val="00711AAC"/>
    <w:rsid w:val="00711F4F"/>
    <w:rsid w:val="007125F7"/>
    <w:rsid w:val="00713564"/>
    <w:rsid w:val="007140B3"/>
    <w:rsid w:val="00715006"/>
    <w:rsid w:val="00715DA2"/>
    <w:rsid w:val="00716469"/>
    <w:rsid w:val="00716481"/>
    <w:rsid w:val="007164FD"/>
    <w:rsid w:val="007168C3"/>
    <w:rsid w:val="00716915"/>
    <w:rsid w:val="00716C1C"/>
    <w:rsid w:val="00716F54"/>
    <w:rsid w:val="0071703C"/>
    <w:rsid w:val="0071779F"/>
    <w:rsid w:val="00720BD9"/>
    <w:rsid w:val="00720C6F"/>
    <w:rsid w:val="00720F61"/>
    <w:rsid w:val="007215AF"/>
    <w:rsid w:val="00721E4B"/>
    <w:rsid w:val="00722090"/>
    <w:rsid w:val="007227AE"/>
    <w:rsid w:val="00723237"/>
    <w:rsid w:val="007233FD"/>
    <w:rsid w:val="00723599"/>
    <w:rsid w:val="00723CE5"/>
    <w:rsid w:val="00724498"/>
    <w:rsid w:val="007246A2"/>
    <w:rsid w:val="00724A23"/>
    <w:rsid w:val="007258C5"/>
    <w:rsid w:val="007259A9"/>
    <w:rsid w:val="00725BC0"/>
    <w:rsid w:val="00725F76"/>
    <w:rsid w:val="00726105"/>
    <w:rsid w:val="007268C9"/>
    <w:rsid w:val="007269BB"/>
    <w:rsid w:val="00727239"/>
    <w:rsid w:val="00727C23"/>
    <w:rsid w:val="00727C34"/>
    <w:rsid w:val="00727EB5"/>
    <w:rsid w:val="007304C9"/>
    <w:rsid w:val="007305E1"/>
    <w:rsid w:val="00730738"/>
    <w:rsid w:val="0073085B"/>
    <w:rsid w:val="00730CC8"/>
    <w:rsid w:val="00730E48"/>
    <w:rsid w:val="00731410"/>
    <w:rsid w:val="007318E0"/>
    <w:rsid w:val="00731AE9"/>
    <w:rsid w:val="00732264"/>
    <w:rsid w:val="007324C6"/>
    <w:rsid w:val="00732C55"/>
    <w:rsid w:val="00732F72"/>
    <w:rsid w:val="0073401E"/>
    <w:rsid w:val="007341F9"/>
    <w:rsid w:val="007349AC"/>
    <w:rsid w:val="007351BC"/>
    <w:rsid w:val="007356DB"/>
    <w:rsid w:val="00735B7C"/>
    <w:rsid w:val="00735BF9"/>
    <w:rsid w:val="007362EA"/>
    <w:rsid w:val="007409E5"/>
    <w:rsid w:val="00740F7A"/>
    <w:rsid w:val="00741607"/>
    <w:rsid w:val="00741A77"/>
    <w:rsid w:val="00741B10"/>
    <w:rsid w:val="0074234C"/>
    <w:rsid w:val="00743415"/>
    <w:rsid w:val="00744571"/>
    <w:rsid w:val="00744B49"/>
    <w:rsid w:val="00744F50"/>
    <w:rsid w:val="0074567C"/>
    <w:rsid w:val="00745994"/>
    <w:rsid w:val="00745F83"/>
    <w:rsid w:val="00746D6F"/>
    <w:rsid w:val="00747500"/>
    <w:rsid w:val="00747648"/>
    <w:rsid w:val="007478F0"/>
    <w:rsid w:val="007504A9"/>
    <w:rsid w:val="00752071"/>
    <w:rsid w:val="00752A5C"/>
    <w:rsid w:val="00753416"/>
    <w:rsid w:val="00753E5A"/>
    <w:rsid w:val="00753E67"/>
    <w:rsid w:val="0075405B"/>
    <w:rsid w:val="0075533D"/>
    <w:rsid w:val="00755354"/>
    <w:rsid w:val="0075542D"/>
    <w:rsid w:val="00755F9B"/>
    <w:rsid w:val="007562A6"/>
    <w:rsid w:val="007568C7"/>
    <w:rsid w:val="007570A0"/>
    <w:rsid w:val="00757CE2"/>
    <w:rsid w:val="00757F90"/>
    <w:rsid w:val="007600D3"/>
    <w:rsid w:val="007603BA"/>
    <w:rsid w:val="0076045A"/>
    <w:rsid w:val="00760800"/>
    <w:rsid w:val="007609AA"/>
    <w:rsid w:val="00760B84"/>
    <w:rsid w:val="00761305"/>
    <w:rsid w:val="0076183B"/>
    <w:rsid w:val="00761850"/>
    <w:rsid w:val="00761E78"/>
    <w:rsid w:val="00762A38"/>
    <w:rsid w:val="00762CA6"/>
    <w:rsid w:val="007636DE"/>
    <w:rsid w:val="0076392A"/>
    <w:rsid w:val="0076398C"/>
    <w:rsid w:val="00763A2A"/>
    <w:rsid w:val="00763DE7"/>
    <w:rsid w:val="007643EC"/>
    <w:rsid w:val="007645BC"/>
    <w:rsid w:val="00765B6C"/>
    <w:rsid w:val="00765D43"/>
    <w:rsid w:val="00766199"/>
    <w:rsid w:val="00766206"/>
    <w:rsid w:val="0076723B"/>
    <w:rsid w:val="007673FF"/>
    <w:rsid w:val="0076796C"/>
    <w:rsid w:val="00767C33"/>
    <w:rsid w:val="00770736"/>
    <w:rsid w:val="00771141"/>
    <w:rsid w:val="007712F2"/>
    <w:rsid w:val="00771BAD"/>
    <w:rsid w:val="00771CC0"/>
    <w:rsid w:val="00772C6E"/>
    <w:rsid w:val="00772E32"/>
    <w:rsid w:val="00772EA0"/>
    <w:rsid w:val="0077314E"/>
    <w:rsid w:val="007731D1"/>
    <w:rsid w:val="007734BF"/>
    <w:rsid w:val="00773B9B"/>
    <w:rsid w:val="00773F51"/>
    <w:rsid w:val="00773FF4"/>
    <w:rsid w:val="00774BD1"/>
    <w:rsid w:val="0077533B"/>
    <w:rsid w:val="00775DB8"/>
    <w:rsid w:val="00776365"/>
    <w:rsid w:val="00776B8C"/>
    <w:rsid w:val="007771A6"/>
    <w:rsid w:val="00777374"/>
    <w:rsid w:val="007778DA"/>
    <w:rsid w:val="00777E55"/>
    <w:rsid w:val="00780094"/>
    <w:rsid w:val="0078016D"/>
    <w:rsid w:val="007802C7"/>
    <w:rsid w:val="00780347"/>
    <w:rsid w:val="00780BB5"/>
    <w:rsid w:val="00781057"/>
    <w:rsid w:val="007811DC"/>
    <w:rsid w:val="007813D8"/>
    <w:rsid w:val="00781A3B"/>
    <w:rsid w:val="00781A3D"/>
    <w:rsid w:val="00782186"/>
    <w:rsid w:val="00782261"/>
    <w:rsid w:val="007822A7"/>
    <w:rsid w:val="0078270E"/>
    <w:rsid w:val="007828C8"/>
    <w:rsid w:val="00782BDC"/>
    <w:rsid w:val="00782D88"/>
    <w:rsid w:val="007831C2"/>
    <w:rsid w:val="0078355E"/>
    <w:rsid w:val="00783DA6"/>
    <w:rsid w:val="00783DAD"/>
    <w:rsid w:val="0078531A"/>
    <w:rsid w:val="007856EC"/>
    <w:rsid w:val="00785F71"/>
    <w:rsid w:val="0078674D"/>
    <w:rsid w:val="007868BF"/>
    <w:rsid w:val="00786CA0"/>
    <w:rsid w:val="0078744D"/>
    <w:rsid w:val="00790224"/>
    <w:rsid w:val="0079077A"/>
    <w:rsid w:val="00790A37"/>
    <w:rsid w:val="00790A62"/>
    <w:rsid w:val="00790A83"/>
    <w:rsid w:val="00791B3B"/>
    <w:rsid w:val="007927F4"/>
    <w:rsid w:val="00792AFD"/>
    <w:rsid w:val="00792E1B"/>
    <w:rsid w:val="00793605"/>
    <w:rsid w:val="00793D13"/>
    <w:rsid w:val="00793D7D"/>
    <w:rsid w:val="0079454C"/>
    <w:rsid w:val="00795894"/>
    <w:rsid w:val="0079589B"/>
    <w:rsid w:val="00795CAA"/>
    <w:rsid w:val="007961FB"/>
    <w:rsid w:val="00796258"/>
    <w:rsid w:val="0079662E"/>
    <w:rsid w:val="00796FCD"/>
    <w:rsid w:val="00797067"/>
    <w:rsid w:val="0079775B"/>
    <w:rsid w:val="00797DDB"/>
    <w:rsid w:val="007A0012"/>
    <w:rsid w:val="007A0AF7"/>
    <w:rsid w:val="007A172C"/>
    <w:rsid w:val="007A184C"/>
    <w:rsid w:val="007A1881"/>
    <w:rsid w:val="007A19A5"/>
    <w:rsid w:val="007A1A8B"/>
    <w:rsid w:val="007A1B23"/>
    <w:rsid w:val="007A23C6"/>
    <w:rsid w:val="007A2AE1"/>
    <w:rsid w:val="007A2E38"/>
    <w:rsid w:val="007A30CE"/>
    <w:rsid w:val="007A3680"/>
    <w:rsid w:val="007A4904"/>
    <w:rsid w:val="007A4A9B"/>
    <w:rsid w:val="007A5C37"/>
    <w:rsid w:val="007A5DD7"/>
    <w:rsid w:val="007A66A7"/>
    <w:rsid w:val="007A6713"/>
    <w:rsid w:val="007A7112"/>
    <w:rsid w:val="007A7B01"/>
    <w:rsid w:val="007B02E6"/>
    <w:rsid w:val="007B109C"/>
    <w:rsid w:val="007B121E"/>
    <w:rsid w:val="007B135F"/>
    <w:rsid w:val="007B1453"/>
    <w:rsid w:val="007B1C56"/>
    <w:rsid w:val="007B1F95"/>
    <w:rsid w:val="007B263E"/>
    <w:rsid w:val="007B268E"/>
    <w:rsid w:val="007B2D23"/>
    <w:rsid w:val="007B2E7E"/>
    <w:rsid w:val="007B3562"/>
    <w:rsid w:val="007B356E"/>
    <w:rsid w:val="007B3A8C"/>
    <w:rsid w:val="007B3B7D"/>
    <w:rsid w:val="007B4922"/>
    <w:rsid w:val="007B5401"/>
    <w:rsid w:val="007B5866"/>
    <w:rsid w:val="007B5978"/>
    <w:rsid w:val="007B5A7F"/>
    <w:rsid w:val="007B5BDA"/>
    <w:rsid w:val="007B5D03"/>
    <w:rsid w:val="007B5E86"/>
    <w:rsid w:val="007B6EAC"/>
    <w:rsid w:val="007C02C8"/>
    <w:rsid w:val="007C09DA"/>
    <w:rsid w:val="007C0F36"/>
    <w:rsid w:val="007C2B4D"/>
    <w:rsid w:val="007C3C1B"/>
    <w:rsid w:val="007C3DE2"/>
    <w:rsid w:val="007C3E07"/>
    <w:rsid w:val="007C411F"/>
    <w:rsid w:val="007C4A1D"/>
    <w:rsid w:val="007C4D7B"/>
    <w:rsid w:val="007C4E7D"/>
    <w:rsid w:val="007C59D3"/>
    <w:rsid w:val="007C59E8"/>
    <w:rsid w:val="007C614D"/>
    <w:rsid w:val="007C6297"/>
    <w:rsid w:val="007C655D"/>
    <w:rsid w:val="007C7D86"/>
    <w:rsid w:val="007C7FCC"/>
    <w:rsid w:val="007D0081"/>
    <w:rsid w:val="007D17AC"/>
    <w:rsid w:val="007D1804"/>
    <w:rsid w:val="007D1D75"/>
    <w:rsid w:val="007D26B7"/>
    <w:rsid w:val="007D2DCD"/>
    <w:rsid w:val="007D37FE"/>
    <w:rsid w:val="007D3AAA"/>
    <w:rsid w:val="007D468F"/>
    <w:rsid w:val="007D4EC6"/>
    <w:rsid w:val="007D582B"/>
    <w:rsid w:val="007D5849"/>
    <w:rsid w:val="007D5F16"/>
    <w:rsid w:val="007D66F8"/>
    <w:rsid w:val="007D6B0B"/>
    <w:rsid w:val="007D6DE2"/>
    <w:rsid w:val="007D73F7"/>
    <w:rsid w:val="007E00ED"/>
    <w:rsid w:val="007E0356"/>
    <w:rsid w:val="007E175D"/>
    <w:rsid w:val="007E19B5"/>
    <w:rsid w:val="007E19B9"/>
    <w:rsid w:val="007E2727"/>
    <w:rsid w:val="007E2D4F"/>
    <w:rsid w:val="007E35DF"/>
    <w:rsid w:val="007E3AD7"/>
    <w:rsid w:val="007E3C3E"/>
    <w:rsid w:val="007E4DBB"/>
    <w:rsid w:val="007E5892"/>
    <w:rsid w:val="007E62CE"/>
    <w:rsid w:val="007E649F"/>
    <w:rsid w:val="007E6778"/>
    <w:rsid w:val="007E7599"/>
    <w:rsid w:val="007F0540"/>
    <w:rsid w:val="007F0B2B"/>
    <w:rsid w:val="007F0EAC"/>
    <w:rsid w:val="007F117E"/>
    <w:rsid w:val="007F12AE"/>
    <w:rsid w:val="007F1880"/>
    <w:rsid w:val="007F1F89"/>
    <w:rsid w:val="007F265D"/>
    <w:rsid w:val="007F2D1E"/>
    <w:rsid w:val="007F323F"/>
    <w:rsid w:val="007F36E3"/>
    <w:rsid w:val="007F3712"/>
    <w:rsid w:val="007F3DD8"/>
    <w:rsid w:val="007F4229"/>
    <w:rsid w:val="007F43AB"/>
    <w:rsid w:val="007F496C"/>
    <w:rsid w:val="007F4B1A"/>
    <w:rsid w:val="007F4BB8"/>
    <w:rsid w:val="007F6133"/>
    <w:rsid w:val="007F6281"/>
    <w:rsid w:val="007F660F"/>
    <w:rsid w:val="007F7012"/>
    <w:rsid w:val="007F7202"/>
    <w:rsid w:val="007F7E7C"/>
    <w:rsid w:val="0080024A"/>
    <w:rsid w:val="00800E6A"/>
    <w:rsid w:val="0080130A"/>
    <w:rsid w:val="008018F9"/>
    <w:rsid w:val="00802171"/>
    <w:rsid w:val="00802709"/>
    <w:rsid w:val="00803102"/>
    <w:rsid w:val="00803F44"/>
    <w:rsid w:val="00804A72"/>
    <w:rsid w:val="00804FAE"/>
    <w:rsid w:val="00804FDC"/>
    <w:rsid w:val="00805082"/>
    <w:rsid w:val="008051DB"/>
    <w:rsid w:val="00805595"/>
    <w:rsid w:val="0080574A"/>
    <w:rsid w:val="008065F1"/>
    <w:rsid w:val="00806A05"/>
    <w:rsid w:val="00806F91"/>
    <w:rsid w:val="0080792D"/>
    <w:rsid w:val="00807B77"/>
    <w:rsid w:val="008104EF"/>
    <w:rsid w:val="00810A29"/>
    <w:rsid w:val="0081121A"/>
    <w:rsid w:val="008115C2"/>
    <w:rsid w:val="00812DDC"/>
    <w:rsid w:val="008143AE"/>
    <w:rsid w:val="008143CB"/>
    <w:rsid w:val="008147E3"/>
    <w:rsid w:val="00815052"/>
    <w:rsid w:val="00815F78"/>
    <w:rsid w:val="0081630A"/>
    <w:rsid w:val="0081665E"/>
    <w:rsid w:val="00817B97"/>
    <w:rsid w:val="00817CAD"/>
    <w:rsid w:val="00820608"/>
    <w:rsid w:val="00820784"/>
    <w:rsid w:val="00820F2F"/>
    <w:rsid w:val="00821CC1"/>
    <w:rsid w:val="00822036"/>
    <w:rsid w:val="0082226B"/>
    <w:rsid w:val="00823189"/>
    <w:rsid w:val="0082383C"/>
    <w:rsid w:val="00823EB4"/>
    <w:rsid w:val="0082496A"/>
    <w:rsid w:val="00824A78"/>
    <w:rsid w:val="00825390"/>
    <w:rsid w:val="00825729"/>
    <w:rsid w:val="00826C58"/>
    <w:rsid w:val="00826CE4"/>
    <w:rsid w:val="00827357"/>
    <w:rsid w:val="008275FB"/>
    <w:rsid w:val="00827B16"/>
    <w:rsid w:val="0083005E"/>
    <w:rsid w:val="00830685"/>
    <w:rsid w:val="00830B04"/>
    <w:rsid w:val="00830EF4"/>
    <w:rsid w:val="00831011"/>
    <w:rsid w:val="00831575"/>
    <w:rsid w:val="00831B3A"/>
    <w:rsid w:val="00831C02"/>
    <w:rsid w:val="00832751"/>
    <w:rsid w:val="00832EB6"/>
    <w:rsid w:val="00832EF6"/>
    <w:rsid w:val="0083370F"/>
    <w:rsid w:val="0083388C"/>
    <w:rsid w:val="00833FE2"/>
    <w:rsid w:val="0083410C"/>
    <w:rsid w:val="00834BA2"/>
    <w:rsid w:val="00834FEF"/>
    <w:rsid w:val="008350B4"/>
    <w:rsid w:val="00835EFB"/>
    <w:rsid w:val="0083747C"/>
    <w:rsid w:val="00837C56"/>
    <w:rsid w:val="00840DF7"/>
    <w:rsid w:val="00841522"/>
    <w:rsid w:val="00842B51"/>
    <w:rsid w:val="00842F50"/>
    <w:rsid w:val="00843599"/>
    <w:rsid w:val="0084395E"/>
    <w:rsid w:val="00844DA9"/>
    <w:rsid w:val="00845C37"/>
    <w:rsid w:val="00845D96"/>
    <w:rsid w:val="008462DF"/>
    <w:rsid w:val="00847010"/>
    <w:rsid w:val="00847F25"/>
    <w:rsid w:val="008502F3"/>
    <w:rsid w:val="0085033B"/>
    <w:rsid w:val="00850513"/>
    <w:rsid w:val="00850DBB"/>
    <w:rsid w:val="00851230"/>
    <w:rsid w:val="0085191E"/>
    <w:rsid w:val="0085201D"/>
    <w:rsid w:val="00852282"/>
    <w:rsid w:val="00852340"/>
    <w:rsid w:val="00852584"/>
    <w:rsid w:val="00852AC9"/>
    <w:rsid w:val="008538FE"/>
    <w:rsid w:val="00853B35"/>
    <w:rsid w:val="00853E60"/>
    <w:rsid w:val="008544AB"/>
    <w:rsid w:val="008546BA"/>
    <w:rsid w:val="00854E59"/>
    <w:rsid w:val="008550A1"/>
    <w:rsid w:val="00855151"/>
    <w:rsid w:val="00855464"/>
    <w:rsid w:val="008554F4"/>
    <w:rsid w:val="0085552A"/>
    <w:rsid w:val="0085582F"/>
    <w:rsid w:val="00855EC0"/>
    <w:rsid w:val="0085646F"/>
    <w:rsid w:val="00856C7E"/>
    <w:rsid w:val="0085704A"/>
    <w:rsid w:val="008571A5"/>
    <w:rsid w:val="008575C6"/>
    <w:rsid w:val="008601A7"/>
    <w:rsid w:val="008601E2"/>
    <w:rsid w:val="00860ADB"/>
    <w:rsid w:val="00860B1A"/>
    <w:rsid w:val="0086133C"/>
    <w:rsid w:val="008613B3"/>
    <w:rsid w:val="008614B1"/>
    <w:rsid w:val="0086178D"/>
    <w:rsid w:val="008627B7"/>
    <w:rsid w:val="008628B7"/>
    <w:rsid w:val="00862B2A"/>
    <w:rsid w:val="00862CF5"/>
    <w:rsid w:val="0086378A"/>
    <w:rsid w:val="00863819"/>
    <w:rsid w:val="0086445B"/>
    <w:rsid w:val="0086455D"/>
    <w:rsid w:val="008650FC"/>
    <w:rsid w:val="00865903"/>
    <w:rsid w:val="00865C9F"/>
    <w:rsid w:val="00866183"/>
    <w:rsid w:val="008663BE"/>
    <w:rsid w:val="008666B2"/>
    <w:rsid w:val="008666F0"/>
    <w:rsid w:val="00867681"/>
    <w:rsid w:val="00867E81"/>
    <w:rsid w:val="00867FAC"/>
    <w:rsid w:val="00870B35"/>
    <w:rsid w:val="00871503"/>
    <w:rsid w:val="0087166F"/>
    <w:rsid w:val="00871758"/>
    <w:rsid w:val="008719B9"/>
    <w:rsid w:val="00872A16"/>
    <w:rsid w:val="00872B2B"/>
    <w:rsid w:val="00872C8E"/>
    <w:rsid w:val="0087367C"/>
    <w:rsid w:val="008740A2"/>
    <w:rsid w:val="008746F9"/>
    <w:rsid w:val="008749E9"/>
    <w:rsid w:val="00874B24"/>
    <w:rsid w:val="00874F0F"/>
    <w:rsid w:val="008755B6"/>
    <w:rsid w:val="00875D89"/>
    <w:rsid w:val="00875F09"/>
    <w:rsid w:val="008766FA"/>
    <w:rsid w:val="00876893"/>
    <w:rsid w:val="0087723E"/>
    <w:rsid w:val="0087799B"/>
    <w:rsid w:val="00877A0E"/>
    <w:rsid w:val="00877BF4"/>
    <w:rsid w:val="00877CCC"/>
    <w:rsid w:val="00877CD4"/>
    <w:rsid w:val="00880237"/>
    <w:rsid w:val="00880EE9"/>
    <w:rsid w:val="00881E51"/>
    <w:rsid w:val="0088335D"/>
    <w:rsid w:val="0088376A"/>
    <w:rsid w:val="0088475D"/>
    <w:rsid w:val="00884F72"/>
    <w:rsid w:val="0088520F"/>
    <w:rsid w:val="008856A3"/>
    <w:rsid w:val="008859CB"/>
    <w:rsid w:val="00885AA1"/>
    <w:rsid w:val="00885EDD"/>
    <w:rsid w:val="0088670E"/>
    <w:rsid w:val="0088692A"/>
    <w:rsid w:val="008869C8"/>
    <w:rsid w:val="008877CB"/>
    <w:rsid w:val="00887DD7"/>
    <w:rsid w:val="00890B46"/>
    <w:rsid w:val="0089184E"/>
    <w:rsid w:val="00891887"/>
    <w:rsid w:val="00891F1E"/>
    <w:rsid w:val="00892278"/>
    <w:rsid w:val="00892F9A"/>
    <w:rsid w:val="00893442"/>
    <w:rsid w:val="0089382E"/>
    <w:rsid w:val="00893BAF"/>
    <w:rsid w:val="00894C89"/>
    <w:rsid w:val="0089500A"/>
    <w:rsid w:val="0089564A"/>
    <w:rsid w:val="00895652"/>
    <w:rsid w:val="00895BE5"/>
    <w:rsid w:val="00895DC3"/>
    <w:rsid w:val="00896310"/>
    <w:rsid w:val="00896C69"/>
    <w:rsid w:val="00896DBF"/>
    <w:rsid w:val="0089727B"/>
    <w:rsid w:val="008973EC"/>
    <w:rsid w:val="00897757"/>
    <w:rsid w:val="00897EDF"/>
    <w:rsid w:val="00897FDE"/>
    <w:rsid w:val="008A001C"/>
    <w:rsid w:val="008A0417"/>
    <w:rsid w:val="008A0423"/>
    <w:rsid w:val="008A076E"/>
    <w:rsid w:val="008A11C1"/>
    <w:rsid w:val="008A149A"/>
    <w:rsid w:val="008A182B"/>
    <w:rsid w:val="008A1B41"/>
    <w:rsid w:val="008A1F7F"/>
    <w:rsid w:val="008A2187"/>
    <w:rsid w:val="008A2436"/>
    <w:rsid w:val="008A316C"/>
    <w:rsid w:val="008A3496"/>
    <w:rsid w:val="008A3557"/>
    <w:rsid w:val="008A36A1"/>
    <w:rsid w:val="008A3A43"/>
    <w:rsid w:val="008A4392"/>
    <w:rsid w:val="008A52BE"/>
    <w:rsid w:val="008A5EE9"/>
    <w:rsid w:val="008A64E7"/>
    <w:rsid w:val="008A6538"/>
    <w:rsid w:val="008A6719"/>
    <w:rsid w:val="008A6880"/>
    <w:rsid w:val="008A72C8"/>
    <w:rsid w:val="008B0282"/>
    <w:rsid w:val="008B07D1"/>
    <w:rsid w:val="008B10E6"/>
    <w:rsid w:val="008B1CB1"/>
    <w:rsid w:val="008B24E6"/>
    <w:rsid w:val="008B2FB8"/>
    <w:rsid w:val="008B3571"/>
    <w:rsid w:val="008B366B"/>
    <w:rsid w:val="008B36D4"/>
    <w:rsid w:val="008B3AE3"/>
    <w:rsid w:val="008B3F4C"/>
    <w:rsid w:val="008B605F"/>
    <w:rsid w:val="008B6118"/>
    <w:rsid w:val="008B61B3"/>
    <w:rsid w:val="008B6E24"/>
    <w:rsid w:val="008B7C36"/>
    <w:rsid w:val="008C054D"/>
    <w:rsid w:val="008C07F5"/>
    <w:rsid w:val="008C09E1"/>
    <w:rsid w:val="008C09FA"/>
    <w:rsid w:val="008C0D21"/>
    <w:rsid w:val="008C0F8B"/>
    <w:rsid w:val="008C0FAE"/>
    <w:rsid w:val="008C103E"/>
    <w:rsid w:val="008C11C7"/>
    <w:rsid w:val="008C2347"/>
    <w:rsid w:val="008C2515"/>
    <w:rsid w:val="008C2C6A"/>
    <w:rsid w:val="008C312D"/>
    <w:rsid w:val="008C3878"/>
    <w:rsid w:val="008C39E7"/>
    <w:rsid w:val="008C43D0"/>
    <w:rsid w:val="008C45E2"/>
    <w:rsid w:val="008C4619"/>
    <w:rsid w:val="008C473D"/>
    <w:rsid w:val="008C4869"/>
    <w:rsid w:val="008C5182"/>
    <w:rsid w:val="008C5D12"/>
    <w:rsid w:val="008C5E39"/>
    <w:rsid w:val="008C6D61"/>
    <w:rsid w:val="008C6E0E"/>
    <w:rsid w:val="008C702A"/>
    <w:rsid w:val="008C756A"/>
    <w:rsid w:val="008C7BC3"/>
    <w:rsid w:val="008C7C9D"/>
    <w:rsid w:val="008C7E73"/>
    <w:rsid w:val="008D03EF"/>
    <w:rsid w:val="008D046D"/>
    <w:rsid w:val="008D0BCD"/>
    <w:rsid w:val="008D0FBD"/>
    <w:rsid w:val="008D15C7"/>
    <w:rsid w:val="008D19FE"/>
    <w:rsid w:val="008D1EAD"/>
    <w:rsid w:val="008D2308"/>
    <w:rsid w:val="008D2485"/>
    <w:rsid w:val="008D362D"/>
    <w:rsid w:val="008D37F5"/>
    <w:rsid w:val="008D3AC4"/>
    <w:rsid w:val="008D4623"/>
    <w:rsid w:val="008D5537"/>
    <w:rsid w:val="008D5725"/>
    <w:rsid w:val="008D5FA0"/>
    <w:rsid w:val="008D616F"/>
    <w:rsid w:val="008D61EA"/>
    <w:rsid w:val="008D74C0"/>
    <w:rsid w:val="008D74CE"/>
    <w:rsid w:val="008D7B37"/>
    <w:rsid w:val="008D7CB2"/>
    <w:rsid w:val="008E0397"/>
    <w:rsid w:val="008E11F5"/>
    <w:rsid w:val="008E1587"/>
    <w:rsid w:val="008E17DA"/>
    <w:rsid w:val="008E212A"/>
    <w:rsid w:val="008E29E0"/>
    <w:rsid w:val="008E2B74"/>
    <w:rsid w:val="008E2BE6"/>
    <w:rsid w:val="008E372E"/>
    <w:rsid w:val="008E4168"/>
    <w:rsid w:val="008E48AB"/>
    <w:rsid w:val="008E4B53"/>
    <w:rsid w:val="008E65FA"/>
    <w:rsid w:val="008E6729"/>
    <w:rsid w:val="008E673D"/>
    <w:rsid w:val="008F0470"/>
    <w:rsid w:val="008F05DE"/>
    <w:rsid w:val="008F06D9"/>
    <w:rsid w:val="008F0EB2"/>
    <w:rsid w:val="008F10FD"/>
    <w:rsid w:val="008F1DE3"/>
    <w:rsid w:val="008F2058"/>
    <w:rsid w:val="008F2088"/>
    <w:rsid w:val="008F2448"/>
    <w:rsid w:val="008F2610"/>
    <w:rsid w:val="008F2C64"/>
    <w:rsid w:val="008F2C78"/>
    <w:rsid w:val="008F3010"/>
    <w:rsid w:val="008F3216"/>
    <w:rsid w:val="008F340F"/>
    <w:rsid w:val="008F3431"/>
    <w:rsid w:val="008F3444"/>
    <w:rsid w:val="008F39CD"/>
    <w:rsid w:val="008F3FA4"/>
    <w:rsid w:val="008F4332"/>
    <w:rsid w:val="008F45AF"/>
    <w:rsid w:val="008F4721"/>
    <w:rsid w:val="008F49EE"/>
    <w:rsid w:val="008F4DF0"/>
    <w:rsid w:val="008F557C"/>
    <w:rsid w:val="008F6511"/>
    <w:rsid w:val="008F65C5"/>
    <w:rsid w:val="008F6EDB"/>
    <w:rsid w:val="008F73A8"/>
    <w:rsid w:val="008F76C7"/>
    <w:rsid w:val="008F7A5F"/>
    <w:rsid w:val="008F7AC1"/>
    <w:rsid w:val="008F7B34"/>
    <w:rsid w:val="008F7B9A"/>
    <w:rsid w:val="008F7F7B"/>
    <w:rsid w:val="009001BD"/>
    <w:rsid w:val="0090032A"/>
    <w:rsid w:val="009005B9"/>
    <w:rsid w:val="00900673"/>
    <w:rsid w:val="009010C4"/>
    <w:rsid w:val="009012EB"/>
    <w:rsid w:val="009018B2"/>
    <w:rsid w:val="009023BA"/>
    <w:rsid w:val="00903285"/>
    <w:rsid w:val="00903F75"/>
    <w:rsid w:val="00904FA0"/>
    <w:rsid w:val="00905307"/>
    <w:rsid w:val="009055D7"/>
    <w:rsid w:val="0090597B"/>
    <w:rsid w:val="00905994"/>
    <w:rsid w:val="00905E06"/>
    <w:rsid w:val="00905E3C"/>
    <w:rsid w:val="0090603B"/>
    <w:rsid w:val="00906B4D"/>
    <w:rsid w:val="009077D8"/>
    <w:rsid w:val="00907CC6"/>
    <w:rsid w:val="00907F47"/>
    <w:rsid w:val="00910166"/>
    <w:rsid w:val="00910D22"/>
    <w:rsid w:val="00911629"/>
    <w:rsid w:val="0091184B"/>
    <w:rsid w:val="00912078"/>
    <w:rsid w:val="009127C4"/>
    <w:rsid w:val="0091283D"/>
    <w:rsid w:val="009130E1"/>
    <w:rsid w:val="00913C62"/>
    <w:rsid w:val="0091433C"/>
    <w:rsid w:val="009143D9"/>
    <w:rsid w:val="00914492"/>
    <w:rsid w:val="00914E0E"/>
    <w:rsid w:val="00914F38"/>
    <w:rsid w:val="009152A8"/>
    <w:rsid w:val="00916CAD"/>
    <w:rsid w:val="00916E6C"/>
    <w:rsid w:val="00917D56"/>
    <w:rsid w:val="0092016B"/>
    <w:rsid w:val="00920C7E"/>
    <w:rsid w:val="00920F14"/>
    <w:rsid w:val="009211E0"/>
    <w:rsid w:val="009219AE"/>
    <w:rsid w:val="00922659"/>
    <w:rsid w:val="0092295B"/>
    <w:rsid w:val="00922D31"/>
    <w:rsid w:val="00922FA8"/>
    <w:rsid w:val="00923560"/>
    <w:rsid w:val="0092359F"/>
    <w:rsid w:val="0092374D"/>
    <w:rsid w:val="009239F6"/>
    <w:rsid w:val="00924270"/>
    <w:rsid w:val="00924437"/>
    <w:rsid w:val="00925464"/>
    <w:rsid w:val="009257C5"/>
    <w:rsid w:val="00926E11"/>
    <w:rsid w:val="009279D5"/>
    <w:rsid w:val="00927A02"/>
    <w:rsid w:val="00927D75"/>
    <w:rsid w:val="00930244"/>
    <w:rsid w:val="00930926"/>
    <w:rsid w:val="00930B85"/>
    <w:rsid w:val="00930DCA"/>
    <w:rsid w:val="009313C4"/>
    <w:rsid w:val="0093155E"/>
    <w:rsid w:val="00932464"/>
    <w:rsid w:val="009325EC"/>
    <w:rsid w:val="00932AAF"/>
    <w:rsid w:val="00932F40"/>
    <w:rsid w:val="009330A2"/>
    <w:rsid w:val="0093331B"/>
    <w:rsid w:val="00933D38"/>
    <w:rsid w:val="00933DE3"/>
    <w:rsid w:val="00933F92"/>
    <w:rsid w:val="00934A29"/>
    <w:rsid w:val="00934CA5"/>
    <w:rsid w:val="00935F80"/>
    <w:rsid w:val="009360F7"/>
    <w:rsid w:val="00936195"/>
    <w:rsid w:val="0093653A"/>
    <w:rsid w:val="00936546"/>
    <w:rsid w:val="00936935"/>
    <w:rsid w:val="00936E33"/>
    <w:rsid w:val="009376EF"/>
    <w:rsid w:val="009406FE"/>
    <w:rsid w:val="009413DA"/>
    <w:rsid w:val="0094153E"/>
    <w:rsid w:val="00941961"/>
    <w:rsid w:val="00942063"/>
    <w:rsid w:val="00942664"/>
    <w:rsid w:val="00942686"/>
    <w:rsid w:val="009427FB"/>
    <w:rsid w:val="00942A5E"/>
    <w:rsid w:val="0094308A"/>
    <w:rsid w:val="0094318C"/>
    <w:rsid w:val="009435B6"/>
    <w:rsid w:val="00943624"/>
    <w:rsid w:val="00943A43"/>
    <w:rsid w:val="00944742"/>
    <w:rsid w:val="00944B57"/>
    <w:rsid w:val="00944BA0"/>
    <w:rsid w:val="0094525D"/>
    <w:rsid w:val="00945B93"/>
    <w:rsid w:val="00946BFB"/>
    <w:rsid w:val="0094701D"/>
    <w:rsid w:val="00950495"/>
    <w:rsid w:val="00950B0A"/>
    <w:rsid w:val="00950F9E"/>
    <w:rsid w:val="009512D6"/>
    <w:rsid w:val="009513C0"/>
    <w:rsid w:val="00951A05"/>
    <w:rsid w:val="00951FF7"/>
    <w:rsid w:val="00952B59"/>
    <w:rsid w:val="00952CCC"/>
    <w:rsid w:val="009534F6"/>
    <w:rsid w:val="0095375F"/>
    <w:rsid w:val="0095420C"/>
    <w:rsid w:val="009543E5"/>
    <w:rsid w:val="009543E6"/>
    <w:rsid w:val="00954409"/>
    <w:rsid w:val="009547D9"/>
    <w:rsid w:val="00955486"/>
    <w:rsid w:val="00955670"/>
    <w:rsid w:val="009556D9"/>
    <w:rsid w:val="00955765"/>
    <w:rsid w:val="009558B6"/>
    <w:rsid w:val="00955E3F"/>
    <w:rsid w:val="00955ED2"/>
    <w:rsid w:val="00956919"/>
    <w:rsid w:val="00956E52"/>
    <w:rsid w:val="00960974"/>
    <w:rsid w:val="00960AE9"/>
    <w:rsid w:val="00961351"/>
    <w:rsid w:val="009617FE"/>
    <w:rsid w:val="0096191E"/>
    <w:rsid w:val="00962271"/>
    <w:rsid w:val="0096250B"/>
    <w:rsid w:val="0096266B"/>
    <w:rsid w:val="00963171"/>
    <w:rsid w:val="0096319F"/>
    <w:rsid w:val="00963AE4"/>
    <w:rsid w:val="00963DEE"/>
    <w:rsid w:val="00964A6A"/>
    <w:rsid w:val="00964D0A"/>
    <w:rsid w:val="00964F57"/>
    <w:rsid w:val="0096598D"/>
    <w:rsid w:val="00965B6B"/>
    <w:rsid w:val="009661BA"/>
    <w:rsid w:val="00966353"/>
    <w:rsid w:val="00966652"/>
    <w:rsid w:val="00966949"/>
    <w:rsid w:val="00967122"/>
    <w:rsid w:val="00967351"/>
    <w:rsid w:val="0097120C"/>
    <w:rsid w:val="0097130C"/>
    <w:rsid w:val="00971312"/>
    <w:rsid w:val="0097191E"/>
    <w:rsid w:val="00971A53"/>
    <w:rsid w:val="00971F57"/>
    <w:rsid w:val="00972B3B"/>
    <w:rsid w:val="00972BEC"/>
    <w:rsid w:val="00972C00"/>
    <w:rsid w:val="00973582"/>
    <w:rsid w:val="00973B96"/>
    <w:rsid w:val="00974E18"/>
    <w:rsid w:val="00976355"/>
    <w:rsid w:val="00976B58"/>
    <w:rsid w:val="00977A28"/>
    <w:rsid w:val="00977DD2"/>
    <w:rsid w:val="009800E9"/>
    <w:rsid w:val="0098021A"/>
    <w:rsid w:val="00980E00"/>
    <w:rsid w:val="009811DB"/>
    <w:rsid w:val="009816C8"/>
    <w:rsid w:val="00981840"/>
    <w:rsid w:val="00981C09"/>
    <w:rsid w:val="00981D49"/>
    <w:rsid w:val="00982007"/>
    <w:rsid w:val="00982250"/>
    <w:rsid w:val="009829B3"/>
    <w:rsid w:val="00982E13"/>
    <w:rsid w:val="00983500"/>
    <w:rsid w:val="00984267"/>
    <w:rsid w:val="00985C28"/>
    <w:rsid w:val="00985DFA"/>
    <w:rsid w:val="00985E42"/>
    <w:rsid w:val="0098665E"/>
    <w:rsid w:val="00986882"/>
    <w:rsid w:val="00986CC7"/>
    <w:rsid w:val="00986E1C"/>
    <w:rsid w:val="00987434"/>
    <w:rsid w:val="0098778F"/>
    <w:rsid w:val="00987911"/>
    <w:rsid w:val="009879D9"/>
    <w:rsid w:val="00990205"/>
    <w:rsid w:val="00990731"/>
    <w:rsid w:val="00991532"/>
    <w:rsid w:val="00991631"/>
    <w:rsid w:val="00991BE5"/>
    <w:rsid w:val="00992E95"/>
    <w:rsid w:val="009937BF"/>
    <w:rsid w:val="0099387A"/>
    <w:rsid w:val="009941D5"/>
    <w:rsid w:val="00994648"/>
    <w:rsid w:val="00994BA9"/>
    <w:rsid w:val="00994CCC"/>
    <w:rsid w:val="0099502F"/>
    <w:rsid w:val="00995AB6"/>
    <w:rsid w:val="009962EA"/>
    <w:rsid w:val="00996C80"/>
    <w:rsid w:val="00997390"/>
    <w:rsid w:val="00997540"/>
    <w:rsid w:val="009A02CB"/>
    <w:rsid w:val="009A062D"/>
    <w:rsid w:val="009A08AF"/>
    <w:rsid w:val="009A1A0F"/>
    <w:rsid w:val="009A1BEA"/>
    <w:rsid w:val="009A2136"/>
    <w:rsid w:val="009A254E"/>
    <w:rsid w:val="009A2586"/>
    <w:rsid w:val="009A28A9"/>
    <w:rsid w:val="009A2D5F"/>
    <w:rsid w:val="009A37CA"/>
    <w:rsid w:val="009A39E1"/>
    <w:rsid w:val="009A4E51"/>
    <w:rsid w:val="009A4E5F"/>
    <w:rsid w:val="009A4F2C"/>
    <w:rsid w:val="009A4F78"/>
    <w:rsid w:val="009A4F97"/>
    <w:rsid w:val="009A50B8"/>
    <w:rsid w:val="009A5237"/>
    <w:rsid w:val="009A52AF"/>
    <w:rsid w:val="009A59C3"/>
    <w:rsid w:val="009A6DD4"/>
    <w:rsid w:val="009A7E60"/>
    <w:rsid w:val="009B05C8"/>
    <w:rsid w:val="009B0645"/>
    <w:rsid w:val="009B0EAB"/>
    <w:rsid w:val="009B130E"/>
    <w:rsid w:val="009B1CAB"/>
    <w:rsid w:val="009B22CE"/>
    <w:rsid w:val="009B2904"/>
    <w:rsid w:val="009B2D54"/>
    <w:rsid w:val="009B3B6D"/>
    <w:rsid w:val="009B3BDF"/>
    <w:rsid w:val="009B3E00"/>
    <w:rsid w:val="009B41A7"/>
    <w:rsid w:val="009B4C21"/>
    <w:rsid w:val="009B4EC7"/>
    <w:rsid w:val="009B5CE6"/>
    <w:rsid w:val="009B60A6"/>
    <w:rsid w:val="009B62F1"/>
    <w:rsid w:val="009B715B"/>
    <w:rsid w:val="009C02E3"/>
    <w:rsid w:val="009C0923"/>
    <w:rsid w:val="009C1625"/>
    <w:rsid w:val="009C178D"/>
    <w:rsid w:val="009C24EA"/>
    <w:rsid w:val="009C2624"/>
    <w:rsid w:val="009C2715"/>
    <w:rsid w:val="009C305D"/>
    <w:rsid w:val="009C3C97"/>
    <w:rsid w:val="009C42F3"/>
    <w:rsid w:val="009C4573"/>
    <w:rsid w:val="009C510E"/>
    <w:rsid w:val="009C56B7"/>
    <w:rsid w:val="009C5F11"/>
    <w:rsid w:val="009C6432"/>
    <w:rsid w:val="009C6765"/>
    <w:rsid w:val="009C689D"/>
    <w:rsid w:val="009C6A89"/>
    <w:rsid w:val="009C6AC3"/>
    <w:rsid w:val="009C71AD"/>
    <w:rsid w:val="009C73F7"/>
    <w:rsid w:val="009C79AD"/>
    <w:rsid w:val="009C7D2C"/>
    <w:rsid w:val="009C7D88"/>
    <w:rsid w:val="009C7F0A"/>
    <w:rsid w:val="009D057B"/>
    <w:rsid w:val="009D0DEA"/>
    <w:rsid w:val="009D1A46"/>
    <w:rsid w:val="009D20F8"/>
    <w:rsid w:val="009D25E7"/>
    <w:rsid w:val="009D2807"/>
    <w:rsid w:val="009D2AFD"/>
    <w:rsid w:val="009D2FA7"/>
    <w:rsid w:val="009D368F"/>
    <w:rsid w:val="009D3D8B"/>
    <w:rsid w:val="009D3DA7"/>
    <w:rsid w:val="009D40C4"/>
    <w:rsid w:val="009D451E"/>
    <w:rsid w:val="009D4BF3"/>
    <w:rsid w:val="009D53CF"/>
    <w:rsid w:val="009D583B"/>
    <w:rsid w:val="009D64DA"/>
    <w:rsid w:val="009D6774"/>
    <w:rsid w:val="009D6F61"/>
    <w:rsid w:val="009D6FE7"/>
    <w:rsid w:val="009D774E"/>
    <w:rsid w:val="009E0136"/>
    <w:rsid w:val="009E0B38"/>
    <w:rsid w:val="009E17F4"/>
    <w:rsid w:val="009E1CA1"/>
    <w:rsid w:val="009E1FD0"/>
    <w:rsid w:val="009E2585"/>
    <w:rsid w:val="009E2A6F"/>
    <w:rsid w:val="009E2B77"/>
    <w:rsid w:val="009E2D85"/>
    <w:rsid w:val="009E300B"/>
    <w:rsid w:val="009E3278"/>
    <w:rsid w:val="009E36D8"/>
    <w:rsid w:val="009E3B29"/>
    <w:rsid w:val="009E4341"/>
    <w:rsid w:val="009E5D3E"/>
    <w:rsid w:val="009E5FF3"/>
    <w:rsid w:val="009E64BB"/>
    <w:rsid w:val="009E66B7"/>
    <w:rsid w:val="009E6E1A"/>
    <w:rsid w:val="009F008C"/>
    <w:rsid w:val="009F03B2"/>
    <w:rsid w:val="009F08D7"/>
    <w:rsid w:val="009F1BC5"/>
    <w:rsid w:val="009F1F55"/>
    <w:rsid w:val="009F20C6"/>
    <w:rsid w:val="009F223A"/>
    <w:rsid w:val="009F231E"/>
    <w:rsid w:val="009F2566"/>
    <w:rsid w:val="009F33ED"/>
    <w:rsid w:val="009F38ED"/>
    <w:rsid w:val="009F3C7F"/>
    <w:rsid w:val="009F42AB"/>
    <w:rsid w:val="009F4D8A"/>
    <w:rsid w:val="009F4E9D"/>
    <w:rsid w:val="009F515B"/>
    <w:rsid w:val="009F592E"/>
    <w:rsid w:val="009F691D"/>
    <w:rsid w:val="009F6B4F"/>
    <w:rsid w:val="009F7557"/>
    <w:rsid w:val="00A00809"/>
    <w:rsid w:val="00A00FC5"/>
    <w:rsid w:val="00A01421"/>
    <w:rsid w:val="00A017C4"/>
    <w:rsid w:val="00A02016"/>
    <w:rsid w:val="00A02845"/>
    <w:rsid w:val="00A028DE"/>
    <w:rsid w:val="00A02EBE"/>
    <w:rsid w:val="00A0311B"/>
    <w:rsid w:val="00A0326F"/>
    <w:rsid w:val="00A03542"/>
    <w:rsid w:val="00A0363C"/>
    <w:rsid w:val="00A044DE"/>
    <w:rsid w:val="00A04873"/>
    <w:rsid w:val="00A04BBA"/>
    <w:rsid w:val="00A04E3D"/>
    <w:rsid w:val="00A05170"/>
    <w:rsid w:val="00A052ED"/>
    <w:rsid w:val="00A061C9"/>
    <w:rsid w:val="00A062F2"/>
    <w:rsid w:val="00A064AE"/>
    <w:rsid w:val="00A0665F"/>
    <w:rsid w:val="00A06E96"/>
    <w:rsid w:val="00A0757A"/>
    <w:rsid w:val="00A076E2"/>
    <w:rsid w:val="00A07BB1"/>
    <w:rsid w:val="00A10426"/>
    <w:rsid w:val="00A118AF"/>
    <w:rsid w:val="00A11C67"/>
    <w:rsid w:val="00A121E6"/>
    <w:rsid w:val="00A129F9"/>
    <w:rsid w:val="00A13339"/>
    <w:rsid w:val="00A13E8B"/>
    <w:rsid w:val="00A149D3"/>
    <w:rsid w:val="00A14A24"/>
    <w:rsid w:val="00A15318"/>
    <w:rsid w:val="00A15C80"/>
    <w:rsid w:val="00A16081"/>
    <w:rsid w:val="00A1691F"/>
    <w:rsid w:val="00A1692E"/>
    <w:rsid w:val="00A169E3"/>
    <w:rsid w:val="00A16CD6"/>
    <w:rsid w:val="00A17C73"/>
    <w:rsid w:val="00A17E06"/>
    <w:rsid w:val="00A20CAB"/>
    <w:rsid w:val="00A2115C"/>
    <w:rsid w:val="00A21503"/>
    <w:rsid w:val="00A21760"/>
    <w:rsid w:val="00A21A39"/>
    <w:rsid w:val="00A21A72"/>
    <w:rsid w:val="00A21C2A"/>
    <w:rsid w:val="00A22692"/>
    <w:rsid w:val="00A22A5D"/>
    <w:rsid w:val="00A22FE9"/>
    <w:rsid w:val="00A23205"/>
    <w:rsid w:val="00A23901"/>
    <w:rsid w:val="00A239BC"/>
    <w:rsid w:val="00A23BBD"/>
    <w:rsid w:val="00A23C75"/>
    <w:rsid w:val="00A23E03"/>
    <w:rsid w:val="00A24A5C"/>
    <w:rsid w:val="00A24D54"/>
    <w:rsid w:val="00A25D38"/>
    <w:rsid w:val="00A25D88"/>
    <w:rsid w:val="00A260B4"/>
    <w:rsid w:val="00A26A08"/>
    <w:rsid w:val="00A26B7B"/>
    <w:rsid w:val="00A2737F"/>
    <w:rsid w:val="00A276E1"/>
    <w:rsid w:val="00A30091"/>
    <w:rsid w:val="00A304D5"/>
    <w:rsid w:val="00A3053A"/>
    <w:rsid w:val="00A30A99"/>
    <w:rsid w:val="00A30D3B"/>
    <w:rsid w:val="00A31300"/>
    <w:rsid w:val="00A31864"/>
    <w:rsid w:val="00A31906"/>
    <w:rsid w:val="00A31C95"/>
    <w:rsid w:val="00A31D50"/>
    <w:rsid w:val="00A322A0"/>
    <w:rsid w:val="00A324C2"/>
    <w:rsid w:val="00A3258A"/>
    <w:rsid w:val="00A32879"/>
    <w:rsid w:val="00A33641"/>
    <w:rsid w:val="00A33FBF"/>
    <w:rsid w:val="00A34016"/>
    <w:rsid w:val="00A34234"/>
    <w:rsid w:val="00A34804"/>
    <w:rsid w:val="00A34C96"/>
    <w:rsid w:val="00A34EAC"/>
    <w:rsid w:val="00A35066"/>
    <w:rsid w:val="00A358E9"/>
    <w:rsid w:val="00A359A8"/>
    <w:rsid w:val="00A36903"/>
    <w:rsid w:val="00A37515"/>
    <w:rsid w:val="00A37902"/>
    <w:rsid w:val="00A40ED4"/>
    <w:rsid w:val="00A41220"/>
    <w:rsid w:val="00A4141D"/>
    <w:rsid w:val="00A414E6"/>
    <w:rsid w:val="00A41C48"/>
    <w:rsid w:val="00A41E2F"/>
    <w:rsid w:val="00A42267"/>
    <w:rsid w:val="00A4282D"/>
    <w:rsid w:val="00A42A26"/>
    <w:rsid w:val="00A42B47"/>
    <w:rsid w:val="00A42D02"/>
    <w:rsid w:val="00A42ED5"/>
    <w:rsid w:val="00A43228"/>
    <w:rsid w:val="00A43275"/>
    <w:rsid w:val="00A4336B"/>
    <w:rsid w:val="00A44144"/>
    <w:rsid w:val="00A444DE"/>
    <w:rsid w:val="00A446E9"/>
    <w:rsid w:val="00A44ADA"/>
    <w:rsid w:val="00A44D92"/>
    <w:rsid w:val="00A45117"/>
    <w:rsid w:val="00A45423"/>
    <w:rsid w:val="00A45430"/>
    <w:rsid w:val="00A46192"/>
    <w:rsid w:val="00A46942"/>
    <w:rsid w:val="00A47E7B"/>
    <w:rsid w:val="00A50800"/>
    <w:rsid w:val="00A50E23"/>
    <w:rsid w:val="00A516B6"/>
    <w:rsid w:val="00A5195C"/>
    <w:rsid w:val="00A51D32"/>
    <w:rsid w:val="00A5222D"/>
    <w:rsid w:val="00A52861"/>
    <w:rsid w:val="00A53117"/>
    <w:rsid w:val="00A53E8F"/>
    <w:rsid w:val="00A54257"/>
    <w:rsid w:val="00A548A9"/>
    <w:rsid w:val="00A54C19"/>
    <w:rsid w:val="00A5588A"/>
    <w:rsid w:val="00A56DA7"/>
    <w:rsid w:val="00A57155"/>
    <w:rsid w:val="00A57D44"/>
    <w:rsid w:val="00A6007A"/>
    <w:rsid w:val="00A60127"/>
    <w:rsid w:val="00A602C4"/>
    <w:rsid w:val="00A60493"/>
    <w:rsid w:val="00A609F3"/>
    <w:rsid w:val="00A60E66"/>
    <w:rsid w:val="00A61769"/>
    <w:rsid w:val="00A6191A"/>
    <w:rsid w:val="00A61AEC"/>
    <w:rsid w:val="00A61E9A"/>
    <w:rsid w:val="00A627C2"/>
    <w:rsid w:val="00A627F3"/>
    <w:rsid w:val="00A62D24"/>
    <w:rsid w:val="00A6305B"/>
    <w:rsid w:val="00A63DBC"/>
    <w:rsid w:val="00A64072"/>
    <w:rsid w:val="00A64217"/>
    <w:rsid w:val="00A64278"/>
    <w:rsid w:val="00A6441B"/>
    <w:rsid w:val="00A64622"/>
    <w:rsid w:val="00A646A7"/>
    <w:rsid w:val="00A64A48"/>
    <w:rsid w:val="00A6555D"/>
    <w:rsid w:val="00A65BB8"/>
    <w:rsid w:val="00A66413"/>
    <w:rsid w:val="00A66C43"/>
    <w:rsid w:val="00A6755E"/>
    <w:rsid w:val="00A67BB4"/>
    <w:rsid w:val="00A70B91"/>
    <w:rsid w:val="00A70C7B"/>
    <w:rsid w:val="00A70F7C"/>
    <w:rsid w:val="00A71556"/>
    <w:rsid w:val="00A71B6E"/>
    <w:rsid w:val="00A724CB"/>
    <w:rsid w:val="00A726FD"/>
    <w:rsid w:val="00A72794"/>
    <w:rsid w:val="00A7281B"/>
    <w:rsid w:val="00A72FC1"/>
    <w:rsid w:val="00A73392"/>
    <w:rsid w:val="00A737FA"/>
    <w:rsid w:val="00A73E6A"/>
    <w:rsid w:val="00A744C4"/>
    <w:rsid w:val="00A74BBF"/>
    <w:rsid w:val="00A75544"/>
    <w:rsid w:val="00A75F44"/>
    <w:rsid w:val="00A76677"/>
    <w:rsid w:val="00A77086"/>
    <w:rsid w:val="00A77F60"/>
    <w:rsid w:val="00A80078"/>
    <w:rsid w:val="00A800D1"/>
    <w:rsid w:val="00A8060A"/>
    <w:rsid w:val="00A80F33"/>
    <w:rsid w:val="00A81013"/>
    <w:rsid w:val="00A815BD"/>
    <w:rsid w:val="00A81ED5"/>
    <w:rsid w:val="00A82189"/>
    <w:rsid w:val="00A83835"/>
    <w:rsid w:val="00A83EBB"/>
    <w:rsid w:val="00A83F1A"/>
    <w:rsid w:val="00A848F2"/>
    <w:rsid w:val="00A85261"/>
    <w:rsid w:val="00A858FA"/>
    <w:rsid w:val="00A85A0A"/>
    <w:rsid w:val="00A85ECE"/>
    <w:rsid w:val="00A860B7"/>
    <w:rsid w:val="00A8698A"/>
    <w:rsid w:val="00A86B37"/>
    <w:rsid w:val="00A86F84"/>
    <w:rsid w:val="00A87258"/>
    <w:rsid w:val="00A87B6D"/>
    <w:rsid w:val="00A909AF"/>
    <w:rsid w:val="00A90CD8"/>
    <w:rsid w:val="00A9152F"/>
    <w:rsid w:val="00A91547"/>
    <w:rsid w:val="00A9209B"/>
    <w:rsid w:val="00A92BA8"/>
    <w:rsid w:val="00A92D4D"/>
    <w:rsid w:val="00A931BD"/>
    <w:rsid w:val="00A933D5"/>
    <w:rsid w:val="00A93E95"/>
    <w:rsid w:val="00A9400E"/>
    <w:rsid w:val="00A94093"/>
    <w:rsid w:val="00A94874"/>
    <w:rsid w:val="00A9638A"/>
    <w:rsid w:val="00A9650C"/>
    <w:rsid w:val="00A96728"/>
    <w:rsid w:val="00A96892"/>
    <w:rsid w:val="00A96EFA"/>
    <w:rsid w:val="00A97B38"/>
    <w:rsid w:val="00AA2C5F"/>
    <w:rsid w:val="00AA2F4C"/>
    <w:rsid w:val="00AA311E"/>
    <w:rsid w:val="00AA3419"/>
    <w:rsid w:val="00AA3774"/>
    <w:rsid w:val="00AA3B9D"/>
    <w:rsid w:val="00AA4015"/>
    <w:rsid w:val="00AA4174"/>
    <w:rsid w:val="00AA41D4"/>
    <w:rsid w:val="00AA51D1"/>
    <w:rsid w:val="00AA6322"/>
    <w:rsid w:val="00AA67D0"/>
    <w:rsid w:val="00AA6B72"/>
    <w:rsid w:val="00AA75A7"/>
    <w:rsid w:val="00AA76F2"/>
    <w:rsid w:val="00AA7AD8"/>
    <w:rsid w:val="00AB0A84"/>
    <w:rsid w:val="00AB0E32"/>
    <w:rsid w:val="00AB12C0"/>
    <w:rsid w:val="00AB151A"/>
    <w:rsid w:val="00AB187A"/>
    <w:rsid w:val="00AB20C6"/>
    <w:rsid w:val="00AB249A"/>
    <w:rsid w:val="00AB3E3A"/>
    <w:rsid w:val="00AB41BF"/>
    <w:rsid w:val="00AB47B3"/>
    <w:rsid w:val="00AB5191"/>
    <w:rsid w:val="00AB5273"/>
    <w:rsid w:val="00AB53C0"/>
    <w:rsid w:val="00AB561C"/>
    <w:rsid w:val="00AB600A"/>
    <w:rsid w:val="00AB6339"/>
    <w:rsid w:val="00AB64EC"/>
    <w:rsid w:val="00AB669F"/>
    <w:rsid w:val="00AB6F88"/>
    <w:rsid w:val="00AB7135"/>
    <w:rsid w:val="00AB7463"/>
    <w:rsid w:val="00AB75D8"/>
    <w:rsid w:val="00AB7861"/>
    <w:rsid w:val="00AB7D07"/>
    <w:rsid w:val="00AC01FB"/>
    <w:rsid w:val="00AC042B"/>
    <w:rsid w:val="00AC047A"/>
    <w:rsid w:val="00AC1062"/>
    <w:rsid w:val="00AC15FF"/>
    <w:rsid w:val="00AC1BD2"/>
    <w:rsid w:val="00AC2DEB"/>
    <w:rsid w:val="00AC33AE"/>
    <w:rsid w:val="00AC47AC"/>
    <w:rsid w:val="00AC4E66"/>
    <w:rsid w:val="00AC4E88"/>
    <w:rsid w:val="00AC50D0"/>
    <w:rsid w:val="00AC592A"/>
    <w:rsid w:val="00AC622A"/>
    <w:rsid w:val="00AC7268"/>
    <w:rsid w:val="00AC7AEF"/>
    <w:rsid w:val="00AC7BC5"/>
    <w:rsid w:val="00AC7D92"/>
    <w:rsid w:val="00AC7E39"/>
    <w:rsid w:val="00AD0093"/>
    <w:rsid w:val="00AD0695"/>
    <w:rsid w:val="00AD0ABF"/>
    <w:rsid w:val="00AD0C0F"/>
    <w:rsid w:val="00AD123F"/>
    <w:rsid w:val="00AD15B0"/>
    <w:rsid w:val="00AD1940"/>
    <w:rsid w:val="00AD1FA9"/>
    <w:rsid w:val="00AD1FD9"/>
    <w:rsid w:val="00AD28F0"/>
    <w:rsid w:val="00AD2B37"/>
    <w:rsid w:val="00AD2D02"/>
    <w:rsid w:val="00AD3818"/>
    <w:rsid w:val="00AD3828"/>
    <w:rsid w:val="00AD3E14"/>
    <w:rsid w:val="00AD417C"/>
    <w:rsid w:val="00AD460A"/>
    <w:rsid w:val="00AD49A8"/>
    <w:rsid w:val="00AD53CC"/>
    <w:rsid w:val="00AD563A"/>
    <w:rsid w:val="00AD5CE9"/>
    <w:rsid w:val="00AD626C"/>
    <w:rsid w:val="00AD6D5C"/>
    <w:rsid w:val="00AD6DAA"/>
    <w:rsid w:val="00AD6E94"/>
    <w:rsid w:val="00AD71DF"/>
    <w:rsid w:val="00AD79B0"/>
    <w:rsid w:val="00AD7B6A"/>
    <w:rsid w:val="00AD7EB2"/>
    <w:rsid w:val="00AE0439"/>
    <w:rsid w:val="00AE1F93"/>
    <w:rsid w:val="00AE2CE9"/>
    <w:rsid w:val="00AE2F25"/>
    <w:rsid w:val="00AE3047"/>
    <w:rsid w:val="00AE3754"/>
    <w:rsid w:val="00AE4207"/>
    <w:rsid w:val="00AE4546"/>
    <w:rsid w:val="00AE4A83"/>
    <w:rsid w:val="00AE4C71"/>
    <w:rsid w:val="00AE4DAC"/>
    <w:rsid w:val="00AE50DA"/>
    <w:rsid w:val="00AE510A"/>
    <w:rsid w:val="00AE59FA"/>
    <w:rsid w:val="00AE65E5"/>
    <w:rsid w:val="00AE6B9F"/>
    <w:rsid w:val="00AE6ECD"/>
    <w:rsid w:val="00AE727E"/>
    <w:rsid w:val="00AE75AF"/>
    <w:rsid w:val="00AE75B1"/>
    <w:rsid w:val="00AE7A03"/>
    <w:rsid w:val="00AE7AB8"/>
    <w:rsid w:val="00AE7E1B"/>
    <w:rsid w:val="00AF04F0"/>
    <w:rsid w:val="00AF0A41"/>
    <w:rsid w:val="00AF1926"/>
    <w:rsid w:val="00AF1A54"/>
    <w:rsid w:val="00AF1C9E"/>
    <w:rsid w:val="00AF1D15"/>
    <w:rsid w:val="00AF2C1F"/>
    <w:rsid w:val="00AF306A"/>
    <w:rsid w:val="00AF31CE"/>
    <w:rsid w:val="00AF3D14"/>
    <w:rsid w:val="00AF45F7"/>
    <w:rsid w:val="00AF5C30"/>
    <w:rsid w:val="00AF5E9E"/>
    <w:rsid w:val="00AF601C"/>
    <w:rsid w:val="00AF611B"/>
    <w:rsid w:val="00AF65AD"/>
    <w:rsid w:val="00AF65E7"/>
    <w:rsid w:val="00AF67FF"/>
    <w:rsid w:val="00AF69BD"/>
    <w:rsid w:val="00AF6A1B"/>
    <w:rsid w:val="00AF6D7A"/>
    <w:rsid w:val="00AF6E3B"/>
    <w:rsid w:val="00AF6FF9"/>
    <w:rsid w:val="00AF728A"/>
    <w:rsid w:val="00B0029E"/>
    <w:rsid w:val="00B005C7"/>
    <w:rsid w:val="00B00839"/>
    <w:rsid w:val="00B01EC2"/>
    <w:rsid w:val="00B02752"/>
    <w:rsid w:val="00B02E26"/>
    <w:rsid w:val="00B03847"/>
    <w:rsid w:val="00B0392C"/>
    <w:rsid w:val="00B03CE2"/>
    <w:rsid w:val="00B042D0"/>
    <w:rsid w:val="00B04AA6"/>
    <w:rsid w:val="00B04ACA"/>
    <w:rsid w:val="00B04D1F"/>
    <w:rsid w:val="00B054F9"/>
    <w:rsid w:val="00B05610"/>
    <w:rsid w:val="00B05792"/>
    <w:rsid w:val="00B05D1F"/>
    <w:rsid w:val="00B05E42"/>
    <w:rsid w:val="00B06277"/>
    <w:rsid w:val="00B0650C"/>
    <w:rsid w:val="00B0665F"/>
    <w:rsid w:val="00B06A1C"/>
    <w:rsid w:val="00B06A65"/>
    <w:rsid w:val="00B06B4F"/>
    <w:rsid w:val="00B06F48"/>
    <w:rsid w:val="00B0711D"/>
    <w:rsid w:val="00B079BD"/>
    <w:rsid w:val="00B10154"/>
    <w:rsid w:val="00B106C8"/>
    <w:rsid w:val="00B106D2"/>
    <w:rsid w:val="00B10B7A"/>
    <w:rsid w:val="00B113E2"/>
    <w:rsid w:val="00B114B8"/>
    <w:rsid w:val="00B11A09"/>
    <w:rsid w:val="00B11C34"/>
    <w:rsid w:val="00B120A9"/>
    <w:rsid w:val="00B12342"/>
    <w:rsid w:val="00B124F7"/>
    <w:rsid w:val="00B12BB1"/>
    <w:rsid w:val="00B12C1F"/>
    <w:rsid w:val="00B13296"/>
    <w:rsid w:val="00B1336E"/>
    <w:rsid w:val="00B13838"/>
    <w:rsid w:val="00B13B51"/>
    <w:rsid w:val="00B142C5"/>
    <w:rsid w:val="00B1438D"/>
    <w:rsid w:val="00B1490C"/>
    <w:rsid w:val="00B14BED"/>
    <w:rsid w:val="00B14FB2"/>
    <w:rsid w:val="00B15826"/>
    <w:rsid w:val="00B15C9C"/>
    <w:rsid w:val="00B15F42"/>
    <w:rsid w:val="00B160BD"/>
    <w:rsid w:val="00B160C0"/>
    <w:rsid w:val="00B17526"/>
    <w:rsid w:val="00B17577"/>
    <w:rsid w:val="00B201D8"/>
    <w:rsid w:val="00B20563"/>
    <w:rsid w:val="00B21295"/>
    <w:rsid w:val="00B22759"/>
    <w:rsid w:val="00B22E5C"/>
    <w:rsid w:val="00B23A39"/>
    <w:rsid w:val="00B23C2F"/>
    <w:rsid w:val="00B23D51"/>
    <w:rsid w:val="00B24147"/>
    <w:rsid w:val="00B24D27"/>
    <w:rsid w:val="00B260E7"/>
    <w:rsid w:val="00B26393"/>
    <w:rsid w:val="00B27053"/>
    <w:rsid w:val="00B277DD"/>
    <w:rsid w:val="00B301E4"/>
    <w:rsid w:val="00B306D2"/>
    <w:rsid w:val="00B30844"/>
    <w:rsid w:val="00B31419"/>
    <w:rsid w:val="00B314F5"/>
    <w:rsid w:val="00B320B7"/>
    <w:rsid w:val="00B3263C"/>
    <w:rsid w:val="00B32E9C"/>
    <w:rsid w:val="00B32FF7"/>
    <w:rsid w:val="00B33A02"/>
    <w:rsid w:val="00B3474D"/>
    <w:rsid w:val="00B34BEF"/>
    <w:rsid w:val="00B354B7"/>
    <w:rsid w:val="00B359CB"/>
    <w:rsid w:val="00B35E15"/>
    <w:rsid w:val="00B35E35"/>
    <w:rsid w:val="00B36068"/>
    <w:rsid w:val="00B364C0"/>
    <w:rsid w:val="00B364C3"/>
    <w:rsid w:val="00B36555"/>
    <w:rsid w:val="00B368EF"/>
    <w:rsid w:val="00B36CF9"/>
    <w:rsid w:val="00B36EF5"/>
    <w:rsid w:val="00B37421"/>
    <w:rsid w:val="00B37DC1"/>
    <w:rsid w:val="00B40289"/>
    <w:rsid w:val="00B40C7B"/>
    <w:rsid w:val="00B41049"/>
    <w:rsid w:val="00B410CE"/>
    <w:rsid w:val="00B41523"/>
    <w:rsid w:val="00B42263"/>
    <w:rsid w:val="00B42508"/>
    <w:rsid w:val="00B4268E"/>
    <w:rsid w:val="00B42CA4"/>
    <w:rsid w:val="00B42D05"/>
    <w:rsid w:val="00B42F09"/>
    <w:rsid w:val="00B430AA"/>
    <w:rsid w:val="00B43A32"/>
    <w:rsid w:val="00B44254"/>
    <w:rsid w:val="00B4485E"/>
    <w:rsid w:val="00B44CBA"/>
    <w:rsid w:val="00B4505D"/>
    <w:rsid w:val="00B45694"/>
    <w:rsid w:val="00B45C65"/>
    <w:rsid w:val="00B46AB6"/>
    <w:rsid w:val="00B47713"/>
    <w:rsid w:val="00B5017A"/>
    <w:rsid w:val="00B50AEC"/>
    <w:rsid w:val="00B52053"/>
    <w:rsid w:val="00B52586"/>
    <w:rsid w:val="00B526C7"/>
    <w:rsid w:val="00B526D2"/>
    <w:rsid w:val="00B52A6E"/>
    <w:rsid w:val="00B5391C"/>
    <w:rsid w:val="00B53DAE"/>
    <w:rsid w:val="00B5426F"/>
    <w:rsid w:val="00B54606"/>
    <w:rsid w:val="00B5492D"/>
    <w:rsid w:val="00B54F62"/>
    <w:rsid w:val="00B552B3"/>
    <w:rsid w:val="00B55DB9"/>
    <w:rsid w:val="00B56321"/>
    <w:rsid w:val="00B56356"/>
    <w:rsid w:val="00B569B8"/>
    <w:rsid w:val="00B56D7B"/>
    <w:rsid w:val="00B572D8"/>
    <w:rsid w:val="00B57634"/>
    <w:rsid w:val="00B579FE"/>
    <w:rsid w:val="00B605E4"/>
    <w:rsid w:val="00B60A44"/>
    <w:rsid w:val="00B60B2A"/>
    <w:rsid w:val="00B60CB9"/>
    <w:rsid w:val="00B61333"/>
    <w:rsid w:val="00B61879"/>
    <w:rsid w:val="00B61B32"/>
    <w:rsid w:val="00B61BC4"/>
    <w:rsid w:val="00B61FF7"/>
    <w:rsid w:val="00B62196"/>
    <w:rsid w:val="00B63150"/>
    <w:rsid w:val="00B6383C"/>
    <w:rsid w:val="00B63A8F"/>
    <w:rsid w:val="00B63D2B"/>
    <w:rsid w:val="00B6467A"/>
    <w:rsid w:val="00B64B85"/>
    <w:rsid w:val="00B6511A"/>
    <w:rsid w:val="00B65194"/>
    <w:rsid w:val="00B6597B"/>
    <w:rsid w:val="00B65E08"/>
    <w:rsid w:val="00B665DA"/>
    <w:rsid w:val="00B667F5"/>
    <w:rsid w:val="00B66C53"/>
    <w:rsid w:val="00B66FD9"/>
    <w:rsid w:val="00B6762B"/>
    <w:rsid w:val="00B67D4D"/>
    <w:rsid w:val="00B7019B"/>
    <w:rsid w:val="00B713CB"/>
    <w:rsid w:val="00B7184E"/>
    <w:rsid w:val="00B71E5F"/>
    <w:rsid w:val="00B71EE7"/>
    <w:rsid w:val="00B7375A"/>
    <w:rsid w:val="00B73772"/>
    <w:rsid w:val="00B73F4B"/>
    <w:rsid w:val="00B74197"/>
    <w:rsid w:val="00B742C7"/>
    <w:rsid w:val="00B7480D"/>
    <w:rsid w:val="00B74AF7"/>
    <w:rsid w:val="00B74B07"/>
    <w:rsid w:val="00B74F01"/>
    <w:rsid w:val="00B75B15"/>
    <w:rsid w:val="00B7622E"/>
    <w:rsid w:val="00B77516"/>
    <w:rsid w:val="00B77817"/>
    <w:rsid w:val="00B8071C"/>
    <w:rsid w:val="00B80E3E"/>
    <w:rsid w:val="00B8115D"/>
    <w:rsid w:val="00B81269"/>
    <w:rsid w:val="00B816CE"/>
    <w:rsid w:val="00B82073"/>
    <w:rsid w:val="00B82A6E"/>
    <w:rsid w:val="00B84941"/>
    <w:rsid w:val="00B84989"/>
    <w:rsid w:val="00B8537E"/>
    <w:rsid w:val="00B85437"/>
    <w:rsid w:val="00B85546"/>
    <w:rsid w:val="00B85A90"/>
    <w:rsid w:val="00B85B68"/>
    <w:rsid w:val="00B8601D"/>
    <w:rsid w:val="00B8609B"/>
    <w:rsid w:val="00B862C1"/>
    <w:rsid w:val="00B8694B"/>
    <w:rsid w:val="00B86C22"/>
    <w:rsid w:val="00B877A2"/>
    <w:rsid w:val="00B879F0"/>
    <w:rsid w:val="00B87CB6"/>
    <w:rsid w:val="00B901A7"/>
    <w:rsid w:val="00B9066D"/>
    <w:rsid w:val="00B90EF4"/>
    <w:rsid w:val="00B919AD"/>
    <w:rsid w:val="00B922CE"/>
    <w:rsid w:val="00B925E6"/>
    <w:rsid w:val="00B92AFF"/>
    <w:rsid w:val="00B92B15"/>
    <w:rsid w:val="00B949EC"/>
    <w:rsid w:val="00B951C1"/>
    <w:rsid w:val="00B9596A"/>
    <w:rsid w:val="00B95ABE"/>
    <w:rsid w:val="00B95C97"/>
    <w:rsid w:val="00B95EDF"/>
    <w:rsid w:val="00B96293"/>
    <w:rsid w:val="00B96441"/>
    <w:rsid w:val="00B96BB7"/>
    <w:rsid w:val="00B96C7E"/>
    <w:rsid w:val="00B97712"/>
    <w:rsid w:val="00BA013B"/>
    <w:rsid w:val="00BA03C6"/>
    <w:rsid w:val="00BA0705"/>
    <w:rsid w:val="00BA0A62"/>
    <w:rsid w:val="00BA0ABC"/>
    <w:rsid w:val="00BA0B1A"/>
    <w:rsid w:val="00BA0C08"/>
    <w:rsid w:val="00BA0C9E"/>
    <w:rsid w:val="00BA0E97"/>
    <w:rsid w:val="00BA1366"/>
    <w:rsid w:val="00BA1C64"/>
    <w:rsid w:val="00BA1CBD"/>
    <w:rsid w:val="00BA1DEE"/>
    <w:rsid w:val="00BA1F49"/>
    <w:rsid w:val="00BA1F92"/>
    <w:rsid w:val="00BA2A7C"/>
    <w:rsid w:val="00BA31DC"/>
    <w:rsid w:val="00BA3254"/>
    <w:rsid w:val="00BA4245"/>
    <w:rsid w:val="00BA45E6"/>
    <w:rsid w:val="00BA487F"/>
    <w:rsid w:val="00BA5092"/>
    <w:rsid w:val="00BA5299"/>
    <w:rsid w:val="00BA5B41"/>
    <w:rsid w:val="00BA5D9C"/>
    <w:rsid w:val="00BA6166"/>
    <w:rsid w:val="00BA6871"/>
    <w:rsid w:val="00BA7667"/>
    <w:rsid w:val="00BA79E1"/>
    <w:rsid w:val="00BA7C4A"/>
    <w:rsid w:val="00BB0437"/>
    <w:rsid w:val="00BB068A"/>
    <w:rsid w:val="00BB0916"/>
    <w:rsid w:val="00BB0B13"/>
    <w:rsid w:val="00BB1BD8"/>
    <w:rsid w:val="00BB1F13"/>
    <w:rsid w:val="00BB2989"/>
    <w:rsid w:val="00BB2B52"/>
    <w:rsid w:val="00BB2E05"/>
    <w:rsid w:val="00BB318D"/>
    <w:rsid w:val="00BB392D"/>
    <w:rsid w:val="00BB4C95"/>
    <w:rsid w:val="00BB5F76"/>
    <w:rsid w:val="00BB63FE"/>
    <w:rsid w:val="00BB6A57"/>
    <w:rsid w:val="00BB6F0B"/>
    <w:rsid w:val="00BC005C"/>
    <w:rsid w:val="00BC03C1"/>
    <w:rsid w:val="00BC0610"/>
    <w:rsid w:val="00BC09B2"/>
    <w:rsid w:val="00BC0CB1"/>
    <w:rsid w:val="00BC0E6C"/>
    <w:rsid w:val="00BC119F"/>
    <w:rsid w:val="00BC1246"/>
    <w:rsid w:val="00BC2767"/>
    <w:rsid w:val="00BC2894"/>
    <w:rsid w:val="00BC2AD4"/>
    <w:rsid w:val="00BC2D06"/>
    <w:rsid w:val="00BC3C0C"/>
    <w:rsid w:val="00BC3C26"/>
    <w:rsid w:val="00BC402F"/>
    <w:rsid w:val="00BC4409"/>
    <w:rsid w:val="00BC4480"/>
    <w:rsid w:val="00BC4C82"/>
    <w:rsid w:val="00BC5556"/>
    <w:rsid w:val="00BC60FA"/>
    <w:rsid w:val="00BC613F"/>
    <w:rsid w:val="00BC684C"/>
    <w:rsid w:val="00BC70CA"/>
    <w:rsid w:val="00BC7517"/>
    <w:rsid w:val="00BC75A5"/>
    <w:rsid w:val="00BD015A"/>
    <w:rsid w:val="00BD0A51"/>
    <w:rsid w:val="00BD1278"/>
    <w:rsid w:val="00BD12EE"/>
    <w:rsid w:val="00BD1FF3"/>
    <w:rsid w:val="00BD2168"/>
    <w:rsid w:val="00BD281F"/>
    <w:rsid w:val="00BD2867"/>
    <w:rsid w:val="00BD2D94"/>
    <w:rsid w:val="00BD322B"/>
    <w:rsid w:val="00BD326B"/>
    <w:rsid w:val="00BD3471"/>
    <w:rsid w:val="00BD385E"/>
    <w:rsid w:val="00BD3F38"/>
    <w:rsid w:val="00BD4DAA"/>
    <w:rsid w:val="00BD56E1"/>
    <w:rsid w:val="00BD61D7"/>
    <w:rsid w:val="00BD6419"/>
    <w:rsid w:val="00BD65EA"/>
    <w:rsid w:val="00BD66E5"/>
    <w:rsid w:val="00BE0230"/>
    <w:rsid w:val="00BE0837"/>
    <w:rsid w:val="00BE0A07"/>
    <w:rsid w:val="00BE0A5B"/>
    <w:rsid w:val="00BE0C05"/>
    <w:rsid w:val="00BE0C95"/>
    <w:rsid w:val="00BE0D18"/>
    <w:rsid w:val="00BE146B"/>
    <w:rsid w:val="00BE1735"/>
    <w:rsid w:val="00BE1BEC"/>
    <w:rsid w:val="00BE1ED8"/>
    <w:rsid w:val="00BE1F48"/>
    <w:rsid w:val="00BE30C8"/>
    <w:rsid w:val="00BE3EE7"/>
    <w:rsid w:val="00BE418D"/>
    <w:rsid w:val="00BE4350"/>
    <w:rsid w:val="00BE47D0"/>
    <w:rsid w:val="00BE4A51"/>
    <w:rsid w:val="00BE4AB7"/>
    <w:rsid w:val="00BE4F41"/>
    <w:rsid w:val="00BE56EE"/>
    <w:rsid w:val="00BE588E"/>
    <w:rsid w:val="00BE58C5"/>
    <w:rsid w:val="00BE6558"/>
    <w:rsid w:val="00BE6712"/>
    <w:rsid w:val="00BE6E1F"/>
    <w:rsid w:val="00BE7C0C"/>
    <w:rsid w:val="00BE7E8F"/>
    <w:rsid w:val="00BF0177"/>
    <w:rsid w:val="00BF06AB"/>
    <w:rsid w:val="00BF071D"/>
    <w:rsid w:val="00BF10E5"/>
    <w:rsid w:val="00BF1290"/>
    <w:rsid w:val="00BF1291"/>
    <w:rsid w:val="00BF151B"/>
    <w:rsid w:val="00BF1C04"/>
    <w:rsid w:val="00BF3027"/>
    <w:rsid w:val="00BF30A6"/>
    <w:rsid w:val="00BF331D"/>
    <w:rsid w:val="00BF3472"/>
    <w:rsid w:val="00BF38A8"/>
    <w:rsid w:val="00BF3AF0"/>
    <w:rsid w:val="00BF3E5E"/>
    <w:rsid w:val="00BF481D"/>
    <w:rsid w:val="00BF51EC"/>
    <w:rsid w:val="00BF54AF"/>
    <w:rsid w:val="00BF5759"/>
    <w:rsid w:val="00BF5BEE"/>
    <w:rsid w:val="00BF5F14"/>
    <w:rsid w:val="00BF62D6"/>
    <w:rsid w:val="00BF73BB"/>
    <w:rsid w:val="00BF750B"/>
    <w:rsid w:val="00BF75C3"/>
    <w:rsid w:val="00C00065"/>
    <w:rsid w:val="00C00555"/>
    <w:rsid w:val="00C00CD4"/>
    <w:rsid w:val="00C010DA"/>
    <w:rsid w:val="00C01343"/>
    <w:rsid w:val="00C013CD"/>
    <w:rsid w:val="00C0153F"/>
    <w:rsid w:val="00C01A61"/>
    <w:rsid w:val="00C046AC"/>
    <w:rsid w:val="00C04952"/>
    <w:rsid w:val="00C04AEF"/>
    <w:rsid w:val="00C05127"/>
    <w:rsid w:val="00C05429"/>
    <w:rsid w:val="00C058F8"/>
    <w:rsid w:val="00C05D86"/>
    <w:rsid w:val="00C05DB3"/>
    <w:rsid w:val="00C05EDE"/>
    <w:rsid w:val="00C06427"/>
    <w:rsid w:val="00C06F21"/>
    <w:rsid w:val="00C075F7"/>
    <w:rsid w:val="00C076FF"/>
    <w:rsid w:val="00C07C09"/>
    <w:rsid w:val="00C109B9"/>
    <w:rsid w:val="00C10C9F"/>
    <w:rsid w:val="00C1114F"/>
    <w:rsid w:val="00C11996"/>
    <w:rsid w:val="00C12657"/>
    <w:rsid w:val="00C129F2"/>
    <w:rsid w:val="00C13026"/>
    <w:rsid w:val="00C1325D"/>
    <w:rsid w:val="00C13F19"/>
    <w:rsid w:val="00C14217"/>
    <w:rsid w:val="00C14497"/>
    <w:rsid w:val="00C15CE9"/>
    <w:rsid w:val="00C15FB9"/>
    <w:rsid w:val="00C1609F"/>
    <w:rsid w:val="00C160CD"/>
    <w:rsid w:val="00C16790"/>
    <w:rsid w:val="00C16918"/>
    <w:rsid w:val="00C171C4"/>
    <w:rsid w:val="00C17611"/>
    <w:rsid w:val="00C17CBF"/>
    <w:rsid w:val="00C203F1"/>
    <w:rsid w:val="00C20436"/>
    <w:rsid w:val="00C21354"/>
    <w:rsid w:val="00C21660"/>
    <w:rsid w:val="00C21FCA"/>
    <w:rsid w:val="00C22AD6"/>
    <w:rsid w:val="00C241C1"/>
    <w:rsid w:val="00C24295"/>
    <w:rsid w:val="00C243F1"/>
    <w:rsid w:val="00C245F9"/>
    <w:rsid w:val="00C24C78"/>
    <w:rsid w:val="00C24E1D"/>
    <w:rsid w:val="00C259E5"/>
    <w:rsid w:val="00C26BB9"/>
    <w:rsid w:val="00C26D47"/>
    <w:rsid w:val="00C26E9A"/>
    <w:rsid w:val="00C275F4"/>
    <w:rsid w:val="00C301B0"/>
    <w:rsid w:val="00C30B29"/>
    <w:rsid w:val="00C317C9"/>
    <w:rsid w:val="00C32095"/>
    <w:rsid w:val="00C326F1"/>
    <w:rsid w:val="00C327C8"/>
    <w:rsid w:val="00C32A88"/>
    <w:rsid w:val="00C336FE"/>
    <w:rsid w:val="00C3428F"/>
    <w:rsid w:val="00C34C78"/>
    <w:rsid w:val="00C3549D"/>
    <w:rsid w:val="00C35A00"/>
    <w:rsid w:val="00C35DE2"/>
    <w:rsid w:val="00C361EB"/>
    <w:rsid w:val="00C36B76"/>
    <w:rsid w:val="00C36E5D"/>
    <w:rsid w:val="00C37293"/>
    <w:rsid w:val="00C373A3"/>
    <w:rsid w:val="00C378D1"/>
    <w:rsid w:val="00C40D33"/>
    <w:rsid w:val="00C4216B"/>
    <w:rsid w:val="00C42781"/>
    <w:rsid w:val="00C4289C"/>
    <w:rsid w:val="00C42B84"/>
    <w:rsid w:val="00C43303"/>
    <w:rsid w:val="00C43632"/>
    <w:rsid w:val="00C43DDC"/>
    <w:rsid w:val="00C43EE5"/>
    <w:rsid w:val="00C445C6"/>
    <w:rsid w:val="00C44E84"/>
    <w:rsid w:val="00C45170"/>
    <w:rsid w:val="00C45337"/>
    <w:rsid w:val="00C45B7C"/>
    <w:rsid w:val="00C46120"/>
    <w:rsid w:val="00C463C1"/>
    <w:rsid w:val="00C46B95"/>
    <w:rsid w:val="00C47AE7"/>
    <w:rsid w:val="00C47C0E"/>
    <w:rsid w:val="00C501BD"/>
    <w:rsid w:val="00C502F2"/>
    <w:rsid w:val="00C503CA"/>
    <w:rsid w:val="00C507E1"/>
    <w:rsid w:val="00C51113"/>
    <w:rsid w:val="00C51292"/>
    <w:rsid w:val="00C520C4"/>
    <w:rsid w:val="00C52718"/>
    <w:rsid w:val="00C52FD7"/>
    <w:rsid w:val="00C53092"/>
    <w:rsid w:val="00C543CA"/>
    <w:rsid w:val="00C54C33"/>
    <w:rsid w:val="00C54C3A"/>
    <w:rsid w:val="00C54FA7"/>
    <w:rsid w:val="00C5515F"/>
    <w:rsid w:val="00C5543A"/>
    <w:rsid w:val="00C55C6D"/>
    <w:rsid w:val="00C55E4C"/>
    <w:rsid w:val="00C55E79"/>
    <w:rsid w:val="00C57568"/>
    <w:rsid w:val="00C5768A"/>
    <w:rsid w:val="00C6010B"/>
    <w:rsid w:val="00C60974"/>
    <w:rsid w:val="00C613F6"/>
    <w:rsid w:val="00C61CF8"/>
    <w:rsid w:val="00C62F02"/>
    <w:rsid w:val="00C62FBF"/>
    <w:rsid w:val="00C6342C"/>
    <w:rsid w:val="00C63A52"/>
    <w:rsid w:val="00C63D18"/>
    <w:rsid w:val="00C63FDA"/>
    <w:rsid w:val="00C6456F"/>
    <w:rsid w:val="00C646B0"/>
    <w:rsid w:val="00C64767"/>
    <w:rsid w:val="00C64CE2"/>
    <w:rsid w:val="00C65EA0"/>
    <w:rsid w:val="00C6624B"/>
    <w:rsid w:val="00C663C8"/>
    <w:rsid w:val="00C66593"/>
    <w:rsid w:val="00C679B7"/>
    <w:rsid w:val="00C70DE0"/>
    <w:rsid w:val="00C71E31"/>
    <w:rsid w:val="00C71EF3"/>
    <w:rsid w:val="00C72808"/>
    <w:rsid w:val="00C732E0"/>
    <w:rsid w:val="00C73EC6"/>
    <w:rsid w:val="00C74001"/>
    <w:rsid w:val="00C74CD4"/>
    <w:rsid w:val="00C75D7B"/>
    <w:rsid w:val="00C7602E"/>
    <w:rsid w:val="00C7622F"/>
    <w:rsid w:val="00C764DC"/>
    <w:rsid w:val="00C766C8"/>
    <w:rsid w:val="00C771C0"/>
    <w:rsid w:val="00C7721F"/>
    <w:rsid w:val="00C777CF"/>
    <w:rsid w:val="00C77BA0"/>
    <w:rsid w:val="00C807B5"/>
    <w:rsid w:val="00C807E7"/>
    <w:rsid w:val="00C80BAD"/>
    <w:rsid w:val="00C80BCB"/>
    <w:rsid w:val="00C80DC6"/>
    <w:rsid w:val="00C8185D"/>
    <w:rsid w:val="00C8200D"/>
    <w:rsid w:val="00C82127"/>
    <w:rsid w:val="00C82A4A"/>
    <w:rsid w:val="00C82D3D"/>
    <w:rsid w:val="00C82FDF"/>
    <w:rsid w:val="00C84685"/>
    <w:rsid w:val="00C84B4C"/>
    <w:rsid w:val="00C84BDE"/>
    <w:rsid w:val="00C85037"/>
    <w:rsid w:val="00C858A7"/>
    <w:rsid w:val="00C858FA"/>
    <w:rsid w:val="00C85BAB"/>
    <w:rsid w:val="00C85E32"/>
    <w:rsid w:val="00C86886"/>
    <w:rsid w:val="00C871A5"/>
    <w:rsid w:val="00C878CE"/>
    <w:rsid w:val="00C87B6A"/>
    <w:rsid w:val="00C87CF4"/>
    <w:rsid w:val="00C90936"/>
    <w:rsid w:val="00C910F2"/>
    <w:rsid w:val="00C922AD"/>
    <w:rsid w:val="00C92365"/>
    <w:rsid w:val="00C923E8"/>
    <w:rsid w:val="00C929D3"/>
    <w:rsid w:val="00C92BD9"/>
    <w:rsid w:val="00C93053"/>
    <w:rsid w:val="00C94CEB"/>
    <w:rsid w:val="00C953B1"/>
    <w:rsid w:val="00C95649"/>
    <w:rsid w:val="00C95DD6"/>
    <w:rsid w:val="00C95E55"/>
    <w:rsid w:val="00C96091"/>
    <w:rsid w:val="00C96191"/>
    <w:rsid w:val="00C961D8"/>
    <w:rsid w:val="00C964C8"/>
    <w:rsid w:val="00C9667A"/>
    <w:rsid w:val="00C975B7"/>
    <w:rsid w:val="00C9765E"/>
    <w:rsid w:val="00C977AF"/>
    <w:rsid w:val="00C97C31"/>
    <w:rsid w:val="00C97D70"/>
    <w:rsid w:val="00CA0268"/>
    <w:rsid w:val="00CA09EB"/>
    <w:rsid w:val="00CA0BD0"/>
    <w:rsid w:val="00CA0C32"/>
    <w:rsid w:val="00CA0ED7"/>
    <w:rsid w:val="00CA1302"/>
    <w:rsid w:val="00CA2188"/>
    <w:rsid w:val="00CA2448"/>
    <w:rsid w:val="00CA2739"/>
    <w:rsid w:val="00CA285E"/>
    <w:rsid w:val="00CA3699"/>
    <w:rsid w:val="00CA3D58"/>
    <w:rsid w:val="00CA3F23"/>
    <w:rsid w:val="00CA48F0"/>
    <w:rsid w:val="00CA4EDF"/>
    <w:rsid w:val="00CA54EE"/>
    <w:rsid w:val="00CA6864"/>
    <w:rsid w:val="00CA6D3C"/>
    <w:rsid w:val="00CA6F37"/>
    <w:rsid w:val="00CA7026"/>
    <w:rsid w:val="00CA7BC2"/>
    <w:rsid w:val="00CA7E19"/>
    <w:rsid w:val="00CA7FDE"/>
    <w:rsid w:val="00CB01E8"/>
    <w:rsid w:val="00CB046C"/>
    <w:rsid w:val="00CB08FA"/>
    <w:rsid w:val="00CB1430"/>
    <w:rsid w:val="00CB1A15"/>
    <w:rsid w:val="00CB1EB9"/>
    <w:rsid w:val="00CB22A4"/>
    <w:rsid w:val="00CB2364"/>
    <w:rsid w:val="00CB26A4"/>
    <w:rsid w:val="00CB30C4"/>
    <w:rsid w:val="00CB3793"/>
    <w:rsid w:val="00CB39BE"/>
    <w:rsid w:val="00CB437B"/>
    <w:rsid w:val="00CB45F1"/>
    <w:rsid w:val="00CB579D"/>
    <w:rsid w:val="00CB595F"/>
    <w:rsid w:val="00CB5C4E"/>
    <w:rsid w:val="00CB5D5E"/>
    <w:rsid w:val="00CB6A3E"/>
    <w:rsid w:val="00CB7060"/>
    <w:rsid w:val="00CB770E"/>
    <w:rsid w:val="00CC01B3"/>
    <w:rsid w:val="00CC1B59"/>
    <w:rsid w:val="00CC282C"/>
    <w:rsid w:val="00CC28D6"/>
    <w:rsid w:val="00CC2A37"/>
    <w:rsid w:val="00CC2B2E"/>
    <w:rsid w:val="00CC2DF0"/>
    <w:rsid w:val="00CC2E41"/>
    <w:rsid w:val="00CC3ABC"/>
    <w:rsid w:val="00CC40C2"/>
    <w:rsid w:val="00CC47D7"/>
    <w:rsid w:val="00CC54A9"/>
    <w:rsid w:val="00CC7743"/>
    <w:rsid w:val="00CC77D0"/>
    <w:rsid w:val="00CC7893"/>
    <w:rsid w:val="00CD0841"/>
    <w:rsid w:val="00CD0E7F"/>
    <w:rsid w:val="00CD1288"/>
    <w:rsid w:val="00CD160D"/>
    <w:rsid w:val="00CD205E"/>
    <w:rsid w:val="00CD2361"/>
    <w:rsid w:val="00CD30BF"/>
    <w:rsid w:val="00CD34A5"/>
    <w:rsid w:val="00CD35A0"/>
    <w:rsid w:val="00CD389E"/>
    <w:rsid w:val="00CD38BA"/>
    <w:rsid w:val="00CD4468"/>
    <w:rsid w:val="00CD4482"/>
    <w:rsid w:val="00CD46FB"/>
    <w:rsid w:val="00CD4835"/>
    <w:rsid w:val="00CD5127"/>
    <w:rsid w:val="00CD5408"/>
    <w:rsid w:val="00CD5693"/>
    <w:rsid w:val="00CD5C8E"/>
    <w:rsid w:val="00CD6654"/>
    <w:rsid w:val="00CD6E2F"/>
    <w:rsid w:val="00CD7184"/>
    <w:rsid w:val="00CD7E78"/>
    <w:rsid w:val="00CE1684"/>
    <w:rsid w:val="00CE175F"/>
    <w:rsid w:val="00CE1A44"/>
    <w:rsid w:val="00CE3A3A"/>
    <w:rsid w:val="00CE4385"/>
    <w:rsid w:val="00CE4B9D"/>
    <w:rsid w:val="00CE53F0"/>
    <w:rsid w:val="00CE5413"/>
    <w:rsid w:val="00CE550D"/>
    <w:rsid w:val="00CE582B"/>
    <w:rsid w:val="00CE5A23"/>
    <w:rsid w:val="00CE5BFC"/>
    <w:rsid w:val="00CE5F0B"/>
    <w:rsid w:val="00CE61D6"/>
    <w:rsid w:val="00CE61FE"/>
    <w:rsid w:val="00CE66B0"/>
    <w:rsid w:val="00CE6819"/>
    <w:rsid w:val="00CE698A"/>
    <w:rsid w:val="00CE6AD0"/>
    <w:rsid w:val="00CE71EF"/>
    <w:rsid w:val="00CE726F"/>
    <w:rsid w:val="00CE75E3"/>
    <w:rsid w:val="00CE793B"/>
    <w:rsid w:val="00CF03C4"/>
    <w:rsid w:val="00CF04D7"/>
    <w:rsid w:val="00CF1447"/>
    <w:rsid w:val="00CF1A94"/>
    <w:rsid w:val="00CF1B84"/>
    <w:rsid w:val="00CF2118"/>
    <w:rsid w:val="00CF268F"/>
    <w:rsid w:val="00CF2ABF"/>
    <w:rsid w:val="00CF329D"/>
    <w:rsid w:val="00CF3B80"/>
    <w:rsid w:val="00CF4036"/>
    <w:rsid w:val="00CF437A"/>
    <w:rsid w:val="00CF4A58"/>
    <w:rsid w:val="00CF4EAA"/>
    <w:rsid w:val="00CF55F8"/>
    <w:rsid w:val="00CF5B81"/>
    <w:rsid w:val="00CF5FEF"/>
    <w:rsid w:val="00CF6008"/>
    <w:rsid w:val="00CF644D"/>
    <w:rsid w:val="00CF67A6"/>
    <w:rsid w:val="00CF722E"/>
    <w:rsid w:val="00CF735C"/>
    <w:rsid w:val="00D00EB4"/>
    <w:rsid w:val="00D015F4"/>
    <w:rsid w:val="00D017CA"/>
    <w:rsid w:val="00D01831"/>
    <w:rsid w:val="00D01867"/>
    <w:rsid w:val="00D02587"/>
    <w:rsid w:val="00D02D8B"/>
    <w:rsid w:val="00D034D0"/>
    <w:rsid w:val="00D0352A"/>
    <w:rsid w:val="00D035DC"/>
    <w:rsid w:val="00D03A81"/>
    <w:rsid w:val="00D03BF0"/>
    <w:rsid w:val="00D03D05"/>
    <w:rsid w:val="00D03F67"/>
    <w:rsid w:val="00D03FF2"/>
    <w:rsid w:val="00D0443C"/>
    <w:rsid w:val="00D0458D"/>
    <w:rsid w:val="00D04FCC"/>
    <w:rsid w:val="00D0571A"/>
    <w:rsid w:val="00D05CAB"/>
    <w:rsid w:val="00D064DD"/>
    <w:rsid w:val="00D069B4"/>
    <w:rsid w:val="00D07077"/>
    <w:rsid w:val="00D07943"/>
    <w:rsid w:val="00D07D8C"/>
    <w:rsid w:val="00D107BF"/>
    <w:rsid w:val="00D10B49"/>
    <w:rsid w:val="00D10ED3"/>
    <w:rsid w:val="00D11296"/>
    <w:rsid w:val="00D11840"/>
    <w:rsid w:val="00D120FE"/>
    <w:rsid w:val="00D121C4"/>
    <w:rsid w:val="00D12A00"/>
    <w:rsid w:val="00D12BB5"/>
    <w:rsid w:val="00D13B71"/>
    <w:rsid w:val="00D13E41"/>
    <w:rsid w:val="00D13F40"/>
    <w:rsid w:val="00D14B2A"/>
    <w:rsid w:val="00D14B33"/>
    <w:rsid w:val="00D14BD9"/>
    <w:rsid w:val="00D14C87"/>
    <w:rsid w:val="00D1566B"/>
    <w:rsid w:val="00D15C34"/>
    <w:rsid w:val="00D161C3"/>
    <w:rsid w:val="00D16255"/>
    <w:rsid w:val="00D172D3"/>
    <w:rsid w:val="00D176C8"/>
    <w:rsid w:val="00D17936"/>
    <w:rsid w:val="00D17B3B"/>
    <w:rsid w:val="00D2111D"/>
    <w:rsid w:val="00D21D4F"/>
    <w:rsid w:val="00D22228"/>
    <w:rsid w:val="00D224A1"/>
    <w:rsid w:val="00D22506"/>
    <w:rsid w:val="00D229AD"/>
    <w:rsid w:val="00D2347C"/>
    <w:rsid w:val="00D236FB"/>
    <w:rsid w:val="00D23922"/>
    <w:rsid w:val="00D23C7A"/>
    <w:rsid w:val="00D242DE"/>
    <w:rsid w:val="00D24509"/>
    <w:rsid w:val="00D24EFE"/>
    <w:rsid w:val="00D2577D"/>
    <w:rsid w:val="00D25B6A"/>
    <w:rsid w:val="00D26126"/>
    <w:rsid w:val="00D262E5"/>
    <w:rsid w:val="00D27234"/>
    <w:rsid w:val="00D2772F"/>
    <w:rsid w:val="00D27786"/>
    <w:rsid w:val="00D27CC5"/>
    <w:rsid w:val="00D30706"/>
    <w:rsid w:val="00D3070E"/>
    <w:rsid w:val="00D31ABE"/>
    <w:rsid w:val="00D31F45"/>
    <w:rsid w:val="00D325F0"/>
    <w:rsid w:val="00D3269B"/>
    <w:rsid w:val="00D32F5E"/>
    <w:rsid w:val="00D33400"/>
    <w:rsid w:val="00D33452"/>
    <w:rsid w:val="00D33BB8"/>
    <w:rsid w:val="00D341F7"/>
    <w:rsid w:val="00D350F8"/>
    <w:rsid w:val="00D353D9"/>
    <w:rsid w:val="00D355E5"/>
    <w:rsid w:val="00D357D3"/>
    <w:rsid w:val="00D35B4D"/>
    <w:rsid w:val="00D35B9B"/>
    <w:rsid w:val="00D35D8A"/>
    <w:rsid w:val="00D364BE"/>
    <w:rsid w:val="00D3651D"/>
    <w:rsid w:val="00D368A8"/>
    <w:rsid w:val="00D3719B"/>
    <w:rsid w:val="00D3798C"/>
    <w:rsid w:val="00D37BD0"/>
    <w:rsid w:val="00D40263"/>
    <w:rsid w:val="00D40F07"/>
    <w:rsid w:val="00D42153"/>
    <w:rsid w:val="00D43624"/>
    <w:rsid w:val="00D43D02"/>
    <w:rsid w:val="00D43E3A"/>
    <w:rsid w:val="00D44166"/>
    <w:rsid w:val="00D4450B"/>
    <w:rsid w:val="00D44694"/>
    <w:rsid w:val="00D44714"/>
    <w:rsid w:val="00D45611"/>
    <w:rsid w:val="00D465F7"/>
    <w:rsid w:val="00D46962"/>
    <w:rsid w:val="00D47101"/>
    <w:rsid w:val="00D47AF4"/>
    <w:rsid w:val="00D50D89"/>
    <w:rsid w:val="00D52228"/>
    <w:rsid w:val="00D5243A"/>
    <w:rsid w:val="00D527F2"/>
    <w:rsid w:val="00D52D82"/>
    <w:rsid w:val="00D54092"/>
    <w:rsid w:val="00D541B6"/>
    <w:rsid w:val="00D54430"/>
    <w:rsid w:val="00D555CB"/>
    <w:rsid w:val="00D5565B"/>
    <w:rsid w:val="00D55EC8"/>
    <w:rsid w:val="00D56FDE"/>
    <w:rsid w:val="00D57436"/>
    <w:rsid w:val="00D57FBE"/>
    <w:rsid w:val="00D57FBF"/>
    <w:rsid w:val="00D6069A"/>
    <w:rsid w:val="00D61067"/>
    <w:rsid w:val="00D61510"/>
    <w:rsid w:val="00D6194D"/>
    <w:rsid w:val="00D62480"/>
    <w:rsid w:val="00D6307E"/>
    <w:rsid w:val="00D64014"/>
    <w:rsid w:val="00D6447F"/>
    <w:rsid w:val="00D64FD0"/>
    <w:rsid w:val="00D6523F"/>
    <w:rsid w:val="00D6577C"/>
    <w:rsid w:val="00D657DF"/>
    <w:rsid w:val="00D66158"/>
    <w:rsid w:val="00D665E5"/>
    <w:rsid w:val="00D6665B"/>
    <w:rsid w:val="00D66743"/>
    <w:rsid w:val="00D66DD2"/>
    <w:rsid w:val="00D67A4A"/>
    <w:rsid w:val="00D67AB1"/>
    <w:rsid w:val="00D67C3A"/>
    <w:rsid w:val="00D67FD3"/>
    <w:rsid w:val="00D70187"/>
    <w:rsid w:val="00D70222"/>
    <w:rsid w:val="00D7075A"/>
    <w:rsid w:val="00D7085A"/>
    <w:rsid w:val="00D71266"/>
    <w:rsid w:val="00D715B3"/>
    <w:rsid w:val="00D71F2F"/>
    <w:rsid w:val="00D71F9E"/>
    <w:rsid w:val="00D72483"/>
    <w:rsid w:val="00D72933"/>
    <w:rsid w:val="00D73A24"/>
    <w:rsid w:val="00D74445"/>
    <w:rsid w:val="00D748FF"/>
    <w:rsid w:val="00D75824"/>
    <w:rsid w:val="00D75C78"/>
    <w:rsid w:val="00D75FA7"/>
    <w:rsid w:val="00D76401"/>
    <w:rsid w:val="00D765A2"/>
    <w:rsid w:val="00D76800"/>
    <w:rsid w:val="00D76DE2"/>
    <w:rsid w:val="00D76E5E"/>
    <w:rsid w:val="00D77B58"/>
    <w:rsid w:val="00D80057"/>
    <w:rsid w:val="00D8006F"/>
    <w:rsid w:val="00D81CAA"/>
    <w:rsid w:val="00D81D99"/>
    <w:rsid w:val="00D82533"/>
    <w:rsid w:val="00D82B0D"/>
    <w:rsid w:val="00D83404"/>
    <w:rsid w:val="00D83CBC"/>
    <w:rsid w:val="00D8415D"/>
    <w:rsid w:val="00D84170"/>
    <w:rsid w:val="00D842AD"/>
    <w:rsid w:val="00D84510"/>
    <w:rsid w:val="00D846EB"/>
    <w:rsid w:val="00D84B98"/>
    <w:rsid w:val="00D84DD5"/>
    <w:rsid w:val="00D8561C"/>
    <w:rsid w:val="00D85A57"/>
    <w:rsid w:val="00D85B79"/>
    <w:rsid w:val="00D87078"/>
    <w:rsid w:val="00D8723A"/>
    <w:rsid w:val="00D8792D"/>
    <w:rsid w:val="00D879B7"/>
    <w:rsid w:val="00D9018F"/>
    <w:rsid w:val="00D902AB"/>
    <w:rsid w:val="00D902EA"/>
    <w:rsid w:val="00D90496"/>
    <w:rsid w:val="00D907C3"/>
    <w:rsid w:val="00D9088F"/>
    <w:rsid w:val="00D90CA4"/>
    <w:rsid w:val="00D90D3F"/>
    <w:rsid w:val="00D91EEF"/>
    <w:rsid w:val="00D926AA"/>
    <w:rsid w:val="00D9349E"/>
    <w:rsid w:val="00D93863"/>
    <w:rsid w:val="00D93DF6"/>
    <w:rsid w:val="00D94535"/>
    <w:rsid w:val="00D94E4E"/>
    <w:rsid w:val="00D950BE"/>
    <w:rsid w:val="00D953CA"/>
    <w:rsid w:val="00D95B94"/>
    <w:rsid w:val="00D95C55"/>
    <w:rsid w:val="00D961A4"/>
    <w:rsid w:val="00D966A6"/>
    <w:rsid w:val="00D966EA"/>
    <w:rsid w:val="00D9722C"/>
    <w:rsid w:val="00D976D3"/>
    <w:rsid w:val="00D97855"/>
    <w:rsid w:val="00DA071A"/>
    <w:rsid w:val="00DA110D"/>
    <w:rsid w:val="00DA1516"/>
    <w:rsid w:val="00DA1648"/>
    <w:rsid w:val="00DA1AD6"/>
    <w:rsid w:val="00DA1DCD"/>
    <w:rsid w:val="00DA290C"/>
    <w:rsid w:val="00DA2C1C"/>
    <w:rsid w:val="00DA2EAB"/>
    <w:rsid w:val="00DA318D"/>
    <w:rsid w:val="00DA3A8C"/>
    <w:rsid w:val="00DA3C82"/>
    <w:rsid w:val="00DA3E1B"/>
    <w:rsid w:val="00DA4147"/>
    <w:rsid w:val="00DA44AF"/>
    <w:rsid w:val="00DA4EEA"/>
    <w:rsid w:val="00DA5531"/>
    <w:rsid w:val="00DA5D90"/>
    <w:rsid w:val="00DA61A5"/>
    <w:rsid w:val="00DA6236"/>
    <w:rsid w:val="00DA63D6"/>
    <w:rsid w:val="00DA67E6"/>
    <w:rsid w:val="00DA7C3A"/>
    <w:rsid w:val="00DA7E81"/>
    <w:rsid w:val="00DA7E90"/>
    <w:rsid w:val="00DB05FA"/>
    <w:rsid w:val="00DB2056"/>
    <w:rsid w:val="00DB275E"/>
    <w:rsid w:val="00DB2A6D"/>
    <w:rsid w:val="00DB2E3F"/>
    <w:rsid w:val="00DB2F15"/>
    <w:rsid w:val="00DB30BE"/>
    <w:rsid w:val="00DB375D"/>
    <w:rsid w:val="00DB388B"/>
    <w:rsid w:val="00DB3BE2"/>
    <w:rsid w:val="00DB3CCB"/>
    <w:rsid w:val="00DB40CD"/>
    <w:rsid w:val="00DB5EFD"/>
    <w:rsid w:val="00DB628B"/>
    <w:rsid w:val="00DB691C"/>
    <w:rsid w:val="00DB695E"/>
    <w:rsid w:val="00DB69EB"/>
    <w:rsid w:val="00DB6B46"/>
    <w:rsid w:val="00DB6C0A"/>
    <w:rsid w:val="00DB7079"/>
    <w:rsid w:val="00DB7526"/>
    <w:rsid w:val="00DB755B"/>
    <w:rsid w:val="00DB7870"/>
    <w:rsid w:val="00DB798F"/>
    <w:rsid w:val="00DB7A4C"/>
    <w:rsid w:val="00DC00EF"/>
    <w:rsid w:val="00DC13A7"/>
    <w:rsid w:val="00DC1E54"/>
    <w:rsid w:val="00DC203C"/>
    <w:rsid w:val="00DC25C6"/>
    <w:rsid w:val="00DC2D88"/>
    <w:rsid w:val="00DC39AD"/>
    <w:rsid w:val="00DC3D5F"/>
    <w:rsid w:val="00DC40EE"/>
    <w:rsid w:val="00DC4528"/>
    <w:rsid w:val="00DC51A0"/>
    <w:rsid w:val="00DC621F"/>
    <w:rsid w:val="00DC6412"/>
    <w:rsid w:val="00DC66AA"/>
    <w:rsid w:val="00DC66D4"/>
    <w:rsid w:val="00DC6722"/>
    <w:rsid w:val="00DC6C47"/>
    <w:rsid w:val="00DC76C7"/>
    <w:rsid w:val="00DC7BE7"/>
    <w:rsid w:val="00DC7C46"/>
    <w:rsid w:val="00DD0021"/>
    <w:rsid w:val="00DD002C"/>
    <w:rsid w:val="00DD00BA"/>
    <w:rsid w:val="00DD0F87"/>
    <w:rsid w:val="00DD16EE"/>
    <w:rsid w:val="00DD2725"/>
    <w:rsid w:val="00DD2A13"/>
    <w:rsid w:val="00DD3235"/>
    <w:rsid w:val="00DD3701"/>
    <w:rsid w:val="00DD397E"/>
    <w:rsid w:val="00DD3CAE"/>
    <w:rsid w:val="00DD3F94"/>
    <w:rsid w:val="00DD4096"/>
    <w:rsid w:val="00DD4C55"/>
    <w:rsid w:val="00DD545F"/>
    <w:rsid w:val="00DD58FD"/>
    <w:rsid w:val="00DD6052"/>
    <w:rsid w:val="00DD60A6"/>
    <w:rsid w:val="00DE090F"/>
    <w:rsid w:val="00DE0B77"/>
    <w:rsid w:val="00DE0BD9"/>
    <w:rsid w:val="00DE0DA2"/>
    <w:rsid w:val="00DE1B75"/>
    <w:rsid w:val="00DE1B8B"/>
    <w:rsid w:val="00DE1CE4"/>
    <w:rsid w:val="00DE22B3"/>
    <w:rsid w:val="00DE249F"/>
    <w:rsid w:val="00DE283F"/>
    <w:rsid w:val="00DE2F05"/>
    <w:rsid w:val="00DE30E1"/>
    <w:rsid w:val="00DE37AC"/>
    <w:rsid w:val="00DE453C"/>
    <w:rsid w:val="00DE46F9"/>
    <w:rsid w:val="00DE4788"/>
    <w:rsid w:val="00DE4E35"/>
    <w:rsid w:val="00DE51C6"/>
    <w:rsid w:val="00DE56D2"/>
    <w:rsid w:val="00DE5CD5"/>
    <w:rsid w:val="00DE6129"/>
    <w:rsid w:val="00DE69D6"/>
    <w:rsid w:val="00DE6ABA"/>
    <w:rsid w:val="00DE789A"/>
    <w:rsid w:val="00DE7DAD"/>
    <w:rsid w:val="00DF013D"/>
    <w:rsid w:val="00DF0416"/>
    <w:rsid w:val="00DF081A"/>
    <w:rsid w:val="00DF0F52"/>
    <w:rsid w:val="00DF17D6"/>
    <w:rsid w:val="00DF2348"/>
    <w:rsid w:val="00DF2358"/>
    <w:rsid w:val="00DF24B9"/>
    <w:rsid w:val="00DF29D3"/>
    <w:rsid w:val="00DF2C2A"/>
    <w:rsid w:val="00DF2CFF"/>
    <w:rsid w:val="00DF2F83"/>
    <w:rsid w:val="00DF371C"/>
    <w:rsid w:val="00DF3824"/>
    <w:rsid w:val="00DF3A94"/>
    <w:rsid w:val="00DF4138"/>
    <w:rsid w:val="00DF51E5"/>
    <w:rsid w:val="00DF52B4"/>
    <w:rsid w:val="00DF54AD"/>
    <w:rsid w:val="00DF576E"/>
    <w:rsid w:val="00DF5AED"/>
    <w:rsid w:val="00DF5E96"/>
    <w:rsid w:val="00DF60F7"/>
    <w:rsid w:val="00DF681F"/>
    <w:rsid w:val="00DF6EC0"/>
    <w:rsid w:val="00DF747F"/>
    <w:rsid w:val="00DF7CEA"/>
    <w:rsid w:val="00E000DD"/>
    <w:rsid w:val="00E00A25"/>
    <w:rsid w:val="00E00A98"/>
    <w:rsid w:val="00E00FD7"/>
    <w:rsid w:val="00E01233"/>
    <w:rsid w:val="00E01423"/>
    <w:rsid w:val="00E01AB5"/>
    <w:rsid w:val="00E028ED"/>
    <w:rsid w:val="00E035F7"/>
    <w:rsid w:val="00E041EA"/>
    <w:rsid w:val="00E0470D"/>
    <w:rsid w:val="00E04AB0"/>
    <w:rsid w:val="00E05C23"/>
    <w:rsid w:val="00E06E5E"/>
    <w:rsid w:val="00E0704C"/>
    <w:rsid w:val="00E073E1"/>
    <w:rsid w:val="00E07A5A"/>
    <w:rsid w:val="00E07D47"/>
    <w:rsid w:val="00E07FF0"/>
    <w:rsid w:val="00E1086D"/>
    <w:rsid w:val="00E10EE7"/>
    <w:rsid w:val="00E115C5"/>
    <w:rsid w:val="00E11BE8"/>
    <w:rsid w:val="00E129A8"/>
    <w:rsid w:val="00E129EC"/>
    <w:rsid w:val="00E12F4B"/>
    <w:rsid w:val="00E12FCD"/>
    <w:rsid w:val="00E131D0"/>
    <w:rsid w:val="00E13D30"/>
    <w:rsid w:val="00E140D3"/>
    <w:rsid w:val="00E1450A"/>
    <w:rsid w:val="00E14AF6"/>
    <w:rsid w:val="00E14D9C"/>
    <w:rsid w:val="00E15A28"/>
    <w:rsid w:val="00E15D49"/>
    <w:rsid w:val="00E16493"/>
    <w:rsid w:val="00E16DB7"/>
    <w:rsid w:val="00E16E9C"/>
    <w:rsid w:val="00E204EC"/>
    <w:rsid w:val="00E208AB"/>
    <w:rsid w:val="00E20CB6"/>
    <w:rsid w:val="00E20EBD"/>
    <w:rsid w:val="00E21715"/>
    <w:rsid w:val="00E21A2B"/>
    <w:rsid w:val="00E21A9A"/>
    <w:rsid w:val="00E21F73"/>
    <w:rsid w:val="00E22148"/>
    <w:rsid w:val="00E2238D"/>
    <w:rsid w:val="00E224FD"/>
    <w:rsid w:val="00E22567"/>
    <w:rsid w:val="00E22579"/>
    <w:rsid w:val="00E23020"/>
    <w:rsid w:val="00E23603"/>
    <w:rsid w:val="00E23794"/>
    <w:rsid w:val="00E243BA"/>
    <w:rsid w:val="00E254D2"/>
    <w:rsid w:val="00E25643"/>
    <w:rsid w:val="00E25867"/>
    <w:rsid w:val="00E25F3F"/>
    <w:rsid w:val="00E26217"/>
    <w:rsid w:val="00E263F7"/>
    <w:rsid w:val="00E264F8"/>
    <w:rsid w:val="00E26553"/>
    <w:rsid w:val="00E267D3"/>
    <w:rsid w:val="00E26A8D"/>
    <w:rsid w:val="00E26EEB"/>
    <w:rsid w:val="00E26FE6"/>
    <w:rsid w:val="00E2736B"/>
    <w:rsid w:val="00E301D8"/>
    <w:rsid w:val="00E308C8"/>
    <w:rsid w:val="00E30A51"/>
    <w:rsid w:val="00E30E4C"/>
    <w:rsid w:val="00E311C5"/>
    <w:rsid w:val="00E316DF"/>
    <w:rsid w:val="00E317C5"/>
    <w:rsid w:val="00E31A0D"/>
    <w:rsid w:val="00E31AAE"/>
    <w:rsid w:val="00E327D3"/>
    <w:rsid w:val="00E32AAD"/>
    <w:rsid w:val="00E33E53"/>
    <w:rsid w:val="00E344C1"/>
    <w:rsid w:val="00E34B49"/>
    <w:rsid w:val="00E34F1F"/>
    <w:rsid w:val="00E35019"/>
    <w:rsid w:val="00E35A42"/>
    <w:rsid w:val="00E36948"/>
    <w:rsid w:val="00E36BD3"/>
    <w:rsid w:val="00E36C22"/>
    <w:rsid w:val="00E36D63"/>
    <w:rsid w:val="00E37409"/>
    <w:rsid w:val="00E37441"/>
    <w:rsid w:val="00E40028"/>
    <w:rsid w:val="00E40176"/>
    <w:rsid w:val="00E410D2"/>
    <w:rsid w:val="00E41B77"/>
    <w:rsid w:val="00E41C9B"/>
    <w:rsid w:val="00E42094"/>
    <w:rsid w:val="00E42C76"/>
    <w:rsid w:val="00E4380D"/>
    <w:rsid w:val="00E439CA"/>
    <w:rsid w:val="00E43A3F"/>
    <w:rsid w:val="00E43AFF"/>
    <w:rsid w:val="00E43D04"/>
    <w:rsid w:val="00E4418C"/>
    <w:rsid w:val="00E442F7"/>
    <w:rsid w:val="00E450B7"/>
    <w:rsid w:val="00E4541C"/>
    <w:rsid w:val="00E45528"/>
    <w:rsid w:val="00E45C52"/>
    <w:rsid w:val="00E45F7D"/>
    <w:rsid w:val="00E46030"/>
    <w:rsid w:val="00E46486"/>
    <w:rsid w:val="00E466DE"/>
    <w:rsid w:val="00E46CE7"/>
    <w:rsid w:val="00E478C5"/>
    <w:rsid w:val="00E47EB0"/>
    <w:rsid w:val="00E50074"/>
    <w:rsid w:val="00E507D8"/>
    <w:rsid w:val="00E50970"/>
    <w:rsid w:val="00E50BAD"/>
    <w:rsid w:val="00E50F67"/>
    <w:rsid w:val="00E513C1"/>
    <w:rsid w:val="00E51C78"/>
    <w:rsid w:val="00E52192"/>
    <w:rsid w:val="00E52703"/>
    <w:rsid w:val="00E52B58"/>
    <w:rsid w:val="00E52C1F"/>
    <w:rsid w:val="00E53E17"/>
    <w:rsid w:val="00E5411E"/>
    <w:rsid w:val="00E54157"/>
    <w:rsid w:val="00E542C7"/>
    <w:rsid w:val="00E54DC6"/>
    <w:rsid w:val="00E54DEF"/>
    <w:rsid w:val="00E55102"/>
    <w:rsid w:val="00E55332"/>
    <w:rsid w:val="00E55C60"/>
    <w:rsid w:val="00E55D97"/>
    <w:rsid w:val="00E5605D"/>
    <w:rsid w:val="00E56224"/>
    <w:rsid w:val="00E56333"/>
    <w:rsid w:val="00E56497"/>
    <w:rsid w:val="00E56875"/>
    <w:rsid w:val="00E56932"/>
    <w:rsid w:val="00E569B0"/>
    <w:rsid w:val="00E56BB0"/>
    <w:rsid w:val="00E57ED5"/>
    <w:rsid w:val="00E60EF3"/>
    <w:rsid w:val="00E614DE"/>
    <w:rsid w:val="00E618B0"/>
    <w:rsid w:val="00E619EF"/>
    <w:rsid w:val="00E61C20"/>
    <w:rsid w:val="00E62158"/>
    <w:rsid w:val="00E62565"/>
    <w:rsid w:val="00E62F6D"/>
    <w:rsid w:val="00E630D1"/>
    <w:rsid w:val="00E63C50"/>
    <w:rsid w:val="00E64384"/>
    <w:rsid w:val="00E64951"/>
    <w:rsid w:val="00E64C71"/>
    <w:rsid w:val="00E64E93"/>
    <w:rsid w:val="00E64F92"/>
    <w:rsid w:val="00E65BE5"/>
    <w:rsid w:val="00E6635E"/>
    <w:rsid w:val="00E6683A"/>
    <w:rsid w:val="00E66A3D"/>
    <w:rsid w:val="00E671AC"/>
    <w:rsid w:val="00E67231"/>
    <w:rsid w:val="00E672EA"/>
    <w:rsid w:val="00E676A8"/>
    <w:rsid w:val="00E67954"/>
    <w:rsid w:val="00E67D7F"/>
    <w:rsid w:val="00E67FEE"/>
    <w:rsid w:val="00E70968"/>
    <w:rsid w:val="00E70A38"/>
    <w:rsid w:val="00E70AA8"/>
    <w:rsid w:val="00E710F8"/>
    <w:rsid w:val="00E72960"/>
    <w:rsid w:val="00E72F71"/>
    <w:rsid w:val="00E7322F"/>
    <w:rsid w:val="00E73423"/>
    <w:rsid w:val="00E7402B"/>
    <w:rsid w:val="00E74596"/>
    <w:rsid w:val="00E74E22"/>
    <w:rsid w:val="00E7516C"/>
    <w:rsid w:val="00E752C1"/>
    <w:rsid w:val="00E76075"/>
    <w:rsid w:val="00E76BF1"/>
    <w:rsid w:val="00E8189A"/>
    <w:rsid w:val="00E81A38"/>
    <w:rsid w:val="00E81FA7"/>
    <w:rsid w:val="00E823CD"/>
    <w:rsid w:val="00E824FB"/>
    <w:rsid w:val="00E82F0C"/>
    <w:rsid w:val="00E82F2E"/>
    <w:rsid w:val="00E83194"/>
    <w:rsid w:val="00E8343D"/>
    <w:rsid w:val="00E8427D"/>
    <w:rsid w:val="00E847BF"/>
    <w:rsid w:val="00E85365"/>
    <w:rsid w:val="00E85766"/>
    <w:rsid w:val="00E85B81"/>
    <w:rsid w:val="00E85D11"/>
    <w:rsid w:val="00E85EF6"/>
    <w:rsid w:val="00E8601E"/>
    <w:rsid w:val="00E86874"/>
    <w:rsid w:val="00E872BD"/>
    <w:rsid w:val="00E87464"/>
    <w:rsid w:val="00E87A5D"/>
    <w:rsid w:val="00E87B1A"/>
    <w:rsid w:val="00E902AE"/>
    <w:rsid w:val="00E904BA"/>
    <w:rsid w:val="00E9094A"/>
    <w:rsid w:val="00E90DD4"/>
    <w:rsid w:val="00E90EB1"/>
    <w:rsid w:val="00E91762"/>
    <w:rsid w:val="00E927A7"/>
    <w:rsid w:val="00E92A39"/>
    <w:rsid w:val="00E930CD"/>
    <w:rsid w:val="00E935CF"/>
    <w:rsid w:val="00E9397E"/>
    <w:rsid w:val="00E93D8A"/>
    <w:rsid w:val="00E943FE"/>
    <w:rsid w:val="00E94906"/>
    <w:rsid w:val="00E94AE4"/>
    <w:rsid w:val="00E9527F"/>
    <w:rsid w:val="00E952A7"/>
    <w:rsid w:val="00E954CB"/>
    <w:rsid w:val="00E9586F"/>
    <w:rsid w:val="00E95F35"/>
    <w:rsid w:val="00E961AA"/>
    <w:rsid w:val="00E96285"/>
    <w:rsid w:val="00E96309"/>
    <w:rsid w:val="00E968BB"/>
    <w:rsid w:val="00E96C76"/>
    <w:rsid w:val="00E96DF7"/>
    <w:rsid w:val="00E96E75"/>
    <w:rsid w:val="00E96F28"/>
    <w:rsid w:val="00E97163"/>
    <w:rsid w:val="00E97265"/>
    <w:rsid w:val="00E977EA"/>
    <w:rsid w:val="00E97AA1"/>
    <w:rsid w:val="00E97ABB"/>
    <w:rsid w:val="00E97D47"/>
    <w:rsid w:val="00E97DC7"/>
    <w:rsid w:val="00EA0177"/>
    <w:rsid w:val="00EA01DB"/>
    <w:rsid w:val="00EA03BD"/>
    <w:rsid w:val="00EA0D7B"/>
    <w:rsid w:val="00EA12E5"/>
    <w:rsid w:val="00EA19F4"/>
    <w:rsid w:val="00EA2BA5"/>
    <w:rsid w:val="00EA2EBC"/>
    <w:rsid w:val="00EA2F47"/>
    <w:rsid w:val="00EA2F97"/>
    <w:rsid w:val="00EA2FDC"/>
    <w:rsid w:val="00EA3200"/>
    <w:rsid w:val="00EA3241"/>
    <w:rsid w:val="00EA3718"/>
    <w:rsid w:val="00EA4035"/>
    <w:rsid w:val="00EA4093"/>
    <w:rsid w:val="00EA42BF"/>
    <w:rsid w:val="00EA551F"/>
    <w:rsid w:val="00EA58DC"/>
    <w:rsid w:val="00EA5E0F"/>
    <w:rsid w:val="00EA6256"/>
    <w:rsid w:val="00EA6270"/>
    <w:rsid w:val="00EA713F"/>
    <w:rsid w:val="00EA76A6"/>
    <w:rsid w:val="00EA77B8"/>
    <w:rsid w:val="00EA7FE3"/>
    <w:rsid w:val="00EB0698"/>
    <w:rsid w:val="00EB0F29"/>
    <w:rsid w:val="00EB0FA5"/>
    <w:rsid w:val="00EB1388"/>
    <w:rsid w:val="00EB13B5"/>
    <w:rsid w:val="00EB144D"/>
    <w:rsid w:val="00EB1576"/>
    <w:rsid w:val="00EB1D13"/>
    <w:rsid w:val="00EB1D2C"/>
    <w:rsid w:val="00EB26F9"/>
    <w:rsid w:val="00EB2794"/>
    <w:rsid w:val="00EB2CCF"/>
    <w:rsid w:val="00EB30F5"/>
    <w:rsid w:val="00EB3C73"/>
    <w:rsid w:val="00EB4118"/>
    <w:rsid w:val="00EB4971"/>
    <w:rsid w:val="00EB4DCF"/>
    <w:rsid w:val="00EB4FA0"/>
    <w:rsid w:val="00EB52F6"/>
    <w:rsid w:val="00EB53ED"/>
    <w:rsid w:val="00EB599D"/>
    <w:rsid w:val="00EB5A1C"/>
    <w:rsid w:val="00EB627C"/>
    <w:rsid w:val="00EB676B"/>
    <w:rsid w:val="00EB67A3"/>
    <w:rsid w:val="00EB68C5"/>
    <w:rsid w:val="00EB7DB1"/>
    <w:rsid w:val="00EC0110"/>
    <w:rsid w:val="00EC07B8"/>
    <w:rsid w:val="00EC07F5"/>
    <w:rsid w:val="00EC0BD2"/>
    <w:rsid w:val="00EC0EE5"/>
    <w:rsid w:val="00EC1093"/>
    <w:rsid w:val="00EC11E8"/>
    <w:rsid w:val="00EC13EA"/>
    <w:rsid w:val="00EC1629"/>
    <w:rsid w:val="00EC259A"/>
    <w:rsid w:val="00EC273E"/>
    <w:rsid w:val="00EC2AB0"/>
    <w:rsid w:val="00EC2BE4"/>
    <w:rsid w:val="00EC2E72"/>
    <w:rsid w:val="00EC3695"/>
    <w:rsid w:val="00EC49E5"/>
    <w:rsid w:val="00EC4B28"/>
    <w:rsid w:val="00EC4C3D"/>
    <w:rsid w:val="00EC4ED7"/>
    <w:rsid w:val="00EC4F12"/>
    <w:rsid w:val="00EC5310"/>
    <w:rsid w:val="00EC553D"/>
    <w:rsid w:val="00EC67BD"/>
    <w:rsid w:val="00EC6FB1"/>
    <w:rsid w:val="00EC7209"/>
    <w:rsid w:val="00EC74B3"/>
    <w:rsid w:val="00EC7584"/>
    <w:rsid w:val="00EC7C56"/>
    <w:rsid w:val="00ED144A"/>
    <w:rsid w:val="00ED17EE"/>
    <w:rsid w:val="00ED3215"/>
    <w:rsid w:val="00ED346C"/>
    <w:rsid w:val="00ED3ADA"/>
    <w:rsid w:val="00ED4164"/>
    <w:rsid w:val="00ED48A9"/>
    <w:rsid w:val="00ED49F4"/>
    <w:rsid w:val="00ED4C5A"/>
    <w:rsid w:val="00ED4F18"/>
    <w:rsid w:val="00ED50E0"/>
    <w:rsid w:val="00ED5333"/>
    <w:rsid w:val="00ED5B5B"/>
    <w:rsid w:val="00ED70E0"/>
    <w:rsid w:val="00ED7503"/>
    <w:rsid w:val="00ED780E"/>
    <w:rsid w:val="00ED7BE0"/>
    <w:rsid w:val="00EE0E79"/>
    <w:rsid w:val="00EE1003"/>
    <w:rsid w:val="00EE1240"/>
    <w:rsid w:val="00EE1335"/>
    <w:rsid w:val="00EE14F7"/>
    <w:rsid w:val="00EE155C"/>
    <w:rsid w:val="00EE1D34"/>
    <w:rsid w:val="00EE2512"/>
    <w:rsid w:val="00EE2EE5"/>
    <w:rsid w:val="00EE3B0A"/>
    <w:rsid w:val="00EE3F55"/>
    <w:rsid w:val="00EE4922"/>
    <w:rsid w:val="00EE52FE"/>
    <w:rsid w:val="00EE53BE"/>
    <w:rsid w:val="00EE59B6"/>
    <w:rsid w:val="00EE7389"/>
    <w:rsid w:val="00EE770A"/>
    <w:rsid w:val="00EF02E5"/>
    <w:rsid w:val="00EF06DC"/>
    <w:rsid w:val="00EF0855"/>
    <w:rsid w:val="00EF09A4"/>
    <w:rsid w:val="00EF11F4"/>
    <w:rsid w:val="00EF1C41"/>
    <w:rsid w:val="00EF1F62"/>
    <w:rsid w:val="00EF2C36"/>
    <w:rsid w:val="00EF342B"/>
    <w:rsid w:val="00EF350B"/>
    <w:rsid w:val="00EF3C1B"/>
    <w:rsid w:val="00EF492E"/>
    <w:rsid w:val="00EF4A4E"/>
    <w:rsid w:val="00EF4F3E"/>
    <w:rsid w:val="00EF4FE4"/>
    <w:rsid w:val="00EF5905"/>
    <w:rsid w:val="00EF59EB"/>
    <w:rsid w:val="00EF5A75"/>
    <w:rsid w:val="00EF5AC2"/>
    <w:rsid w:val="00EF5D05"/>
    <w:rsid w:val="00EF62FE"/>
    <w:rsid w:val="00EF699B"/>
    <w:rsid w:val="00EF6E3A"/>
    <w:rsid w:val="00EF7030"/>
    <w:rsid w:val="00EF78DB"/>
    <w:rsid w:val="00EF7C60"/>
    <w:rsid w:val="00EF7C8C"/>
    <w:rsid w:val="00EF7EF5"/>
    <w:rsid w:val="00F00121"/>
    <w:rsid w:val="00F00CA8"/>
    <w:rsid w:val="00F00D5E"/>
    <w:rsid w:val="00F013ED"/>
    <w:rsid w:val="00F014AC"/>
    <w:rsid w:val="00F02B35"/>
    <w:rsid w:val="00F03093"/>
    <w:rsid w:val="00F031CA"/>
    <w:rsid w:val="00F035E0"/>
    <w:rsid w:val="00F03CD9"/>
    <w:rsid w:val="00F04D42"/>
    <w:rsid w:val="00F05197"/>
    <w:rsid w:val="00F0550E"/>
    <w:rsid w:val="00F05BE8"/>
    <w:rsid w:val="00F064AA"/>
    <w:rsid w:val="00F0653B"/>
    <w:rsid w:val="00F06704"/>
    <w:rsid w:val="00F06C6C"/>
    <w:rsid w:val="00F06F1B"/>
    <w:rsid w:val="00F072DB"/>
    <w:rsid w:val="00F07F87"/>
    <w:rsid w:val="00F10132"/>
    <w:rsid w:val="00F1045B"/>
    <w:rsid w:val="00F1062D"/>
    <w:rsid w:val="00F10945"/>
    <w:rsid w:val="00F10E47"/>
    <w:rsid w:val="00F10FF8"/>
    <w:rsid w:val="00F11A60"/>
    <w:rsid w:val="00F11B5D"/>
    <w:rsid w:val="00F11D7D"/>
    <w:rsid w:val="00F1288C"/>
    <w:rsid w:val="00F1301B"/>
    <w:rsid w:val="00F13461"/>
    <w:rsid w:val="00F1393A"/>
    <w:rsid w:val="00F13A7C"/>
    <w:rsid w:val="00F13CEF"/>
    <w:rsid w:val="00F142FA"/>
    <w:rsid w:val="00F14B07"/>
    <w:rsid w:val="00F15247"/>
    <w:rsid w:val="00F15410"/>
    <w:rsid w:val="00F15B89"/>
    <w:rsid w:val="00F16A59"/>
    <w:rsid w:val="00F20114"/>
    <w:rsid w:val="00F209DF"/>
    <w:rsid w:val="00F2190A"/>
    <w:rsid w:val="00F21BAA"/>
    <w:rsid w:val="00F21F5C"/>
    <w:rsid w:val="00F2206C"/>
    <w:rsid w:val="00F221C6"/>
    <w:rsid w:val="00F2296F"/>
    <w:rsid w:val="00F22A9B"/>
    <w:rsid w:val="00F22F24"/>
    <w:rsid w:val="00F22FAF"/>
    <w:rsid w:val="00F230DB"/>
    <w:rsid w:val="00F2339D"/>
    <w:rsid w:val="00F236F3"/>
    <w:rsid w:val="00F238A5"/>
    <w:rsid w:val="00F24259"/>
    <w:rsid w:val="00F2576D"/>
    <w:rsid w:val="00F25B8E"/>
    <w:rsid w:val="00F25FC1"/>
    <w:rsid w:val="00F265A5"/>
    <w:rsid w:val="00F26E67"/>
    <w:rsid w:val="00F270C7"/>
    <w:rsid w:val="00F27B05"/>
    <w:rsid w:val="00F30919"/>
    <w:rsid w:val="00F30DAD"/>
    <w:rsid w:val="00F32398"/>
    <w:rsid w:val="00F32637"/>
    <w:rsid w:val="00F327D5"/>
    <w:rsid w:val="00F329AA"/>
    <w:rsid w:val="00F32B84"/>
    <w:rsid w:val="00F32DCC"/>
    <w:rsid w:val="00F32F5B"/>
    <w:rsid w:val="00F3309B"/>
    <w:rsid w:val="00F338B3"/>
    <w:rsid w:val="00F343BE"/>
    <w:rsid w:val="00F34ABD"/>
    <w:rsid w:val="00F350FE"/>
    <w:rsid w:val="00F351CB"/>
    <w:rsid w:val="00F3570E"/>
    <w:rsid w:val="00F35BA6"/>
    <w:rsid w:val="00F35E09"/>
    <w:rsid w:val="00F35E17"/>
    <w:rsid w:val="00F361A9"/>
    <w:rsid w:val="00F3632F"/>
    <w:rsid w:val="00F36394"/>
    <w:rsid w:val="00F36573"/>
    <w:rsid w:val="00F36C3D"/>
    <w:rsid w:val="00F36CAF"/>
    <w:rsid w:val="00F36DBE"/>
    <w:rsid w:val="00F372F1"/>
    <w:rsid w:val="00F40488"/>
    <w:rsid w:val="00F407F0"/>
    <w:rsid w:val="00F40AE3"/>
    <w:rsid w:val="00F40D3A"/>
    <w:rsid w:val="00F40FBA"/>
    <w:rsid w:val="00F4165D"/>
    <w:rsid w:val="00F423EC"/>
    <w:rsid w:val="00F42CCC"/>
    <w:rsid w:val="00F4306B"/>
    <w:rsid w:val="00F43190"/>
    <w:rsid w:val="00F43B11"/>
    <w:rsid w:val="00F43BF8"/>
    <w:rsid w:val="00F44487"/>
    <w:rsid w:val="00F45345"/>
    <w:rsid w:val="00F454B8"/>
    <w:rsid w:val="00F4606F"/>
    <w:rsid w:val="00F4651A"/>
    <w:rsid w:val="00F46878"/>
    <w:rsid w:val="00F46959"/>
    <w:rsid w:val="00F46BDF"/>
    <w:rsid w:val="00F46BED"/>
    <w:rsid w:val="00F46CA9"/>
    <w:rsid w:val="00F46EBB"/>
    <w:rsid w:val="00F47309"/>
    <w:rsid w:val="00F47D9F"/>
    <w:rsid w:val="00F47DE4"/>
    <w:rsid w:val="00F5040C"/>
    <w:rsid w:val="00F5126E"/>
    <w:rsid w:val="00F5129E"/>
    <w:rsid w:val="00F513AB"/>
    <w:rsid w:val="00F51567"/>
    <w:rsid w:val="00F51991"/>
    <w:rsid w:val="00F52266"/>
    <w:rsid w:val="00F5279D"/>
    <w:rsid w:val="00F532B3"/>
    <w:rsid w:val="00F53364"/>
    <w:rsid w:val="00F53A2A"/>
    <w:rsid w:val="00F54567"/>
    <w:rsid w:val="00F54640"/>
    <w:rsid w:val="00F55880"/>
    <w:rsid w:val="00F55A43"/>
    <w:rsid w:val="00F55D13"/>
    <w:rsid w:val="00F561FA"/>
    <w:rsid w:val="00F56457"/>
    <w:rsid w:val="00F5678A"/>
    <w:rsid w:val="00F56835"/>
    <w:rsid w:val="00F56B53"/>
    <w:rsid w:val="00F57BCF"/>
    <w:rsid w:val="00F57F94"/>
    <w:rsid w:val="00F57FF8"/>
    <w:rsid w:val="00F6123E"/>
    <w:rsid w:val="00F61724"/>
    <w:rsid w:val="00F61905"/>
    <w:rsid w:val="00F61AFA"/>
    <w:rsid w:val="00F62971"/>
    <w:rsid w:val="00F62BA8"/>
    <w:rsid w:val="00F6330F"/>
    <w:rsid w:val="00F63803"/>
    <w:rsid w:val="00F646ED"/>
    <w:rsid w:val="00F64A3F"/>
    <w:rsid w:val="00F64A71"/>
    <w:rsid w:val="00F652AB"/>
    <w:rsid w:val="00F65446"/>
    <w:rsid w:val="00F65738"/>
    <w:rsid w:val="00F663FA"/>
    <w:rsid w:val="00F66F99"/>
    <w:rsid w:val="00F67182"/>
    <w:rsid w:val="00F673AF"/>
    <w:rsid w:val="00F67C44"/>
    <w:rsid w:val="00F67F19"/>
    <w:rsid w:val="00F709D1"/>
    <w:rsid w:val="00F71209"/>
    <w:rsid w:val="00F719BE"/>
    <w:rsid w:val="00F72521"/>
    <w:rsid w:val="00F7298B"/>
    <w:rsid w:val="00F72E6F"/>
    <w:rsid w:val="00F72E73"/>
    <w:rsid w:val="00F72EA4"/>
    <w:rsid w:val="00F72F9A"/>
    <w:rsid w:val="00F73086"/>
    <w:rsid w:val="00F73A2B"/>
    <w:rsid w:val="00F73B3C"/>
    <w:rsid w:val="00F7548A"/>
    <w:rsid w:val="00F75EBE"/>
    <w:rsid w:val="00F75F56"/>
    <w:rsid w:val="00F76694"/>
    <w:rsid w:val="00F778BD"/>
    <w:rsid w:val="00F8010C"/>
    <w:rsid w:val="00F80183"/>
    <w:rsid w:val="00F80244"/>
    <w:rsid w:val="00F802DA"/>
    <w:rsid w:val="00F807E3"/>
    <w:rsid w:val="00F80E64"/>
    <w:rsid w:val="00F812EC"/>
    <w:rsid w:val="00F81B44"/>
    <w:rsid w:val="00F820D7"/>
    <w:rsid w:val="00F824BD"/>
    <w:rsid w:val="00F82764"/>
    <w:rsid w:val="00F82C9A"/>
    <w:rsid w:val="00F82EAA"/>
    <w:rsid w:val="00F83EB0"/>
    <w:rsid w:val="00F83F22"/>
    <w:rsid w:val="00F845DE"/>
    <w:rsid w:val="00F84A22"/>
    <w:rsid w:val="00F8515E"/>
    <w:rsid w:val="00F85DB9"/>
    <w:rsid w:val="00F8683E"/>
    <w:rsid w:val="00F87400"/>
    <w:rsid w:val="00F905D2"/>
    <w:rsid w:val="00F90802"/>
    <w:rsid w:val="00F909A2"/>
    <w:rsid w:val="00F90C99"/>
    <w:rsid w:val="00F91581"/>
    <w:rsid w:val="00F91DFA"/>
    <w:rsid w:val="00F91F55"/>
    <w:rsid w:val="00F92654"/>
    <w:rsid w:val="00F92A7A"/>
    <w:rsid w:val="00F92D32"/>
    <w:rsid w:val="00F93564"/>
    <w:rsid w:val="00F93B2A"/>
    <w:rsid w:val="00F93C73"/>
    <w:rsid w:val="00F94060"/>
    <w:rsid w:val="00F94148"/>
    <w:rsid w:val="00F9428A"/>
    <w:rsid w:val="00F94787"/>
    <w:rsid w:val="00F9519B"/>
    <w:rsid w:val="00F952A3"/>
    <w:rsid w:val="00F95683"/>
    <w:rsid w:val="00F95C64"/>
    <w:rsid w:val="00F95DE7"/>
    <w:rsid w:val="00F95E75"/>
    <w:rsid w:val="00F95F26"/>
    <w:rsid w:val="00F95F6F"/>
    <w:rsid w:val="00F97355"/>
    <w:rsid w:val="00F97DC4"/>
    <w:rsid w:val="00FA0105"/>
    <w:rsid w:val="00FA01F2"/>
    <w:rsid w:val="00FA0302"/>
    <w:rsid w:val="00FA0FB4"/>
    <w:rsid w:val="00FA1020"/>
    <w:rsid w:val="00FA1581"/>
    <w:rsid w:val="00FA24CA"/>
    <w:rsid w:val="00FA24F0"/>
    <w:rsid w:val="00FA2AC8"/>
    <w:rsid w:val="00FA37C9"/>
    <w:rsid w:val="00FA3963"/>
    <w:rsid w:val="00FA4058"/>
    <w:rsid w:val="00FA4301"/>
    <w:rsid w:val="00FA4CBF"/>
    <w:rsid w:val="00FA5C20"/>
    <w:rsid w:val="00FA5D3E"/>
    <w:rsid w:val="00FA67B1"/>
    <w:rsid w:val="00FA6E44"/>
    <w:rsid w:val="00FA7690"/>
    <w:rsid w:val="00FA7746"/>
    <w:rsid w:val="00FB0486"/>
    <w:rsid w:val="00FB0581"/>
    <w:rsid w:val="00FB097C"/>
    <w:rsid w:val="00FB0B10"/>
    <w:rsid w:val="00FB0C56"/>
    <w:rsid w:val="00FB11A4"/>
    <w:rsid w:val="00FB25C5"/>
    <w:rsid w:val="00FB28B6"/>
    <w:rsid w:val="00FB2AAE"/>
    <w:rsid w:val="00FB2C3D"/>
    <w:rsid w:val="00FB324A"/>
    <w:rsid w:val="00FB40DC"/>
    <w:rsid w:val="00FB43BF"/>
    <w:rsid w:val="00FB48AB"/>
    <w:rsid w:val="00FB48D1"/>
    <w:rsid w:val="00FB4CF5"/>
    <w:rsid w:val="00FB4E23"/>
    <w:rsid w:val="00FB4F91"/>
    <w:rsid w:val="00FB5DF2"/>
    <w:rsid w:val="00FB610F"/>
    <w:rsid w:val="00FB61D3"/>
    <w:rsid w:val="00FB6665"/>
    <w:rsid w:val="00FB69A4"/>
    <w:rsid w:val="00FB716B"/>
    <w:rsid w:val="00FB7409"/>
    <w:rsid w:val="00FB7A52"/>
    <w:rsid w:val="00FC0D0F"/>
    <w:rsid w:val="00FC0EB3"/>
    <w:rsid w:val="00FC22EC"/>
    <w:rsid w:val="00FC2323"/>
    <w:rsid w:val="00FC2383"/>
    <w:rsid w:val="00FC25CD"/>
    <w:rsid w:val="00FC2E98"/>
    <w:rsid w:val="00FC3121"/>
    <w:rsid w:val="00FC369C"/>
    <w:rsid w:val="00FC3D76"/>
    <w:rsid w:val="00FC41A4"/>
    <w:rsid w:val="00FC4953"/>
    <w:rsid w:val="00FC4BC9"/>
    <w:rsid w:val="00FC4BE5"/>
    <w:rsid w:val="00FC4D45"/>
    <w:rsid w:val="00FC4E29"/>
    <w:rsid w:val="00FC5309"/>
    <w:rsid w:val="00FC54BD"/>
    <w:rsid w:val="00FC574D"/>
    <w:rsid w:val="00FC5A48"/>
    <w:rsid w:val="00FC5AD2"/>
    <w:rsid w:val="00FC5CA2"/>
    <w:rsid w:val="00FC5F80"/>
    <w:rsid w:val="00FC6553"/>
    <w:rsid w:val="00FC7384"/>
    <w:rsid w:val="00FC73B1"/>
    <w:rsid w:val="00FD01D6"/>
    <w:rsid w:val="00FD0601"/>
    <w:rsid w:val="00FD0F85"/>
    <w:rsid w:val="00FD10F2"/>
    <w:rsid w:val="00FD123D"/>
    <w:rsid w:val="00FD1310"/>
    <w:rsid w:val="00FD141F"/>
    <w:rsid w:val="00FD1717"/>
    <w:rsid w:val="00FD1DEF"/>
    <w:rsid w:val="00FD2225"/>
    <w:rsid w:val="00FD26FE"/>
    <w:rsid w:val="00FD2B57"/>
    <w:rsid w:val="00FD34FC"/>
    <w:rsid w:val="00FD3572"/>
    <w:rsid w:val="00FD46DE"/>
    <w:rsid w:val="00FD4727"/>
    <w:rsid w:val="00FD4A90"/>
    <w:rsid w:val="00FD4B1E"/>
    <w:rsid w:val="00FD50FB"/>
    <w:rsid w:val="00FD54C6"/>
    <w:rsid w:val="00FD5EE9"/>
    <w:rsid w:val="00FD62B1"/>
    <w:rsid w:val="00FD6383"/>
    <w:rsid w:val="00FD640B"/>
    <w:rsid w:val="00FD6971"/>
    <w:rsid w:val="00FD6B2A"/>
    <w:rsid w:val="00FD6B6A"/>
    <w:rsid w:val="00FD6D88"/>
    <w:rsid w:val="00FD772E"/>
    <w:rsid w:val="00FD7B3B"/>
    <w:rsid w:val="00FD7FB3"/>
    <w:rsid w:val="00FE157C"/>
    <w:rsid w:val="00FE33F5"/>
    <w:rsid w:val="00FE3EAC"/>
    <w:rsid w:val="00FE41B4"/>
    <w:rsid w:val="00FE42C2"/>
    <w:rsid w:val="00FE438E"/>
    <w:rsid w:val="00FE4431"/>
    <w:rsid w:val="00FE4C18"/>
    <w:rsid w:val="00FE4E19"/>
    <w:rsid w:val="00FE4F4E"/>
    <w:rsid w:val="00FE53A3"/>
    <w:rsid w:val="00FE5C11"/>
    <w:rsid w:val="00FE5E1A"/>
    <w:rsid w:val="00FE6E62"/>
    <w:rsid w:val="00FE6EC4"/>
    <w:rsid w:val="00FF033C"/>
    <w:rsid w:val="00FF0B2D"/>
    <w:rsid w:val="00FF0C03"/>
    <w:rsid w:val="00FF0F06"/>
    <w:rsid w:val="00FF1915"/>
    <w:rsid w:val="00FF1E54"/>
    <w:rsid w:val="00FF1F87"/>
    <w:rsid w:val="00FF26BF"/>
    <w:rsid w:val="00FF2A6B"/>
    <w:rsid w:val="00FF2BE9"/>
    <w:rsid w:val="00FF2D6C"/>
    <w:rsid w:val="00FF2FF8"/>
    <w:rsid w:val="00FF316C"/>
    <w:rsid w:val="00FF361B"/>
    <w:rsid w:val="00FF3AC4"/>
    <w:rsid w:val="00FF4147"/>
    <w:rsid w:val="00FF4285"/>
    <w:rsid w:val="00FF4B0A"/>
    <w:rsid w:val="00FF4DDB"/>
    <w:rsid w:val="00FF5407"/>
    <w:rsid w:val="00FF5546"/>
    <w:rsid w:val="00FF591D"/>
    <w:rsid w:val="00FF5F8F"/>
    <w:rsid w:val="00FF66C1"/>
    <w:rsid w:val="00FF70AB"/>
  </w:rsids>
  <m:mathPr>
    <m:mathFont m:val="Cambria Math"/>
    <m:brkBin m:val="before"/>
    <m:brkBinSub m:val="--"/>
    <m:smallFrac/>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93C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MY" w:eastAsia="en-US" w:bidi="ar-SA"/>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1ADA"/>
    <w:pPr>
      <w:spacing w:after="0" w:line="240" w:lineRule="auto"/>
      <w:jc w:val="left"/>
    </w:pPr>
    <w:rPr>
      <w:rFonts w:eastAsiaTheme="minorHAnsi"/>
      <w:kern w:val="2"/>
      <w:sz w:val="22"/>
      <w:szCs w:val="22"/>
      <w:lang w:val="en-AU"/>
      <w14:ligatures w14:val="standardContextual"/>
    </w:rPr>
  </w:style>
  <w:style w:type="paragraph" w:styleId="Heading1">
    <w:name w:val="heading 1"/>
    <w:basedOn w:val="Normal"/>
    <w:next w:val="Normal"/>
    <w:link w:val="Heading1Char"/>
    <w:qFormat/>
    <w:rsid w:val="005D282F"/>
    <w:pPr>
      <w:spacing w:before="300" w:after="40"/>
      <w:outlineLvl w:val="0"/>
    </w:pPr>
    <w:rPr>
      <w:b/>
      <w:smallCaps/>
      <w:color w:val="365F91" w:themeColor="accent1" w:themeShade="BF"/>
      <w:spacing w:val="5"/>
      <w:sz w:val="44"/>
      <w:szCs w:val="32"/>
    </w:rPr>
  </w:style>
  <w:style w:type="paragraph" w:styleId="Heading2">
    <w:name w:val="heading 2"/>
    <w:basedOn w:val="Normal"/>
    <w:next w:val="Normal"/>
    <w:link w:val="Heading2Char"/>
    <w:uiPriority w:val="9"/>
    <w:unhideWhenUsed/>
    <w:qFormat/>
    <w:rsid w:val="005D282F"/>
    <w:pPr>
      <w:tabs>
        <w:tab w:val="num" w:pos="680"/>
      </w:tabs>
      <w:spacing w:before="240" w:after="80"/>
      <w:ind w:left="680" w:hanging="680"/>
      <w:outlineLvl w:val="1"/>
    </w:pPr>
    <w:rPr>
      <w:b/>
      <w:smallCaps/>
      <w:spacing w:val="5"/>
      <w:sz w:val="28"/>
      <w:szCs w:val="28"/>
    </w:rPr>
  </w:style>
  <w:style w:type="paragraph" w:styleId="Heading3">
    <w:name w:val="heading 3"/>
    <w:aliases w:val="Normal + num"/>
    <w:basedOn w:val="Normal"/>
    <w:next w:val="Normal"/>
    <w:link w:val="Heading3Char"/>
    <w:uiPriority w:val="9"/>
    <w:unhideWhenUsed/>
    <w:qFormat/>
    <w:rsid w:val="00877A0E"/>
    <w:pPr>
      <w:tabs>
        <w:tab w:val="num" w:pos="680"/>
      </w:tabs>
      <w:ind w:left="680" w:hanging="680"/>
      <w:outlineLvl w:val="2"/>
    </w:pPr>
    <w:rPr>
      <w:smallCaps/>
      <w:spacing w:val="5"/>
    </w:rPr>
  </w:style>
  <w:style w:type="paragraph" w:styleId="Heading4">
    <w:name w:val="heading 4"/>
    <w:basedOn w:val="Normal"/>
    <w:next w:val="Normal"/>
    <w:link w:val="Heading4Char"/>
    <w:unhideWhenUsed/>
    <w:qFormat/>
    <w:rsid w:val="00877A0E"/>
    <w:pPr>
      <w:tabs>
        <w:tab w:val="num" w:pos="1361"/>
      </w:tabs>
      <w:spacing w:before="240"/>
      <w:ind w:left="1361" w:hanging="681"/>
      <w:outlineLvl w:val="3"/>
    </w:pPr>
    <w:rPr>
      <w:smallCaps/>
      <w:spacing w:val="10"/>
    </w:rPr>
  </w:style>
  <w:style w:type="paragraph" w:styleId="Heading5">
    <w:name w:val="heading 5"/>
    <w:basedOn w:val="Normal"/>
    <w:next w:val="Normal"/>
    <w:link w:val="Heading5Char"/>
    <w:unhideWhenUsed/>
    <w:qFormat/>
    <w:rsid w:val="00877A0E"/>
    <w:pPr>
      <w:tabs>
        <w:tab w:val="num" w:pos="2041"/>
      </w:tabs>
      <w:spacing w:before="200"/>
      <w:ind w:left="2041" w:hanging="680"/>
      <w:outlineLvl w:val="4"/>
    </w:pPr>
    <w:rPr>
      <w:smallCaps/>
      <w:color w:val="943634" w:themeColor="accent2" w:themeShade="BF"/>
      <w:spacing w:val="10"/>
      <w:szCs w:val="26"/>
    </w:rPr>
  </w:style>
  <w:style w:type="paragraph" w:styleId="Heading6">
    <w:name w:val="heading 6"/>
    <w:basedOn w:val="Normal"/>
    <w:next w:val="Normal"/>
    <w:link w:val="Heading6Char"/>
    <w:unhideWhenUsed/>
    <w:qFormat/>
    <w:rsid w:val="00877A0E"/>
    <w:pPr>
      <w:tabs>
        <w:tab w:val="num" w:pos="2722"/>
      </w:tabs>
      <w:ind w:left="2722" w:hanging="681"/>
      <w:outlineLvl w:val="5"/>
    </w:pPr>
    <w:rPr>
      <w:smallCaps/>
      <w:color w:val="C0504D" w:themeColor="accent2"/>
      <w:spacing w:val="5"/>
    </w:rPr>
  </w:style>
  <w:style w:type="paragraph" w:styleId="Heading7">
    <w:name w:val="heading 7"/>
    <w:basedOn w:val="Normal"/>
    <w:next w:val="Normal"/>
    <w:link w:val="Heading7Char"/>
    <w:unhideWhenUsed/>
    <w:qFormat/>
    <w:rsid w:val="00877A0E"/>
    <w:pPr>
      <w:numPr>
        <w:ilvl w:val="6"/>
        <w:numId w:val="5"/>
      </w:numPr>
      <w:outlineLvl w:val="6"/>
    </w:pPr>
    <w:rPr>
      <w:b/>
      <w:smallCaps/>
      <w:color w:val="C0504D" w:themeColor="accent2"/>
      <w:spacing w:val="10"/>
    </w:rPr>
  </w:style>
  <w:style w:type="paragraph" w:styleId="Heading8">
    <w:name w:val="heading 8"/>
    <w:basedOn w:val="Normal"/>
    <w:next w:val="Normal"/>
    <w:link w:val="Heading8Char"/>
    <w:unhideWhenUsed/>
    <w:qFormat/>
    <w:rsid w:val="00877A0E"/>
    <w:pPr>
      <w:numPr>
        <w:ilvl w:val="7"/>
        <w:numId w:val="5"/>
      </w:numPr>
      <w:outlineLvl w:val="7"/>
    </w:pPr>
    <w:rPr>
      <w:b/>
      <w:i/>
      <w:smallCaps/>
      <w:color w:val="943634" w:themeColor="accent2" w:themeShade="BF"/>
    </w:rPr>
  </w:style>
  <w:style w:type="paragraph" w:styleId="Heading9">
    <w:name w:val="heading 9"/>
    <w:basedOn w:val="Normal"/>
    <w:next w:val="Normal"/>
    <w:link w:val="Heading9Char"/>
    <w:unhideWhenUsed/>
    <w:qFormat/>
    <w:rsid w:val="00877A0E"/>
    <w:pPr>
      <w:numPr>
        <w:ilvl w:val="8"/>
        <w:numId w:val="5"/>
      </w:numPr>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877A0E"/>
  </w:style>
  <w:style w:type="character" w:customStyle="1" w:styleId="NoSpacingChar">
    <w:name w:val="No Spacing Char"/>
    <w:basedOn w:val="DefaultParagraphFont"/>
    <w:link w:val="NoSpacing"/>
    <w:uiPriority w:val="1"/>
    <w:rsid w:val="00877A0E"/>
  </w:style>
  <w:style w:type="paragraph" w:styleId="Header">
    <w:name w:val="header"/>
    <w:basedOn w:val="Normal"/>
    <w:link w:val="HeaderChar"/>
    <w:unhideWhenUsed/>
    <w:rsid w:val="009A4E51"/>
    <w:pPr>
      <w:tabs>
        <w:tab w:val="center" w:pos="4513"/>
        <w:tab w:val="right" w:pos="9026"/>
      </w:tabs>
    </w:pPr>
  </w:style>
  <w:style w:type="character" w:customStyle="1" w:styleId="HeaderChar">
    <w:name w:val="Header Char"/>
    <w:basedOn w:val="DefaultParagraphFont"/>
    <w:link w:val="Header"/>
    <w:rsid w:val="009A4E51"/>
    <w:rPr>
      <w:lang w:val="en-AU"/>
    </w:rPr>
  </w:style>
  <w:style w:type="paragraph" w:styleId="Footer">
    <w:name w:val="footer"/>
    <w:basedOn w:val="Normal"/>
    <w:link w:val="FooterChar"/>
    <w:uiPriority w:val="99"/>
    <w:unhideWhenUsed/>
    <w:rsid w:val="009A4E51"/>
    <w:pPr>
      <w:tabs>
        <w:tab w:val="center" w:pos="4513"/>
        <w:tab w:val="right" w:pos="9026"/>
      </w:tabs>
    </w:pPr>
  </w:style>
  <w:style w:type="character" w:customStyle="1" w:styleId="FooterChar">
    <w:name w:val="Footer Char"/>
    <w:basedOn w:val="DefaultParagraphFont"/>
    <w:link w:val="Footer"/>
    <w:uiPriority w:val="99"/>
    <w:rsid w:val="009A4E51"/>
    <w:rPr>
      <w:lang w:val="en-AU"/>
    </w:rPr>
  </w:style>
  <w:style w:type="character" w:customStyle="1" w:styleId="Heading1Char">
    <w:name w:val="Heading 1 Char"/>
    <w:basedOn w:val="DefaultParagraphFont"/>
    <w:link w:val="Heading1"/>
    <w:rsid w:val="005D282F"/>
    <w:rPr>
      <w:b/>
      <w:smallCaps/>
      <w:color w:val="365F91" w:themeColor="accent1" w:themeShade="BF"/>
      <w:spacing w:val="5"/>
      <w:sz w:val="44"/>
      <w:szCs w:val="32"/>
      <w:lang w:val="en-AU"/>
    </w:rPr>
  </w:style>
  <w:style w:type="paragraph" w:styleId="TOCHeading">
    <w:name w:val="TOC Heading"/>
    <w:basedOn w:val="Heading1"/>
    <w:next w:val="Normal"/>
    <w:uiPriority w:val="39"/>
    <w:unhideWhenUsed/>
    <w:qFormat/>
    <w:rsid w:val="00877A0E"/>
    <w:pPr>
      <w:outlineLvl w:val="9"/>
    </w:pPr>
    <w:rPr>
      <w:lang w:bidi="en-US"/>
    </w:rPr>
  </w:style>
  <w:style w:type="character" w:customStyle="1" w:styleId="Heading2Char">
    <w:name w:val="Heading 2 Char"/>
    <w:basedOn w:val="DefaultParagraphFont"/>
    <w:link w:val="Heading2"/>
    <w:uiPriority w:val="9"/>
    <w:rsid w:val="005D282F"/>
    <w:rPr>
      <w:b/>
      <w:smallCaps/>
      <w:spacing w:val="5"/>
      <w:sz w:val="28"/>
      <w:szCs w:val="28"/>
      <w:lang w:val="en-AU"/>
    </w:rPr>
  </w:style>
  <w:style w:type="character" w:customStyle="1" w:styleId="Heading3Char">
    <w:name w:val="Heading 3 Char"/>
    <w:aliases w:val="Normal + num Char"/>
    <w:basedOn w:val="DefaultParagraphFont"/>
    <w:link w:val="Heading3"/>
    <w:uiPriority w:val="9"/>
    <w:rsid w:val="00877A0E"/>
    <w:rPr>
      <w:smallCaps/>
      <w:spacing w:val="5"/>
      <w:sz w:val="24"/>
      <w:szCs w:val="24"/>
      <w:lang w:val="en-AU"/>
    </w:rPr>
  </w:style>
  <w:style w:type="character" w:customStyle="1" w:styleId="Heading4Char">
    <w:name w:val="Heading 4 Char"/>
    <w:basedOn w:val="DefaultParagraphFont"/>
    <w:link w:val="Heading4"/>
    <w:rsid w:val="00877A0E"/>
    <w:rPr>
      <w:smallCaps/>
      <w:spacing w:val="10"/>
      <w:sz w:val="22"/>
      <w:szCs w:val="22"/>
      <w:lang w:val="en-AU"/>
    </w:rPr>
  </w:style>
  <w:style w:type="character" w:customStyle="1" w:styleId="Heading5Char">
    <w:name w:val="Heading 5 Char"/>
    <w:basedOn w:val="DefaultParagraphFont"/>
    <w:link w:val="Heading5"/>
    <w:rsid w:val="00877A0E"/>
    <w:rPr>
      <w:smallCaps/>
      <w:color w:val="943634" w:themeColor="accent2" w:themeShade="BF"/>
      <w:spacing w:val="10"/>
      <w:sz w:val="22"/>
      <w:szCs w:val="26"/>
      <w:lang w:val="en-AU"/>
    </w:rPr>
  </w:style>
  <w:style w:type="character" w:customStyle="1" w:styleId="Heading6Char">
    <w:name w:val="Heading 6 Char"/>
    <w:basedOn w:val="DefaultParagraphFont"/>
    <w:link w:val="Heading6"/>
    <w:rsid w:val="00877A0E"/>
    <w:rPr>
      <w:smallCaps/>
      <w:color w:val="C0504D" w:themeColor="accent2"/>
      <w:spacing w:val="5"/>
      <w:sz w:val="22"/>
      <w:lang w:val="en-AU"/>
    </w:rPr>
  </w:style>
  <w:style w:type="character" w:customStyle="1" w:styleId="Heading7Char">
    <w:name w:val="Heading 7 Char"/>
    <w:basedOn w:val="DefaultParagraphFont"/>
    <w:link w:val="Heading7"/>
    <w:rsid w:val="00877A0E"/>
    <w:rPr>
      <w:rFonts w:eastAsiaTheme="minorHAnsi"/>
      <w:b/>
      <w:smallCaps/>
      <w:color w:val="C0504D" w:themeColor="accent2"/>
      <w:spacing w:val="10"/>
      <w:kern w:val="2"/>
      <w:sz w:val="22"/>
      <w:szCs w:val="22"/>
      <w:lang w:val="en-AU"/>
      <w14:ligatures w14:val="standardContextual"/>
    </w:rPr>
  </w:style>
  <w:style w:type="character" w:customStyle="1" w:styleId="Heading8Char">
    <w:name w:val="Heading 8 Char"/>
    <w:basedOn w:val="DefaultParagraphFont"/>
    <w:link w:val="Heading8"/>
    <w:rsid w:val="00877A0E"/>
    <w:rPr>
      <w:rFonts w:eastAsiaTheme="minorHAnsi"/>
      <w:b/>
      <w:i/>
      <w:smallCaps/>
      <w:color w:val="943634" w:themeColor="accent2" w:themeShade="BF"/>
      <w:kern w:val="2"/>
      <w:sz w:val="22"/>
      <w:szCs w:val="22"/>
      <w:lang w:val="en-AU"/>
      <w14:ligatures w14:val="standardContextual"/>
    </w:rPr>
  </w:style>
  <w:style w:type="character" w:customStyle="1" w:styleId="Heading9Char">
    <w:name w:val="Heading 9 Char"/>
    <w:basedOn w:val="DefaultParagraphFont"/>
    <w:link w:val="Heading9"/>
    <w:rsid w:val="00877A0E"/>
    <w:rPr>
      <w:rFonts w:eastAsiaTheme="minorHAnsi"/>
      <w:b/>
      <w:i/>
      <w:smallCaps/>
      <w:color w:val="622423" w:themeColor="accent2" w:themeShade="7F"/>
      <w:kern w:val="2"/>
      <w:sz w:val="22"/>
      <w:szCs w:val="22"/>
      <w:lang w:val="en-AU"/>
      <w14:ligatures w14:val="standardContextual"/>
    </w:rPr>
  </w:style>
  <w:style w:type="paragraph" w:styleId="Title">
    <w:name w:val="Title"/>
    <w:basedOn w:val="Normal"/>
    <w:next w:val="Normal"/>
    <w:link w:val="TitleChar"/>
    <w:qFormat/>
    <w:rsid w:val="00877A0E"/>
    <w:pPr>
      <w:pBdr>
        <w:top w:val="single" w:sz="12" w:space="1" w:color="C0504D" w:themeColor="accent2"/>
      </w:pBdr>
      <w:jc w:val="right"/>
    </w:pPr>
    <w:rPr>
      <w:smallCaps/>
      <w:sz w:val="48"/>
      <w:szCs w:val="48"/>
    </w:rPr>
  </w:style>
  <w:style w:type="character" w:customStyle="1" w:styleId="TitleChar">
    <w:name w:val="Title Char"/>
    <w:basedOn w:val="DefaultParagraphFont"/>
    <w:link w:val="Title"/>
    <w:uiPriority w:val="10"/>
    <w:rsid w:val="00877A0E"/>
    <w:rPr>
      <w:smallCaps/>
      <w:sz w:val="48"/>
      <w:szCs w:val="48"/>
    </w:rPr>
  </w:style>
  <w:style w:type="paragraph" w:styleId="Subtitle">
    <w:name w:val="Subtitle"/>
    <w:basedOn w:val="Normal"/>
    <w:next w:val="Normal"/>
    <w:link w:val="SubtitleChar"/>
    <w:qFormat/>
    <w:rsid w:val="00877A0E"/>
    <w:pPr>
      <w:spacing w:after="720"/>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77A0E"/>
    <w:rPr>
      <w:rFonts w:asciiTheme="majorHAnsi" w:eastAsiaTheme="majorEastAsia" w:hAnsiTheme="majorHAnsi" w:cstheme="majorBidi"/>
      <w:szCs w:val="22"/>
    </w:rPr>
  </w:style>
  <w:style w:type="character" w:styleId="Strong">
    <w:name w:val="Strong"/>
    <w:uiPriority w:val="22"/>
    <w:qFormat/>
    <w:rsid w:val="00877A0E"/>
    <w:rPr>
      <w:b/>
      <w:color w:val="C0504D" w:themeColor="accent2"/>
    </w:rPr>
  </w:style>
  <w:style w:type="character" w:styleId="Emphasis">
    <w:name w:val="Emphasis"/>
    <w:qFormat/>
    <w:rsid w:val="00877A0E"/>
    <w:rPr>
      <w:b/>
      <w:i/>
      <w:spacing w:val="10"/>
    </w:rPr>
  </w:style>
  <w:style w:type="paragraph" w:styleId="ListParagraph">
    <w:name w:val="List Paragraph"/>
    <w:aliases w:val="numbered a,c,Bullet List"/>
    <w:basedOn w:val="Normal"/>
    <w:link w:val="ListParagraphChar"/>
    <w:uiPriority w:val="34"/>
    <w:qFormat/>
    <w:rsid w:val="00877A0E"/>
    <w:pPr>
      <w:ind w:left="720"/>
      <w:contextualSpacing/>
    </w:pPr>
  </w:style>
  <w:style w:type="paragraph" w:styleId="Quote">
    <w:name w:val="Quote"/>
    <w:basedOn w:val="Normal"/>
    <w:next w:val="Normal"/>
    <w:link w:val="QuoteChar"/>
    <w:uiPriority w:val="29"/>
    <w:qFormat/>
    <w:rsid w:val="00877A0E"/>
    <w:rPr>
      <w:i/>
    </w:rPr>
  </w:style>
  <w:style w:type="character" w:customStyle="1" w:styleId="QuoteChar">
    <w:name w:val="Quote Char"/>
    <w:basedOn w:val="DefaultParagraphFont"/>
    <w:link w:val="Quote"/>
    <w:uiPriority w:val="29"/>
    <w:rsid w:val="00877A0E"/>
    <w:rPr>
      <w:i/>
    </w:rPr>
  </w:style>
  <w:style w:type="paragraph" w:styleId="IntenseQuote">
    <w:name w:val="Intense Quote"/>
    <w:basedOn w:val="Normal"/>
    <w:next w:val="Normal"/>
    <w:link w:val="IntenseQuoteChar"/>
    <w:uiPriority w:val="30"/>
    <w:qFormat/>
    <w:rsid w:val="00877A0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77A0E"/>
    <w:rPr>
      <w:b/>
      <w:i/>
      <w:color w:val="FFFFFF" w:themeColor="background1"/>
      <w:shd w:val="clear" w:color="auto" w:fill="C0504D" w:themeFill="accent2"/>
    </w:rPr>
  </w:style>
  <w:style w:type="character" w:styleId="SubtleEmphasis">
    <w:name w:val="Subtle Emphasis"/>
    <w:uiPriority w:val="19"/>
    <w:qFormat/>
    <w:rsid w:val="00877A0E"/>
    <w:rPr>
      <w:i/>
    </w:rPr>
  </w:style>
  <w:style w:type="character" w:styleId="IntenseEmphasis">
    <w:name w:val="Intense Emphasis"/>
    <w:uiPriority w:val="21"/>
    <w:qFormat/>
    <w:rsid w:val="00877A0E"/>
    <w:rPr>
      <w:b/>
      <w:i/>
      <w:color w:val="C0504D" w:themeColor="accent2"/>
      <w:spacing w:val="10"/>
    </w:rPr>
  </w:style>
  <w:style w:type="character" w:styleId="SubtleReference">
    <w:name w:val="Subtle Reference"/>
    <w:uiPriority w:val="31"/>
    <w:qFormat/>
    <w:rsid w:val="00877A0E"/>
    <w:rPr>
      <w:b/>
    </w:rPr>
  </w:style>
  <w:style w:type="character" w:styleId="IntenseReference">
    <w:name w:val="Intense Reference"/>
    <w:uiPriority w:val="32"/>
    <w:qFormat/>
    <w:rsid w:val="00877A0E"/>
    <w:rPr>
      <w:b/>
      <w:bCs/>
      <w:smallCaps/>
      <w:spacing w:val="5"/>
      <w:sz w:val="22"/>
      <w:szCs w:val="22"/>
      <w:u w:val="single"/>
    </w:rPr>
  </w:style>
  <w:style w:type="paragraph" w:styleId="TOC1">
    <w:name w:val="toc 1"/>
    <w:basedOn w:val="Normal"/>
    <w:next w:val="Normal"/>
    <w:autoRedefine/>
    <w:uiPriority w:val="39"/>
    <w:unhideWhenUsed/>
    <w:rsid w:val="008F7AC1"/>
    <w:pPr>
      <w:tabs>
        <w:tab w:val="left" w:pos="660"/>
        <w:tab w:val="right" w:leader="dot" w:pos="8720"/>
      </w:tabs>
      <w:spacing w:after="100"/>
    </w:pPr>
  </w:style>
  <w:style w:type="paragraph" w:styleId="TOC2">
    <w:name w:val="toc 2"/>
    <w:basedOn w:val="Normal"/>
    <w:next w:val="Normal"/>
    <w:autoRedefine/>
    <w:uiPriority w:val="39"/>
    <w:unhideWhenUsed/>
    <w:rsid w:val="00ED49F4"/>
    <w:pPr>
      <w:tabs>
        <w:tab w:val="left" w:pos="660"/>
        <w:tab w:val="right" w:leader="dot" w:pos="9060"/>
      </w:tabs>
      <w:spacing w:after="100"/>
      <w:ind w:left="200"/>
    </w:pPr>
  </w:style>
  <w:style w:type="character" w:styleId="Hyperlink">
    <w:name w:val="Hyperlink"/>
    <w:basedOn w:val="DefaultParagraphFont"/>
    <w:uiPriority w:val="99"/>
    <w:unhideWhenUsed/>
    <w:rsid w:val="005B0F2F"/>
    <w:rPr>
      <w:color w:val="0000FF" w:themeColor="hyperlink"/>
      <w:u w:val="single"/>
    </w:rPr>
  </w:style>
  <w:style w:type="table" w:styleId="TableGrid">
    <w:name w:val="Table Grid"/>
    <w:basedOn w:val="TableNormal"/>
    <w:uiPriority w:val="39"/>
    <w:rsid w:val="00597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TextIndent">
    <w:name w:val="Norm Text Indent"/>
    <w:basedOn w:val="Normal"/>
    <w:rsid w:val="00A37902"/>
    <w:pPr>
      <w:spacing w:before="80"/>
      <w:ind w:left="360"/>
    </w:pPr>
    <w:rPr>
      <w:rFonts w:ascii="Arial" w:hAnsi="Arial"/>
    </w:rPr>
  </w:style>
  <w:style w:type="table" w:customStyle="1" w:styleId="TableGrid1">
    <w:name w:val="Table Grid1"/>
    <w:basedOn w:val="TableNormal"/>
    <w:next w:val="TableGrid"/>
    <w:rsid w:val="00205C46"/>
    <w:pPr>
      <w:spacing w:after="0" w:line="260" w:lineRule="atLeast"/>
      <w:jc w:val="left"/>
    </w:pPr>
    <w:rPr>
      <w:rFonts w:ascii="Times New Roman" w:eastAsia="Times New Roman" w:hAnsi="Times New Roman" w:cs="Times New Roman"/>
      <w:lang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l,list no space after,(NECG) List Bullet,*List Bullet,lb,l1,ME Legal 1"/>
    <w:basedOn w:val="Normal"/>
    <w:link w:val="ListBulletChar"/>
    <w:unhideWhenUsed/>
    <w:qFormat/>
    <w:rsid w:val="00280696"/>
    <w:pPr>
      <w:numPr>
        <w:numId w:val="1"/>
      </w:numPr>
      <w:tabs>
        <w:tab w:val="clear" w:pos="340"/>
        <w:tab w:val="num" w:pos="360"/>
      </w:tabs>
      <w:spacing w:before="130" w:after="130"/>
      <w:ind w:left="0" w:firstLine="0"/>
    </w:pPr>
  </w:style>
  <w:style w:type="paragraph" w:styleId="ListBullet2">
    <w:name w:val="List Bullet 2"/>
    <w:basedOn w:val="Normal"/>
    <w:semiHidden/>
    <w:unhideWhenUsed/>
    <w:rsid w:val="00A02845"/>
    <w:pPr>
      <w:numPr>
        <w:numId w:val="2"/>
      </w:numPr>
      <w:contextualSpacing/>
    </w:pPr>
  </w:style>
  <w:style w:type="paragraph" w:customStyle="1" w:styleId="Pa14">
    <w:name w:val="Pa14"/>
    <w:basedOn w:val="Normal"/>
    <w:next w:val="Normal"/>
    <w:rsid w:val="00A02845"/>
    <w:pPr>
      <w:autoSpaceDE w:val="0"/>
      <w:autoSpaceDN w:val="0"/>
      <w:adjustRightInd w:val="0"/>
      <w:spacing w:line="231" w:lineRule="atLeast"/>
    </w:pPr>
    <w:rPr>
      <w:rFonts w:ascii="Univers 47 CondensedLight" w:hAnsi="Univers 47 CondensedLight"/>
      <w:lang w:eastAsia="en-AU"/>
    </w:rPr>
  </w:style>
  <w:style w:type="character" w:styleId="FollowedHyperlink">
    <w:name w:val="FollowedHyperlink"/>
    <w:basedOn w:val="DefaultParagraphFont"/>
    <w:semiHidden/>
    <w:unhideWhenUsed/>
    <w:rsid w:val="00E54DEF"/>
    <w:rPr>
      <w:color w:val="800080" w:themeColor="followedHyperlink"/>
      <w:u w:val="single"/>
    </w:rPr>
  </w:style>
  <w:style w:type="paragraph" w:styleId="FootnoteText">
    <w:name w:val="footnote text"/>
    <w:basedOn w:val="Normal"/>
    <w:link w:val="FootnoteTextChar"/>
    <w:uiPriority w:val="99"/>
    <w:rsid w:val="00B05610"/>
    <w:pPr>
      <w:spacing w:line="260" w:lineRule="atLeast"/>
    </w:pPr>
    <w:rPr>
      <w:rFonts w:ascii="Univers 45 Light" w:hAnsi="Univers 45 Light"/>
      <w:sz w:val="16"/>
    </w:rPr>
  </w:style>
  <w:style w:type="character" w:customStyle="1" w:styleId="FootnoteTextChar">
    <w:name w:val="Footnote Text Char"/>
    <w:basedOn w:val="DefaultParagraphFont"/>
    <w:link w:val="FootnoteText"/>
    <w:uiPriority w:val="99"/>
    <w:rsid w:val="00B05610"/>
    <w:rPr>
      <w:rFonts w:ascii="Univers 45 Light" w:eastAsia="Times New Roman" w:hAnsi="Univers 45 Light" w:cs="Times New Roman"/>
      <w:sz w:val="16"/>
      <w:szCs w:val="22"/>
      <w:lang w:val="en-AU"/>
    </w:rPr>
  </w:style>
  <w:style w:type="paragraph" w:customStyle="1" w:styleId="Resumedetails">
    <w:name w:val="Resume details"/>
    <w:basedOn w:val="Normal"/>
    <w:next w:val="Normal"/>
    <w:link w:val="ResumedetailsChar"/>
    <w:rsid w:val="00690F3B"/>
    <w:pPr>
      <w:tabs>
        <w:tab w:val="left" w:pos="3600"/>
      </w:tabs>
    </w:pPr>
    <w:rPr>
      <w:rFonts w:ascii="Univers 55" w:hAnsi="Univers 55"/>
      <w:bCs/>
      <w:color w:val="333333"/>
      <w:sz w:val="16"/>
      <w:lang w:val="en-US"/>
    </w:rPr>
  </w:style>
  <w:style w:type="paragraph" w:customStyle="1" w:styleId="TableHeading">
    <w:name w:val="Table Heading"/>
    <w:basedOn w:val="Normal"/>
    <w:link w:val="TableHeadingChar"/>
    <w:rsid w:val="00690F3B"/>
    <w:pPr>
      <w:spacing w:line="280" w:lineRule="atLeast"/>
    </w:pPr>
    <w:rPr>
      <w:rFonts w:ascii="Univers 45 Light" w:hAnsi="Univers 45 Light"/>
      <w:color w:val="FFFFFF"/>
      <w:sz w:val="21"/>
    </w:rPr>
  </w:style>
  <w:style w:type="paragraph" w:customStyle="1" w:styleId="TableHeading2">
    <w:name w:val="Table Heading 2"/>
    <w:basedOn w:val="Heading2"/>
    <w:rsid w:val="00690F3B"/>
    <w:pPr>
      <w:keepNext/>
      <w:spacing w:before="60" w:after="120"/>
      <w:outlineLvl w:val="9"/>
    </w:pPr>
    <w:rPr>
      <w:rFonts w:ascii="Univers 45 Light" w:hAnsi="Univers 45 Light"/>
      <w:b w:val="0"/>
      <w:bCs/>
      <w:smallCaps w:val="0"/>
      <w:color w:val="0C2D83"/>
      <w:spacing w:val="0"/>
      <w:sz w:val="20"/>
      <w:szCs w:val="24"/>
    </w:rPr>
  </w:style>
  <w:style w:type="character" w:styleId="FootnoteReference">
    <w:name w:val="footnote reference"/>
    <w:basedOn w:val="DefaultParagraphFont"/>
    <w:uiPriority w:val="99"/>
    <w:semiHidden/>
    <w:rsid w:val="00690F3B"/>
    <w:rPr>
      <w:vertAlign w:val="superscript"/>
    </w:rPr>
  </w:style>
  <w:style w:type="character" w:customStyle="1" w:styleId="TableHeadingChar">
    <w:name w:val="Table Heading Char"/>
    <w:basedOn w:val="DefaultParagraphFont"/>
    <w:link w:val="TableHeading"/>
    <w:rsid w:val="00690F3B"/>
    <w:rPr>
      <w:rFonts w:ascii="Univers 45 Light" w:eastAsia="Times New Roman" w:hAnsi="Univers 45 Light" w:cs="Times New Roman"/>
      <w:color w:val="FFFFFF"/>
      <w:sz w:val="21"/>
      <w:szCs w:val="22"/>
      <w:lang w:val="en-AU"/>
    </w:rPr>
  </w:style>
  <w:style w:type="character" w:customStyle="1" w:styleId="ResumedetailsChar">
    <w:name w:val="Resume details Char"/>
    <w:basedOn w:val="DefaultParagraphFont"/>
    <w:link w:val="Resumedetails"/>
    <w:rsid w:val="00690F3B"/>
    <w:rPr>
      <w:rFonts w:ascii="Univers 55" w:eastAsia="Times New Roman" w:hAnsi="Univers 55" w:cs="Times New Roman"/>
      <w:bCs/>
      <w:color w:val="333333"/>
      <w:sz w:val="16"/>
      <w:szCs w:val="22"/>
      <w:lang w:val="en-US"/>
    </w:rPr>
  </w:style>
  <w:style w:type="paragraph" w:customStyle="1" w:styleId="StyleListBulletllistnospaceafterNECGListBulletListBu1">
    <w:name w:val="Style List Bulletllist no space after(NECG) List Bullet*List Bu...1"/>
    <w:basedOn w:val="ListBullet"/>
    <w:rsid w:val="00690F3B"/>
    <w:pPr>
      <w:spacing w:before="96" w:after="96" w:line="260" w:lineRule="atLeast"/>
      <w:ind w:left="360" w:hanging="360"/>
    </w:pPr>
    <w:rPr>
      <w:rFonts w:ascii="Univers 45 Light" w:hAnsi="Univers 45 Light"/>
      <w:color w:val="000000"/>
      <w:sz w:val="21"/>
    </w:rPr>
  </w:style>
  <w:style w:type="table" w:customStyle="1" w:styleId="TableGrid2">
    <w:name w:val="Table Grid2"/>
    <w:basedOn w:val="TableNormal"/>
    <w:next w:val="TableGrid"/>
    <w:rsid w:val="005D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84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0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0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17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280696"/>
    <w:pPr>
      <w:spacing w:before="40" w:after="80"/>
    </w:pPr>
    <w:rPr>
      <w:rFonts w:ascii="Arial" w:hAnsi="Arial"/>
    </w:rPr>
  </w:style>
  <w:style w:type="character" w:customStyle="1" w:styleId="Optional">
    <w:name w:val="Optional"/>
    <w:rsid w:val="00DB695E"/>
    <w:rPr>
      <w:color w:val="0000FF"/>
    </w:rPr>
  </w:style>
  <w:style w:type="table" w:customStyle="1" w:styleId="TableGrid7">
    <w:name w:val="Table Grid7"/>
    <w:basedOn w:val="TableNormal"/>
    <w:next w:val="TableGrid"/>
    <w:rsid w:val="003E6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E5B62"/>
    <w:pPr>
      <w:spacing w:after="100"/>
      <w:ind w:left="400"/>
    </w:pPr>
  </w:style>
  <w:style w:type="paragraph" w:customStyle="1" w:styleId="NormText">
    <w:name w:val="Norm Text"/>
    <w:basedOn w:val="Normal"/>
    <w:link w:val="NormTextChar"/>
    <w:rsid w:val="00280696"/>
    <w:pPr>
      <w:spacing w:before="80"/>
    </w:pPr>
    <w:rPr>
      <w:rFonts w:ascii="Arial" w:hAnsi="Arial"/>
    </w:rPr>
  </w:style>
  <w:style w:type="character" w:customStyle="1" w:styleId="NormTextChar">
    <w:name w:val="Norm Text Char"/>
    <w:link w:val="NormText"/>
    <w:locked/>
    <w:rsid w:val="00C40D33"/>
    <w:rPr>
      <w:rFonts w:ascii="Arial" w:eastAsia="Times New Roman" w:hAnsi="Arial" w:cs="Times New Roman"/>
      <w:sz w:val="24"/>
      <w:szCs w:val="24"/>
      <w:lang w:val="en-AU"/>
    </w:rPr>
  </w:style>
  <w:style w:type="table" w:customStyle="1" w:styleId="TableGrid8">
    <w:name w:val="Table Grid8"/>
    <w:basedOn w:val="TableNormal"/>
    <w:next w:val="TableGrid"/>
    <w:rsid w:val="006C7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6C7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5215D8"/>
    <w:pPr>
      <w:spacing w:after="0" w:line="240" w:lineRule="auto"/>
      <w:jc w:val="left"/>
    </w:pPr>
    <w:rPr>
      <w:rFonts w:ascii="Arial" w:eastAsia="Times New Roman" w:hAnsi="Arial" w:cs="Times New Roman"/>
      <w:lang w:val="en-AU" w:eastAsia="en-AU"/>
    </w:rPr>
    <w:tblPr>
      <w:tblInd w:w="1134" w:type="dxa"/>
    </w:tblPr>
  </w:style>
  <w:style w:type="table" w:customStyle="1" w:styleId="TableGrid11">
    <w:name w:val="Table Grid11"/>
    <w:basedOn w:val="TableNormal"/>
    <w:next w:val="TableGrid"/>
    <w:uiPriority w:val="59"/>
    <w:rsid w:val="005215D8"/>
    <w:pPr>
      <w:spacing w:after="0" w:line="240" w:lineRule="auto"/>
      <w:jc w:val="left"/>
    </w:pPr>
    <w:rPr>
      <w:rFonts w:ascii="Times New Roman" w:eastAsia="Times New Roman" w:hAnsi="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lphabet-2">
    <w:name w:val="list alphabet- 2"/>
    <w:basedOn w:val="Normal"/>
    <w:uiPriority w:val="99"/>
    <w:rsid w:val="005215D8"/>
    <w:pPr>
      <w:widowControl w:val="0"/>
      <w:numPr>
        <w:numId w:val="3"/>
      </w:numPr>
      <w:tabs>
        <w:tab w:val="left" w:pos="283"/>
      </w:tabs>
      <w:suppressAutoHyphens/>
      <w:autoSpaceDE w:val="0"/>
      <w:autoSpaceDN w:val="0"/>
      <w:adjustRightInd w:val="0"/>
      <w:spacing w:after="80" w:line="260" w:lineRule="atLeast"/>
      <w:ind w:left="1644"/>
    </w:pPr>
    <w:rPr>
      <w:rFonts w:ascii="Arial" w:hAnsi="Arial" w:cs="MuseoSans-100"/>
      <w:color w:val="53534A"/>
      <w:lang w:val="en-GB"/>
    </w:rPr>
  </w:style>
  <w:style w:type="paragraph" w:customStyle="1" w:styleId="ScheduleHeading">
    <w:name w:val="Schedule Heading"/>
    <w:next w:val="ScheduleLevel1"/>
    <w:uiPriority w:val="99"/>
    <w:rsid w:val="00D6523F"/>
    <w:pPr>
      <w:keepNext/>
      <w:pageBreakBefore/>
      <w:numPr>
        <w:numId w:val="4"/>
      </w:numPr>
      <w:shd w:val="clear" w:color="auto" w:fill="000000"/>
      <w:spacing w:after="140" w:line="280" w:lineRule="atLeast"/>
      <w:jc w:val="left"/>
    </w:pPr>
    <w:rPr>
      <w:rFonts w:ascii="Arial" w:eastAsia="Times New Roman" w:hAnsi="Arial" w:cs="Arial"/>
      <w:b/>
      <w:caps/>
      <w:lang w:val="en-US" w:eastAsia="en-AU"/>
    </w:rPr>
  </w:style>
  <w:style w:type="paragraph" w:customStyle="1" w:styleId="ScheduleLevel1">
    <w:name w:val="Schedule Level 1"/>
    <w:next w:val="Normal"/>
    <w:uiPriority w:val="99"/>
    <w:rsid w:val="00D6523F"/>
    <w:pPr>
      <w:keepNext/>
      <w:numPr>
        <w:ilvl w:val="1"/>
        <w:numId w:val="4"/>
      </w:numPr>
      <w:pBdr>
        <w:bottom w:val="single" w:sz="2" w:space="1" w:color="auto"/>
      </w:pBdr>
      <w:spacing w:before="200" w:after="140" w:line="280" w:lineRule="atLeast"/>
      <w:jc w:val="left"/>
    </w:pPr>
    <w:rPr>
      <w:rFonts w:ascii="Arial" w:eastAsia="Times New Roman" w:hAnsi="Arial" w:cs="Arial"/>
      <w:b/>
      <w:sz w:val="22"/>
      <w:szCs w:val="22"/>
      <w:lang w:val="en-US" w:eastAsia="en-AU"/>
    </w:rPr>
  </w:style>
  <w:style w:type="table" w:customStyle="1" w:styleId="TableGrid2111">
    <w:name w:val="Table Grid2111"/>
    <w:basedOn w:val="TableNormal"/>
    <w:next w:val="TableGrid"/>
    <w:rsid w:val="006A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EB157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086A62"/>
  </w:style>
  <w:style w:type="paragraph" w:customStyle="1" w:styleId="MELegal2">
    <w:name w:val="ME Legal 2"/>
    <w:aliases w:val="l2"/>
    <w:basedOn w:val="Normal"/>
    <w:next w:val="Normal"/>
    <w:link w:val="MELegal2Char"/>
    <w:rsid w:val="00086A62"/>
    <w:pPr>
      <w:keepNext/>
      <w:tabs>
        <w:tab w:val="num" w:pos="680"/>
      </w:tabs>
      <w:spacing w:before="60" w:after="60" w:line="280" w:lineRule="atLeast"/>
      <w:ind w:left="680" w:hanging="680"/>
      <w:outlineLvl w:val="1"/>
    </w:pPr>
    <w:rPr>
      <w:rFonts w:ascii="Arial" w:hAnsi="Arial" w:cs="Angsana New"/>
      <w:b/>
      <w:bCs/>
      <w:w w:val="95"/>
      <w:lang w:eastAsia="zh-CN" w:bidi="th-TH"/>
    </w:rPr>
  </w:style>
  <w:style w:type="paragraph" w:customStyle="1" w:styleId="MELegal3">
    <w:name w:val="ME Legal 3"/>
    <w:aliases w:val="l3"/>
    <w:basedOn w:val="Normal"/>
    <w:rsid w:val="00086A62"/>
    <w:pPr>
      <w:tabs>
        <w:tab w:val="num" w:pos="1361"/>
      </w:tabs>
      <w:spacing w:after="140" w:line="280" w:lineRule="atLeast"/>
      <w:ind w:left="1361" w:hanging="681"/>
      <w:outlineLvl w:val="2"/>
    </w:pPr>
    <w:rPr>
      <w:rFonts w:cs="Angsana New"/>
      <w:lang w:eastAsia="zh-CN" w:bidi="th-TH"/>
    </w:rPr>
  </w:style>
  <w:style w:type="paragraph" w:customStyle="1" w:styleId="MELegal4">
    <w:name w:val="ME Legal 4"/>
    <w:aliases w:val="l4"/>
    <w:basedOn w:val="Normal"/>
    <w:rsid w:val="00086A62"/>
    <w:pPr>
      <w:tabs>
        <w:tab w:val="num" w:pos="2098"/>
      </w:tabs>
      <w:spacing w:after="140" w:line="280" w:lineRule="atLeast"/>
      <w:ind w:left="2098" w:hanging="680"/>
      <w:outlineLvl w:val="3"/>
    </w:pPr>
    <w:rPr>
      <w:rFonts w:cs="Angsana New"/>
      <w:lang w:eastAsia="zh-CN" w:bidi="th-TH"/>
    </w:rPr>
  </w:style>
  <w:style w:type="paragraph" w:customStyle="1" w:styleId="MELegal5">
    <w:name w:val="ME Legal 5"/>
    <w:aliases w:val="l5"/>
    <w:basedOn w:val="Normal"/>
    <w:rsid w:val="00086A62"/>
    <w:pPr>
      <w:tabs>
        <w:tab w:val="num" w:pos="2722"/>
      </w:tabs>
      <w:spacing w:after="140" w:line="280" w:lineRule="atLeast"/>
      <w:ind w:left="2722" w:hanging="681"/>
      <w:outlineLvl w:val="4"/>
    </w:pPr>
    <w:rPr>
      <w:rFonts w:cs="Angsana New"/>
      <w:lang w:eastAsia="zh-CN" w:bidi="th-TH"/>
    </w:rPr>
  </w:style>
  <w:style w:type="paragraph" w:customStyle="1" w:styleId="MELegal6">
    <w:name w:val="ME Legal 6"/>
    <w:basedOn w:val="Normal"/>
    <w:rsid w:val="00086A62"/>
    <w:pPr>
      <w:tabs>
        <w:tab w:val="num" w:pos="3402"/>
      </w:tabs>
      <w:spacing w:after="140" w:line="280" w:lineRule="atLeast"/>
      <w:ind w:left="3402" w:hanging="680"/>
      <w:outlineLvl w:val="5"/>
    </w:pPr>
    <w:rPr>
      <w:rFonts w:cs="Angsana New"/>
      <w:lang w:eastAsia="zh-CN" w:bidi="th-TH"/>
    </w:rPr>
  </w:style>
  <w:style w:type="character" w:styleId="PageNumber">
    <w:name w:val="page number"/>
    <w:basedOn w:val="DefaultParagraphFont"/>
    <w:semiHidden/>
    <w:rsid w:val="00086A62"/>
  </w:style>
  <w:style w:type="paragraph" w:customStyle="1" w:styleId="ScheduleL1">
    <w:name w:val="Schedule L1"/>
    <w:basedOn w:val="Normal"/>
    <w:next w:val="Normal"/>
    <w:rsid w:val="00086A62"/>
    <w:pPr>
      <w:numPr>
        <w:numId w:val="5"/>
      </w:numPr>
      <w:pBdr>
        <w:bottom w:val="single" w:sz="4" w:space="1" w:color="auto"/>
      </w:pBdr>
      <w:spacing w:before="140" w:after="480" w:line="480" w:lineRule="exact"/>
      <w:outlineLvl w:val="0"/>
    </w:pPr>
    <w:rPr>
      <w:rFonts w:ascii="Arial" w:hAnsi="Arial" w:cs="Angsana New"/>
      <w:spacing w:val="-10"/>
      <w:w w:val="95"/>
      <w:sz w:val="48"/>
      <w:szCs w:val="48"/>
      <w:lang w:eastAsia="zh-CN" w:bidi="th-TH"/>
    </w:rPr>
  </w:style>
  <w:style w:type="paragraph" w:customStyle="1" w:styleId="ScheduleL2">
    <w:name w:val="Schedule L2"/>
    <w:basedOn w:val="Normal"/>
    <w:next w:val="Normal"/>
    <w:link w:val="ScheduleL2Char"/>
    <w:rsid w:val="00086A62"/>
    <w:pPr>
      <w:keepNext/>
      <w:numPr>
        <w:ilvl w:val="1"/>
        <w:numId w:val="5"/>
      </w:numPr>
      <w:spacing w:before="280" w:after="140" w:line="280" w:lineRule="atLeast"/>
      <w:outlineLvl w:val="1"/>
    </w:pPr>
    <w:rPr>
      <w:rFonts w:ascii="Arial" w:hAnsi="Arial" w:cs="Angsana New"/>
      <w:spacing w:val="-10"/>
      <w:w w:val="95"/>
      <w:sz w:val="32"/>
      <w:szCs w:val="32"/>
      <w:lang w:eastAsia="zh-CN" w:bidi="th-TH"/>
    </w:rPr>
  </w:style>
  <w:style w:type="paragraph" w:customStyle="1" w:styleId="ScheduleL3">
    <w:name w:val="Schedule L3"/>
    <w:basedOn w:val="Normal"/>
    <w:next w:val="Normal"/>
    <w:rsid w:val="00086A62"/>
    <w:pPr>
      <w:keepNext/>
      <w:numPr>
        <w:ilvl w:val="2"/>
        <w:numId w:val="5"/>
      </w:numPr>
      <w:tabs>
        <w:tab w:val="clear" w:pos="680"/>
      </w:tabs>
      <w:spacing w:before="60" w:after="60" w:line="280" w:lineRule="atLeast"/>
      <w:outlineLvl w:val="2"/>
    </w:pPr>
    <w:rPr>
      <w:rFonts w:ascii="Arial" w:hAnsi="Arial" w:cs="Angsana New"/>
      <w:b/>
      <w:bCs/>
      <w:w w:val="95"/>
      <w:lang w:eastAsia="zh-CN" w:bidi="th-TH"/>
    </w:rPr>
  </w:style>
  <w:style w:type="paragraph" w:customStyle="1" w:styleId="ScheduleL4">
    <w:name w:val="Schedule L4"/>
    <w:basedOn w:val="Normal"/>
    <w:rsid w:val="00086A62"/>
    <w:pPr>
      <w:numPr>
        <w:ilvl w:val="3"/>
        <w:numId w:val="5"/>
      </w:numPr>
      <w:spacing w:after="140" w:line="280" w:lineRule="atLeast"/>
      <w:outlineLvl w:val="3"/>
    </w:pPr>
    <w:rPr>
      <w:rFonts w:cs="Angsana New"/>
      <w:lang w:eastAsia="zh-CN" w:bidi="th-TH"/>
    </w:rPr>
  </w:style>
  <w:style w:type="paragraph" w:customStyle="1" w:styleId="ScheduleL5">
    <w:name w:val="Schedule L5"/>
    <w:basedOn w:val="Normal"/>
    <w:rsid w:val="00086A62"/>
    <w:pPr>
      <w:numPr>
        <w:ilvl w:val="4"/>
        <w:numId w:val="5"/>
      </w:numPr>
      <w:tabs>
        <w:tab w:val="clear" w:pos="2041"/>
      </w:tabs>
      <w:spacing w:after="140" w:line="280" w:lineRule="atLeast"/>
      <w:outlineLvl w:val="4"/>
    </w:pPr>
    <w:rPr>
      <w:rFonts w:cs="Angsana New"/>
      <w:lang w:eastAsia="zh-CN" w:bidi="th-TH"/>
    </w:rPr>
  </w:style>
  <w:style w:type="paragraph" w:customStyle="1" w:styleId="ScheduleL6">
    <w:name w:val="Schedule L6"/>
    <w:basedOn w:val="Normal"/>
    <w:rsid w:val="00086A62"/>
    <w:pPr>
      <w:numPr>
        <w:ilvl w:val="5"/>
        <w:numId w:val="5"/>
      </w:numPr>
      <w:tabs>
        <w:tab w:val="clear" w:pos="2722"/>
      </w:tabs>
      <w:spacing w:after="140" w:line="280" w:lineRule="atLeast"/>
      <w:outlineLvl w:val="5"/>
    </w:pPr>
    <w:rPr>
      <w:rFonts w:cs="Angsana New"/>
      <w:lang w:eastAsia="zh-CN" w:bidi="th-TH"/>
    </w:rPr>
  </w:style>
  <w:style w:type="paragraph" w:customStyle="1" w:styleId="MESubheading">
    <w:name w:val="ME Sub heading"/>
    <w:basedOn w:val="Normal"/>
    <w:next w:val="Normal"/>
    <w:link w:val="MESubheadingChar"/>
    <w:rsid w:val="00086A62"/>
    <w:pPr>
      <w:spacing w:before="200" w:line="400" w:lineRule="exact"/>
    </w:pPr>
    <w:rPr>
      <w:rFonts w:ascii="Arial" w:hAnsi="Arial" w:cs="Angsana New"/>
      <w:spacing w:val="-10"/>
      <w:w w:val="95"/>
      <w:sz w:val="40"/>
      <w:szCs w:val="40"/>
      <w:lang w:eastAsia="zh-CN" w:bidi="th-TH"/>
    </w:rPr>
  </w:style>
  <w:style w:type="paragraph" w:customStyle="1" w:styleId="MEChapterheading">
    <w:name w:val="ME Chapter heading"/>
    <w:basedOn w:val="Normal"/>
    <w:next w:val="Normal"/>
    <w:rsid w:val="00086A62"/>
    <w:pPr>
      <w:pBdr>
        <w:bottom w:val="single" w:sz="4" w:space="1" w:color="auto"/>
      </w:pBdr>
      <w:spacing w:before="140" w:after="480" w:line="480" w:lineRule="exact"/>
      <w:outlineLvl w:val="0"/>
    </w:pPr>
    <w:rPr>
      <w:rFonts w:ascii="Arial" w:hAnsi="Arial" w:cs="Angsana New"/>
      <w:spacing w:val="-10"/>
      <w:w w:val="95"/>
      <w:sz w:val="48"/>
      <w:szCs w:val="48"/>
      <w:lang w:eastAsia="zh-CN" w:bidi="th-TH"/>
    </w:rPr>
  </w:style>
  <w:style w:type="paragraph" w:customStyle="1" w:styleId="PartiesDetails">
    <w:name w:val="PartiesDetails"/>
    <w:basedOn w:val="Normal"/>
    <w:next w:val="Normal"/>
    <w:rsid w:val="00086A62"/>
    <w:pPr>
      <w:spacing w:line="280" w:lineRule="atLeast"/>
    </w:pPr>
    <w:rPr>
      <w:rFonts w:cs="Angsana New"/>
      <w:lang w:eastAsia="zh-CN" w:bidi="th-TH"/>
    </w:rPr>
  </w:style>
  <w:style w:type="paragraph" w:customStyle="1" w:styleId="MEBasic1">
    <w:name w:val="ME Basic 1"/>
    <w:basedOn w:val="Normal"/>
    <w:link w:val="MEBasic1Char"/>
    <w:rsid w:val="00086A62"/>
    <w:pPr>
      <w:spacing w:after="140" w:line="280" w:lineRule="atLeast"/>
      <w:outlineLvl w:val="0"/>
    </w:pPr>
    <w:rPr>
      <w:rFonts w:cs="Angsana New"/>
      <w:lang w:eastAsia="zh-CN" w:bidi="th-TH"/>
    </w:rPr>
  </w:style>
  <w:style w:type="paragraph" w:customStyle="1" w:styleId="MEBasic2">
    <w:name w:val="ME Basic 2"/>
    <w:basedOn w:val="Normal"/>
    <w:rsid w:val="00086A62"/>
    <w:pPr>
      <w:numPr>
        <w:ilvl w:val="1"/>
        <w:numId w:val="23"/>
      </w:numPr>
      <w:spacing w:after="140" w:line="280" w:lineRule="atLeast"/>
      <w:outlineLvl w:val="1"/>
    </w:pPr>
    <w:rPr>
      <w:rFonts w:cs="Angsana New"/>
      <w:lang w:eastAsia="zh-CN" w:bidi="th-TH"/>
    </w:rPr>
  </w:style>
  <w:style w:type="paragraph" w:customStyle="1" w:styleId="MEBasic3">
    <w:name w:val="ME Basic 3"/>
    <w:basedOn w:val="Normal"/>
    <w:rsid w:val="00086A62"/>
    <w:pPr>
      <w:numPr>
        <w:ilvl w:val="2"/>
        <w:numId w:val="23"/>
      </w:numPr>
      <w:spacing w:after="140" w:line="280" w:lineRule="atLeast"/>
      <w:outlineLvl w:val="2"/>
    </w:pPr>
    <w:rPr>
      <w:rFonts w:cs="Angsana New"/>
      <w:lang w:eastAsia="zh-CN" w:bidi="th-TH"/>
    </w:rPr>
  </w:style>
  <w:style w:type="paragraph" w:customStyle="1" w:styleId="MEBasic4">
    <w:name w:val="ME Basic 4"/>
    <w:basedOn w:val="Normal"/>
    <w:rsid w:val="00086A62"/>
    <w:pPr>
      <w:numPr>
        <w:ilvl w:val="3"/>
        <w:numId w:val="23"/>
      </w:numPr>
      <w:spacing w:after="140" w:line="280" w:lineRule="atLeast"/>
      <w:outlineLvl w:val="3"/>
    </w:pPr>
    <w:rPr>
      <w:rFonts w:cs="Angsana New"/>
      <w:lang w:eastAsia="zh-CN" w:bidi="th-TH"/>
    </w:rPr>
  </w:style>
  <w:style w:type="paragraph" w:customStyle="1" w:styleId="MEBasic5">
    <w:name w:val="ME Basic 5"/>
    <w:basedOn w:val="Normal"/>
    <w:rsid w:val="00086A62"/>
    <w:pPr>
      <w:numPr>
        <w:ilvl w:val="4"/>
        <w:numId w:val="23"/>
      </w:numPr>
      <w:spacing w:after="140" w:line="280" w:lineRule="atLeast"/>
      <w:outlineLvl w:val="4"/>
    </w:pPr>
    <w:rPr>
      <w:rFonts w:cs="Angsana New"/>
      <w:lang w:eastAsia="zh-CN" w:bidi="th-TH"/>
    </w:rPr>
  </w:style>
  <w:style w:type="paragraph" w:customStyle="1" w:styleId="WarrantyL1">
    <w:name w:val="WarrantyL1"/>
    <w:basedOn w:val="Normal"/>
    <w:next w:val="Normal"/>
    <w:rsid w:val="00086A62"/>
    <w:pPr>
      <w:keepNext/>
      <w:numPr>
        <w:numId w:val="6"/>
      </w:numPr>
      <w:spacing w:before="280" w:after="140" w:line="280" w:lineRule="atLeast"/>
      <w:outlineLvl w:val="0"/>
    </w:pPr>
    <w:rPr>
      <w:rFonts w:ascii="Arial" w:hAnsi="Arial" w:cs="Angsana New"/>
      <w:spacing w:val="-10"/>
      <w:w w:val="95"/>
      <w:sz w:val="32"/>
      <w:szCs w:val="32"/>
      <w:lang w:eastAsia="zh-CN" w:bidi="th-TH"/>
    </w:rPr>
  </w:style>
  <w:style w:type="paragraph" w:customStyle="1" w:styleId="zMELogo">
    <w:name w:val="zMELogo"/>
    <w:basedOn w:val="Normal"/>
    <w:next w:val="Normal"/>
    <w:semiHidden/>
    <w:rsid w:val="00086A62"/>
    <w:rPr>
      <w:rFonts w:cs="Angsana New"/>
      <w:w w:val="97"/>
      <w:sz w:val="62"/>
      <w:szCs w:val="62"/>
      <w:lang w:eastAsia="zh-CN" w:bidi="th-TH"/>
    </w:rPr>
  </w:style>
  <w:style w:type="paragraph" w:customStyle="1" w:styleId="WarrantyL2">
    <w:name w:val="WarrantyL2"/>
    <w:basedOn w:val="Normal"/>
    <w:rsid w:val="00086A62"/>
    <w:pPr>
      <w:numPr>
        <w:ilvl w:val="1"/>
        <w:numId w:val="6"/>
      </w:numPr>
      <w:spacing w:after="140" w:line="280" w:lineRule="atLeast"/>
      <w:outlineLvl w:val="1"/>
    </w:pPr>
    <w:rPr>
      <w:rFonts w:cs="Angsana New"/>
      <w:lang w:eastAsia="zh-CN" w:bidi="th-TH"/>
    </w:rPr>
  </w:style>
  <w:style w:type="paragraph" w:customStyle="1" w:styleId="WarrantyL3">
    <w:name w:val="WarrantyL3"/>
    <w:basedOn w:val="Normal"/>
    <w:rsid w:val="00086A62"/>
    <w:pPr>
      <w:numPr>
        <w:ilvl w:val="2"/>
        <w:numId w:val="6"/>
      </w:numPr>
      <w:spacing w:after="140" w:line="280" w:lineRule="atLeast"/>
      <w:outlineLvl w:val="2"/>
    </w:pPr>
    <w:rPr>
      <w:rFonts w:cs="Angsana New"/>
      <w:lang w:eastAsia="zh-CN" w:bidi="th-TH"/>
    </w:rPr>
  </w:style>
  <w:style w:type="paragraph" w:customStyle="1" w:styleId="WarrantyL4">
    <w:name w:val="WarrantyL4"/>
    <w:basedOn w:val="Normal"/>
    <w:rsid w:val="00086A62"/>
    <w:pPr>
      <w:numPr>
        <w:ilvl w:val="3"/>
        <w:numId w:val="6"/>
      </w:numPr>
      <w:spacing w:after="140" w:line="280" w:lineRule="atLeast"/>
      <w:outlineLvl w:val="3"/>
    </w:pPr>
    <w:rPr>
      <w:rFonts w:cs="Angsana New"/>
      <w:lang w:eastAsia="zh-CN" w:bidi="th-TH"/>
    </w:rPr>
  </w:style>
  <w:style w:type="paragraph" w:customStyle="1" w:styleId="WarrantyL5">
    <w:name w:val="WarrantyL5"/>
    <w:basedOn w:val="Normal"/>
    <w:rsid w:val="00086A62"/>
    <w:pPr>
      <w:numPr>
        <w:ilvl w:val="4"/>
        <w:numId w:val="6"/>
      </w:numPr>
      <w:spacing w:after="140" w:line="280" w:lineRule="atLeast"/>
      <w:outlineLvl w:val="4"/>
    </w:pPr>
    <w:rPr>
      <w:rFonts w:cs="Angsana New"/>
      <w:lang w:eastAsia="zh-CN" w:bidi="th-TH"/>
    </w:rPr>
  </w:style>
  <w:style w:type="paragraph" w:customStyle="1" w:styleId="Level1">
    <w:name w:val="Level 1"/>
    <w:basedOn w:val="Normal"/>
    <w:rsid w:val="00086A62"/>
    <w:pPr>
      <w:numPr>
        <w:numId w:val="7"/>
      </w:numPr>
      <w:tabs>
        <w:tab w:val="clear" w:pos="680"/>
      </w:tabs>
      <w:spacing w:after="140" w:line="280" w:lineRule="atLeast"/>
      <w:outlineLvl w:val="0"/>
    </w:pPr>
    <w:rPr>
      <w:rFonts w:cs="Angsana New"/>
      <w:lang w:eastAsia="zh-CN" w:bidi="th-TH"/>
    </w:rPr>
  </w:style>
  <w:style w:type="paragraph" w:customStyle="1" w:styleId="Level2">
    <w:name w:val="Level 2"/>
    <w:basedOn w:val="Normal"/>
    <w:rsid w:val="00086A62"/>
    <w:pPr>
      <w:numPr>
        <w:ilvl w:val="1"/>
        <w:numId w:val="7"/>
      </w:numPr>
      <w:tabs>
        <w:tab w:val="clear" w:pos="1361"/>
      </w:tabs>
      <w:spacing w:after="140" w:line="280" w:lineRule="atLeast"/>
      <w:outlineLvl w:val="1"/>
    </w:pPr>
    <w:rPr>
      <w:rFonts w:cs="Angsana New"/>
      <w:lang w:eastAsia="zh-CN" w:bidi="th-TH"/>
    </w:rPr>
  </w:style>
  <w:style w:type="paragraph" w:customStyle="1" w:styleId="PartL1">
    <w:name w:val="Part L1"/>
    <w:basedOn w:val="Normal"/>
    <w:next w:val="Normal"/>
    <w:rsid w:val="00086A62"/>
    <w:pPr>
      <w:numPr>
        <w:numId w:val="8"/>
      </w:numPr>
      <w:spacing w:before="200" w:line="400" w:lineRule="exact"/>
      <w:outlineLvl w:val="0"/>
    </w:pPr>
    <w:rPr>
      <w:rFonts w:ascii="Arial" w:hAnsi="Arial" w:cs="Angsana New"/>
      <w:spacing w:val="-10"/>
      <w:w w:val="95"/>
      <w:sz w:val="40"/>
      <w:szCs w:val="40"/>
      <w:lang w:eastAsia="zh-CN" w:bidi="th-TH"/>
    </w:rPr>
  </w:style>
  <w:style w:type="paragraph" w:styleId="EndnoteText">
    <w:name w:val="endnote text"/>
    <w:basedOn w:val="Normal"/>
    <w:link w:val="EndnoteTextChar"/>
    <w:semiHidden/>
    <w:rsid w:val="00086A62"/>
    <w:rPr>
      <w:rFonts w:cs="Angsana New"/>
      <w:lang w:eastAsia="zh-CN" w:bidi="th-TH"/>
    </w:rPr>
  </w:style>
  <w:style w:type="character" w:customStyle="1" w:styleId="EndnoteTextChar">
    <w:name w:val="Endnote Text Char"/>
    <w:basedOn w:val="DefaultParagraphFont"/>
    <w:link w:val="EndnoteText"/>
    <w:semiHidden/>
    <w:rsid w:val="00086A62"/>
    <w:rPr>
      <w:rFonts w:ascii="Times New Roman" w:eastAsia="Times New Roman" w:hAnsi="Times New Roman" w:cs="Angsana New"/>
      <w:lang w:val="en-AU" w:eastAsia="zh-CN" w:bidi="th-TH"/>
    </w:rPr>
  </w:style>
  <w:style w:type="paragraph" w:customStyle="1" w:styleId="Level3">
    <w:name w:val="Level 3"/>
    <w:basedOn w:val="Normal"/>
    <w:rsid w:val="00086A62"/>
    <w:pPr>
      <w:numPr>
        <w:ilvl w:val="2"/>
        <w:numId w:val="7"/>
      </w:numPr>
      <w:tabs>
        <w:tab w:val="clear" w:pos="2041"/>
      </w:tabs>
      <w:spacing w:after="140" w:line="280" w:lineRule="atLeast"/>
      <w:outlineLvl w:val="2"/>
    </w:pPr>
    <w:rPr>
      <w:rFonts w:cs="Angsana New"/>
      <w:lang w:eastAsia="zh-CN" w:bidi="th-TH"/>
    </w:rPr>
  </w:style>
  <w:style w:type="numbering" w:styleId="111111">
    <w:name w:val="Outline List 2"/>
    <w:basedOn w:val="NoList"/>
    <w:semiHidden/>
    <w:rsid w:val="00086A62"/>
    <w:pPr>
      <w:numPr>
        <w:numId w:val="9"/>
      </w:numPr>
    </w:pPr>
  </w:style>
  <w:style w:type="numbering" w:styleId="1ai">
    <w:name w:val="Outline List 1"/>
    <w:basedOn w:val="NoList"/>
    <w:semiHidden/>
    <w:rsid w:val="00086A62"/>
    <w:pPr>
      <w:numPr>
        <w:numId w:val="10"/>
      </w:numPr>
    </w:pPr>
  </w:style>
  <w:style w:type="numbering" w:styleId="ArticleSection">
    <w:name w:val="Outline List 3"/>
    <w:basedOn w:val="NoList"/>
    <w:semiHidden/>
    <w:rsid w:val="00086A62"/>
    <w:pPr>
      <w:numPr>
        <w:numId w:val="11"/>
      </w:numPr>
    </w:pPr>
  </w:style>
  <w:style w:type="character" w:styleId="EndnoteReference">
    <w:name w:val="endnote reference"/>
    <w:semiHidden/>
    <w:rsid w:val="00086A62"/>
    <w:rPr>
      <w:vertAlign w:val="superscript"/>
    </w:rPr>
  </w:style>
  <w:style w:type="paragraph" w:styleId="EnvelopeAddress">
    <w:name w:val="envelope address"/>
    <w:basedOn w:val="Normal"/>
    <w:semiHidden/>
    <w:rsid w:val="00086A62"/>
    <w:pPr>
      <w:framePr w:w="7920" w:h="1980" w:hRule="exact" w:hSpace="180" w:wrap="auto" w:hAnchor="page" w:xAlign="center" w:yAlign="bottom"/>
      <w:spacing w:after="140" w:line="280" w:lineRule="atLeast"/>
      <w:ind w:left="2880"/>
    </w:pPr>
    <w:rPr>
      <w:rFonts w:ascii="Arial" w:hAnsi="Arial" w:cs="Angsana New"/>
      <w:lang w:eastAsia="zh-CN" w:bidi="th-TH"/>
    </w:rPr>
  </w:style>
  <w:style w:type="paragraph" w:styleId="EnvelopeReturn">
    <w:name w:val="envelope return"/>
    <w:basedOn w:val="Normal"/>
    <w:semiHidden/>
    <w:rsid w:val="00086A62"/>
    <w:pPr>
      <w:spacing w:after="140" w:line="280" w:lineRule="atLeast"/>
    </w:pPr>
    <w:rPr>
      <w:rFonts w:ascii="Arial" w:hAnsi="Arial" w:cs="Angsana New"/>
      <w:lang w:eastAsia="zh-CN" w:bidi="th-TH"/>
    </w:rPr>
  </w:style>
  <w:style w:type="character" w:styleId="HTMLAcronym">
    <w:name w:val="HTML Acronym"/>
    <w:basedOn w:val="DefaultParagraphFont"/>
    <w:semiHidden/>
    <w:rsid w:val="00086A62"/>
  </w:style>
  <w:style w:type="paragraph" w:styleId="HTMLAddress">
    <w:name w:val="HTML Address"/>
    <w:basedOn w:val="Normal"/>
    <w:link w:val="HTMLAddressChar"/>
    <w:semiHidden/>
    <w:rsid w:val="00086A62"/>
    <w:pPr>
      <w:spacing w:after="140" w:line="280" w:lineRule="atLeast"/>
    </w:pPr>
    <w:rPr>
      <w:rFonts w:cs="Angsana New"/>
      <w:i/>
      <w:iCs/>
      <w:lang w:eastAsia="zh-CN" w:bidi="th-TH"/>
    </w:rPr>
  </w:style>
  <w:style w:type="character" w:customStyle="1" w:styleId="HTMLAddressChar">
    <w:name w:val="HTML Address Char"/>
    <w:basedOn w:val="DefaultParagraphFont"/>
    <w:link w:val="HTMLAddress"/>
    <w:semiHidden/>
    <w:rsid w:val="00086A62"/>
    <w:rPr>
      <w:rFonts w:ascii="Times New Roman" w:eastAsia="Times New Roman" w:hAnsi="Times New Roman" w:cs="Angsana New"/>
      <w:i/>
      <w:iCs/>
      <w:sz w:val="22"/>
      <w:szCs w:val="22"/>
      <w:lang w:val="en-AU" w:eastAsia="zh-CN" w:bidi="th-TH"/>
    </w:rPr>
  </w:style>
  <w:style w:type="character" w:styleId="HTMLCite">
    <w:name w:val="HTML Cite"/>
    <w:semiHidden/>
    <w:rsid w:val="00086A62"/>
    <w:rPr>
      <w:i/>
      <w:iCs/>
    </w:rPr>
  </w:style>
  <w:style w:type="character" w:styleId="HTMLCode">
    <w:name w:val="HTML Code"/>
    <w:semiHidden/>
    <w:rsid w:val="00086A62"/>
    <w:rPr>
      <w:rFonts w:ascii="Courier New" w:hAnsi="Courier New"/>
      <w:sz w:val="20"/>
      <w:szCs w:val="20"/>
    </w:rPr>
  </w:style>
  <w:style w:type="character" w:styleId="HTMLDefinition">
    <w:name w:val="HTML Definition"/>
    <w:semiHidden/>
    <w:rsid w:val="00086A62"/>
    <w:rPr>
      <w:i/>
      <w:iCs/>
    </w:rPr>
  </w:style>
  <w:style w:type="character" w:styleId="HTMLKeyboard">
    <w:name w:val="HTML Keyboard"/>
    <w:semiHidden/>
    <w:rsid w:val="00086A62"/>
    <w:rPr>
      <w:rFonts w:ascii="Courier New" w:hAnsi="Courier New"/>
      <w:sz w:val="20"/>
      <w:szCs w:val="20"/>
    </w:rPr>
  </w:style>
  <w:style w:type="paragraph" w:styleId="HTMLPreformatted">
    <w:name w:val="HTML Preformatted"/>
    <w:basedOn w:val="Normal"/>
    <w:link w:val="HTMLPreformattedChar"/>
    <w:semiHidden/>
    <w:rsid w:val="00086A62"/>
    <w:pPr>
      <w:spacing w:after="140" w:line="280" w:lineRule="atLeast"/>
    </w:pPr>
    <w:rPr>
      <w:rFonts w:ascii="Courier New" w:hAnsi="Courier New" w:cs="Angsana New"/>
      <w:lang w:eastAsia="zh-CN" w:bidi="th-TH"/>
    </w:rPr>
  </w:style>
  <w:style w:type="character" w:customStyle="1" w:styleId="HTMLPreformattedChar">
    <w:name w:val="HTML Preformatted Char"/>
    <w:basedOn w:val="DefaultParagraphFont"/>
    <w:link w:val="HTMLPreformatted"/>
    <w:semiHidden/>
    <w:rsid w:val="00086A62"/>
    <w:rPr>
      <w:rFonts w:ascii="Courier New" w:eastAsia="Times New Roman" w:hAnsi="Courier New" w:cs="Angsana New"/>
      <w:lang w:val="en-AU" w:eastAsia="zh-CN" w:bidi="th-TH"/>
    </w:rPr>
  </w:style>
  <w:style w:type="character" w:styleId="HTMLSample">
    <w:name w:val="HTML Sample"/>
    <w:semiHidden/>
    <w:rsid w:val="00086A62"/>
    <w:rPr>
      <w:rFonts w:ascii="Courier New" w:hAnsi="Courier New"/>
    </w:rPr>
  </w:style>
  <w:style w:type="character" w:styleId="HTMLTypewriter">
    <w:name w:val="HTML Typewriter"/>
    <w:semiHidden/>
    <w:rsid w:val="00086A62"/>
    <w:rPr>
      <w:rFonts w:ascii="Courier New" w:hAnsi="Courier New"/>
      <w:sz w:val="20"/>
      <w:szCs w:val="20"/>
    </w:rPr>
  </w:style>
  <w:style w:type="character" w:styleId="HTMLVariable">
    <w:name w:val="HTML Variable"/>
    <w:semiHidden/>
    <w:rsid w:val="00086A62"/>
    <w:rPr>
      <w:i/>
      <w:iCs/>
    </w:rPr>
  </w:style>
  <w:style w:type="paragraph" w:styleId="Index1">
    <w:name w:val="index 1"/>
    <w:basedOn w:val="Normal"/>
    <w:next w:val="Normal"/>
    <w:autoRedefine/>
    <w:semiHidden/>
    <w:rsid w:val="00086A62"/>
    <w:pPr>
      <w:spacing w:after="140" w:line="280" w:lineRule="atLeast"/>
      <w:ind w:left="220" w:hanging="220"/>
    </w:pPr>
    <w:rPr>
      <w:rFonts w:cs="Angsana New"/>
      <w:lang w:eastAsia="zh-CN" w:bidi="th-TH"/>
    </w:rPr>
  </w:style>
  <w:style w:type="paragraph" w:styleId="Index2">
    <w:name w:val="index 2"/>
    <w:basedOn w:val="Normal"/>
    <w:next w:val="Normal"/>
    <w:autoRedefine/>
    <w:semiHidden/>
    <w:rsid w:val="00086A62"/>
    <w:pPr>
      <w:spacing w:after="140" w:line="280" w:lineRule="atLeast"/>
      <w:ind w:left="440" w:hanging="220"/>
    </w:pPr>
    <w:rPr>
      <w:rFonts w:cs="Angsana New"/>
      <w:lang w:eastAsia="zh-CN" w:bidi="th-TH"/>
    </w:rPr>
  </w:style>
  <w:style w:type="paragraph" w:styleId="Index3">
    <w:name w:val="index 3"/>
    <w:basedOn w:val="Normal"/>
    <w:next w:val="Normal"/>
    <w:autoRedefine/>
    <w:semiHidden/>
    <w:rsid w:val="00086A62"/>
    <w:pPr>
      <w:spacing w:after="140" w:line="280" w:lineRule="atLeast"/>
      <w:ind w:left="660" w:hanging="220"/>
    </w:pPr>
    <w:rPr>
      <w:rFonts w:cs="Angsana New"/>
      <w:lang w:eastAsia="zh-CN" w:bidi="th-TH"/>
    </w:rPr>
  </w:style>
  <w:style w:type="paragraph" w:styleId="Index4">
    <w:name w:val="index 4"/>
    <w:basedOn w:val="Normal"/>
    <w:next w:val="Normal"/>
    <w:autoRedefine/>
    <w:semiHidden/>
    <w:rsid w:val="00086A62"/>
    <w:pPr>
      <w:spacing w:after="140" w:line="280" w:lineRule="atLeast"/>
      <w:ind w:left="880" w:hanging="220"/>
    </w:pPr>
    <w:rPr>
      <w:rFonts w:cs="Angsana New"/>
      <w:lang w:eastAsia="zh-CN" w:bidi="th-TH"/>
    </w:rPr>
  </w:style>
  <w:style w:type="paragraph" w:styleId="Index5">
    <w:name w:val="index 5"/>
    <w:basedOn w:val="Normal"/>
    <w:next w:val="Normal"/>
    <w:autoRedefine/>
    <w:semiHidden/>
    <w:rsid w:val="00086A62"/>
    <w:pPr>
      <w:spacing w:after="140" w:line="280" w:lineRule="atLeast"/>
      <w:ind w:left="1100" w:hanging="220"/>
    </w:pPr>
    <w:rPr>
      <w:rFonts w:cs="Angsana New"/>
      <w:lang w:eastAsia="zh-CN" w:bidi="th-TH"/>
    </w:rPr>
  </w:style>
  <w:style w:type="paragraph" w:styleId="Index6">
    <w:name w:val="index 6"/>
    <w:basedOn w:val="Normal"/>
    <w:next w:val="Normal"/>
    <w:autoRedefine/>
    <w:semiHidden/>
    <w:rsid w:val="00086A62"/>
    <w:pPr>
      <w:spacing w:after="140" w:line="280" w:lineRule="atLeast"/>
      <w:ind w:left="1320" w:hanging="220"/>
    </w:pPr>
    <w:rPr>
      <w:rFonts w:cs="Angsana New"/>
      <w:lang w:eastAsia="zh-CN" w:bidi="th-TH"/>
    </w:rPr>
  </w:style>
  <w:style w:type="paragraph" w:styleId="Index7">
    <w:name w:val="index 7"/>
    <w:basedOn w:val="Normal"/>
    <w:next w:val="Normal"/>
    <w:autoRedefine/>
    <w:semiHidden/>
    <w:rsid w:val="00086A62"/>
    <w:pPr>
      <w:spacing w:after="140" w:line="280" w:lineRule="atLeast"/>
      <w:ind w:left="1540" w:hanging="220"/>
    </w:pPr>
    <w:rPr>
      <w:rFonts w:cs="Angsana New"/>
      <w:lang w:eastAsia="zh-CN" w:bidi="th-TH"/>
    </w:rPr>
  </w:style>
  <w:style w:type="paragraph" w:styleId="Index8">
    <w:name w:val="index 8"/>
    <w:basedOn w:val="Normal"/>
    <w:next w:val="Normal"/>
    <w:autoRedefine/>
    <w:semiHidden/>
    <w:rsid w:val="00086A62"/>
    <w:pPr>
      <w:spacing w:after="140" w:line="280" w:lineRule="atLeast"/>
      <w:ind w:left="1760" w:hanging="220"/>
    </w:pPr>
    <w:rPr>
      <w:rFonts w:cs="Angsana New"/>
      <w:lang w:eastAsia="zh-CN" w:bidi="th-TH"/>
    </w:rPr>
  </w:style>
  <w:style w:type="paragraph" w:styleId="Index9">
    <w:name w:val="index 9"/>
    <w:basedOn w:val="Normal"/>
    <w:next w:val="Normal"/>
    <w:autoRedefine/>
    <w:semiHidden/>
    <w:rsid w:val="00086A62"/>
    <w:pPr>
      <w:spacing w:after="140" w:line="280" w:lineRule="atLeast"/>
      <w:ind w:left="1980" w:hanging="220"/>
    </w:pPr>
    <w:rPr>
      <w:rFonts w:cs="Angsana New"/>
      <w:lang w:eastAsia="zh-CN" w:bidi="th-TH"/>
    </w:rPr>
  </w:style>
  <w:style w:type="paragraph" w:styleId="IndexHeading">
    <w:name w:val="index heading"/>
    <w:basedOn w:val="Normal"/>
    <w:next w:val="Index1"/>
    <w:semiHidden/>
    <w:rsid w:val="00086A62"/>
    <w:pPr>
      <w:spacing w:after="140" w:line="280" w:lineRule="atLeast"/>
    </w:pPr>
    <w:rPr>
      <w:rFonts w:ascii="Arial" w:hAnsi="Arial" w:cs="Angsana New"/>
      <w:b/>
      <w:bCs/>
      <w:lang w:eastAsia="zh-CN" w:bidi="th-TH"/>
    </w:rPr>
  </w:style>
  <w:style w:type="character" w:styleId="LineNumber">
    <w:name w:val="line number"/>
    <w:basedOn w:val="DefaultParagraphFont"/>
    <w:semiHidden/>
    <w:rsid w:val="00086A62"/>
  </w:style>
  <w:style w:type="paragraph" w:styleId="List">
    <w:name w:val="List"/>
    <w:basedOn w:val="Normal"/>
    <w:semiHidden/>
    <w:rsid w:val="00086A62"/>
    <w:pPr>
      <w:spacing w:after="140" w:line="280" w:lineRule="atLeast"/>
      <w:ind w:left="283" w:hanging="283"/>
    </w:pPr>
    <w:rPr>
      <w:rFonts w:cs="Angsana New"/>
      <w:lang w:eastAsia="zh-CN" w:bidi="th-TH"/>
    </w:rPr>
  </w:style>
  <w:style w:type="paragraph" w:styleId="List2">
    <w:name w:val="List 2"/>
    <w:basedOn w:val="Normal"/>
    <w:semiHidden/>
    <w:rsid w:val="00086A62"/>
    <w:pPr>
      <w:spacing w:after="140" w:line="280" w:lineRule="atLeast"/>
      <w:ind w:left="566" w:hanging="283"/>
    </w:pPr>
    <w:rPr>
      <w:rFonts w:cs="Angsana New"/>
      <w:lang w:eastAsia="zh-CN" w:bidi="th-TH"/>
    </w:rPr>
  </w:style>
  <w:style w:type="paragraph" w:styleId="List3">
    <w:name w:val="List 3"/>
    <w:basedOn w:val="Normal"/>
    <w:semiHidden/>
    <w:rsid w:val="00086A62"/>
    <w:pPr>
      <w:spacing w:after="140" w:line="280" w:lineRule="atLeast"/>
      <w:ind w:left="849" w:hanging="283"/>
    </w:pPr>
    <w:rPr>
      <w:rFonts w:cs="Angsana New"/>
      <w:lang w:eastAsia="zh-CN" w:bidi="th-TH"/>
    </w:rPr>
  </w:style>
  <w:style w:type="paragraph" w:styleId="List4">
    <w:name w:val="List 4"/>
    <w:basedOn w:val="Normal"/>
    <w:semiHidden/>
    <w:rsid w:val="00086A62"/>
    <w:pPr>
      <w:spacing w:after="140" w:line="280" w:lineRule="atLeast"/>
      <w:ind w:left="1132" w:hanging="283"/>
    </w:pPr>
    <w:rPr>
      <w:rFonts w:cs="Angsana New"/>
      <w:lang w:eastAsia="zh-CN" w:bidi="th-TH"/>
    </w:rPr>
  </w:style>
  <w:style w:type="paragraph" w:styleId="List5">
    <w:name w:val="List 5"/>
    <w:basedOn w:val="Normal"/>
    <w:semiHidden/>
    <w:rsid w:val="00086A62"/>
    <w:pPr>
      <w:spacing w:after="140" w:line="280" w:lineRule="atLeast"/>
      <w:ind w:left="1415" w:hanging="283"/>
    </w:pPr>
    <w:rPr>
      <w:rFonts w:cs="Angsana New"/>
      <w:lang w:eastAsia="zh-CN" w:bidi="th-TH"/>
    </w:rPr>
  </w:style>
  <w:style w:type="paragraph" w:styleId="ListBullet3">
    <w:name w:val="List Bullet 3"/>
    <w:basedOn w:val="Normal"/>
    <w:semiHidden/>
    <w:rsid w:val="00086A62"/>
    <w:pPr>
      <w:numPr>
        <w:numId w:val="12"/>
      </w:numPr>
      <w:spacing w:after="140" w:line="280" w:lineRule="atLeast"/>
    </w:pPr>
    <w:rPr>
      <w:rFonts w:cs="Angsana New"/>
      <w:lang w:eastAsia="zh-CN" w:bidi="th-TH"/>
    </w:rPr>
  </w:style>
  <w:style w:type="paragraph" w:styleId="ListBullet4">
    <w:name w:val="List Bullet 4"/>
    <w:basedOn w:val="Normal"/>
    <w:semiHidden/>
    <w:rsid w:val="00086A62"/>
    <w:pPr>
      <w:numPr>
        <w:numId w:val="13"/>
      </w:numPr>
      <w:spacing w:after="140" w:line="280" w:lineRule="atLeast"/>
    </w:pPr>
    <w:rPr>
      <w:rFonts w:cs="Angsana New"/>
      <w:lang w:eastAsia="zh-CN" w:bidi="th-TH"/>
    </w:rPr>
  </w:style>
  <w:style w:type="paragraph" w:styleId="ListBullet5">
    <w:name w:val="List Bullet 5"/>
    <w:basedOn w:val="Normal"/>
    <w:semiHidden/>
    <w:rsid w:val="00086A62"/>
    <w:pPr>
      <w:numPr>
        <w:numId w:val="14"/>
      </w:numPr>
      <w:spacing w:after="140" w:line="280" w:lineRule="atLeast"/>
    </w:pPr>
    <w:rPr>
      <w:rFonts w:cs="Angsana New"/>
      <w:lang w:eastAsia="zh-CN" w:bidi="th-TH"/>
    </w:rPr>
  </w:style>
  <w:style w:type="paragraph" w:styleId="ListContinue">
    <w:name w:val="List Continue"/>
    <w:basedOn w:val="Normal"/>
    <w:semiHidden/>
    <w:rsid w:val="00086A62"/>
    <w:pPr>
      <w:spacing w:line="280" w:lineRule="atLeast"/>
      <w:ind w:left="283"/>
    </w:pPr>
    <w:rPr>
      <w:rFonts w:cs="Angsana New"/>
      <w:lang w:eastAsia="zh-CN" w:bidi="th-TH"/>
    </w:rPr>
  </w:style>
  <w:style w:type="paragraph" w:styleId="ListContinue2">
    <w:name w:val="List Continue 2"/>
    <w:basedOn w:val="Normal"/>
    <w:semiHidden/>
    <w:rsid w:val="00086A62"/>
    <w:pPr>
      <w:spacing w:line="280" w:lineRule="atLeast"/>
      <w:ind w:left="566"/>
    </w:pPr>
    <w:rPr>
      <w:rFonts w:cs="Angsana New"/>
      <w:lang w:eastAsia="zh-CN" w:bidi="th-TH"/>
    </w:rPr>
  </w:style>
  <w:style w:type="paragraph" w:styleId="ListContinue3">
    <w:name w:val="List Continue 3"/>
    <w:basedOn w:val="Normal"/>
    <w:semiHidden/>
    <w:rsid w:val="00086A62"/>
    <w:pPr>
      <w:spacing w:line="280" w:lineRule="atLeast"/>
      <w:ind w:left="849"/>
    </w:pPr>
    <w:rPr>
      <w:rFonts w:cs="Angsana New"/>
      <w:lang w:eastAsia="zh-CN" w:bidi="th-TH"/>
    </w:rPr>
  </w:style>
  <w:style w:type="paragraph" w:styleId="ListContinue4">
    <w:name w:val="List Continue 4"/>
    <w:basedOn w:val="Normal"/>
    <w:semiHidden/>
    <w:rsid w:val="00086A62"/>
    <w:pPr>
      <w:spacing w:line="280" w:lineRule="atLeast"/>
      <w:ind w:left="1132"/>
    </w:pPr>
    <w:rPr>
      <w:rFonts w:cs="Angsana New"/>
      <w:lang w:eastAsia="zh-CN" w:bidi="th-TH"/>
    </w:rPr>
  </w:style>
  <w:style w:type="paragraph" w:styleId="ListContinue5">
    <w:name w:val="List Continue 5"/>
    <w:basedOn w:val="Normal"/>
    <w:semiHidden/>
    <w:rsid w:val="00086A62"/>
    <w:pPr>
      <w:spacing w:line="280" w:lineRule="atLeast"/>
      <w:ind w:left="1415"/>
    </w:pPr>
    <w:rPr>
      <w:rFonts w:cs="Angsana New"/>
      <w:lang w:eastAsia="zh-CN" w:bidi="th-TH"/>
    </w:rPr>
  </w:style>
  <w:style w:type="paragraph" w:styleId="ListNumber">
    <w:name w:val="List Number"/>
    <w:basedOn w:val="Normal"/>
    <w:semiHidden/>
    <w:rsid w:val="00086A62"/>
    <w:pPr>
      <w:numPr>
        <w:numId w:val="15"/>
      </w:numPr>
      <w:spacing w:after="140" w:line="280" w:lineRule="atLeast"/>
    </w:pPr>
    <w:rPr>
      <w:rFonts w:cs="Angsana New"/>
      <w:lang w:eastAsia="zh-CN" w:bidi="th-TH"/>
    </w:rPr>
  </w:style>
  <w:style w:type="paragraph" w:styleId="ListNumber2">
    <w:name w:val="List Number 2"/>
    <w:basedOn w:val="Normal"/>
    <w:semiHidden/>
    <w:rsid w:val="00086A62"/>
    <w:pPr>
      <w:numPr>
        <w:numId w:val="16"/>
      </w:numPr>
      <w:spacing w:after="140" w:line="280" w:lineRule="atLeast"/>
    </w:pPr>
    <w:rPr>
      <w:rFonts w:cs="Angsana New"/>
      <w:lang w:eastAsia="zh-CN" w:bidi="th-TH"/>
    </w:rPr>
  </w:style>
  <w:style w:type="paragraph" w:styleId="ListNumber3">
    <w:name w:val="List Number 3"/>
    <w:basedOn w:val="Normal"/>
    <w:semiHidden/>
    <w:rsid w:val="00086A62"/>
    <w:pPr>
      <w:numPr>
        <w:numId w:val="17"/>
      </w:numPr>
      <w:spacing w:after="140" w:line="280" w:lineRule="atLeast"/>
    </w:pPr>
    <w:rPr>
      <w:rFonts w:cs="Angsana New"/>
      <w:lang w:eastAsia="zh-CN" w:bidi="th-TH"/>
    </w:rPr>
  </w:style>
  <w:style w:type="paragraph" w:styleId="ListNumber4">
    <w:name w:val="List Number 4"/>
    <w:basedOn w:val="Normal"/>
    <w:semiHidden/>
    <w:rsid w:val="00086A62"/>
    <w:pPr>
      <w:numPr>
        <w:numId w:val="18"/>
      </w:numPr>
      <w:spacing w:after="140" w:line="280" w:lineRule="atLeast"/>
    </w:pPr>
    <w:rPr>
      <w:rFonts w:cs="Angsana New"/>
      <w:lang w:eastAsia="zh-CN" w:bidi="th-TH"/>
    </w:rPr>
  </w:style>
  <w:style w:type="paragraph" w:styleId="ListNumber5">
    <w:name w:val="List Number 5"/>
    <w:basedOn w:val="Normal"/>
    <w:semiHidden/>
    <w:rsid w:val="00086A62"/>
    <w:pPr>
      <w:numPr>
        <w:numId w:val="19"/>
      </w:numPr>
      <w:spacing w:after="140" w:line="280" w:lineRule="atLeast"/>
    </w:pPr>
    <w:rPr>
      <w:rFonts w:cs="Angsana New"/>
      <w:lang w:eastAsia="zh-CN" w:bidi="th-TH"/>
    </w:rPr>
  </w:style>
  <w:style w:type="paragraph" w:styleId="MacroText">
    <w:name w:val="macro"/>
    <w:link w:val="MacroTextChar"/>
    <w:semiHidden/>
    <w:rsid w:val="00086A62"/>
    <w:pPr>
      <w:tabs>
        <w:tab w:val="left" w:pos="480"/>
        <w:tab w:val="left" w:pos="960"/>
        <w:tab w:val="left" w:pos="1440"/>
        <w:tab w:val="left" w:pos="1920"/>
        <w:tab w:val="left" w:pos="2400"/>
        <w:tab w:val="left" w:pos="2880"/>
        <w:tab w:val="left" w:pos="3360"/>
        <w:tab w:val="left" w:pos="3840"/>
        <w:tab w:val="left" w:pos="4320"/>
      </w:tabs>
      <w:spacing w:after="140" w:line="280" w:lineRule="atLeast"/>
      <w:jc w:val="left"/>
    </w:pPr>
    <w:rPr>
      <w:rFonts w:ascii="Courier New" w:eastAsia="Times New Roman" w:hAnsi="Courier New" w:cs="Angsana New"/>
      <w:lang w:val="en-AU" w:eastAsia="zh-CN" w:bidi="th-TH"/>
    </w:rPr>
  </w:style>
  <w:style w:type="character" w:customStyle="1" w:styleId="MacroTextChar">
    <w:name w:val="Macro Text Char"/>
    <w:basedOn w:val="DefaultParagraphFont"/>
    <w:link w:val="MacroText"/>
    <w:semiHidden/>
    <w:rsid w:val="00086A62"/>
    <w:rPr>
      <w:rFonts w:ascii="Courier New" w:eastAsia="Times New Roman" w:hAnsi="Courier New" w:cs="Angsana New"/>
      <w:lang w:val="en-AU" w:eastAsia="zh-CN" w:bidi="th-TH"/>
    </w:rPr>
  </w:style>
  <w:style w:type="paragraph" w:styleId="MessageHeader">
    <w:name w:val="Message Header"/>
    <w:basedOn w:val="Normal"/>
    <w:link w:val="MessageHeaderChar"/>
    <w:semiHidden/>
    <w:rsid w:val="00086A62"/>
    <w:pPr>
      <w:pBdr>
        <w:top w:val="single" w:sz="6" w:space="1" w:color="auto"/>
        <w:left w:val="single" w:sz="6" w:space="1" w:color="auto"/>
        <w:bottom w:val="single" w:sz="6" w:space="1" w:color="auto"/>
        <w:right w:val="single" w:sz="6" w:space="1" w:color="auto"/>
      </w:pBdr>
      <w:shd w:val="pct20" w:color="auto" w:fill="auto"/>
      <w:spacing w:after="140" w:line="280" w:lineRule="atLeast"/>
      <w:ind w:left="1134" w:hanging="1134"/>
    </w:pPr>
    <w:rPr>
      <w:rFonts w:ascii="Arial" w:hAnsi="Arial" w:cs="Angsana New"/>
      <w:lang w:eastAsia="zh-CN" w:bidi="th-TH"/>
    </w:rPr>
  </w:style>
  <w:style w:type="character" w:customStyle="1" w:styleId="MessageHeaderChar">
    <w:name w:val="Message Header Char"/>
    <w:basedOn w:val="DefaultParagraphFont"/>
    <w:link w:val="MessageHeader"/>
    <w:semiHidden/>
    <w:rsid w:val="00086A62"/>
    <w:rPr>
      <w:rFonts w:ascii="Arial" w:eastAsia="Times New Roman" w:hAnsi="Arial" w:cs="Angsana New"/>
      <w:sz w:val="24"/>
      <w:szCs w:val="24"/>
      <w:shd w:val="pct20" w:color="auto" w:fill="auto"/>
      <w:lang w:val="en-AU" w:eastAsia="zh-CN" w:bidi="th-TH"/>
    </w:rPr>
  </w:style>
  <w:style w:type="paragraph" w:styleId="NormalWeb">
    <w:name w:val="Normal (Web)"/>
    <w:basedOn w:val="Normal"/>
    <w:uiPriority w:val="99"/>
    <w:semiHidden/>
    <w:rsid w:val="00086A62"/>
    <w:pPr>
      <w:spacing w:after="140" w:line="280" w:lineRule="atLeast"/>
    </w:pPr>
    <w:rPr>
      <w:rFonts w:cs="Angsana New"/>
      <w:lang w:eastAsia="zh-CN" w:bidi="th-TH"/>
    </w:rPr>
  </w:style>
  <w:style w:type="paragraph" w:styleId="NormalIndent">
    <w:name w:val="Normal Indent"/>
    <w:basedOn w:val="Normal"/>
    <w:semiHidden/>
    <w:rsid w:val="00086A62"/>
    <w:pPr>
      <w:spacing w:after="140" w:line="280" w:lineRule="atLeast"/>
      <w:ind w:left="680"/>
    </w:pPr>
    <w:rPr>
      <w:rFonts w:cs="Angsana New"/>
      <w:lang w:eastAsia="zh-CN" w:bidi="th-TH"/>
    </w:rPr>
  </w:style>
  <w:style w:type="paragraph" w:styleId="NoteHeading">
    <w:name w:val="Note Heading"/>
    <w:basedOn w:val="Normal"/>
    <w:next w:val="Normal"/>
    <w:link w:val="NoteHeadingChar"/>
    <w:semiHidden/>
    <w:rsid w:val="00086A62"/>
    <w:pPr>
      <w:spacing w:after="140" w:line="280" w:lineRule="atLeast"/>
    </w:pPr>
    <w:rPr>
      <w:rFonts w:cs="Angsana New"/>
      <w:lang w:eastAsia="zh-CN" w:bidi="th-TH"/>
    </w:rPr>
  </w:style>
  <w:style w:type="character" w:customStyle="1" w:styleId="NoteHeadingChar">
    <w:name w:val="Note Heading Char"/>
    <w:basedOn w:val="DefaultParagraphFont"/>
    <w:link w:val="NoteHeading"/>
    <w:semiHidden/>
    <w:rsid w:val="00086A62"/>
    <w:rPr>
      <w:rFonts w:ascii="Times New Roman" w:eastAsia="Times New Roman" w:hAnsi="Times New Roman" w:cs="Angsana New"/>
      <w:sz w:val="22"/>
      <w:szCs w:val="22"/>
      <w:lang w:val="en-AU" w:eastAsia="zh-CN" w:bidi="th-TH"/>
    </w:rPr>
  </w:style>
  <w:style w:type="paragraph" w:styleId="PlainText">
    <w:name w:val="Plain Text"/>
    <w:basedOn w:val="Normal"/>
    <w:link w:val="PlainTextChar"/>
    <w:semiHidden/>
    <w:rsid w:val="00086A62"/>
    <w:pPr>
      <w:spacing w:after="140" w:line="280" w:lineRule="atLeast"/>
    </w:pPr>
    <w:rPr>
      <w:rFonts w:ascii="Courier New" w:hAnsi="Courier New" w:cs="Angsana New"/>
      <w:lang w:eastAsia="zh-CN" w:bidi="th-TH"/>
    </w:rPr>
  </w:style>
  <w:style w:type="character" w:customStyle="1" w:styleId="PlainTextChar">
    <w:name w:val="Plain Text Char"/>
    <w:basedOn w:val="DefaultParagraphFont"/>
    <w:link w:val="PlainText"/>
    <w:semiHidden/>
    <w:rsid w:val="00086A62"/>
    <w:rPr>
      <w:rFonts w:ascii="Courier New" w:eastAsia="Times New Roman" w:hAnsi="Courier New" w:cs="Angsana New"/>
      <w:lang w:val="en-AU" w:eastAsia="zh-CN" w:bidi="th-TH"/>
    </w:rPr>
  </w:style>
  <w:style w:type="paragraph" w:styleId="Salutation">
    <w:name w:val="Salutation"/>
    <w:basedOn w:val="Normal"/>
    <w:next w:val="Normal"/>
    <w:link w:val="SalutationChar"/>
    <w:semiHidden/>
    <w:rsid w:val="00086A62"/>
    <w:pPr>
      <w:spacing w:after="140" w:line="280" w:lineRule="atLeast"/>
    </w:pPr>
    <w:rPr>
      <w:rFonts w:cs="Angsana New"/>
      <w:lang w:eastAsia="zh-CN" w:bidi="th-TH"/>
    </w:rPr>
  </w:style>
  <w:style w:type="character" w:customStyle="1" w:styleId="SalutationChar">
    <w:name w:val="Salutation Char"/>
    <w:basedOn w:val="DefaultParagraphFont"/>
    <w:link w:val="Salutation"/>
    <w:semiHidden/>
    <w:rsid w:val="00086A62"/>
    <w:rPr>
      <w:rFonts w:ascii="Times New Roman" w:eastAsia="Times New Roman" w:hAnsi="Times New Roman" w:cs="Angsana New"/>
      <w:sz w:val="22"/>
      <w:szCs w:val="22"/>
      <w:lang w:val="en-AU" w:eastAsia="zh-CN" w:bidi="th-TH"/>
    </w:rPr>
  </w:style>
  <w:style w:type="paragraph" w:styleId="Signature">
    <w:name w:val="Signature"/>
    <w:basedOn w:val="Normal"/>
    <w:link w:val="SignatureChar"/>
    <w:semiHidden/>
    <w:rsid w:val="00086A62"/>
    <w:pPr>
      <w:spacing w:after="140" w:line="280" w:lineRule="atLeast"/>
      <w:ind w:left="4252"/>
    </w:pPr>
    <w:rPr>
      <w:rFonts w:cs="Angsana New"/>
      <w:lang w:eastAsia="zh-CN" w:bidi="th-TH"/>
    </w:rPr>
  </w:style>
  <w:style w:type="character" w:customStyle="1" w:styleId="SignatureChar">
    <w:name w:val="Signature Char"/>
    <w:basedOn w:val="DefaultParagraphFont"/>
    <w:link w:val="Signature"/>
    <w:semiHidden/>
    <w:rsid w:val="00086A62"/>
    <w:rPr>
      <w:rFonts w:ascii="Times New Roman" w:eastAsia="Times New Roman" w:hAnsi="Times New Roman" w:cs="Angsana New"/>
      <w:sz w:val="22"/>
      <w:szCs w:val="22"/>
      <w:lang w:val="en-AU" w:eastAsia="zh-CN" w:bidi="th-TH"/>
    </w:rPr>
  </w:style>
  <w:style w:type="table" w:styleId="Table3Deffects1">
    <w:name w:val="Table 3D effects 1"/>
    <w:basedOn w:val="TableNormal"/>
    <w:semiHidden/>
    <w:rsid w:val="00086A62"/>
    <w:pPr>
      <w:spacing w:after="140" w:line="280" w:lineRule="atLeast"/>
      <w:jc w:val="left"/>
    </w:pPr>
    <w:rPr>
      <w:rFonts w:ascii="Times New Roman" w:eastAsia="Times New Roman" w:hAnsi="Times New Roman" w:cs="Times New Roman"/>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86A62"/>
    <w:pPr>
      <w:spacing w:after="140" w:line="280" w:lineRule="atLeast"/>
      <w:jc w:val="left"/>
    </w:pPr>
    <w:rPr>
      <w:rFonts w:ascii="Times New Roman" w:eastAsia="Times New Roman" w:hAnsi="Times New Roman" w:cs="Times New Roman"/>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86A62"/>
    <w:pPr>
      <w:spacing w:after="140" w:line="280" w:lineRule="atLeast"/>
      <w:jc w:val="left"/>
    </w:pPr>
    <w:rPr>
      <w:rFonts w:ascii="Times New Roman" w:eastAsia="Times New Roman" w:hAnsi="Times New Roman" w:cs="Times New Roman"/>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86A62"/>
    <w:pPr>
      <w:spacing w:after="140" w:line="280" w:lineRule="atLeast"/>
      <w:jc w:val="left"/>
    </w:pPr>
    <w:rPr>
      <w:rFonts w:ascii="Times New Roman" w:eastAsia="Times New Roman" w:hAnsi="Times New Roman" w:cs="Times New Roman"/>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86A62"/>
    <w:pPr>
      <w:spacing w:after="140" w:line="280" w:lineRule="atLeast"/>
      <w:jc w:val="left"/>
    </w:pPr>
    <w:rPr>
      <w:rFonts w:ascii="Times New Roman" w:eastAsia="Times New Roman" w:hAnsi="Times New Roman" w:cs="Times New Roman"/>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86A62"/>
    <w:pPr>
      <w:spacing w:after="140" w:line="280" w:lineRule="atLeast"/>
      <w:jc w:val="left"/>
    </w:pPr>
    <w:rPr>
      <w:rFonts w:ascii="Times New Roman" w:eastAsia="Times New Roman" w:hAnsi="Times New Roman" w:cs="Times New Roman"/>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86A62"/>
    <w:pPr>
      <w:spacing w:after="140" w:line="280" w:lineRule="atLeast"/>
      <w:jc w:val="left"/>
    </w:pPr>
    <w:rPr>
      <w:rFonts w:ascii="Times New Roman" w:eastAsia="Times New Roman" w:hAnsi="Times New Roman" w:cs="Times New Roman"/>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86A62"/>
    <w:pPr>
      <w:spacing w:after="140" w:line="280" w:lineRule="atLeast"/>
      <w:jc w:val="left"/>
    </w:pPr>
    <w:rPr>
      <w:rFonts w:ascii="Times New Roman" w:eastAsia="Times New Roman" w:hAnsi="Times New Roman" w:cs="Times New Roman"/>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uiPriority w:val="59"/>
    <w:rsid w:val="00086A62"/>
    <w:pPr>
      <w:spacing w:after="140" w:line="280" w:lineRule="atLeast"/>
      <w:jc w:val="left"/>
    </w:pPr>
    <w:rPr>
      <w:rFonts w:ascii="Times New Roman" w:eastAsia="Times New Roman" w:hAnsi="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2">
    <w:name w:val="Table Grid 1"/>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086A62"/>
    <w:pPr>
      <w:spacing w:after="140" w:line="280" w:lineRule="atLeast"/>
      <w:jc w:val="left"/>
    </w:pPr>
    <w:rPr>
      <w:rFonts w:ascii="Times New Roman" w:eastAsia="Times New Roman" w:hAnsi="Times New Roman" w:cs="Times New Roman"/>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086A62"/>
    <w:pPr>
      <w:spacing w:after="140" w:line="280" w:lineRule="atLeast"/>
      <w:ind w:left="220" w:hanging="220"/>
    </w:pPr>
    <w:rPr>
      <w:rFonts w:cs="Angsana New"/>
      <w:lang w:eastAsia="zh-CN" w:bidi="th-TH"/>
    </w:rPr>
  </w:style>
  <w:style w:type="paragraph" w:styleId="TableofFigures">
    <w:name w:val="table of figures"/>
    <w:basedOn w:val="Normal"/>
    <w:next w:val="Normal"/>
    <w:semiHidden/>
    <w:rsid w:val="00086A62"/>
    <w:pPr>
      <w:spacing w:after="140" w:line="280" w:lineRule="atLeast"/>
    </w:pPr>
    <w:rPr>
      <w:rFonts w:cs="Angsana New"/>
      <w:lang w:eastAsia="zh-CN" w:bidi="th-TH"/>
    </w:rPr>
  </w:style>
  <w:style w:type="table" w:styleId="TableProfessional">
    <w:name w:val="Table Professional"/>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86A62"/>
    <w:pPr>
      <w:spacing w:after="140" w:line="280" w:lineRule="atLeast"/>
      <w:jc w:val="left"/>
    </w:pPr>
    <w:rPr>
      <w:rFonts w:ascii="Times New Roman" w:eastAsia="Times New Roman" w:hAnsi="Times New Roman" w:cs="Times New Roman"/>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86A62"/>
    <w:pPr>
      <w:spacing w:after="140" w:line="280" w:lineRule="atLeast"/>
      <w:jc w:val="left"/>
    </w:pPr>
    <w:rPr>
      <w:rFonts w:ascii="Times New Roman" w:eastAsia="Times New Roman" w:hAnsi="Times New Roman" w:cs="Times New Roman"/>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86A62"/>
    <w:pPr>
      <w:spacing w:after="140" w:line="280" w:lineRule="atLeast"/>
      <w:jc w:val="left"/>
    </w:pPr>
    <w:rPr>
      <w:rFonts w:ascii="Times New Roman" w:eastAsia="Times New Roman" w:hAnsi="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86A62"/>
    <w:pPr>
      <w:spacing w:after="140" w:line="280" w:lineRule="atLeast"/>
      <w:jc w:val="left"/>
    </w:pPr>
    <w:rPr>
      <w:rFonts w:ascii="Times New Roman" w:eastAsia="Times New Roman" w:hAnsi="Times New Roman" w:cs="Times New Roman"/>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86A62"/>
    <w:pPr>
      <w:spacing w:after="140" w:line="280" w:lineRule="atLeast"/>
      <w:jc w:val="left"/>
    </w:pPr>
    <w:rPr>
      <w:rFonts w:ascii="Times New Roman" w:eastAsia="Times New Roman" w:hAnsi="Times New Roman" w:cs="Times New Roman"/>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86A62"/>
    <w:pPr>
      <w:spacing w:after="140" w:line="280" w:lineRule="atLeast"/>
      <w:jc w:val="left"/>
    </w:pPr>
    <w:rPr>
      <w:rFonts w:ascii="Times New Roman" w:eastAsia="Times New Roman" w:hAnsi="Times New Roman" w:cs="Times New Roman"/>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086A62"/>
    <w:pPr>
      <w:spacing w:after="140" w:line="280" w:lineRule="atLeast"/>
    </w:pPr>
    <w:rPr>
      <w:rFonts w:ascii="Arial" w:hAnsi="Arial" w:cs="Angsana New"/>
      <w:b/>
      <w:bCs/>
      <w:lang w:eastAsia="zh-CN" w:bidi="th-TH"/>
    </w:rPr>
  </w:style>
  <w:style w:type="paragraph" w:styleId="TOC4">
    <w:name w:val="toc 4"/>
    <w:basedOn w:val="Normal"/>
    <w:next w:val="Normal"/>
    <w:autoRedefine/>
    <w:uiPriority w:val="39"/>
    <w:rsid w:val="00086A62"/>
    <w:pPr>
      <w:spacing w:after="140" w:line="280" w:lineRule="atLeast"/>
      <w:ind w:left="660"/>
    </w:pPr>
    <w:rPr>
      <w:rFonts w:cs="Angsana New"/>
      <w:lang w:eastAsia="zh-CN" w:bidi="th-TH"/>
    </w:rPr>
  </w:style>
  <w:style w:type="paragraph" w:styleId="TOC5">
    <w:name w:val="toc 5"/>
    <w:basedOn w:val="Normal"/>
    <w:next w:val="Normal"/>
    <w:autoRedefine/>
    <w:uiPriority w:val="39"/>
    <w:rsid w:val="00086A62"/>
    <w:pPr>
      <w:spacing w:after="140" w:line="280" w:lineRule="atLeast"/>
      <w:ind w:left="880"/>
    </w:pPr>
    <w:rPr>
      <w:rFonts w:cs="Angsana New"/>
      <w:lang w:eastAsia="zh-CN" w:bidi="th-TH"/>
    </w:rPr>
  </w:style>
  <w:style w:type="paragraph" w:styleId="TOC6">
    <w:name w:val="toc 6"/>
    <w:basedOn w:val="Normal"/>
    <w:next w:val="Normal"/>
    <w:autoRedefine/>
    <w:uiPriority w:val="39"/>
    <w:rsid w:val="00086A62"/>
    <w:pPr>
      <w:spacing w:after="140" w:line="280" w:lineRule="atLeast"/>
      <w:ind w:left="1100"/>
    </w:pPr>
    <w:rPr>
      <w:rFonts w:cs="Angsana New"/>
      <w:lang w:eastAsia="zh-CN" w:bidi="th-TH"/>
    </w:rPr>
  </w:style>
  <w:style w:type="paragraph" w:styleId="TOC7">
    <w:name w:val="toc 7"/>
    <w:basedOn w:val="Normal"/>
    <w:next w:val="Normal"/>
    <w:autoRedefine/>
    <w:uiPriority w:val="39"/>
    <w:rsid w:val="00086A62"/>
    <w:pPr>
      <w:spacing w:after="140" w:line="280" w:lineRule="atLeast"/>
      <w:ind w:left="1320"/>
    </w:pPr>
    <w:rPr>
      <w:rFonts w:cs="Angsana New"/>
      <w:lang w:eastAsia="zh-CN" w:bidi="th-TH"/>
    </w:rPr>
  </w:style>
  <w:style w:type="paragraph" w:styleId="TOC8">
    <w:name w:val="toc 8"/>
    <w:basedOn w:val="Normal"/>
    <w:next w:val="Normal"/>
    <w:autoRedefine/>
    <w:uiPriority w:val="39"/>
    <w:rsid w:val="00086A62"/>
    <w:pPr>
      <w:spacing w:after="140" w:line="280" w:lineRule="atLeast"/>
      <w:ind w:left="1540"/>
    </w:pPr>
    <w:rPr>
      <w:rFonts w:cs="Angsana New"/>
      <w:lang w:eastAsia="zh-CN" w:bidi="th-TH"/>
    </w:rPr>
  </w:style>
  <w:style w:type="paragraph" w:styleId="TOC9">
    <w:name w:val="toc 9"/>
    <w:basedOn w:val="Normal"/>
    <w:next w:val="Normal"/>
    <w:autoRedefine/>
    <w:uiPriority w:val="39"/>
    <w:rsid w:val="00086A62"/>
    <w:pPr>
      <w:spacing w:after="140" w:line="280" w:lineRule="atLeast"/>
      <w:ind w:left="1760"/>
    </w:pPr>
    <w:rPr>
      <w:rFonts w:cs="Angsana New"/>
      <w:lang w:eastAsia="zh-CN" w:bidi="th-TH"/>
    </w:rPr>
  </w:style>
  <w:style w:type="paragraph" w:customStyle="1" w:styleId="MENoIndent1">
    <w:name w:val="ME NoIndent 1"/>
    <w:basedOn w:val="Normal"/>
    <w:rsid w:val="00086A62"/>
    <w:pPr>
      <w:numPr>
        <w:numId w:val="20"/>
      </w:numPr>
    </w:pPr>
    <w:rPr>
      <w:rFonts w:eastAsia="SimSun" w:cs="Angsana New"/>
      <w:lang w:eastAsia="zh-CN" w:bidi="th-TH"/>
    </w:rPr>
  </w:style>
  <w:style w:type="paragraph" w:customStyle="1" w:styleId="MENoIndent2">
    <w:name w:val="ME NoIndent 2"/>
    <w:basedOn w:val="Normal"/>
    <w:rsid w:val="00086A62"/>
    <w:pPr>
      <w:numPr>
        <w:ilvl w:val="1"/>
        <w:numId w:val="20"/>
      </w:numPr>
    </w:pPr>
    <w:rPr>
      <w:rFonts w:eastAsia="SimSun" w:cs="Angsana New"/>
      <w:lang w:eastAsia="zh-CN" w:bidi="th-TH"/>
    </w:rPr>
  </w:style>
  <w:style w:type="paragraph" w:customStyle="1" w:styleId="MENoIndent3">
    <w:name w:val="ME NoIndent 3"/>
    <w:basedOn w:val="Normal"/>
    <w:rsid w:val="00086A62"/>
    <w:pPr>
      <w:numPr>
        <w:ilvl w:val="2"/>
        <w:numId w:val="20"/>
      </w:numPr>
    </w:pPr>
    <w:rPr>
      <w:rFonts w:eastAsia="SimSun" w:cs="Angsana New"/>
      <w:lang w:eastAsia="zh-CN" w:bidi="th-TH"/>
    </w:rPr>
  </w:style>
  <w:style w:type="paragraph" w:customStyle="1" w:styleId="MENoIndent4">
    <w:name w:val="ME NoIndent 4"/>
    <w:basedOn w:val="Normal"/>
    <w:rsid w:val="00086A62"/>
    <w:pPr>
      <w:numPr>
        <w:ilvl w:val="3"/>
        <w:numId w:val="20"/>
      </w:numPr>
    </w:pPr>
    <w:rPr>
      <w:rFonts w:eastAsia="SimSun" w:cs="Angsana New"/>
      <w:lang w:eastAsia="zh-CN" w:bidi="th-TH"/>
    </w:rPr>
  </w:style>
  <w:style w:type="paragraph" w:customStyle="1" w:styleId="MENoIndent5">
    <w:name w:val="ME NoIndent 5"/>
    <w:basedOn w:val="Normal"/>
    <w:rsid w:val="00086A62"/>
    <w:pPr>
      <w:numPr>
        <w:ilvl w:val="4"/>
        <w:numId w:val="20"/>
      </w:numPr>
    </w:pPr>
    <w:rPr>
      <w:rFonts w:eastAsia="SimSun" w:cs="Angsana New"/>
      <w:lang w:eastAsia="zh-CN" w:bidi="th-TH"/>
    </w:rPr>
  </w:style>
  <w:style w:type="paragraph" w:customStyle="1" w:styleId="MENoIndent6">
    <w:name w:val="ME NoIndent 6"/>
    <w:basedOn w:val="Normal"/>
    <w:rsid w:val="00086A62"/>
    <w:pPr>
      <w:numPr>
        <w:ilvl w:val="5"/>
        <w:numId w:val="20"/>
      </w:numPr>
    </w:pPr>
    <w:rPr>
      <w:rFonts w:eastAsia="SimSun" w:cs="Angsana New"/>
      <w:lang w:eastAsia="zh-CN" w:bidi="th-TH"/>
    </w:rPr>
  </w:style>
  <w:style w:type="paragraph" w:customStyle="1" w:styleId="MENumber1">
    <w:name w:val="ME Number 1"/>
    <w:basedOn w:val="Normal"/>
    <w:rsid w:val="00086A62"/>
    <w:pPr>
      <w:numPr>
        <w:numId w:val="21"/>
      </w:numPr>
      <w:spacing w:after="240"/>
    </w:pPr>
    <w:rPr>
      <w:rFonts w:eastAsia="SimSun" w:cs="Angsana New"/>
      <w:lang w:eastAsia="zh-CN" w:bidi="th-TH"/>
    </w:rPr>
  </w:style>
  <w:style w:type="paragraph" w:customStyle="1" w:styleId="MENumber2">
    <w:name w:val="ME Number 2"/>
    <w:basedOn w:val="Normal"/>
    <w:rsid w:val="00086A62"/>
    <w:pPr>
      <w:numPr>
        <w:ilvl w:val="1"/>
        <w:numId w:val="21"/>
      </w:numPr>
      <w:spacing w:after="240"/>
    </w:pPr>
    <w:rPr>
      <w:rFonts w:eastAsia="SimSun" w:cs="Angsana New"/>
      <w:lang w:eastAsia="zh-CN" w:bidi="th-TH"/>
    </w:rPr>
  </w:style>
  <w:style w:type="paragraph" w:customStyle="1" w:styleId="MENumber3">
    <w:name w:val="ME Number 3"/>
    <w:basedOn w:val="Normal"/>
    <w:rsid w:val="00086A62"/>
    <w:pPr>
      <w:numPr>
        <w:ilvl w:val="2"/>
        <w:numId w:val="21"/>
      </w:numPr>
      <w:spacing w:after="240"/>
    </w:pPr>
    <w:rPr>
      <w:rFonts w:eastAsia="SimSun" w:cs="Angsana New"/>
      <w:lang w:eastAsia="zh-CN" w:bidi="th-TH"/>
    </w:rPr>
  </w:style>
  <w:style w:type="paragraph" w:customStyle="1" w:styleId="MENumber4">
    <w:name w:val="ME Number 4"/>
    <w:basedOn w:val="Normal"/>
    <w:rsid w:val="00086A62"/>
    <w:pPr>
      <w:numPr>
        <w:ilvl w:val="3"/>
        <w:numId w:val="21"/>
      </w:numPr>
      <w:spacing w:after="240"/>
    </w:pPr>
    <w:rPr>
      <w:rFonts w:eastAsia="SimSun" w:cs="Angsana New"/>
      <w:lang w:eastAsia="zh-CN" w:bidi="th-TH"/>
    </w:rPr>
  </w:style>
  <w:style w:type="paragraph" w:customStyle="1" w:styleId="MENumber5">
    <w:name w:val="ME Number 5"/>
    <w:basedOn w:val="Normal"/>
    <w:rsid w:val="00086A62"/>
    <w:pPr>
      <w:numPr>
        <w:ilvl w:val="4"/>
        <w:numId w:val="21"/>
      </w:numPr>
      <w:spacing w:after="240"/>
    </w:pPr>
    <w:rPr>
      <w:rFonts w:eastAsia="SimSun" w:cs="Angsana New"/>
      <w:lang w:eastAsia="zh-CN" w:bidi="th-TH"/>
    </w:rPr>
  </w:style>
  <w:style w:type="paragraph" w:customStyle="1" w:styleId="MENumber6">
    <w:name w:val="ME Number 6"/>
    <w:basedOn w:val="Normal"/>
    <w:rsid w:val="00086A62"/>
    <w:pPr>
      <w:numPr>
        <w:ilvl w:val="5"/>
        <w:numId w:val="21"/>
      </w:numPr>
      <w:spacing w:after="240"/>
    </w:pPr>
    <w:rPr>
      <w:rFonts w:eastAsia="SimSun" w:cs="Angsana New"/>
      <w:lang w:eastAsia="zh-CN" w:bidi="th-TH"/>
    </w:rPr>
  </w:style>
  <w:style w:type="character" w:customStyle="1" w:styleId="ScheduleL2Char">
    <w:name w:val="Schedule L2 Char"/>
    <w:link w:val="ScheduleL2"/>
    <w:rsid w:val="00086A62"/>
    <w:rPr>
      <w:rFonts w:ascii="Arial" w:eastAsiaTheme="minorHAnsi" w:hAnsi="Arial" w:cs="Angsana New"/>
      <w:spacing w:val="-10"/>
      <w:w w:val="95"/>
      <w:kern w:val="2"/>
      <w:sz w:val="32"/>
      <w:szCs w:val="32"/>
      <w:lang w:val="en-AU" w:eastAsia="zh-CN" w:bidi="th-TH"/>
      <w14:ligatures w14:val="standardContextual"/>
    </w:rPr>
  </w:style>
  <w:style w:type="character" w:customStyle="1" w:styleId="MESubheadingChar">
    <w:name w:val="ME Sub heading Char"/>
    <w:link w:val="MESubheading"/>
    <w:rsid w:val="00086A62"/>
    <w:rPr>
      <w:rFonts w:ascii="Arial" w:eastAsia="Times New Roman" w:hAnsi="Arial" w:cs="Angsana New"/>
      <w:spacing w:val="-10"/>
      <w:w w:val="95"/>
      <w:sz w:val="40"/>
      <w:szCs w:val="40"/>
      <w:lang w:val="en-AU" w:eastAsia="zh-CN" w:bidi="th-TH"/>
    </w:rPr>
  </w:style>
  <w:style w:type="paragraph" w:customStyle="1" w:styleId="IndentA">
    <w:name w:val="IndentA"/>
    <w:basedOn w:val="Normal"/>
    <w:rsid w:val="00086A62"/>
    <w:pPr>
      <w:numPr>
        <w:numId w:val="24"/>
      </w:numPr>
      <w:spacing w:after="240"/>
    </w:pPr>
    <w:rPr>
      <w:rFonts w:ascii="Univers" w:hAnsi="Univers"/>
      <w:lang w:eastAsia="en-AU"/>
    </w:rPr>
  </w:style>
  <w:style w:type="paragraph" w:customStyle="1" w:styleId="Heading">
    <w:name w:val="Heading"/>
    <w:basedOn w:val="Normal"/>
    <w:rsid w:val="00086A62"/>
    <w:pPr>
      <w:keepLines/>
      <w:numPr>
        <w:numId w:val="22"/>
      </w:num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after="300"/>
      <w:jc w:val="center"/>
    </w:pPr>
    <w:rPr>
      <w:rFonts w:ascii="Arial" w:hAnsi="Arial" w:cs="Arial"/>
      <w:b/>
      <w:bCs/>
      <w:caps/>
      <w:u w:val="single"/>
      <w:lang w:val="en-US"/>
    </w:rPr>
  </w:style>
  <w:style w:type="character" w:customStyle="1" w:styleId="MEBasic1Char">
    <w:name w:val="ME Basic 1 Char"/>
    <w:link w:val="MEBasic1"/>
    <w:rsid w:val="00086A62"/>
    <w:rPr>
      <w:rFonts w:ascii="Times New Roman" w:eastAsia="Times New Roman" w:hAnsi="Times New Roman" w:cs="Angsana New"/>
      <w:sz w:val="22"/>
      <w:szCs w:val="22"/>
      <w:lang w:val="en-AU" w:eastAsia="zh-CN" w:bidi="th-TH"/>
    </w:rPr>
  </w:style>
  <w:style w:type="paragraph" w:customStyle="1" w:styleId="Table10">
    <w:name w:val="Table10"/>
    <w:basedOn w:val="Normal"/>
    <w:rsid w:val="00086A62"/>
    <w:rPr>
      <w:rFonts w:ascii="Arial" w:hAnsi="Arial"/>
      <w:color w:val="FF00FF"/>
    </w:rPr>
  </w:style>
  <w:style w:type="character" w:customStyle="1" w:styleId="MELegal2Char">
    <w:name w:val="ME Legal 2 Char"/>
    <w:link w:val="MELegal2"/>
    <w:rsid w:val="00086A62"/>
    <w:rPr>
      <w:rFonts w:ascii="Arial" w:eastAsia="Times New Roman" w:hAnsi="Arial" w:cs="Angsana New"/>
      <w:b/>
      <w:bCs/>
      <w:w w:val="95"/>
      <w:sz w:val="24"/>
      <w:szCs w:val="24"/>
      <w:lang w:val="en-AU" w:eastAsia="zh-CN" w:bidi="th-TH"/>
    </w:rPr>
  </w:style>
  <w:style w:type="paragraph" w:customStyle="1" w:styleId="MELegal7">
    <w:name w:val="ME Legal 7"/>
    <w:basedOn w:val="Normal"/>
    <w:next w:val="Normal"/>
    <w:rsid w:val="00086A62"/>
    <w:pPr>
      <w:tabs>
        <w:tab w:val="num" w:pos="5103"/>
      </w:tabs>
      <w:spacing w:after="240" w:line="300" w:lineRule="atLeast"/>
      <w:ind w:left="5103" w:hanging="850"/>
      <w:outlineLvl w:val="6"/>
    </w:pPr>
    <w:rPr>
      <w:rFonts w:eastAsia="Times"/>
      <w:lang w:eastAsia="zh-CN"/>
    </w:rPr>
  </w:style>
  <w:style w:type="character" w:customStyle="1" w:styleId="ListBulletChar">
    <w:name w:val="List Bullet Char"/>
    <w:aliases w:val="l Char,list no space after Char,(NECG) List Bullet Char,*List Bullet Char,lb Char,l1 Char,ME Legal 1 Char"/>
    <w:link w:val="ListBullet"/>
    <w:rsid w:val="00086A62"/>
    <w:rPr>
      <w:rFonts w:eastAsiaTheme="minorHAnsi"/>
      <w:kern w:val="2"/>
      <w:sz w:val="22"/>
      <w:szCs w:val="22"/>
      <w:lang w:val="en-AU"/>
      <w14:ligatures w14:val="standardContextual"/>
    </w:rPr>
  </w:style>
  <w:style w:type="paragraph" w:styleId="Revision">
    <w:name w:val="Revision"/>
    <w:hidden/>
    <w:uiPriority w:val="99"/>
    <w:semiHidden/>
    <w:rsid w:val="00086A62"/>
    <w:pPr>
      <w:spacing w:after="0" w:line="240" w:lineRule="auto"/>
      <w:jc w:val="left"/>
    </w:pPr>
    <w:rPr>
      <w:rFonts w:ascii="Times New Roman" w:eastAsia="Times New Roman" w:hAnsi="Times New Roman" w:cs="Angsana New"/>
      <w:sz w:val="22"/>
      <w:szCs w:val="28"/>
      <w:lang w:val="en-AU" w:eastAsia="zh-CN" w:bidi="th-TH"/>
    </w:rPr>
  </w:style>
  <w:style w:type="table" w:customStyle="1" w:styleId="TableGrid120">
    <w:name w:val="Table Grid12"/>
    <w:basedOn w:val="TableNormal"/>
    <w:next w:val="TableGrid"/>
    <w:uiPriority w:val="59"/>
    <w:rsid w:val="00086A62"/>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HHeading2">
    <w:name w:val="EH Heading 2"/>
    <w:basedOn w:val="Heading2"/>
    <w:rsid w:val="00086A62"/>
    <w:pPr>
      <w:keepNext/>
      <w:tabs>
        <w:tab w:val="clear" w:pos="680"/>
        <w:tab w:val="num" w:pos="950"/>
        <w:tab w:val="left" w:pos="1134"/>
        <w:tab w:val="num" w:pos="1361"/>
      </w:tabs>
      <w:spacing w:before="480" w:after="120" w:line="320" w:lineRule="atLeast"/>
      <w:ind w:left="950" w:hanging="681"/>
    </w:pPr>
    <w:rPr>
      <w:rFonts w:ascii="Verdana" w:hAnsi="Verdana" w:cs="Arial"/>
      <w:bCs/>
      <w:smallCaps w:val="0"/>
      <w:spacing w:val="0"/>
      <w:szCs w:val="26"/>
    </w:rPr>
  </w:style>
  <w:style w:type="paragraph" w:customStyle="1" w:styleId="EHHeading4">
    <w:name w:val="EH Heading 4"/>
    <w:basedOn w:val="Heading3"/>
    <w:rsid w:val="00086A62"/>
    <w:pPr>
      <w:keepNext/>
      <w:tabs>
        <w:tab w:val="clear" w:pos="680"/>
        <w:tab w:val="left" w:pos="1134"/>
        <w:tab w:val="num" w:pos="2041"/>
      </w:tabs>
      <w:spacing w:before="480" w:after="120" w:line="320" w:lineRule="atLeast"/>
      <w:ind w:left="2041"/>
    </w:pPr>
    <w:rPr>
      <w:rFonts w:ascii="Verdana" w:hAnsi="Verdana"/>
      <w:b/>
      <w:bCs/>
      <w:smallCaps w:val="0"/>
      <w:spacing w:val="0"/>
      <w:szCs w:val="28"/>
    </w:rPr>
  </w:style>
  <w:style w:type="paragraph" w:customStyle="1" w:styleId="MOTermsL1">
    <w:name w:val="MO Terms (L1)"/>
    <w:basedOn w:val="Normal"/>
    <w:next w:val="Normal"/>
    <w:uiPriority w:val="5"/>
    <w:qFormat/>
    <w:rsid w:val="00086A62"/>
    <w:pPr>
      <w:keepNext/>
      <w:numPr>
        <w:numId w:val="25"/>
      </w:numPr>
      <w:pBdr>
        <w:bottom w:val="single" w:sz="4" w:space="0" w:color="auto"/>
      </w:pBdr>
      <w:spacing w:before="240"/>
      <w:outlineLvl w:val="0"/>
    </w:pPr>
    <w:rPr>
      <w:rFonts w:ascii="Arial" w:hAnsi="Arial"/>
      <w:b/>
      <w:sz w:val="28"/>
      <w:lang w:eastAsia="en-AU"/>
    </w:rPr>
  </w:style>
  <w:style w:type="paragraph" w:customStyle="1" w:styleId="MOTermsL2">
    <w:name w:val="MO Terms (L2)"/>
    <w:basedOn w:val="Normal"/>
    <w:next w:val="Normal"/>
    <w:uiPriority w:val="5"/>
    <w:qFormat/>
    <w:rsid w:val="00086A62"/>
    <w:pPr>
      <w:keepNext/>
      <w:numPr>
        <w:ilvl w:val="1"/>
        <w:numId w:val="25"/>
      </w:numPr>
      <w:outlineLvl w:val="1"/>
    </w:pPr>
    <w:rPr>
      <w:rFonts w:ascii="Arial" w:hAnsi="Arial"/>
      <w:b/>
      <w:lang w:eastAsia="en-AU"/>
    </w:rPr>
  </w:style>
  <w:style w:type="paragraph" w:customStyle="1" w:styleId="MOTermsL4">
    <w:name w:val="MO Terms (L4)"/>
    <w:basedOn w:val="Normal"/>
    <w:uiPriority w:val="5"/>
    <w:qFormat/>
    <w:rsid w:val="00086A62"/>
    <w:pPr>
      <w:numPr>
        <w:ilvl w:val="3"/>
        <w:numId w:val="25"/>
      </w:numPr>
      <w:outlineLvl w:val="3"/>
    </w:pPr>
    <w:rPr>
      <w:rFonts w:ascii="Arial" w:hAnsi="Arial"/>
      <w:lang w:eastAsia="en-AU"/>
    </w:rPr>
  </w:style>
  <w:style w:type="paragraph" w:customStyle="1" w:styleId="MOTermsL5">
    <w:name w:val="MO Terms (L5)"/>
    <w:basedOn w:val="Normal"/>
    <w:uiPriority w:val="5"/>
    <w:qFormat/>
    <w:rsid w:val="00086A62"/>
    <w:pPr>
      <w:numPr>
        <w:ilvl w:val="4"/>
        <w:numId w:val="25"/>
      </w:numPr>
    </w:pPr>
    <w:rPr>
      <w:rFonts w:ascii="Arial" w:hAnsi="Arial"/>
      <w:lang w:eastAsia="en-AU"/>
    </w:rPr>
  </w:style>
  <w:style w:type="paragraph" w:customStyle="1" w:styleId="MOTermsL6">
    <w:name w:val="MO Terms (L6)"/>
    <w:basedOn w:val="Normal"/>
    <w:uiPriority w:val="5"/>
    <w:qFormat/>
    <w:rsid w:val="00086A62"/>
    <w:pPr>
      <w:numPr>
        <w:ilvl w:val="5"/>
        <w:numId w:val="25"/>
      </w:numPr>
    </w:pPr>
    <w:rPr>
      <w:rFonts w:ascii="Arial" w:hAnsi="Arial"/>
      <w:lang w:eastAsia="en-AU"/>
    </w:rPr>
  </w:style>
  <w:style w:type="paragraph" w:customStyle="1" w:styleId="MOTermsL7">
    <w:name w:val="MO Terms (L7)"/>
    <w:basedOn w:val="Normal"/>
    <w:uiPriority w:val="5"/>
    <w:qFormat/>
    <w:rsid w:val="00086A62"/>
    <w:pPr>
      <w:numPr>
        <w:ilvl w:val="6"/>
        <w:numId w:val="25"/>
      </w:numPr>
    </w:pPr>
    <w:rPr>
      <w:rFonts w:ascii="Arial" w:hAnsi="Arial"/>
      <w:lang w:eastAsia="en-AU"/>
    </w:rPr>
  </w:style>
  <w:style w:type="paragraph" w:customStyle="1" w:styleId="MOTermsL8">
    <w:name w:val="MO Terms (L8)"/>
    <w:basedOn w:val="Normal"/>
    <w:uiPriority w:val="5"/>
    <w:qFormat/>
    <w:rsid w:val="00086A62"/>
    <w:pPr>
      <w:numPr>
        <w:ilvl w:val="7"/>
        <w:numId w:val="25"/>
      </w:numPr>
    </w:pPr>
    <w:rPr>
      <w:rFonts w:ascii="Arial" w:hAnsi="Arial"/>
      <w:lang w:eastAsia="en-AU"/>
    </w:rPr>
  </w:style>
  <w:style w:type="paragraph" w:customStyle="1" w:styleId="MOTermsL9">
    <w:name w:val="MO Terms (L9)"/>
    <w:basedOn w:val="Normal"/>
    <w:uiPriority w:val="5"/>
    <w:qFormat/>
    <w:rsid w:val="00086A62"/>
    <w:pPr>
      <w:numPr>
        <w:ilvl w:val="8"/>
        <w:numId w:val="25"/>
      </w:numPr>
    </w:pPr>
    <w:rPr>
      <w:rFonts w:ascii="Arial" w:hAnsi="Arial"/>
      <w:lang w:eastAsia="en-AU"/>
    </w:rPr>
  </w:style>
  <w:style w:type="table" w:customStyle="1" w:styleId="TableGrid61">
    <w:name w:val="Table Grid61"/>
    <w:basedOn w:val="TableNormal"/>
    <w:next w:val="TableGrid"/>
    <w:rsid w:val="00C97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E3C20"/>
    <w:pPr>
      <w:spacing w:after="0" w:line="240" w:lineRule="auto"/>
      <w:jc w:val="left"/>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4C78"/>
    <w:pPr>
      <w:spacing w:after="0" w:line="240" w:lineRule="auto"/>
      <w:jc w:val="left"/>
    </w:pPr>
    <w:rPr>
      <w:sz w:val="22"/>
      <w:szCs w:val="22"/>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746F9"/>
    <w:pPr>
      <w:spacing w:after="0" w:line="240" w:lineRule="auto"/>
      <w:jc w:val="left"/>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G">
    <w:name w:val="Table SG"/>
    <w:basedOn w:val="TableNormal"/>
    <w:uiPriority w:val="99"/>
    <w:rsid w:val="0050120C"/>
    <w:pPr>
      <w:spacing w:after="0" w:line="240" w:lineRule="auto"/>
      <w:jc w:val="left"/>
    </w:pPr>
    <w:rPr>
      <w:rFonts w:ascii="Calibri" w:hAnsi="Calibri" w:cs="Times New Roman"/>
      <w:sz w:val="22"/>
      <w:szCs w:val="22"/>
      <w:lang w:val="en-AU" w:eastAsia="en-AU"/>
    </w:rPr>
    <w:tblPr>
      <w:jc w:val="center"/>
      <w:tblBorders>
        <w:top w:val="single" w:sz="12" w:space="0" w:color="00788A"/>
        <w:bottom w:val="single" w:sz="12" w:space="0" w:color="00788A"/>
      </w:tblBorders>
    </w:tblPr>
    <w:trPr>
      <w:cantSplit/>
      <w:jc w:val="center"/>
    </w:trPr>
    <w:tcPr>
      <w:shd w:val="clear" w:color="auto" w:fill="auto"/>
    </w:tcPr>
    <w:tblStylePr w:type="firstRow">
      <w:rPr>
        <w:rFonts w:ascii="Calibri" w:hAnsi="Calibri"/>
        <w:b/>
        <w:sz w:val="22"/>
      </w:rPr>
      <w:tblPr/>
      <w:tcPr>
        <w:tcBorders>
          <w:top w:val="single" w:sz="12" w:space="0" w:color="00788A"/>
          <w:left w:val="nil"/>
          <w:bottom w:val="single" w:sz="8" w:space="0" w:color="00788A"/>
          <w:right w:val="nil"/>
          <w:insideH w:val="nil"/>
          <w:insideV w:val="nil"/>
          <w:tl2br w:val="nil"/>
          <w:tr2bl w:val="nil"/>
        </w:tcBorders>
        <w:shd w:val="clear" w:color="auto" w:fill="BAD9E9"/>
      </w:tcPr>
    </w:tblStylePr>
  </w:style>
  <w:style w:type="character" w:customStyle="1" w:styleId="ListParagraphChar">
    <w:name w:val="List Paragraph Char"/>
    <w:aliases w:val="numbered a Char,c Char,Bullet List Char"/>
    <w:basedOn w:val="DefaultParagraphFont"/>
    <w:link w:val="ListParagraph"/>
    <w:uiPriority w:val="34"/>
    <w:rsid w:val="0050120C"/>
    <w:rPr>
      <w:lang w:val="en-AU"/>
    </w:rPr>
  </w:style>
  <w:style w:type="paragraph" w:customStyle="1" w:styleId="ABodyText">
    <w:name w:val="A Body Text"/>
    <w:basedOn w:val="TOCHeading"/>
    <w:qFormat/>
    <w:rsid w:val="00871758"/>
    <w:pPr>
      <w:keepNext/>
      <w:keepLines/>
      <w:spacing w:before="0" w:after="120" w:line="276" w:lineRule="auto"/>
      <w:jc w:val="both"/>
    </w:pPr>
    <w:rPr>
      <w:rFonts w:ascii="Arial" w:eastAsiaTheme="majorEastAsia" w:hAnsi="Arial" w:cstheme="minorHAnsi"/>
      <w:b w:val="0"/>
      <w:bCs/>
      <w:smallCaps w:val="0"/>
      <w:color w:val="auto"/>
      <w:spacing w:val="0"/>
      <w:sz w:val="22"/>
      <w:szCs w:val="28"/>
      <w:lang w:val="en-US" w:bidi="ar-SA"/>
    </w:rPr>
  </w:style>
  <w:style w:type="character" w:customStyle="1" w:styleId="UnresolvedMention1">
    <w:name w:val="Unresolved Mention1"/>
    <w:basedOn w:val="DefaultParagraphFont"/>
    <w:rsid w:val="00100E2A"/>
    <w:rPr>
      <w:color w:val="605E5C"/>
      <w:shd w:val="clear" w:color="auto" w:fill="E1DFDD"/>
    </w:rPr>
  </w:style>
  <w:style w:type="table" w:customStyle="1" w:styleId="TableGrid16">
    <w:name w:val="Table Grid16"/>
    <w:basedOn w:val="TableNormal"/>
    <w:next w:val="TableGrid"/>
    <w:uiPriority w:val="39"/>
    <w:rsid w:val="00263E1C"/>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1067D"/>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7F323F"/>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E53A3"/>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F46EBB"/>
    <w:pPr>
      <w:spacing w:after="0" w:line="240" w:lineRule="auto"/>
      <w:jc w:val="left"/>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
    <w:name w:val="HEADINGS"/>
    <w:basedOn w:val="TOCHeading"/>
    <w:qFormat/>
    <w:rsid w:val="00AC2DEB"/>
    <w:pPr>
      <w:tabs>
        <w:tab w:val="right" w:pos="8730"/>
      </w:tabs>
      <w:spacing w:before="240" w:after="120"/>
    </w:pPr>
    <w:rPr>
      <w:rFonts w:ascii="Arial" w:hAnsi="Arial" w:cs="Arial"/>
      <w:color w:val="233C6F"/>
      <w:sz w:val="36"/>
      <w:szCs w:val="40"/>
    </w:rPr>
  </w:style>
  <w:style w:type="paragraph" w:customStyle="1" w:styleId="SUBHEAD2">
    <w:name w:val="SUBHEAD_2"/>
    <w:basedOn w:val="Heading4"/>
    <w:qFormat/>
    <w:rsid w:val="00435782"/>
    <w:pPr>
      <w:ind w:left="0" w:firstLine="0"/>
    </w:pPr>
    <w:rPr>
      <w:rFonts w:ascii="Arial" w:hAnsi="Arial" w:cs="Arial"/>
      <w:b/>
      <w:color w:val="17375D"/>
    </w:rPr>
  </w:style>
  <w:style w:type="paragraph" w:customStyle="1" w:styleId="SUBHEAD1">
    <w:name w:val="SUBHEAD_1"/>
    <w:basedOn w:val="Heading2"/>
    <w:qFormat/>
    <w:rsid w:val="00E26EEB"/>
    <w:pPr>
      <w:ind w:left="0" w:firstLine="0"/>
    </w:pPr>
    <w:rPr>
      <w:rFonts w:ascii="Arial" w:hAnsi="Arial" w:cs="Arial"/>
      <w:color w:val="0081B8"/>
      <w:sz w:val="24"/>
      <w:szCs w:val="24"/>
    </w:rPr>
  </w:style>
  <w:style w:type="paragraph" w:customStyle="1" w:styleId="Subhead3">
    <w:name w:val="Subhead 3"/>
    <w:basedOn w:val="Normal"/>
    <w:qFormat/>
    <w:rsid w:val="00435782"/>
    <w:rPr>
      <w:rFonts w:ascii="Arial" w:hAnsi="Arial"/>
      <w:b/>
      <w:color w:val="17375D"/>
      <w:sz w:val="20"/>
    </w:rPr>
  </w:style>
  <w:style w:type="paragraph" w:styleId="BalloonText">
    <w:name w:val="Balloon Text"/>
    <w:basedOn w:val="Normal"/>
    <w:link w:val="BalloonTextChar"/>
    <w:uiPriority w:val="99"/>
    <w:semiHidden/>
    <w:unhideWhenUsed/>
    <w:rsid w:val="003E4A9A"/>
    <w:rPr>
      <w:sz w:val="18"/>
      <w:szCs w:val="18"/>
    </w:rPr>
  </w:style>
  <w:style w:type="character" w:customStyle="1" w:styleId="BalloonTextChar">
    <w:name w:val="Balloon Text Char"/>
    <w:basedOn w:val="DefaultParagraphFont"/>
    <w:link w:val="BalloonText"/>
    <w:uiPriority w:val="99"/>
    <w:semiHidden/>
    <w:rsid w:val="003E4A9A"/>
    <w:rPr>
      <w:rFonts w:ascii="Times New Roman" w:hAnsi="Times New Roman" w:cs="Times New Roman"/>
      <w:sz w:val="18"/>
      <w:szCs w:val="18"/>
      <w:lang w:val="en-AU"/>
    </w:rPr>
  </w:style>
  <w:style w:type="paragraph" w:styleId="Caption">
    <w:name w:val="caption"/>
    <w:basedOn w:val="Normal"/>
    <w:next w:val="Normal"/>
    <w:unhideWhenUsed/>
    <w:qFormat/>
    <w:rsid w:val="00E67954"/>
    <w:pPr>
      <w:spacing w:after="200"/>
    </w:pPr>
    <w:rPr>
      <w:i/>
      <w:iCs/>
      <w:color w:val="1F497D" w:themeColor="text2"/>
      <w:sz w:val="18"/>
      <w:szCs w:val="18"/>
    </w:rPr>
  </w:style>
  <w:style w:type="table" w:customStyle="1" w:styleId="TableGrid22">
    <w:name w:val="Table Grid22"/>
    <w:basedOn w:val="TableNormal"/>
    <w:next w:val="TableGrid"/>
    <w:uiPriority w:val="39"/>
    <w:rsid w:val="00DF6EC0"/>
    <w:pPr>
      <w:spacing w:after="0" w:line="240" w:lineRule="auto"/>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DF6EC0"/>
    <w:pPr>
      <w:spacing w:after="0" w:line="240" w:lineRule="auto"/>
      <w:jc w:val="left"/>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E56224"/>
    <w:pPr>
      <w:spacing w:after="0" w:line="240" w:lineRule="auto"/>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D3D8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24">
    <w:name w:val="Table Grid24"/>
    <w:basedOn w:val="TableNormal"/>
    <w:next w:val="TableGrid"/>
    <w:uiPriority w:val="39"/>
    <w:rsid w:val="00A31C95"/>
    <w:pPr>
      <w:spacing w:after="0" w:line="240" w:lineRule="auto"/>
      <w:jc w:val="left"/>
    </w:pPr>
    <w:rPr>
      <w:rFonts w:eastAsia="Calibri"/>
      <w:kern w:val="2"/>
      <w:sz w:val="24"/>
      <w:szCs w:val="24"/>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301087"/>
    <w:rPr>
      <w:sz w:val="20"/>
    </w:rPr>
  </w:style>
  <w:style w:type="character" w:customStyle="1" w:styleId="CommentTextChar">
    <w:name w:val="Comment Text Char"/>
    <w:basedOn w:val="DefaultParagraphFont"/>
    <w:link w:val="CommentText"/>
    <w:uiPriority w:val="99"/>
    <w:rsid w:val="00301087"/>
    <w:rPr>
      <w:rFonts w:eastAsiaTheme="minorHAnsi"/>
      <w:kern w:val="2"/>
      <w:lang w:val="en-AU"/>
      <w14:ligatures w14:val="standardContextual"/>
    </w:rPr>
  </w:style>
  <w:style w:type="character" w:styleId="CommentReference">
    <w:name w:val="annotation reference"/>
    <w:basedOn w:val="DefaultParagraphFont"/>
    <w:uiPriority w:val="99"/>
    <w:semiHidden/>
    <w:unhideWhenUsed/>
    <w:rsid w:val="00301087"/>
    <w:rPr>
      <w:sz w:val="16"/>
      <w:szCs w:val="16"/>
    </w:rPr>
  </w:style>
  <w:style w:type="paragraph" w:styleId="CommentSubject">
    <w:name w:val="annotation subject"/>
    <w:basedOn w:val="CommentText"/>
    <w:next w:val="CommentText"/>
    <w:link w:val="CommentSubjectChar"/>
    <w:uiPriority w:val="99"/>
    <w:semiHidden/>
    <w:unhideWhenUsed/>
    <w:rsid w:val="003551BD"/>
    <w:pPr>
      <w:spacing w:before="120" w:after="120"/>
      <w:jc w:val="both"/>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3551BD"/>
    <w:rPr>
      <w:rFonts w:eastAsiaTheme="minorHAnsi"/>
      <w:b/>
      <w:bCs/>
      <w:kern w:val="2"/>
      <w:lang w:val="en-AU"/>
      <w14:ligatures w14:val="standardContextual"/>
    </w:rPr>
  </w:style>
  <w:style w:type="paragraph" w:customStyle="1" w:styleId="Default">
    <w:name w:val="Default"/>
    <w:rsid w:val="00E267D3"/>
    <w:pPr>
      <w:autoSpaceDE w:val="0"/>
      <w:autoSpaceDN w:val="0"/>
      <w:adjustRightInd w:val="0"/>
      <w:spacing w:after="0" w:line="240" w:lineRule="auto"/>
      <w:jc w:val="left"/>
    </w:pPr>
    <w:rPr>
      <w:rFonts w:ascii="Calibri" w:hAnsi="Calibri" w:cs="Calibri"/>
      <w:color w:val="000000"/>
      <w:sz w:val="24"/>
      <w:szCs w:val="24"/>
      <w:lang w:val="en-AU"/>
    </w:rPr>
  </w:style>
  <w:style w:type="character" w:customStyle="1" w:styleId="normaltextrun">
    <w:name w:val="normaltextrun"/>
    <w:basedOn w:val="DefaultParagraphFont"/>
    <w:rsid w:val="00035362"/>
  </w:style>
  <w:style w:type="paragraph" w:customStyle="1" w:styleId="paragraph">
    <w:name w:val="paragraph"/>
    <w:basedOn w:val="Normal"/>
    <w:rsid w:val="00707AC6"/>
    <w:pPr>
      <w:spacing w:before="100" w:beforeAutospacing="1" w:after="100" w:afterAutospacing="1"/>
    </w:pPr>
  </w:style>
  <w:style w:type="character" w:customStyle="1" w:styleId="eop">
    <w:name w:val="eop"/>
    <w:basedOn w:val="DefaultParagraphFont"/>
    <w:rsid w:val="00707AC6"/>
  </w:style>
  <w:style w:type="character" w:customStyle="1" w:styleId="UnresolvedMention2">
    <w:name w:val="Unresolved Mention2"/>
    <w:basedOn w:val="DefaultParagraphFont"/>
    <w:uiPriority w:val="99"/>
    <w:semiHidden/>
    <w:unhideWhenUsed/>
    <w:rsid w:val="008C45E2"/>
    <w:rPr>
      <w:color w:val="605E5C"/>
      <w:shd w:val="clear" w:color="auto" w:fill="E1DFDD"/>
    </w:rPr>
  </w:style>
  <w:style w:type="character" w:customStyle="1" w:styleId="superscript">
    <w:name w:val="superscript"/>
    <w:basedOn w:val="DefaultParagraphFont"/>
    <w:rsid w:val="0017070D"/>
  </w:style>
  <w:style w:type="character" w:customStyle="1" w:styleId="apple-converted-space">
    <w:name w:val="apple-converted-space"/>
    <w:basedOn w:val="DefaultParagraphFont"/>
    <w:rsid w:val="00CB30C4"/>
  </w:style>
  <w:style w:type="numbering" w:customStyle="1" w:styleId="CurrentList1">
    <w:name w:val="Current List1"/>
    <w:uiPriority w:val="99"/>
    <w:rsid w:val="008C0FAE"/>
    <w:pPr>
      <w:numPr>
        <w:numId w:val="34"/>
      </w:numPr>
    </w:pPr>
  </w:style>
  <w:style w:type="numbering" w:customStyle="1" w:styleId="CurrentList2">
    <w:name w:val="Current List2"/>
    <w:uiPriority w:val="99"/>
    <w:rsid w:val="008C0FAE"/>
    <w:pPr>
      <w:numPr>
        <w:numId w:val="35"/>
      </w:numPr>
    </w:pPr>
  </w:style>
  <w:style w:type="numbering" w:customStyle="1" w:styleId="CurrentList3">
    <w:name w:val="Current List3"/>
    <w:uiPriority w:val="99"/>
    <w:rsid w:val="008C0FAE"/>
    <w:pPr>
      <w:numPr>
        <w:numId w:val="36"/>
      </w:numPr>
    </w:pPr>
  </w:style>
  <w:style w:type="numbering" w:customStyle="1" w:styleId="CurrentList4">
    <w:name w:val="Current List4"/>
    <w:uiPriority w:val="99"/>
    <w:rsid w:val="008C0FAE"/>
    <w:pPr>
      <w:numPr>
        <w:numId w:val="37"/>
      </w:numPr>
    </w:pPr>
  </w:style>
  <w:style w:type="numbering" w:customStyle="1" w:styleId="CurrentList5">
    <w:name w:val="Current List5"/>
    <w:uiPriority w:val="99"/>
    <w:rsid w:val="008C0FAE"/>
    <w:pPr>
      <w:numPr>
        <w:numId w:val="38"/>
      </w:numPr>
    </w:pPr>
  </w:style>
  <w:style w:type="numbering" w:customStyle="1" w:styleId="CurrentList6">
    <w:name w:val="Current List6"/>
    <w:uiPriority w:val="99"/>
    <w:rsid w:val="008C0FAE"/>
    <w:pPr>
      <w:numPr>
        <w:numId w:val="39"/>
      </w:numPr>
    </w:pPr>
  </w:style>
  <w:style w:type="numbering" w:customStyle="1" w:styleId="CurrentList7">
    <w:name w:val="Current List7"/>
    <w:uiPriority w:val="99"/>
    <w:rsid w:val="008C0FAE"/>
    <w:pPr>
      <w:numPr>
        <w:numId w:val="40"/>
      </w:numPr>
    </w:pPr>
  </w:style>
  <w:style w:type="paragraph" w:customStyle="1" w:styleId="2BulletStyleList">
    <w:name w:val="2. Bullet Style List"/>
    <w:basedOn w:val="Normal"/>
    <w:link w:val="2BulletStyleListChar"/>
    <w:autoRedefine/>
    <w:qFormat/>
    <w:rsid w:val="00173DB7"/>
    <w:pPr>
      <w:numPr>
        <w:numId w:val="41"/>
      </w:numPr>
      <w:spacing w:after="120"/>
    </w:pPr>
    <w:rPr>
      <w:szCs w:val="20"/>
      <w:lang w:eastAsia="en-AU"/>
    </w:rPr>
  </w:style>
  <w:style w:type="character" w:customStyle="1" w:styleId="2BulletStyleListChar">
    <w:name w:val="2. Bullet Style List Char"/>
    <w:basedOn w:val="DefaultParagraphFont"/>
    <w:link w:val="2BulletStyleList"/>
    <w:rsid w:val="00173DB7"/>
    <w:rPr>
      <w:rFonts w:eastAsiaTheme="minorHAnsi"/>
      <w:kern w:val="2"/>
      <w:sz w:val="22"/>
      <w:lang w:val="en-AU" w:eastAsia="en-AU"/>
      <w14:ligatures w14:val="standardContextual"/>
    </w:rPr>
  </w:style>
  <w:style w:type="table" w:styleId="GridTable1Light">
    <w:name w:val="Grid Table 1 Light"/>
    <w:basedOn w:val="TableNormal"/>
    <w:rsid w:val="00054A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531">
      <w:bodyDiv w:val="1"/>
      <w:marLeft w:val="0"/>
      <w:marRight w:val="0"/>
      <w:marTop w:val="0"/>
      <w:marBottom w:val="0"/>
      <w:divBdr>
        <w:top w:val="none" w:sz="0" w:space="0" w:color="auto"/>
        <w:left w:val="none" w:sz="0" w:space="0" w:color="auto"/>
        <w:bottom w:val="none" w:sz="0" w:space="0" w:color="auto"/>
        <w:right w:val="none" w:sz="0" w:space="0" w:color="auto"/>
      </w:divBdr>
    </w:div>
    <w:div w:id="30613190">
      <w:bodyDiv w:val="1"/>
      <w:marLeft w:val="0"/>
      <w:marRight w:val="0"/>
      <w:marTop w:val="0"/>
      <w:marBottom w:val="0"/>
      <w:divBdr>
        <w:top w:val="none" w:sz="0" w:space="0" w:color="auto"/>
        <w:left w:val="none" w:sz="0" w:space="0" w:color="auto"/>
        <w:bottom w:val="none" w:sz="0" w:space="0" w:color="auto"/>
        <w:right w:val="none" w:sz="0" w:space="0" w:color="auto"/>
      </w:divBdr>
    </w:div>
    <w:div w:id="52705600">
      <w:bodyDiv w:val="1"/>
      <w:marLeft w:val="0"/>
      <w:marRight w:val="0"/>
      <w:marTop w:val="0"/>
      <w:marBottom w:val="0"/>
      <w:divBdr>
        <w:top w:val="none" w:sz="0" w:space="0" w:color="auto"/>
        <w:left w:val="none" w:sz="0" w:space="0" w:color="auto"/>
        <w:bottom w:val="none" w:sz="0" w:space="0" w:color="auto"/>
        <w:right w:val="none" w:sz="0" w:space="0" w:color="auto"/>
      </w:divBdr>
    </w:div>
    <w:div w:id="69813529">
      <w:bodyDiv w:val="1"/>
      <w:marLeft w:val="0"/>
      <w:marRight w:val="0"/>
      <w:marTop w:val="0"/>
      <w:marBottom w:val="0"/>
      <w:divBdr>
        <w:top w:val="none" w:sz="0" w:space="0" w:color="auto"/>
        <w:left w:val="none" w:sz="0" w:space="0" w:color="auto"/>
        <w:bottom w:val="none" w:sz="0" w:space="0" w:color="auto"/>
        <w:right w:val="none" w:sz="0" w:space="0" w:color="auto"/>
      </w:divBdr>
      <w:divsChild>
        <w:div w:id="180750871">
          <w:marLeft w:val="274"/>
          <w:marRight w:val="0"/>
          <w:marTop w:val="0"/>
          <w:marBottom w:val="0"/>
          <w:divBdr>
            <w:top w:val="none" w:sz="0" w:space="0" w:color="auto"/>
            <w:left w:val="none" w:sz="0" w:space="0" w:color="auto"/>
            <w:bottom w:val="none" w:sz="0" w:space="0" w:color="auto"/>
            <w:right w:val="none" w:sz="0" w:space="0" w:color="auto"/>
          </w:divBdr>
        </w:div>
        <w:div w:id="1553806214">
          <w:marLeft w:val="274"/>
          <w:marRight w:val="0"/>
          <w:marTop w:val="0"/>
          <w:marBottom w:val="0"/>
          <w:divBdr>
            <w:top w:val="none" w:sz="0" w:space="0" w:color="auto"/>
            <w:left w:val="none" w:sz="0" w:space="0" w:color="auto"/>
            <w:bottom w:val="none" w:sz="0" w:space="0" w:color="auto"/>
            <w:right w:val="none" w:sz="0" w:space="0" w:color="auto"/>
          </w:divBdr>
        </w:div>
        <w:div w:id="987244318">
          <w:marLeft w:val="274"/>
          <w:marRight w:val="0"/>
          <w:marTop w:val="0"/>
          <w:marBottom w:val="0"/>
          <w:divBdr>
            <w:top w:val="none" w:sz="0" w:space="0" w:color="auto"/>
            <w:left w:val="none" w:sz="0" w:space="0" w:color="auto"/>
            <w:bottom w:val="none" w:sz="0" w:space="0" w:color="auto"/>
            <w:right w:val="none" w:sz="0" w:space="0" w:color="auto"/>
          </w:divBdr>
        </w:div>
        <w:div w:id="324481576">
          <w:marLeft w:val="274"/>
          <w:marRight w:val="0"/>
          <w:marTop w:val="0"/>
          <w:marBottom w:val="0"/>
          <w:divBdr>
            <w:top w:val="none" w:sz="0" w:space="0" w:color="auto"/>
            <w:left w:val="none" w:sz="0" w:space="0" w:color="auto"/>
            <w:bottom w:val="none" w:sz="0" w:space="0" w:color="auto"/>
            <w:right w:val="none" w:sz="0" w:space="0" w:color="auto"/>
          </w:divBdr>
        </w:div>
        <w:div w:id="1854296054">
          <w:marLeft w:val="274"/>
          <w:marRight w:val="0"/>
          <w:marTop w:val="0"/>
          <w:marBottom w:val="0"/>
          <w:divBdr>
            <w:top w:val="none" w:sz="0" w:space="0" w:color="auto"/>
            <w:left w:val="none" w:sz="0" w:space="0" w:color="auto"/>
            <w:bottom w:val="none" w:sz="0" w:space="0" w:color="auto"/>
            <w:right w:val="none" w:sz="0" w:space="0" w:color="auto"/>
          </w:divBdr>
        </w:div>
        <w:div w:id="1521434504">
          <w:marLeft w:val="274"/>
          <w:marRight w:val="0"/>
          <w:marTop w:val="0"/>
          <w:marBottom w:val="0"/>
          <w:divBdr>
            <w:top w:val="none" w:sz="0" w:space="0" w:color="auto"/>
            <w:left w:val="none" w:sz="0" w:space="0" w:color="auto"/>
            <w:bottom w:val="none" w:sz="0" w:space="0" w:color="auto"/>
            <w:right w:val="none" w:sz="0" w:space="0" w:color="auto"/>
          </w:divBdr>
        </w:div>
        <w:div w:id="636106509">
          <w:marLeft w:val="274"/>
          <w:marRight w:val="0"/>
          <w:marTop w:val="0"/>
          <w:marBottom w:val="0"/>
          <w:divBdr>
            <w:top w:val="none" w:sz="0" w:space="0" w:color="auto"/>
            <w:left w:val="none" w:sz="0" w:space="0" w:color="auto"/>
            <w:bottom w:val="none" w:sz="0" w:space="0" w:color="auto"/>
            <w:right w:val="none" w:sz="0" w:space="0" w:color="auto"/>
          </w:divBdr>
        </w:div>
        <w:div w:id="58795386">
          <w:marLeft w:val="274"/>
          <w:marRight w:val="0"/>
          <w:marTop w:val="0"/>
          <w:marBottom w:val="0"/>
          <w:divBdr>
            <w:top w:val="none" w:sz="0" w:space="0" w:color="auto"/>
            <w:left w:val="none" w:sz="0" w:space="0" w:color="auto"/>
            <w:bottom w:val="none" w:sz="0" w:space="0" w:color="auto"/>
            <w:right w:val="none" w:sz="0" w:space="0" w:color="auto"/>
          </w:divBdr>
        </w:div>
        <w:div w:id="2012559300">
          <w:marLeft w:val="274"/>
          <w:marRight w:val="0"/>
          <w:marTop w:val="0"/>
          <w:marBottom w:val="0"/>
          <w:divBdr>
            <w:top w:val="none" w:sz="0" w:space="0" w:color="auto"/>
            <w:left w:val="none" w:sz="0" w:space="0" w:color="auto"/>
            <w:bottom w:val="none" w:sz="0" w:space="0" w:color="auto"/>
            <w:right w:val="none" w:sz="0" w:space="0" w:color="auto"/>
          </w:divBdr>
        </w:div>
        <w:div w:id="1493982650">
          <w:marLeft w:val="274"/>
          <w:marRight w:val="0"/>
          <w:marTop w:val="0"/>
          <w:marBottom w:val="0"/>
          <w:divBdr>
            <w:top w:val="none" w:sz="0" w:space="0" w:color="auto"/>
            <w:left w:val="none" w:sz="0" w:space="0" w:color="auto"/>
            <w:bottom w:val="none" w:sz="0" w:space="0" w:color="auto"/>
            <w:right w:val="none" w:sz="0" w:space="0" w:color="auto"/>
          </w:divBdr>
        </w:div>
        <w:div w:id="1849710135">
          <w:marLeft w:val="274"/>
          <w:marRight w:val="0"/>
          <w:marTop w:val="0"/>
          <w:marBottom w:val="0"/>
          <w:divBdr>
            <w:top w:val="none" w:sz="0" w:space="0" w:color="auto"/>
            <w:left w:val="none" w:sz="0" w:space="0" w:color="auto"/>
            <w:bottom w:val="none" w:sz="0" w:space="0" w:color="auto"/>
            <w:right w:val="none" w:sz="0" w:space="0" w:color="auto"/>
          </w:divBdr>
        </w:div>
        <w:div w:id="1234198197">
          <w:marLeft w:val="274"/>
          <w:marRight w:val="0"/>
          <w:marTop w:val="0"/>
          <w:marBottom w:val="0"/>
          <w:divBdr>
            <w:top w:val="none" w:sz="0" w:space="0" w:color="auto"/>
            <w:left w:val="none" w:sz="0" w:space="0" w:color="auto"/>
            <w:bottom w:val="none" w:sz="0" w:space="0" w:color="auto"/>
            <w:right w:val="none" w:sz="0" w:space="0" w:color="auto"/>
          </w:divBdr>
        </w:div>
        <w:div w:id="1071121430">
          <w:marLeft w:val="274"/>
          <w:marRight w:val="0"/>
          <w:marTop w:val="0"/>
          <w:marBottom w:val="0"/>
          <w:divBdr>
            <w:top w:val="none" w:sz="0" w:space="0" w:color="auto"/>
            <w:left w:val="none" w:sz="0" w:space="0" w:color="auto"/>
            <w:bottom w:val="none" w:sz="0" w:space="0" w:color="auto"/>
            <w:right w:val="none" w:sz="0" w:space="0" w:color="auto"/>
          </w:divBdr>
        </w:div>
        <w:div w:id="318920551">
          <w:marLeft w:val="274"/>
          <w:marRight w:val="0"/>
          <w:marTop w:val="0"/>
          <w:marBottom w:val="0"/>
          <w:divBdr>
            <w:top w:val="none" w:sz="0" w:space="0" w:color="auto"/>
            <w:left w:val="none" w:sz="0" w:space="0" w:color="auto"/>
            <w:bottom w:val="none" w:sz="0" w:space="0" w:color="auto"/>
            <w:right w:val="none" w:sz="0" w:space="0" w:color="auto"/>
          </w:divBdr>
        </w:div>
        <w:div w:id="1141117570">
          <w:marLeft w:val="274"/>
          <w:marRight w:val="0"/>
          <w:marTop w:val="0"/>
          <w:marBottom w:val="0"/>
          <w:divBdr>
            <w:top w:val="none" w:sz="0" w:space="0" w:color="auto"/>
            <w:left w:val="none" w:sz="0" w:space="0" w:color="auto"/>
            <w:bottom w:val="none" w:sz="0" w:space="0" w:color="auto"/>
            <w:right w:val="none" w:sz="0" w:space="0" w:color="auto"/>
          </w:divBdr>
        </w:div>
        <w:div w:id="1538855918">
          <w:marLeft w:val="274"/>
          <w:marRight w:val="0"/>
          <w:marTop w:val="0"/>
          <w:marBottom w:val="0"/>
          <w:divBdr>
            <w:top w:val="none" w:sz="0" w:space="0" w:color="auto"/>
            <w:left w:val="none" w:sz="0" w:space="0" w:color="auto"/>
            <w:bottom w:val="none" w:sz="0" w:space="0" w:color="auto"/>
            <w:right w:val="none" w:sz="0" w:space="0" w:color="auto"/>
          </w:divBdr>
        </w:div>
        <w:div w:id="387340862">
          <w:marLeft w:val="274"/>
          <w:marRight w:val="0"/>
          <w:marTop w:val="0"/>
          <w:marBottom w:val="0"/>
          <w:divBdr>
            <w:top w:val="none" w:sz="0" w:space="0" w:color="auto"/>
            <w:left w:val="none" w:sz="0" w:space="0" w:color="auto"/>
            <w:bottom w:val="none" w:sz="0" w:space="0" w:color="auto"/>
            <w:right w:val="none" w:sz="0" w:space="0" w:color="auto"/>
          </w:divBdr>
        </w:div>
        <w:div w:id="1592616830">
          <w:marLeft w:val="274"/>
          <w:marRight w:val="0"/>
          <w:marTop w:val="0"/>
          <w:marBottom w:val="0"/>
          <w:divBdr>
            <w:top w:val="none" w:sz="0" w:space="0" w:color="auto"/>
            <w:left w:val="none" w:sz="0" w:space="0" w:color="auto"/>
            <w:bottom w:val="none" w:sz="0" w:space="0" w:color="auto"/>
            <w:right w:val="none" w:sz="0" w:space="0" w:color="auto"/>
          </w:divBdr>
        </w:div>
        <w:div w:id="622882123">
          <w:marLeft w:val="274"/>
          <w:marRight w:val="0"/>
          <w:marTop w:val="0"/>
          <w:marBottom w:val="0"/>
          <w:divBdr>
            <w:top w:val="none" w:sz="0" w:space="0" w:color="auto"/>
            <w:left w:val="none" w:sz="0" w:space="0" w:color="auto"/>
            <w:bottom w:val="none" w:sz="0" w:space="0" w:color="auto"/>
            <w:right w:val="none" w:sz="0" w:space="0" w:color="auto"/>
          </w:divBdr>
        </w:div>
      </w:divsChild>
    </w:div>
    <w:div w:id="77800147">
      <w:bodyDiv w:val="1"/>
      <w:marLeft w:val="0"/>
      <w:marRight w:val="0"/>
      <w:marTop w:val="0"/>
      <w:marBottom w:val="0"/>
      <w:divBdr>
        <w:top w:val="none" w:sz="0" w:space="0" w:color="auto"/>
        <w:left w:val="none" w:sz="0" w:space="0" w:color="auto"/>
        <w:bottom w:val="none" w:sz="0" w:space="0" w:color="auto"/>
        <w:right w:val="none" w:sz="0" w:space="0" w:color="auto"/>
      </w:divBdr>
    </w:div>
    <w:div w:id="78644383">
      <w:bodyDiv w:val="1"/>
      <w:marLeft w:val="0"/>
      <w:marRight w:val="0"/>
      <w:marTop w:val="0"/>
      <w:marBottom w:val="0"/>
      <w:divBdr>
        <w:top w:val="none" w:sz="0" w:space="0" w:color="auto"/>
        <w:left w:val="none" w:sz="0" w:space="0" w:color="auto"/>
        <w:bottom w:val="none" w:sz="0" w:space="0" w:color="auto"/>
        <w:right w:val="none" w:sz="0" w:space="0" w:color="auto"/>
      </w:divBdr>
    </w:div>
    <w:div w:id="97726568">
      <w:bodyDiv w:val="1"/>
      <w:marLeft w:val="0"/>
      <w:marRight w:val="0"/>
      <w:marTop w:val="0"/>
      <w:marBottom w:val="0"/>
      <w:divBdr>
        <w:top w:val="none" w:sz="0" w:space="0" w:color="auto"/>
        <w:left w:val="none" w:sz="0" w:space="0" w:color="auto"/>
        <w:bottom w:val="none" w:sz="0" w:space="0" w:color="auto"/>
        <w:right w:val="none" w:sz="0" w:space="0" w:color="auto"/>
      </w:divBdr>
      <w:divsChild>
        <w:div w:id="194465654">
          <w:marLeft w:val="274"/>
          <w:marRight w:val="0"/>
          <w:marTop w:val="0"/>
          <w:marBottom w:val="0"/>
          <w:divBdr>
            <w:top w:val="none" w:sz="0" w:space="0" w:color="auto"/>
            <w:left w:val="none" w:sz="0" w:space="0" w:color="auto"/>
            <w:bottom w:val="none" w:sz="0" w:space="0" w:color="auto"/>
            <w:right w:val="none" w:sz="0" w:space="0" w:color="auto"/>
          </w:divBdr>
        </w:div>
        <w:div w:id="1338386335">
          <w:marLeft w:val="274"/>
          <w:marRight w:val="0"/>
          <w:marTop w:val="0"/>
          <w:marBottom w:val="0"/>
          <w:divBdr>
            <w:top w:val="none" w:sz="0" w:space="0" w:color="auto"/>
            <w:left w:val="none" w:sz="0" w:space="0" w:color="auto"/>
            <w:bottom w:val="none" w:sz="0" w:space="0" w:color="auto"/>
            <w:right w:val="none" w:sz="0" w:space="0" w:color="auto"/>
          </w:divBdr>
        </w:div>
      </w:divsChild>
    </w:div>
    <w:div w:id="140390771">
      <w:bodyDiv w:val="1"/>
      <w:marLeft w:val="0"/>
      <w:marRight w:val="0"/>
      <w:marTop w:val="0"/>
      <w:marBottom w:val="0"/>
      <w:divBdr>
        <w:top w:val="none" w:sz="0" w:space="0" w:color="auto"/>
        <w:left w:val="none" w:sz="0" w:space="0" w:color="auto"/>
        <w:bottom w:val="none" w:sz="0" w:space="0" w:color="auto"/>
        <w:right w:val="none" w:sz="0" w:space="0" w:color="auto"/>
      </w:divBdr>
    </w:div>
    <w:div w:id="191192884">
      <w:bodyDiv w:val="1"/>
      <w:marLeft w:val="0"/>
      <w:marRight w:val="0"/>
      <w:marTop w:val="0"/>
      <w:marBottom w:val="0"/>
      <w:divBdr>
        <w:top w:val="none" w:sz="0" w:space="0" w:color="auto"/>
        <w:left w:val="none" w:sz="0" w:space="0" w:color="auto"/>
        <w:bottom w:val="none" w:sz="0" w:space="0" w:color="auto"/>
        <w:right w:val="none" w:sz="0" w:space="0" w:color="auto"/>
      </w:divBdr>
    </w:div>
    <w:div w:id="194782256">
      <w:bodyDiv w:val="1"/>
      <w:marLeft w:val="0"/>
      <w:marRight w:val="0"/>
      <w:marTop w:val="0"/>
      <w:marBottom w:val="0"/>
      <w:divBdr>
        <w:top w:val="none" w:sz="0" w:space="0" w:color="auto"/>
        <w:left w:val="none" w:sz="0" w:space="0" w:color="auto"/>
        <w:bottom w:val="none" w:sz="0" w:space="0" w:color="auto"/>
        <w:right w:val="none" w:sz="0" w:space="0" w:color="auto"/>
      </w:divBdr>
    </w:div>
    <w:div w:id="215355673">
      <w:bodyDiv w:val="1"/>
      <w:marLeft w:val="0"/>
      <w:marRight w:val="0"/>
      <w:marTop w:val="0"/>
      <w:marBottom w:val="0"/>
      <w:divBdr>
        <w:top w:val="none" w:sz="0" w:space="0" w:color="auto"/>
        <w:left w:val="none" w:sz="0" w:space="0" w:color="auto"/>
        <w:bottom w:val="none" w:sz="0" w:space="0" w:color="auto"/>
        <w:right w:val="none" w:sz="0" w:space="0" w:color="auto"/>
      </w:divBdr>
    </w:div>
    <w:div w:id="217714386">
      <w:bodyDiv w:val="1"/>
      <w:marLeft w:val="0"/>
      <w:marRight w:val="0"/>
      <w:marTop w:val="0"/>
      <w:marBottom w:val="0"/>
      <w:divBdr>
        <w:top w:val="none" w:sz="0" w:space="0" w:color="auto"/>
        <w:left w:val="none" w:sz="0" w:space="0" w:color="auto"/>
        <w:bottom w:val="none" w:sz="0" w:space="0" w:color="auto"/>
        <w:right w:val="none" w:sz="0" w:space="0" w:color="auto"/>
      </w:divBdr>
      <w:divsChild>
        <w:div w:id="699010483">
          <w:marLeft w:val="274"/>
          <w:marRight w:val="0"/>
          <w:marTop w:val="0"/>
          <w:marBottom w:val="0"/>
          <w:divBdr>
            <w:top w:val="none" w:sz="0" w:space="0" w:color="auto"/>
            <w:left w:val="none" w:sz="0" w:space="0" w:color="auto"/>
            <w:bottom w:val="none" w:sz="0" w:space="0" w:color="auto"/>
            <w:right w:val="none" w:sz="0" w:space="0" w:color="auto"/>
          </w:divBdr>
        </w:div>
      </w:divsChild>
    </w:div>
    <w:div w:id="227035175">
      <w:bodyDiv w:val="1"/>
      <w:marLeft w:val="0"/>
      <w:marRight w:val="0"/>
      <w:marTop w:val="0"/>
      <w:marBottom w:val="0"/>
      <w:divBdr>
        <w:top w:val="none" w:sz="0" w:space="0" w:color="auto"/>
        <w:left w:val="none" w:sz="0" w:space="0" w:color="auto"/>
        <w:bottom w:val="none" w:sz="0" w:space="0" w:color="auto"/>
        <w:right w:val="none" w:sz="0" w:space="0" w:color="auto"/>
      </w:divBdr>
    </w:div>
    <w:div w:id="240649220">
      <w:bodyDiv w:val="1"/>
      <w:marLeft w:val="0"/>
      <w:marRight w:val="0"/>
      <w:marTop w:val="0"/>
      <w:marBottom w:val="0"/>
      <w:divBdr>
        <w:top w:val="none" w:sz="0" w:space="0" w:color="auto"/>
        <w:left w:val="none" w:sz="0" w:space="0" w:color="auto"/>
        <w:bottom w:val="none" w:sz="0" w:space="0" w:color="auto"/>
        <w:right w:val="none" w:sz="0" w:space="0" w:color="auto"/>
      </w:divBdr>
    </w:div>
    <w:div w:id="268591656">
      <w:bodyDiv w:val="1"/>
      <w:marLeft w:val="0"/>
      <w:marRight w:val="0"/>
      <w:marTop w:val="0"/>
      <w:marBottom w:val="0"/>
      <w:divBdr>
        <w:top w:val="none" w:sz="0" w:space="0" w:color="auto"/>
        <w:left w:val="none" w:sz="0" w:space="0" w:color="auto"/>
        <w:bottom w:val="none" w:sz="0" w:space="0" w:color="auto"/>
        <w:right w:val="none" w:sz="0" w:space="0" w:color="auto"/>
      </w:divBdr>
    </w:div>
    <w:div w:id="279805086">
      <w:bodyDiv w:val="1"/>
      <w:marLeft w:val="0"/>
      <w:marRight w:val="0"/>
      <w:marTop w:val="0"/>
      <w:marBottom w:val="0"/>
      <w:divBdr>
        <w:top w:val="none" w:sz="0" w:space="0" w:color="auto"/>
        <w:left w:val="none" w:sz="0" w:space="0" w:color="auto"/>
        <w:bottom w:val="none" w:sz="0" w:space="0" w:color="auto"/>
        <w:right w:val="none" w:sz="0" w:space="0" w:color="auto"/>
      </w:divBdr>
    </w:div>
    <w:div w:id="281427749">
      <w:bodyDiv w:val="1"/>
      <w:marLeft w:val="0"/>
      <w:marRight w:val="0"/>
      <w:marTop w:val="0"/>
      <w:marBottom w:val="0"/>
      <w:divBdr>
        <w:top w:val="none" w:sz="0" w:space="0" w:color="auto"/>
        <w:left w:val="none" w:sz="0" w:space="0" w:color="auto"/>
        <w:bottom w:val="none" w:sz="0" w:space="0" w:color="auto"/>
        <w:right w:val="none" w:sz="0" w:space="0" w:color="auto"/>
      </w:divBdr>
    </w:div>
    <w:div w:id="301424636">
      <w:bodyDiv w:val="1"/>
      <w:marLeft w:val="0"/>
      <w:marRight w:val="0"/>
      <w:marTop w:val="0"/>
      <w:marBottom w:val="0"/>
      <w:divBdr>
        <w:top w:val="none" w:sz="0" w:space="0" w:color="auto"/>
        <w:left w:val="none" w:sz="0" w:space="0" w:color="auto"/>
        <w:bottom w:val="none" w:sz="0" w:space="0" w:color="auto"/>
        <w:right w:val="none" w:sz="0" w:space="0" w:color="auto"/>
      </w:divBdr>
    </w:div>
    <w:div w:id="304941684">
      <w:bodyDiv w:val="1"/>
      <w:marLeft w:val="0"/>
      <w:marRight w:val="0"/>
      <w:marTop w:val="0"/>
      <w:marBottom w:val="0"/>
      <w:divBdr>
        <w:top w:val="none" w:sz="0" w:space="0" w:color="auto"/>
        <w:left w:val="none" w:sz="0" w:space="0" w:color="auto"/>
        <w:bottom w:val="none" w:sz="0" w:space="0" w:color="auto"/>
        <w:right w:val="none" w:sz="0" w:space="0" w:color="auto"/>
      </w:divBdr>
    </w:div>
    <w:div w:id="327247047">
      <w:bodyDiv w:val="1"/>
      <w:marLeft w:val="0"/>
      <w:marRight w:val="0"/>
      <w:marTop w:val="0"/>
      <w:marBottom w:val="0"/>
      <w:divBdr>
        <w:top w:val="none" w:sz="0" w:space="0" w:color="auto"/>
        <w:left w:val="none" w:sz="0" w:space="0" w:color="auto"/>
        <w:bottom w:val="none" w:sz="0" w:space="0" w:color="auto"/>
        <w:right w:val="none" w:sz="0" w:space="0" w:color="auto"/>
      </w:divBdr>
    </w:div>
    <w:div w:id="343551393">
      <w:bodyDiv w:val="1"/>
      <w:marLeft w:val="0"/>
      <w:marRight w:val="0"/>
      <w:marTop w:val="0"/>
      <w:marBottom w:val="0"/>
      <w:divBdr>
        <w:top w:val="none" w:sz="0" w:space="0" w:color="auto"/>
        <w:left w:val="none" w:sz="0" w:space="0" w:color="auto"/>
        <w:bottom w:val="none" w:sz="0" w:space="0" w:color="auto"/>
        <w:right w:val="none" w:sz="0" w:space="0" w:color="auto"/>
      </w:divBdr>
      <w:divsChild>
        <w:div w:id="2083211531">
          <w:marLeft w:val="0"/>
          <w:marRight w:val="0"/>
          <w:marTop w:val="0"/>
          <w:marBottom w:val="0"/>
          <w:divBdr>
            <w:top w:val="none" w:sz="0" w:space="0" w:color="auto"/>
            <w:left w:val="none" w:sz="0" w:space="0" w:color="auto"/>
            <w:bottom w:val="none" w:sz="0" w:space="0" w:color="auto"/>
            <w:right w:val="none" w:sz="0" w:space="0" w:color="auto"/>
          </w:divBdr>
        </w:div>
        <w:div w:id="1526559295">
          <w:marLeft w:val="0"/>
          <w:marRight w:val="0"/>
          <w:marTop w:val="0"/>
          <w:marBottom w:val="0"/>
          <w:divBdr>
            <w:top w:val="none" w:sz="0" w:space="0" w:color="auto"/>
            <w:left w:val="none" w:sz="0" w:space="0" w:color="auto"/>
            <w:bottom w:val="none" w:sz="0" w:space="0" w:color="auto"/>
            <w:right w:val="none" w:sz="0" w:space="0" w:color="auto"/>
          </w:divBdr>
        </w:div>
        <w:div w:id="400518096">
          <w:marLeft w:val="0"/>
          <w:marRight w:val="0"/>
          <w:marTop w:val="0"/>
          <w:marBottom w:val="0"/>
          <w:divBdr>
            <w:top w:val="none" w:sz="0" w:space="0" w:color="auto"/>
            <w:left w:val="none" w:sz="0" w:space="0" w:color="auto"/>
            <w:bottom w:val="none" w:sz="0" w:space="0" w:color="auto"/>
            <w:right w:val="none" w:sz="0" w:space="0" w:color="auto"/>
          </w:divBdr>
        </w:div>
        <w:div w:id="732849722">
          <w:marLeft w:val="0"/>
          <w:marRight w:val="0"/>
          <w:marTop w:val="0"/>
          <w:marBottom w:val="0"/>
          <w:divBdr>
            <w:top w:val="none" w:sz="0" w:space="0" w:color="auto"/>
            <w:left w:val="none" w:sz="0" w:space="0" w:color="auto"/>
            <w:bottom w:val="none" w:sz="0" w:space="0" w:color="auto"/>
            <w:right w:val="none" w:sz="0" w:space="0" w:color="auto"/>
          </w:divBdr>
        </w:div>
        <w:div w:id="1443721368">
          <w:marLeft w:val="0"/>
          <w:marRight w:val="0"/>
          <w:marTop w:val="0"/>
          <w:marBottom w:val="0"/>
          <w:divBdr>
            <w:top w:val="none" w:sz="0" w:space="0" w:color="auto"/>
            <w:left w:val="none" w:sz="0" w:space="0" w:color="auto"/>
            <w:bottom w:val="none" w:sz="0" w:space="0" w:color="auto"/>
            <w:right w:val="none" w:sz="0" w:space="0" w:color="auto"/>
          </w:divBdr>
        </w:div>
        <w:div w:id="350499005">
          <w:marLeft w:val="0"/>
          <w:marRight w:val="0"/>
          <w:marTop w:val="0"/>
          <w:marBottom w:val="0"/>
          <w:divBdr>
            <w:top w:val="none" w:sz="0" w:space="0" w:color="auto"/>
            <w:left w:val="none" w:sz="0" w:space="0" w:color="auto"/>
            <w:bottom w:val="none" w:sz="0" w:space="0" w:color="auto"/>
            <w:right w:val="none" w:sz="0" w:space="0" w:color="auto"/>
          </w:divBdr>
        </w:div>
        <w:div w:id="1634368892">
          <w:marLeft w:val="0"/>
          <w:marRight w:val="0"/>
          <w:marTop w:val="0"/>
          <w:marBottom w:val="0"/>
          <w:divBdr>
            <w:top w:val="none" w:sz="0" w:space="0" w:color="auto"/>
            <w:left w:val="none" w:sz="0" w:space="0" w:color="auto"/>
            <w:bottom w:val="none" w:sz="0" w:space="0" w:color="auto"/>
            <w:right w:val="none" w:sz="0" w:space="0" w:color="auto"/>
          </w:divBdr>
        </w:div>
        <w:div w:id="732042764">
          <w:marLeft w:val="0"/>
          <w:marRight w:val="0"/>
          <w:marTop w:val="0"/>
          <w:marBottom w:val="0"/>
          <w:divBdr>
            <w:top w:val="none" w:sz="0" w:space="0" w:color="auto"/>
            <w:left w:val="none" w:sz="0" w:space="0" w:color="auto"/>
            <w:bottom w:val="none" w:sz="0" w:space="0" w:color="auto"/>
            <w:right w:val="none" w:sz="0" w:space="0" w:color="auto"/>
          </w:divBdr>
        </w:div>
        <w:div w:id="1501044467">
          <w:marLeft w:val="0"/>
          <w:marRight w:val="0"/>
          <w:marTop w:val="0"/>
          <w:marBottom w:val="0"/>
          <w:divBdr>
            <w:top w:val="none" w:sz="0" w:space="0" w:color="auto"/>
            <w:left w:val="none" w:sz="0" w:space="0" w:color="auto"/>
            <w:bottom w:val="none" w:sz="0" w:space="0" w:color="auto"/>
            <w:right w:val="none" w:sz="0" w:space="0" w:color="auto"/>
          </w:divBdr>
        </w:div>
        <w:div w:id="1348410232">
          <w:marLeft w:val="0"/>
          <w:marRight w:val="0"/>
          <w:marTop w:val="0"/>
          <w:marBottom w:val="0"/>
          <w:divBdr>
            <w:top w:val="none" w:sz="0" w:space="0" w:color="auto"/>
            <w:left w:val="none" w:sz="0" w:space="0" w:color="auto"/>
            <w:bottom w:val="none" w:sz="0" w:space="0" w:color="auto"/>
            <w:right w:val="none" w:sz="0" w:space="0" w:color="auto"/>
          </w:divBdr>
        </w:div>
        <w:div w:id="1541941462">
          <w:marLeft w:val="0"/>
          <w:marRight w:val="0"/>
          <w:marTop w:val="0"/>
          <w:marBottom w:val="0"/>
          <w:divBdr>
            <w:top w:val="none" w:sz="0" w:space="0" w:color="auto"/>
            <w:left w:val="none" w:sz="0" w:space="0" w:color="auto"/>
            <w:bottom w:val="none" w:sz="0" w:space="0" w:color="auto"/>
            <w:right w:val="none" w:sz="0" w:space="0" w:color="auto"/>
          </w:divBdr>
        </w:div>
        <w:div w:id="893464851">
          <w:marLeft w:val="0"/>
          <w:marRight w:val="0"/>
          <w:marTop w:val="0"/>
          <w:marBottom w:val="0"/>
          <w:divBdr>
            <w:top w:val="none" w:sz="0" w:space="0" w:color="auto"/>
            <w:left w:val="none" w:sz="0" w:space="0" w:color="auto"/>
            <w:bottom w:val="none" w:sz="0" w:space="0" w:color="auto"/>
            <w:right w:val="none" w:sz="0" w:space="0" w:color="auto"/>
          </w:divBdr>
        </w:div>
        <w:div w:id="939875843">
          <w:marLeft w:val="0"/>
          <w:marRight w:val="0"/>
          <w:marTop w:val="0"/>
          <w:marBottom w:val="0"/>
          <w:divBdr>
            <w:top w:val="none" w:sz="0" w:space="0" w:color="auto"/>
            <w:left w:val="none" w:sz="0" w:space="0" w:color="auto"/>
            <w:bottom w:val="none" w:sz="0" w:space="0" w:color="auto"/>
            <w:right w:val="none" w:sz="0" w:space="0" w:color="auto"/>
          </w:divBdr>
        </w:div>
        <w:div w:id="1291781559">
          <w:marLeft w:val="0"/>
          <w:marRight w:val="0"/>
          <w:marTop w:val="0"/>
          <w:marBottom w:val="0"/>
          <w:divBdr>
            <w:top w:val="none" w:sz="0" w:space="0" w:color="auto"/>
            <w:left w:val="none" w:sz="0" w:space="0" w:color="auto"/>
            <w:bottom w:val="none" w:sz="0" w:space="0" w:color="auto"/>
            <w:right w:val="none" w:sz="0" w:space="0" w:color="auto"/>
          </w:divBdr>
        </w:div>
        <w:div w:id="478526">
          <w:marLeft w:val="0"/>
          <w:marRight w:val="0"/>
          <w:marTop w:val="0"/>
          <w:marBottom w:val="0"/>
          <w:divBdr>
            <w:top w:val="none" w:sz="0" w:space="0" w:color="auto"/>
            <w:left w:val="none" w:sz="0" w:space="0" w:color="auto"/>
            <w:bottom w:val="none" w:sz="0" w:space="0" w:color="auto"/>
            <w:right w:val="none" w:sz="0" w:space="0" w:color="auto"/>
          </w:divBdr>
          <w:divsChild>
            <w:div w:id="748431740">
              <w:marLeft w:val="-75"/>
              <w:marRight w:val="0"/>
              <w:marTop w:val="30"/>
              <w:marBottom w:val="30"/>
              <w:divBdr>
                <w:top w:val="none" w:sz="0" w:space="0" w:color="auto"/>
                <w:left w:val="none" w:sz="0" w:space="0" w:color="auto"/>
                <w:bottom w:val="none" w:sz="0" w:space="0" w:color="auto"/>
                <w:right w:val="none" w:sz="0" w:space="0" w:color="auto"/>
              </w:divBdr>
              <w:divsChild>
                <w:div w:id="241526010">
                  <w:marLeft w:val="0"/>
                  <w:marRight w:val="0"/>
                  <w:marTop w:val="0"/>
                  <w:marBottom w:val="0"/>
                  <w:divBdr>
                    <w:top w:val="none" w:sz="0" w:space="0" w:color="auto"/>
                    <w:left w:val="none" w:sz="0" w:space="0" w:color="auto"/>
                    <w:bottom w:val="none" w:sz="0" w:space="0" w:color="auto"/>
                    <w:right w:val="none" w:sz="0" w:space="0" w:color="auto"/>
                  </w:divBdr>
                  <w:divsChild>
                    <w:div w:id="1098326659">
                      <w:marLeft w:val="0"/>
                      <w:marRight w:val="0"/>
                      <w:marTop w:val="0"/>
                      <w:marBottom w:val="0"/>
                      <w:divBdr>
                        <w:top w:val="none" w:sz="0" w:space="0" w:color="auto"/>
                        <w:left w:val="none" w:sz="0" w:space="0" w:color="auto"/>
                        <w:bottom w:val="none" w:sz="0" w:space="0" w:color="auto"/>
                        <w:right w:val="none" w:sz="0" w:space="0" w:color="auto"/>
                      </w:divBdr>
                    </w:div>
                  </w:divsChild>
                </w:div>
                <w:div w:id="174921636">
                  <w:marLeft w:val="0"/>
                  <w:marRight w:val="0"/>
                  <w:marTop w:val="0"/>
                  <w:marBottom w:val="0"/>
                  <w:divBdr>
                    <w:top w:val="none" w:sz="0" w:space="0" w:color="auto"/>
                    <w:left w:val="none" w:sz="0" w:space="0" w:color="auto"/>
                    <w:bottom w:val="none" w:sz="0" w:space="0" w:color="auto"/>
                    <w:right w:val="none" w:sz="0" w:space="0" w:color="auto"/>
                  </w:divBdr>
                  <w:divsChild>
                    <w:div w:id="1894803840">
                      <w:marLeft w:val="0"/>
                      <w:marRight w:val="0"/>
                      <w:marTop w:val="0"/>
                      <w:marBottom w:val="0"/>
                      <w:divBdr>
                        <w:top w:val="none" w:sz="0" w:space="0" w:color="auto"/>
                        <w:left w:val="none" w:sz="0" w:space="0" w:color="auto"/>
                        <w:bottom w:val="none" w:sz="0" w:space="0" w:color="auto"/>
                        <w:right w:val="none" w:sz="0" w:space="0" w:color="auto"/>
                      </w:divBdr>
                    </w:div>
                  </w:divsChild>
                </w:div>
                <w:div w:id="106003852">
                  <w:marLeft w:val="0"/>
                  <w:marRight w:val="0"/>
                  <w:marTop w:val="0"/>
                  <w:marBottom w:val="0"/>
                  <w:divBdr>
                    <w:top w:val="none" w:sz="0" w:space="0" w:color="auto"/>
                    <w:left w:val="none" w:sz="0" w:space="0" w:color="auto"/>
                    <w:bottom w:val="none" w:sz="0" w:space="0" w:color="auto"/>
                    <w:right w:val="none" w:sz="0" w:space="0" w:color="auto"/>
                  </w:divBdr>
                  <w:divsChild>
                    <w:div w:id="120154303">
                      <w:marLeft w:val="0"/>
                      <w:marRight w:val="0"/>
                      <w:marTop w:val="0"/>
                      <w:marBottom w:val="0"/>
                      <w:divBdr>
                        <w:top w:val="none" w:sz="0" w:space="0" w:color="auto"/>
                        <w:left w:val="none" w:sz="0" w:space="0" w:color="auto"/>
                        <w:bottom w:val="none" w:sz="0" w:space="0" w:color="auto"/>
                        <w:right w:val="none" w:sz="0" w:space="0" w:color="auto"/>
                      </w:divBdr>
                    </w:div>
                  </w:divsChild>
                </w:div>
                <w:div w:id="2094937947">
                  <w:marLeft w:val="0"/>
                  <w:marRight w:val="0"/>
                  <w:marTop w:val="0"/>
                  <w:marBottom w:val="0"/>
                  <w:divBdr>
                    <w:top w:val="none" w:sz="0" w:space="0" w:color="auto"/>
                    <w:left w:val="none" w:sz="0" w:space="0" w:color="auto"/>
                    <w:bottom w:val="none" w:sz="0" w:space="0" w:color="auto"/>
                    <w:right w:val="none" w:sz="0" w:space="0" w:color="auto"/>
                  </w:divBdr>
                  <w:divsChild>
                    <w:div w:id="420293355">
                      <w:marLeft w:val="0"/>
                      <w:marRight w:val="0"/>
                      <w:marTop w:val="0"/>
                      <w:marBottom w:val="0"/>
                      <w:divBdr>
                        <w:top w:val="none" w:sz="0" w:space="0" w:color="auto"/>
                        <w:left w:val="none" w:sz="0" w:space="0" w:color="auto"/>
                        <w:bottom w:val="none" w:sz="0" w:space="0" w:color="auto"/>
                        <w:right w:val="none" w:sz="0" w:space="0" w:color="auto"/>
                      </w:divBdr>
                    </w:div>
                  </w:divsChild>
                </w:div>
                <w:div w:id="1212962906">
                  <w:marLeft w:val="0"/>
                  <w:marRight w:val="0"/>
                  <w:marTop w:val="0"/>
                  <w:marBottom w:val="0"/>
                  <w:divBdr>
                    <w:top w:val="none" w:sz="0" w:space="0" w:color="auto"/>
                    <w:left w:val="none" w:sz="0" w:space="0" w:color="auto"/>
                    <w:bottom w:val="none" w:sz="0" w:space="0" w:color="auto"/>
                    <w:right w:val="none" w:sz="0" w:space="0" w:color="auto"/>
                  </w:divBdr>
                  <w:divsChild>
                    <w:div w:id="691538633">
                      <w:marLeft w:val="0"/>
                      <w:marRight w:val="0"/>
                      <w:marTop w:val="0"/>
                      <w:marBottom w:val="0"/>
                      <w:divBdr>
                        <w:top w:val="none" w:sz="0" w:space="0" w:color="auto"/>
                        <w:left w:val="none" w:sz="0" w:space="0" w:color="auto"/>
                        <w:bottom w:val="none" w:sz="0" w:space="0" w:color="auto"/>
                        <w:right w:val="none" w:sz="0" w:space="0" w:color="auto"/>
                      </w:divBdr>
                    </w:div>
                  </w:divsChild>
                </w:div>
                <w:div w:id="1000815259">
                  <w:marLeft w:val="0"/>
                  <w:marRight w:val="0"/>
                  <w:marTop w:val="0"/>
                  <w:marBottom w:val="0"/>
                  <w:divBdr>
                    <w:top w:val="none" w:sz="0" w:space="0" w:color="auto"/>
                    <w:left w:val="none" w:sz="0" w:space="0" w:color="auto"/>
                    <w:bottom w:val="none" w:sz="0" w:space="0" w:color="auto"/>
                    <w:right w:val="none" w:sz="0" w:space="0" w:color="auto"/>
                  </w:divBdr>
                  <w:divsChild>
                    <w:div w:id="499321785">
                      <w:marLeft w:val="0"/>
                      <w:marRight w:val="0"/>
                      <w:marTop w:val="0"/>
                      <w:marBottom w:val="0"/>
                      <w:divBdr>
                        <w:top w:val="none" w:sz="0" w:space="0" w:color="auto"/>
                        <w:left w:val="none" w:sz="0" w:space="0" w:color="auto"/>
                        <w:bottom w:val="none" w:sz="0" w:space="0" w:color="auto"/>
                        <w:right w:val="none" w:sz="0" w:space="0" w:color="auto"/>
                      </w:divBdr>
                    </w:div>
                  </w:divsChild>
                </w:div>
                <w:div w:id="1669558696">
                  <w:marLeft w:val="0"/>
                  <w:marRight w:val="0"/>
                  <w:marTop w:val="0"/>
                  <w:marBottom w:val="0"/>
                  <w:divBdr>
                    <w:top w:val="none" w:sz="0" w:space="0" w:color="auto"/>
                    <w:left w:val="none" w:sz="0" w:space="0" w:color="auto"/>
                    <w:bottom w:val="none" w:sz="0" w:space="0" w:color="auto"/>
                    <w:right w:val="none" w:sz="0" w:space="0" w:color="auto"/>
                  </w:divBdr>
                  <w:divsChild>
                    <w:div w:id="2003074870">
                      <w:marLeft w:val="0"/>
                      <w:marRight w:val="0"/>
                      <w:marTop w:val="0"/>
                      <w:marBottom w:val="0"/>
                      <w:divBdr>
                        <w:top w:val="none" w:sz="0" w:space="0" w:color="auto"/>
                        <w:left w:val="none" w:sz="0" w:space="0" w:color="auto"/>
                        <w:bottom w:val="none" w:sz="0" w:space="0" w:color="auto"/>
                        <w:right w:val="none" w:sz="0" w:space="0" w:color="auto"/>
                      </w:divBdr>
                    </w:div>
                  </w:divsChild>
                </w:div>
                <w:div w:id="932013916">
                  <w:marLeft w:val="0"/>
                  <w:marRight w:val="0"/>
                  <w:marTop w:val="0"/>
                  <w:marBottom w:val="0"/>
                  <w:divBdr>
                    <w:top w:val="none" w:sz="0" w:space="0" w:color="auto"/>
                    <w:left w:val="none" w:sz="0" w:space="0" w:color="auto"/>
                    <w:bottom w:val="none" w:sz="0" w:space="0" w:color="auto"/>
                    <w:right w:val="none" w:sz="0" w:space="0" w:color="auto"/>
                  </w:divBdr>
                  <w:divsChild>
                    <w:div w:id="1360205397">
                      <w:marLeft w:val="0"/>
                      <w:marRight w:val="0"/>
                      <w:marTop w:val="0"/>
                      <w:marBottom w:val="0"/>
                      <w:divBdr>
                        <w:top w:val="none" w:sz="0" w:space="0" w:color="auto"/>
                        <w:left w:val="none" w:sz="0" w:space="0" w:color="auto"/>
                        <w:bottom w:val="none" w:sz="0" w:space="0" w:color="auto"/>
                        <w:right w:val="none" w:sz="0" w:space="0" w:color="auto"/>
                      </w:divBdr>
                    </w:div>
                  </w:divsChild>
                </w:div>
                <w:div w:id="1761558009">
                  <w:marLeft w:val="0"/>
                  <w:marRight w:val="0"/>
                  <w:marTop w:val="0"/>
                  <w:marBottom w:val="0"/>
                  <w:divBdr>
                    <w:top w:val="none" w:sz="0" w:space="0" w:color="auto"/>
                    <w:left w:val="none" w:sz="0" w:space="0" w:color="auto"/>
                    <w:bottom w:val="none" w:sz="0" w:space="0" w:color="auto"/>
                    <w:right w:val="none" w:sz="0" w:space="0" w:color="auto"/>
                  </w:divBdr>
                  <w:divsChild>
                    <w:div w:id="1423376917">
                      <w:marLeft w:val="0"/>
                      <w:marRight w:val="0"/>
                      <w:marTop w:val="0"/>
                      <w:marBottom w:val="0"/>
                      <w:divBdr>
                        <w:top w:val="none" w:sz="0" w:space="0" w:color="auto"/>
                        <w:left w:val="none" w:sz="0" w:space="0" w:color="auto"/>
                        <w:bottom w:val="none" w:sz="0" w:space="0" w:color="auto"/>
                        <w:right w:val="none" w:sz="0" w:space="0" w:color="auto"/>
                      </w:divBdr>
                    </w:div>
                  </w:divsChild>
                </w:div>
                <w:div w:id="1473323784">
                  <w:marLeft w:val="0"/>
                  <w:marRight w:val="0"/>
                  <w:marTop w:val="0"/>
                  <w:marBottom w:val="0"/>
                  <w:divBdr>
                    <w:top w:val="none" w:sz="0" w:space="0" w:color="auto"/>
                    <w:left w:val="none" w:sz="0" w:space="0" w:color="auto"/>
                    <w:bottom w:val="none" w:sz="0" w:space="0" w:color="auto"/>
                    <w:right w:val="none" w:sz="0" w:space="0" w:color="auto"/>
                  </w:divBdr>
                  <w:divsChild>
                    <w:div w:id="142088810">
                      <w:marLeft w:val="0"/>
                      <w:marRight w:val="0"/>
                      <w:marTop w:val="0"/>
                      <w:marBottom w:val="0"/>
                      <w:divBdr>
                        <w:top w:val="none" w:sz="0" w:space="0" w:color="auto"/>
                        <w:left w:val="none" w:sz="0" w:space="0" w:color="auto"/>
                        <w:bottom w:val="none" w:sz="0" w:space="0" w:color="auto"/>
                        <w:right w:val="none" w:sz="0" w:space="0" w:color="auto"/>
                      </w:divBdr>
                    </w:div>
                  </w:divsChild>
                </w:div>
                <w:div w:id="475027871">
                  <w:marLeft w:val="0"/>
                  <w:marRight w:val="0"/>
                  <w:marTop w:val="0"/>
                  <w:marBottom w:val="0"/>
                  <w:divBdr>
                    <w:top w:val="none" w:sz="0" w:space="0" w:color="auto"/>
                    <w:left w:val="none" w:sz="0" w:space="0" w:color="auto"/>
                    <w:bottom w:val="none" w:sz="0" w:space="0" w:color="auto"/>
                    <w:right w:val="none" w:sz="0" w:space="0" w:color="auto"/>
                  </w:divBdr>
                  <w:divsChild>
                    <w:div w:id="240916986">
                      <w:marLeft w:val="0"/>
                      <w:marRight w:val="0"/>
                      <w:marTop w:val="0"/>
                      <w:marBottom w:val="0"/>
                      <w:divBdr>
                        <w:top w:val="none" w:sz="0" w:space="0" w:color="auto"/>
                        <w:left w:val="none" w:sz="0" w:space="0" w:color="auto"/>
                        <w:bottom w:val="none" w:sz="0" w:space="0" w:color="auto"/>
                        <w:right w:val="none" w:sz="0" w:space="0" w:color="auto"/>
                      </w:divBdr>
                    </w:div>
                  </w:divsChild>
                </w:div>
                <w:div w:id="126975661">
                  <w:marLeft w:val="0"/>
                  <w:marRight w:val="0"/>
                  <w:marTop w:val="0"/>
                  <w:marBottom w:val="0"/>
                  <w:divBdr>
                    <w:top w:val="none" w:sz="0" w:space="0" w:color="auto"/>
                    <w:left w:val="none" w:sz="0" w:space="0" w:color="auto"/>
                    <w:bottom w:val="none" w:sz="0" w:space="0" w:color="auto"/>
                    <w:right w:val="none" w:sz="0" w:space="0" w:color="auto"/>
                  </w:divBdr>
                  <w:divsChild>
                    <w:div w:id="9835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00513">
          <w:marLeft w:val="0"/>
          <w:marRight w:val="0"/>
          <w:marTop w:val="0"/>
          <w:marBottom w:val="0"/>
          <w:divBdr>
            <w:top w:val="none" w:sz="0" w:space="0" w:color="auto"/>
            <w:left w:val="none" w:sz="0" w:space="0" w:color="auto"/>
            <w:bottom w:val="none" w:sz="0" w:space="0" w:color="auto"/>
            <w:right w:val="none" w:sz="0" w:space="0" w:color="auto"/>
          </w:divBdr>
        </w:div>
        <w:div w:id="188493174">
          <w:marLeft w:val="0"/>
          <w:marRight w:val="0"/>
          <w:marTop w:val="0"/>
          <w:marBottom w:val="0"/>
          <w:divBdr>
            <w:top w:val="none" w:sz="0" w:space="0" w:color="auto"/>
            <w:left w:val="none" w:sz="0" w:space="0" w:color="auto"/>
            <w:bottom w:val="none" w:sz="0" w:space="0" w:color="auto"/>
            <w:right w:val="none" w:sz="0" w:space="0" w:color="auto"/>
          </w:divBdr>
        </w:div>
        <w:div w:id="175534568">
          <w:marLeft w:val="0"/>
          <w:marRight w:val="0"/>
          <w:marTop w:val="0"/>
          <w:marBottom w:val="0"/>
          <w:divBdr>
            <w:top w:val="none" w:sz="0" w:space="0" w:color="auto"/>
            <w:left w:val="none" w:sz="0" w:space="0" w:color="auto"/>
            <w:bottom w:val="none" w:sz="0" w:space="0" w:color="auto"/>
            <w:right w:val="none" w:sz="0" w:space="0" w:color="auto"/>
          </w:divBdr>
        </w:div>
        <w:div w:id="2010595032">
          <w:marLeft w:val="0"/>
          <w:marRight w:val="0"/>
          <w:marTop w:val="0"/>
          <w:marBottom w:val="0"/>
          <w:divBdr>
            <w:top w:val="none" w:sz="0" w:space="0" w:color="auto"/>
            <w:left w:val="none" w:sz="0" w:space="0" w:color="auto"/>
            <w:bottom w:val="none" w:sz="0" w:space="0" w:color="auto"/>
            <w:right w:val="none" w:sz="0" w:space="0" w:color="auto"/>
          </w:divBdr>
        </w:div>
        <w:div w:id="2068843038">
          <w:marLeft w:val="0"/>
          <w:marRight w:val="0"/>
          <w:marTop w:val="0"/>
          <w:marBottom w:val="0"/>
          <w:divBdr>
            <w:top w:val="none" w:sz="0" w:space="0" w:color="auto"/>
            <w:left w:val="none" w:sz="0" w:space="0" w:color="auto"/>
            <w:bottom w:val="none" w:sz="0" w:space="0" w:color="auto"/>
            <w:right w:val="none" w:sz="0" w:space="0" w:color="auto"/>
          </w:divBdr>
        </w:div>
        <w:div w:id="2029065198">
          <w:marLeft w:val="0"/>
          <w:marRight w:val="0"/>
          <w:marTop w:val="0"/>
          <w:marBottom w:val="0"/>
          <w:divBdr>
            <w:top w:val="none" w:sz="0" w:space="0" w:color="auto"/>
            <w:left w:val="none" w:sz="0" w:space="0" w:color="auto"/>
            <w:bottom w:val="none" w:sz="0" w:space="0" w:color="auto"/>
            <w:right w:val="none" w:sz="0" w:space="0" w:color="auto"/>
          </w:divBdr>
          <w:divsChild>
            <w:div w:id="1899196594">
              <w:marLeft w:val="-75"/>
              <w:marRight w:val="0"/>
              <w:marTop w:val="30"/>
              <w:marBottom w:val="30"/>
              <w:divBdr>
                <w:top w:val="none" w:sz="0" w:space="0" w:color="auto"/>
                <w:left w:val="none" w:sz="0" w:space="0" w:color="auto"/>
                <w:bottom w:val="none" w:sz="0" w:space="0" w:color="auto"/>
                <w:right w:val="none" w:sz="0" w:space="0" w:color="auto"/>
              </w:divBdr>
              <w:divsChild>
                <w:div w:id="1668052742">
                  <w:marLeft w:val="0"/>
                  <w:marRight w:val="0"/>
                  <w:marTop w:val="0"/>
                  <w:marBottom w:val="0"/>
                  <w:divBdr>
                    <w:top w:val="none" w:sz="0" w:space="0" w:color="auto"/>
                    <w:left w:val="none" w:sz="0" w:space="0" w:color="auto"/>
                    <w:bottom w:val="none" w:sz="0" w:space="0" w:color="auto"/>
                    <w:right w:val="none" w:sz="0" w:space="0" w:color="auto"/>
                  </w:divBdr>
                  <w:divsChild>
                    <w:div w:id="841819922">
                      <w:marLeft w:val="0"/>
                      <w:marRight w:val="0"/>
                      <w:marTop w:val="0"/>
                      <w:marBottom w:val="0"/>
                      <w:divBdr>
                        <w:top w:val="none" w:sz="0" w:space="0" w:color="auto"/>
                        <w:left w:val="none" w:sz="0" w:space="0" w:color="auto"/>
                        <w:bottom w:val="none" w:sz="0" w:space="0" w:color="auto"/>
                        <w:right w:val="none" w:sz="0" w:space="0" w:color="auto"/>
                      </w:divBdr>
                    </w:div>
                  </w:divsChild>
                </w:div>
                <w:div w:id="72703489">
                  <w:marLeft w:val="0"/>
                  <w:marRight w:val="0"/>
                  <w:marTop w:val="0"/>
                  <w:marBottom w:val="0"/>
                  <w:divBdr>
                    <w:top w:val="none" w:sz="0" w:space="0" w:color="auto"/>
                    <w:left w:val="none" w:sz="0" w:space="0" w:color="auto"/>
                    <w:bottom w:val="none" w:sz="0" w:space="0" w:color="auto"/>
                    <w:right w:val="none" w:sz="0" w:space="0" w:color="auto"/>
                  </w:divBdr>
                  <w:divsChild>
                    <w:div w:id="1083649224">
                      <w:marLeft w:val="0"/>
                      <w:marRight w:val="0"/>
                      <w:marTop w:val="0"/>
                      <w:marBottom w:val="0"/>
                      <w:divBdr>
                        <w:top w:val="none" w:sz="0" w:space="0" w:color="auto"/>
                        <w:left w:val="none" w:sz="0" w:space="0" w:color="auto"/>
                        <w:bottom w:val="none" w:sz="0" w:space="0" w:color="auto"/>
                        <w:right w:val="none" w:sz="0" w:space="0" w:color="auto"/>
                      </w:divBdr>
                    </w:div>
                  </w:divsChild>
                </w:div>
                <w:div w:id="1313212852">
                  <w:marLeft w:val="0"/>
                  <w:marRight w:val="0"/>
                  <w:marTop w:val="0"/>
                  <w:marBottom w:val="0"/>
                  <w:divBdr>
                    <w:top w:val="none" w:sz="0" w:space="0" w:color="auto"/>
                    <w:left w:val="none" w:sz="0" w:space="0" w:color="auto"/>
                    <w:bottom w:val="none" w:sz="0" w:space="0" w:color="auto"/>
                    <w:right w:val="none" w:sz="0" w:space="0" w:color="auto"/>
                  </w:divBdr>
                  <w:divsChild>
                    <w:div w:id="2071534876">
                      <w:marLeft w:val="0"/>
                      <w:marRight w:val="0"/>
                      <w:marTop w:val="0"/>
                      <w:marBottom w:val="0"/>
                      <w:divBdr>
                        <w:top w:val="none" w:sz="0" w:space="0" w:color="auto"/>
                        <w:left w:val="none" w:sz="0" w:space="0" w:color="auto"/>
                        <w:bottom w:val="none" w:sz="0" w:space="0" w:color="auto"/>
                        <w:right w:val="none" w:sz="0" w:space="0" w:color="auto"/>
                      </w:divBdr>
                    </w:div>
                  </w:divsChild>
                </w:div>
                <w:div w:id="78604252">
                  <w:marLeft w:val="0"/>
                  <w:marRight w:val="0"/>
                  <w:marTop w:val="0"/>
                  <w:marBottom w:val="0"/>
                  <w:divBdr>
                    <w:top w:val="none" w:sz="0" w:space="0" w:color="auto"/>
                    <w:left w:val="none" w:sz="0" w:space="0" w:color="auto"/>
                    <w:bottom w:val="none" w:sz="0" w:space="0" w:color="auto"/>
                    <w:right w:val="none" w:sz="0" w:space="0" w:color="auto"/>
                  </w:divBdr>
                  <w:divsChild>
                    <w:div w:id="1364478554">
                      <w:marLeft w:val="0"/>
                      <w:marRight w:val="0"/>
                      <w:marTop w:val="0"/>
                      <w:marBottom w:val="0"/>
                      <w:divBdr>
                        <w:top w:val="none" w:sz="0" w:space="0" w:color="auto"/>
                        <w:left w:val="none" w:sz="0" w:space="0" w:color="auto"/>
                        <w:bottom w:val="none" w:sz="0" w:space="0" w:color="auto"/>
                        <w:right w:val="none" w:sz="0" w:space="0" w:color="auto"/>
                      </w:divBdr>
                    </w:div>
                  </w:divsChild>
                </w:div>
                <w:div w:id="830752787">
                  <w:marLeft w:val="0"/>
                  <w:marRight w:val="0"/>
                  <w:marTop w:val="0"/>
                  <w:marBottom w:val="0"/>
                  <w:divBdr>
                    <w:top w:val="none" w:sz="0" w:space="0" w:color="auto"/>
                    <w:left w:val="none" w:sz="0" w:space="0" w:color="auto"/>
                    <w:bottom w:val="none" w:sz="0" w:space="0" w:color="auto"/>
                    <w:right w:val="none" w:sz="0" w:space="0" w:color="auto"/>
                  </w:divBdr>
                  <w:divsChild>
                    <w:div w:id="2062366418">
                      <w:marLeft w:val="0"/>
                      <w:marRight w:val="0"/>
                      <w:marTop w:val="0"/>
                      <w:marBottom w:val="0"/>
                      <w:divBdr>
                        <w:top w:val="none" w:sz="0" w:space="0" w:color="auto"/>
                        <w:left w:val="none" w:sz="0" w:space="0" w:color="auto"/>
                        <w:bottom w:val="none" w:sz="0" w:space="0" w:color="auto"/>
                        <w:right w:val="none" w:sz="0" w:space="0" w:color="auto"/>
                      </w:divBdr>
                    </w:div>
                  </w:divsChild>
                </w:div>
                <w:div w:id="540673324">
                  <w:marLeft w:val="0"/>
                  <w:marRight w:val="0"/>
                  <w:marTop w:val="0"/>
                  <w:marBottom w:val="0"/>
                  <w:divBdr>
                    <w:top w:val="none" w:sz="0" w:space="0" w:color="auto"/>
                    <w:left w:val="none" w:sz="0" w:space="0" w:color="auto"/>
                    <w:bottom w:val="none" w:sz="0" w:space="0" w:color="auto"/>
                    <w:right w:val="none" w:sz="0" w:space="0" w:color="auto"/>
                  </w:divBdr>
                  <w:divsChild>
                    <w:div w:id="378942955">
                      <w:marLeft w:val="0"/>
                      <w:marRight w:val="0"/>
                      <w:marTop w:val="0"/>
                      <w:marBottom w:val="0"/>
                      <w:divBdr>
                        <w:top w:val="none" w:sz="0" w:space="0" w:color="auto"/>
                        <w:left w:val="none" w:sz="0" w:space="0" w:color="auto"/>
                        <w:bottom w:val="none" w:sz="0" w:space="0" w:color="auto"/>
                        <w:right w:val="none" w:sz="0" w:space="0" w:color="auto"/>
                      </w:divBdr>
                    </w:div>
                  </w:divsChild>
                </w:div>
                <w:div w:id="886918821">
                  <w:marLeft w:val="0"/>
                  <w:marRight w:val="0"/>
                  <w:marTop w:val="0"/>
                  <w:marBottom w:val="0"/>
                  <w:divBdr>
                    <w:top w:val="none" w:sz="0" w:space="0" w:color="auto"/>
                    <w:left w:val="none" w:sz="0" w:space="0" w:color="auto"/>
                    <w:bottom w:val="none" w:sz="0" w:space="0" w:color="auto"/>
                    <w:right w:val="none" w:sz="0" w:space="0" w:color="auto"/>
                  </w:divBdr>
                  <w:divsChild>
                    <w:div w:id="1683048071">
                      <w:marLeft w:val="0"/>
                      <w:marRight w:val="0"/>
                      <w:marTop w:val="0"/>
                      <w:marBottom w:val="0"/>
                      <w:divBdr>
                        <w:top w:val="none" w:sz="0" w:space="0" w:color="auto"/>
                        <w:left w:val="none" w:sz="0" w:space="0" w:color="auto"/>
                        <w:bottom w:val="none" w:sz="0" w:space="0" w:color="auto"/>
                        <w:right w:val="none" w:sz="0" w:space="0" w:color="auto"/>
                      </w:divBdr>
                    </w:div>
                  </w:divsChild>
                </w:div>
                <w:div w:id="812913914">
                  <w:marLeft w:val="0"/>
                  <w:marRight w:val="0"/>
                  <w:marTop w:val="0"/>
                  <w:marBottom w:val="0"/>
                  <w:divBdr>
                    <w:top w:val="none" w:sz="0" w:space="0" w:color="auto"/>
                    <w:left w:val="none" w:sz="0" w:space="0" w:color="auto"/>
                    <w:bottom w:val="none" w:sz="0" w:space="0" w:color="auto"/>
                    <w:right w:val="none" w:sz="0" w:space="0" w:color="auto"/>
                  </w:divBdr>
                  <w:divsChild>
                    <w:div w:id="753552144">
                      <w:marLeft w:val="0"/>
                      <w:marRight w:val="0"/>
                      <w:marTop w:val="0"/>
                      <w:marBottom w:val="0"/>
                      <w:divBdr>
                        <w:top w:val="none" w:sz="0" w:space="0" w:color="auto"/>
                        <w:left w:val="none" w:sz="0" w:space="0" w:color="auto"/>
                        <w:bottom w:val="none" w:sz="0" w:space="0" w:color="auto"/>
                        <w:right w:val="none" w:sz="0" w:space="0" w:color="auto"/>
                      </w:divBdr>
                    </w:div>
                  </w:divsChild>
                </w:div>
                <w:div w:id="1250191137">
                  <w:marLeft w:val="0"/>
                  <w:marRight w:val="0"/>
                  <w:marTop w:val="0"/>
                  <w:marBottom w:val="0"/>
                  <w:divBdr>
                    <w:top w:val="none" w:sz="0" w:space="0" w:color="auto"/>
                    <w:left w:val="none" w:sz="0" w:space="0" w:color="auto"/>
                    <w:bottom w:val="none" w:sz="0" w:space="0" w:color="auto"/>
                    <w:right w:val="none" w:sz="0" w:space="0" w:color="auto"/>
                  </w:divBdr>
                  <w:divsChild>
                    <w:div w:id="1038117560">
                      <w:marLeft w:val="0"/>
                      <w:marRight w:val="0"/>
                      <w:marTop w:val="0"/>
                      <w:marBottom w:val="0"/>
                      <w:divBdr>
                        <w:top w:val="none" w:sz="0" w:space="0" w:color="auto"/>
                        <w:left w:val="none" w:sz="0" w:space="0" w:color="auto"/>
                        <w:bottom w:val="none" w:sz="0" w:space="0" w:color="auto"/>
                        <w:right w:val="none" w:sz="0" w:space="0" w:color="auto"/>
                      </w:divBdr>
                    </w:div>
                  </w:divsChild>
                </w:div>
                <w:div w:id="1036658429">
                  <w:marLeft w:val="0"/>
                  <w:marRight w:val="0"/>
                  <w:marTop w:val="0"/>
                  <w:marBottom w:val="0"/>
                  <w:divBdr>
                    <w:top w:val="none" w:sz="0" w:space="0" w:color="auto"/>
                    <w:left w:val="none" w:sz="0" w:space="0" w:color="auto"/>
                    <w:bottom w:val="none" w:sz="0" w:space="0" w:color="auto"/>
                    <w:right w:val="none" w:sz="0" w:space="0" w:color="auto"/>
                  </w:divBdr>
                  <w:divsChild>
                    <w:div w:id="136412527">
                      <w:marLeft w:val="0"/>
                      <w:marRight w:val="0"/>
                      <w:marTop w:val="0"/>
                      <w:marBottom w:val="0"/>
                      <w:divBdr>
                        <w:top w:val="none" w:sz="0" w:space="0" w:color="auto"/>
                        <w:left w:val="none" w:sz="0" w:space="0" w:color="auto"/>
                        <w:bottom w:val="none" w:sz="0" w:space="0" w:color="auto"/>
                        <w:right w:val="none" w:sz="0" w:space="0" w:color="auto"/>
                      </w:divBdr>
                    </w:div>
                  </w:divsChild>
                </w:div>
                <w:div w:id="1469399675">
                  <w:marLeft w:val="0"/>
                  <w:marRight w:val="0"/>
                  <w:marTop w:val="0"/>
                  <w:marBottom w:val="0"/>
                  <w:divBdr>
                    <w:top w:val="none" w:sz="0" w:space="0" w:color="auto"/>
                    <w:left w:val="none" w:sz="0" w:space="0" w:color="auto"/>
                    <w:bottom w:val="none" w:sz="0" w:space="0" w:color="auto"/>
                    <w:right w:val="none" w:sz="0" w:space="0" w:color="auto"/>
                  </w:divBdr>
                  <w:divsChild>
                    <w:div w:id="1499617028">
                      <w:marLeft w:val="0"/>
                      <w:marRight w:val="0"/>
                      <w:marTop w:val="0"/>
                      <w:marBottom w:val="0"/>
                      <w:divBdr>
                        <w:top w:val="none" w:sz="0" w:space="0" w:color="auto"/>
                        <w:left w:val="none" w:sz="0" w:space="0" w:color="auto"/>
                        <w:bottom w:val="none" w:sz="0" w:space="0" w:color="auto"/>
                        <w:right w:val="none" w:sz="0" w:space="0" w:color="auto"/>
                      </w:divBdr>
                    </w:div>
                  </w:divsChild>
                </w:div>
                <w:div w:id="113335655">
                  <w:marLeft w:val="0"/>
                  <w:marRight w:val="0"/>
                  <w:marTop w:val="0"/>
                  <w:marBottom w:val="0"/>
                  <w:divBdr>
                    <w:top w:val="none" w:sz="0" w:space="0" w:color="auto"/>
                    <w:left w:val="none" w:sz="0" w:space="0" w:color="auto"/>
                    <w:bottom w:val="none" w:sz="0" w:space="0" w:color="auto"/>
                    <w:right w:val="none" w:sz="0" w:space="0" w:color="auto"/>
                  </w:divBdr>
                  <w:divsChild>
                    <w:div w:id="124810619">
                      <w:marLeft w:val="0"/>
                      <w:marRight w:val="0"/>
                      <w:marTop w:val="0"/>
                      <w:marBottom w:val="0"/>
                      <w:divBdr>
                        <w:top w:val="none" w:sz="0" w:space="0" w:color="auto"/>
                        <w:left w:val="none" w:sz="0" w:space="0" w:color="auto"/>
                        <w:bottom w:val="none" w:sz="0" w:space="0" w:color="auto"/>
                        <w:right w:val="none" w:sz="0" w:space="0" w:color="auto"/>
                      </w:divBdr>
                    </w:div>
                    <w:div w:id="303003226">
                      <w:marLeft w:val="0"/>
                      <w:marRight w:val="0"/>
                      <w:marTop w:val="0"/>
                      <w:marBottom w:val="0"/>
                      <w:divBdr>
                        <w:top w:val="none" w:sz="0" w:space="0" w:color="auto"/>
                        <w:left w:val="none" w:sz="0" w:space="0" w:color="auto"/>
                        <w:bottom w:val="none" w:sz="0" w:space="0" w:color="auto"/>
                        <w:right w:val="none" w:sz="0" w:space="0" w:color="auto"/>
                      </w:divBdr>
                    </w:div>
                  </w:divsChild>
                </w:div>
                <w:div w:id="1128008957">
                  <w:marLeft w:val="0"/>
                  <w:marRight w:val="0"/>
                  <w:marTop w:val="0"/>
                  <w:marBottom w:val="0"/>
                  <w:divBdr>
                    <w:top w:val="none" w:sz="0" w:space="0" w:color="auto"/>
                    <w:left w:val="none" w:sz="0" w:space="0" w:color="auto"/>
                    <w:bottom w:val="none" w:sz="0" w:space="0" w:color="auto"/>
                    <w:right w:val="none" w:sz="0" w:space="0" w:color="auto"/>
                  </w:divBdr>
                  <w:divsChild>
                    <w:div w:id="1686394958">
                      <w:marLeft w:val="0"/>
                      <w:marRight w:val="0"/>
                      <w:marTop w:val="0"/>
                      <w:marBottom w:val="0"/>
                      <w:divBdr>
                        <w:top w:val="none" w:sz="0" w:space="0" w:color="auto"/>
                        <w:left w:val="none" w:sz="0" w:space="0" w:color="auto"/>
                        <w:bottom w:val="none" w:sz="0" w:space="0" w:color="auto"/>
                        <w:right w:val="none" w:sz="0" w:space="0" w:color="auto"/>
                      </w:divBdr>
                    </w:div>
                  </w:divsChild>
                </w:div>
                <w:div w:id="424110821">
                  <w:marLeft w:val="0"/>
                  <w:marRight w:val="0"/>
                  <w:marTop w:val="0"/>
                  <w:marBottom w:val="0"/>
                  <w:divBdr>
                    <w:top w:val="none" w:sz="0" w:space="0" w:color="auto"/>
                    <w:left w:val="none" w:sz="0" w:space="0" w:color="auto"/>
                    <w:bottom w:val="none" w:sz="0" w:space="0" w:color="auto"/>
                    <w:right w:val="none" w:sz="0" w:space="0" w:color="auto"/>
                  </w:divBdr>
                  <w:divsChild>
                    <w:div w:id="1298880775">
                      <w:marLeft w:val="0"/>
                      <w:marRight w:val="0"/>
                      <w:marTop w:val="0"/>
                      <w:marBottom w:val="0"/>
                      <w:divBdr>
                        <w:top w:val="none" w:sz="0" w:space="0" w:color="auto"/>
                        <w:left w:val="none" w:sz="0" w:space="0" w:color="auto"/>
                        <w:bottom w:val="none" w:sz="0" w:space="0" w:color="auto"/>
                        <w:right w:val="none" w:sz="0" w:space="0" w:color="auto"/>
                      </w:divBdr>
                    </w:div>
                    <w:div w:id="385758276">
                      <w:marLeft w:val="0"/>
                      <w:marRight w:val="0"/>
                      <w:marTop w:val="0"/>
                      <w:marBottom w:val="0"/>
                      <w:divBdr>
                        <w:top w:val="none" w:sz="0" w:space="0" w:color="auto"/>
                        <w:left w:val="none" w:sz="0" w:space="0" w:color="auto"/>
                        <w:bottom w:val="none" w:sz="0" w:space="0" w:color="auto"/>
                        <w:right w:val="none" w:sz="0" w:space="0" w:color="auto"/>
                      </w:divBdr>
                    </w:div>
                    <w:div w:id="942229199">
                      <w:marLeft w:val="0"/>
                      <w:marRight w:val="0"/>
                      <w:marTop w:val="0"/>
                      <w:marBottom w:val="0"/>
                      <w:divBdr>
                        <w:top w:val="none" w:sz="0" w:space="0" w:color="auto"/>
                        <w:left w:val="none" w:sz="0" w:space="0" w:color="auto"/>
                        <w:bottom w:val="none" w:sz="0" w:space="0" w:color="auto"/>
                        <w:right w:val="none" w:sz="0" w:space="0" w:color="auto"/>
                      </w:divBdr>
                    </w:div>
                  </w:divsChild>
                </w:div>
                <w:div w:id="137650104">
                  <w:marLeft w:val="0"/>
                  <w:marRight w:val="0"/>
                  <w:marTop w:val="0"/>
                  <w:marBottom w:val="0"/>
                  <w:divBdr>
                    <w:top w:val="none" w:sz="0" w:space="0" w:color="auto"/>
                    <w:left w:val="none" w:sz="0" w:space="0" w:color="auto"/>
                    <w:bottom w:val="none" w:sz="0" w:space="0" w:color="auto"/>
                    <w:right w:val="none" w:sz="0" w:space="0" w:color="auto"/>
                  </w:divBdr>
                  <w:divsChild>
                    <w:div w:id="1827628089">
                      <w:marLeft w:val="0"/>
                      <w:marRight w:val="0"/>
                      <w:marTop w:val="0"/>
                      <w:marBottom w:val="0"/>
                      <w:divBdr>
                        <w:top w:val="none" w:sz="0" w:space="0" w:color="auto"/>
                        <w:left w:val="none" w:sz="0" w:space="0" w:color="auto"/>
                        <w:bottom w:val="none" w:sz="0" w:space="0" w:color="auto"/>
                        <w:right w:val="none" w:sz="0" w:space="0" w:color="auto"/>
                      </w:divBdr>
                    </w:div>
                    <w:div w:id="366182168">
                      <w:marLeft w:val="0"/>
                      <w:marRight w:val="0"/>
                      <w:marTop w:val="0"/>
                      <w:marBottom w:val="0"/>
                      <w:divBdr>
                        <w:top w:val="none" w:sz="0" w:space="0" w:color="auto"/>
                        <w:left w:val="none" w:sz="0" w:space="0" w:color="auto"/>
                        <w:bottom w:val="none" w:sz="0" w:space="0" w:color="auto"/>
                        <w:right w:val="none" w:sz="0" w:space="0" w:color="auto"/>
                      </w:divBdr>
                    </w:div>
                    <w:div w:id="1905680941">
                      <w:marLeft w:val="0"/>
                      <w:marRight w:val="0"/>
                      <w:marTop w:val="0"/>
                      <w:marBottom w:val="0"/>
                      <w:divBdr>
                        <w:top w:val="none" w:sz="0" w:space="0" w:color="auto"/>
                        <w:left w:val="none" w:sz="0" w:space="0" w:color="auto"/>
                        <w:bottom w:val="none" w:sz="0" w:space="0" w:color="auto"/>
                        <w:right w:val="none" w:sz="0" w:space="0" w:color="auto"/>
                      </w:divBdr>
                    </w:div>
                  </w:divsChild>
                </w:div>
                <w:div w:id="503206335">
                  <w:marLeft w:val="0"/>
                  <w:marRight w:val="0"/>
                  <w:marTop w:val="0"/>
                  <w:marBottom w:val="0"/>
                  <w:divBdr>
                    <w:top w:val="none" w:sz="0" w:space="0" w:color="auto"/>
                    <w:left w:val="none" w:sz="0" w:space="0" w:color="auto"/>
                    <w:bottom w:val="none" w:sz="0" w:space="0" w:color="auto"/>
                    <w:right w:val="none" w:sz="0" w:space="0" w:color="auto"/>
                  </w:divBdr>
                  <w:divsChild>
                    <w:div w:id="763651980">
                      <w:marLeft w:val="0"/>
                      <w:marRight w:val="0"/>
                      <w:marTop w:val="0"/>
                      <w:marBottom w:val="0"/>
                      <w:divBdr>
                        <w:top w:val="none" w:sz="0" w:space="0" w:color="auto"/>
                        <w:left w:val="none" w:sz="0" w:space="0" w:color="auto"/>
                        <w:bottom w:val="none" w:sz="0" w:space="0" w:color="auto"/>
                        <w:right w:val="none" w:sz="0" w:space="0" w:color="auto"/>
                      </w:divBdr>
                    </w:div>
                    <w:div w:id="1052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9631">
          <w:marLeft w:val="0"/>
          <w:marRight w:val="0"/>
          <w:marTop w:val="0"/>
          <w:marBottom w:val="0"/>
          <w:divBdr>
            <w:top w:val="none" w:sz="0" w:space="0" w:color="auto"/>
            <w:left w:val="none" w:sz="0" w:space="0" w:color="auto"/>
            <w:bottom w:val="none" w:sz="0" w:space="0" w:color="auto"/>
            <w:right w:val="none" w:sz="0" w:space="0" w:color="auto"/>
          </w:divBdr>
          <w:divsChild>
            <w:div w:id="664086228">
              <w:marLeft w:val="0"/>
              <w:marRight w:val="0"/>
              <w:marTop w:val="0"/>
              <w:marBottom w:val="0"/>
              <w:divBdr>
                <w:top w:val="none" w:sz="0" w:space="0" w:color="auto"/>
                <w:left w:val="none" w:sz="0" w:space="0" w:color="auto"/>
                <w:bottom w:val="none" w:sz="0" w:space="0" w:color="auto"/>
                <w:right w:val="none" w:sz="0" w:space="0" w:color="auto"/>
              </w:divBdr>
            </w:div>
            <w:div w:id="451019092">
              <w:marLeft w:val="0"/>
              <w:marRight w:val="0"/>
              <w:marTop w:val="0"/>
              <w:marBottom w:val="0"/>
              <w:divBdr>
                <w:top w:val="none" w:sz="0" w:space="0" w:color="auto"/>
                <w:left w:val="none" w:sz="0" w:space="0" w:color="auto"/>
                <w:bottom w:val="none" w:sz="0" w:space="0" w:color="auto"/>
                <w:right w:val="none" w:sz="0" w:space="0" w:color="auto"/>
              </w:divBdr>
            </w:div>
            <w:div w:id="732000094">
              <w:marLeft w:val="0"/>
              <w:marRight w:val="0"/>
              <w:marTop w:val="0"/>
              <w:marBottom w:val="0"/>
              <w:divBdr>
                <w:top w:val="none" w:sz="0" w:space="0" w:color="auto"/>
                <w:left w:val="none" w:sz="0" w:space="0" w:color="auto"/>
                <w:bottom w:val="none" w:sz="0" w:space="0" w:color="auto"/>
                <w:right w:val="none" w:sz="0" w:space="0" w:color="auto"/>
              </w:divBdr>
            </w:div>
          </w:divsChild>
        </w:div>
        <w:div w:id="1839423378">
          <w:marLeft w:val="0"/>
          <w:marRight w:val="0"/>
          <w:marTop w:val="0"/>
          <w:marBottom w:val="0"/>
          <w:divBdr>
            <w:top w:val="none" w:sz="0" w:space="0" w:color="auto"/>
            <w:left w:val="none" w:sz="0" w:space="0" w:color="auto"/>
            <w:bottom w:val="none" w:sz="0" w:space="0" w:color="auto"/>
            <w:right w:val="none" w:sz="0" w:space="0" w:color="auto"/>
          </w:divBdr>
        </w:div>
        <w:div w:id="2020429112">
          <w:marLeft w:val="0"/>
          <w:marRight w:val="0"/>
          <w:marTop w:val="0"/>
          <w:marBottom w:val="0"/>
          <w:divBdr>
            <w:top w:val="none" w:sz="0" w:space="0" w:color="auto"/>
            <w:left w:val="none" w:sz="0" w:space="0" w:color="auto"/>
            <w:bottom w:val="none" w:sz="0" w:space="0" w:color="auto"/>
            <w:right w:val="none" w:sz="0" w:space="0" w:color="auto"/>
          </w:divBdr>
        </w:div>
        <w:div w:id="2068675031">
          <w:marLeft w:val="0"/>
          <w:marRight w:val="0"/>
          <w:marTop w:val="0"/>
          <w:marBottom w:val="0"/>
          <w:divBdr>
            <w:top w:val="none" w:sz="0" w:space="0" w:color="auto"/>
            <w:left w:val="none" w:sz="0" w:space="0" w:color="auto"/>
            <w:bottom w:val="none" w:sz="0" w:space="0" w:color="auto"/>
            <w:right w:val="none" w:sz="0" w:space="0" w:color="auto"/>
          </w:divBdr>
        </w:div>
        <w:div w:id="1384907476">
          <w:marLeft w:val="0"/>
          <w:marRight w:val="0"/>
          <w:marTop w:val="0"/>
          <w:marBottom w:val="0"/>
          <w:divBdr>
            <w:top w:val="none" w:sz="0" w:space="0" w:color="auto"/>
            <w:left w:val="none" w:sz="0" w:space="0" w:color="auto"/>
            <w:bottom w:val="none" w:sz="0" w:space="0" w:color="auto"/>
            <w:right w:val="none" w:sz="0" w:space="0" w:color="auto"/>
          </w:divBdr>
        </w:div>
        <w:div w:id="369497885">
          <w:marLeft w:val="0"/>
          <w:marRight w:val="0"/>
          <w:marTop w:val="0"/>
          <w:marBottom w:val="0"/>
          <w:divBdr>
            <w:top w:val="none" w:sz="0" w:space="0" w:color="auto"/>
            <w:left w:val="none" w:sz="0" w:space="0" w:color="auto"/>
            <w:bottom w:val="none" w:sz="0" w:space="0" w:color="auto"/>
            <w:right w:val="none" w:sz="0" w:space="0" w:color="auto"/>
          </w:divBdr>
        </w:div>
        <w:div w:id="1362512341">
          <w:marLeft w:val="0"/>
          <w:marRight w:val="0"/>
          <w:marTop w:val="0"/>
          <w:marBottom w:val="0"/>
          <w:divBdr>
            <w:top w:val="none" w:sz="0" w:space="0" w:color="auto"/>
            <w:left w:val="none" w:sz="0" w:space="0" w:color="auto"/>
            <w:bottom w:val="none" w:sz="0" w:space="0" w:color="auto"/>
            <w:right w:val="none" w:sz="0" w:space="0" w:color="auto"/>
          </w:divBdr>
        </w:div>
        <w:div w:id="415056464">
          <w:marLeft w:val="0"/>
          <w:marRight w:val="0"/>
          <w:marTop w:val="0"/>
          <w:marBottom w:val="0"/>
          <w:divBdr>
            <w:top w:val="none" w:sz="0" w:space="0" w:color="auto"/>
            <w:left w:val="none" w:sz="0" w:space="0" w:color="auto"/>
            <w:bottom w:val="none" w:sz="0" w:space="0" w:color="auto"/>
            <w:right w:val="none" w:sz="0" w:space="0" w:color="auto"/>
          </w:divBdr>
        </w:div>
        <w:div w:id="374696812">
          <w:marLeft w:val="0"/>
          <w:marRight w:val="0"/>
          <w:marTop w:val="0"/>
          <w:marBottom w:val="0"/>
          <w:divBdr>
            <w:top w:val="none" w:sz="0" w:space="0" w:color="auto"/>
            <w:left w:val="none" w:sz="0" w:space="0" w:color="auto"/>
            <w:bottom w:val="none" w:sz="0" w:space="0" w:color="auto"/>
            <w:right w:val="none" w:sz="0" w:space="0" w:color="auto"/>
          </w:divBdr>
        </w:div>
        <w:div w:id="1060055251">
          <w:marLeft w:val="0"/>
          <w:marRight w:val="0"/>
          <w:marTop w:val="0"/>
          <w:marBottom w:val="0"/>
          <w:divBdr>
            <w:top w:val="none" w:sz="0" w:space="0" w:color="auto"/>
            <w:left w:val="none" w:sz="0" w:space="0" w:color="auto"/>
            <w:bottom w:val="none" w:sz="0" w:space="0" w:color="auto"/>
            <w:right w:val="none" w:sz="0" w:space="0" w:color="auto"/>
          </w:divBdr>
        </w:div>
        <w:div w:id="1106928772">
          <w:marLeft w:val="0"/>
          <w:marRight w:val="0"/>
          <w:marTop w:val="0"/>
          <w:marBottom w:val="0"/>
          <w:divBdr>
            <w:top w:val="none" w:sz="0" w:space="0" w:color="auto"/>
            <w:left w:val="none" w:sz="0" w:space="0" w:color="auto"/>
            <w:bottom w:val="none" w:sz="0" w:space="0" w:color="auto"/>
            <w:right w:val="none" w:sz="0" w:space="0" w:color="auto"/>
          </w:divBdr>
        </w:div>
        <w:div w:id="1086654986">
          <w:marLeft w:val="0"/>
          <w:marRight w:val="0"/>
          <w:marTop w:val="0"/>
          <w:marBottom w:val="0"/>
          <w:divBdr>
            <w:top w:val="none" w:sz="0" w:space="0" w:color="auto"/>
            <w:left w:val="none" w:sz="0" w:space="0" w:color="auto"/>
            <w:bottom w:val="none" w:sz="0" w:space="0" w:color="auto"/>
            <w:right w:val="none" w:sz="0" w:space="0" w:color="auto"/>
          </w:divBdr>
        </w:div>
        <w:div w:id="622928686">
          <w:marLeft w:val="0"/>
          <w:marRight w:val="0"/>
          <w:marTop w:val="0"/>
          <w:marBottom w:val="0"/>
          <w:divBdr>
            <w:top w:val="none" w:sz="0" w:space="0" w:color="auto"/>
            <w:left w:val="none" w:sz="0" w:space="0" w:color="auto"/>
            <w:bottom w:val="none" w:sz="0" w:space="0" w:color="auto"/>
            <w:right w:val="none" w:sz="0" w:space="0" w:color="auto"/>
          </w:divBdr>
        </w:div>
        <w:div w:id="962886554">
          <w:marLeft w:val="0"/>
          <w:marRight w:val="0"/>
          <w:marTop w:val="0"/>
          <w:marBottom w:val="0"/>
          <w:divBdr>
            <w:top w:val="none" w:sz="0" w:space="0" w:color="auto"/>
            <w:left w:val="none" w:sz="0" w:space="0" w:color="auto"/>
            <w:bottom w:val="none" w:sz="0" w:space="0" w:color="auto"/>
            <w:right w:val="none" w:sz="0" w:space="0" w:color="auto"/>
          </w:divBdr>
        </w:div>
        <w:div w:id="2034500279">
          <w:marLeft w:val="0"/>
          <w:marRight w:val="0"/>
          <w:marTop w:val="0"/>
          <w:marBottom w:val="0"/>
          <w:divBdr>
            <w:top w:val="none" w:sz="0" w:space="0" w:color="auto"/>
            <w:left w:val="none" w:sz="0" w:space="0" w:color="auto"/>
            <w:bottom w:val="none" w:sz="0" w:space="0" w:color="auto"/>
            <w:right w:val="none" w:sz="0" w:space="0" w:color="auto"/>
          </w:divBdr>
          <w:divsChild>
            <w:div w:id="1912084368">
              <w:marLeft w:val="-75"/>
              <w:marRight w:val="0"/>
              <w:marTop w:val="30"/>
              <w:marBottom w:val="30"/>
              <w:divBdr>
                <w:top w:val="none" w:sz="0" w:space="0" w:color="auto"/>
                <w:left w:val="none" w:sz="0" w:space="0" w:color="auto"/>
                <w:bottom w:val="none" w:sz="0" w:space="0" w:color="auto"/>
                <w:right w:val="none" w:sz="0" w:space="0" w:color="auto"/>
              </w:divBdr>
              <w:divsChild>
                <w:div w:id="1571228107">
                  <w:marLeft w:val="0"/>
                  <w:marRight w:val="0"/>
                  <w:marTop w:val="0"/>
                  <w:marBottom w:val="0"/>
                  <w:divBdr>
                    <w:top w:val="none" w:sz="0" w:space="0" w:color="auto"/>
                    <w:left w:val="none" w:sz="0" w:space="0" w:color="auto"/>
                    <w:bottom w:val="none" w:sz="0" w:space="0" w:color="auto"/>
                    <w:right w:val="none" w:sz="0" w:space="0" w:color="auto"/>
                  </w:divBdr>
                  <w:divsChild>
                    <w:div w:id="1588806897">
                      <w:marLeft w:val="0"/>
                      <w:marRight w:val="0"/>
                      <w:marTop w:val="0"/>
                      <w:marBottom w:val="0"/>
                      <w:divBdr>
                        <w:top w:val="none" w:sz="0" w:space="0" w:color="auto"/>
                        <w:left w:val="none" w:sz="0" w:space="0" w:color="auto"/>
                        <w:bottom w:val="none" w:sz="0" w:space="0" w:color="auto"/>
                        <w:right w:val="none" w:sz="0" w:space="0" w:color="auto"/>
                      </w:divBdr>
                    </w:div>
                  </w:divsChild>
                </w:div>
                <w:div w:id="1099445601">
                  <w:marLeft w:val="0"/>
                  <w:marRight w:val="0"/>
                  <w:marTop w:val="0"/>
                  <w:marBottom w:val="0"/>
                  <w:divBdr>
                    <w:top w:val="none" w:sz="0" w:space="0" w:color="auto"/>
                    <w:left w:val="none" w:sz="0" w:space="0" w:color="auto"/>
                    <w:bottom w:val="none" w:sz="0" w:space="0" w:color="auto"/>
                    <w:right w:val="none" w:sz="0" w:space="0" w:color="auto"/>
                  </w:divBdr>
                  <w:divsChild>
                    <w:div w:id="772238669">
                      <w:marLeft w:val="0"/>
                      <w:marRight w:val="0"/>
                      <w:marTop w:val="0"/>
                      <w:marBottom w:val="0"/>
                      <w:divBdr>
                        <w:top w:val="none" w:sz="0" w:space="0" w:color="auto"/>
                        <w:left w:val="none" w:sz="0" w:space="0" w:color="auto"/>
                        <w:bottom w:val="none" w:sz="0" w:space="0" w:color="auto"/>
                        <w:right w:val="none" w:sz="0" w:space="0" w:color="auto"/>
                      </w:divBdr>
                    </w:div>
                  </w:divsChild>
                </w:div>
                <w:div w:id="680663825">
                  <w:marLeft w:val="0"/>
                  <w:marRight w:val="0"/>
                  <w:marTop w:val="0"/>
                  <w:marBottom w:val="0"/>
                  <w:divBdr>
                    <w:top w:val="none" w:sz="0" w:space="0" w:color="auto"/>
                    <w:left w:val="none" w:sz="0" w:space="0" w:color="auto"/>
                    <w:bottom w:val="none" w:sz="0" w:space="0" w:color="auto"/>
                    <w:right w:val="none" w:sz="0" w:space="0" w:color="auto"/>
                  </w:divBdr>
                  <w:divsChild>
                    <w:div w:id="1402289240">
                      <w:marLeft w:val="0"/>
                      <w:marRight w:val="0"/>
                      <w:marTop w:val="0"/>
                      <w:marBottom w:val="0"/>
                      <w:divBdr>
                        <w:top w:val="none" w:sz="0" w:space="0" w:color="auto"/>
                        <w:left w:val="none" w:sz="0" w:space="0" w:color="auto"/>
                        <w:bottom w:val="none" w:sz="0" w:space="0" w:color="auto"/>
                        <w:right w:val="none" w:sz="0" w:space="0" w:color="auto"/>
                      </w:divBdr>
                    </w:div>
                  </w:divsChild>
                </w:div>
                <w:div w:id="1890068781">
                  <w:marLeft w:val="0"/>
                  <w:marRight w:val="0"/>
                  <w:marTop w:val="0"/>
                  <w:marBottom w:val="0"/>
                  <w:divBdr>
                    <w:top w:val="none" w:sz="0" w:space="0" w:color="auto"/>
                    <w:left w:val="none" w:sz="0" w:space="0" w:color="auto"/>
                    <w:bottom w:val="none" w:sz="0" w:space="0" w:color="auto"/>
                    <w:right w:val="none" w:sz="0" w:space="0" w:color="auto"/>
                  </w:divBdr>
                  <w:divsChild>
                    <w:div w:id="2020235046">
                      <w:marLeft w:val="0"/>
                      <w:marRight w:val="0"/>
                      <w:marTop w:val="0"/>
                      <w:marBottom w:val="0"/>
                      <w:divBdr>
                        <w:top w:val="none" w:sz="0" w:space="0" w:color="auto"/>
                        <w:left w:val="none" w:sz="0" w:space="0" w:color="auto"/>
                        <w:bottom w:val="none" w:sz="0" w:space="0" w:color="auto"/>
                        <w:right w:val="none" w:sz="0" w:space="0" w:color="auto"/>
                      </w:divBdr>
                    </w:div>
                  </w:divsChild>
                </w:div>
                <w:div w:id="1974749004">
                  <w:marLeft w:val="0"/>
                  <w:marRight w:val="0"/>
                  <w:marTop w:val="0"/>
                  <w:marBottom w:val="0"/>
                  <w:divBdr>
                    <w:top w:val="none" w:sz="0" w:space="0" w:color="auto"/>
                    <w:left w:val="none" w:sz="0" w:space="0" w:color="auto"/>
                    <w:bottom w:val="none" w:sz="0" w:space="0" w:color="auto"/>
                    <w:right w:val="none" w:sz="0" w:space="0" w:color="auto"/>
                  </w:divBdr>
                  <w:divsChild>
                    <w:div w:id="716509815">
                      <w:marLeft w:val="0"/>
                      <w:marRight w:val="0"/>
                      <w:marTop w:val="0"/>
                      <w:marBottom w:val="0"/>
                      <w:divBdr>
                        <w:top w:val="none" w:sz="0" w:space="0" w:color="auto"/>
                        <w:left w:val="none" w:sz="0" w:space="0" w:color="auto"/>
                        <w:bottom w:val="none" w:sz="0" w:space="0" w:color="auto"/>
                        <w:right w:val="none" w:sz="0" w:space="0" w:color="auto"/>
                      </w:divBdr>
                    </w:div>
                  </w:divsChild>
                </w:div>
                <w:div w:id="720713873">
                  <w:marLeft w:val="0"/>
                  <w:marRight w:val="0"/>
                  <w:marTop w:val="0"/>
                  <w:marBottom w:val="0"/>
                  <w:divBdr>
                    <w:top w:val="none" w:sz="0" w:space="0" w:color="auto"/>
                    <w:left w:val="none" w:sz="0" w:space="0" w:color="auto"/>
                    <w:bottom w:val="none" w:sz="0" w:space="0" w:color="auto"/>
                    <w:right w:val="none" w:sz="0" w:space="0" w:color="auto"/>
                  </w:divBdr>
                  <w:divsChild>
                    <w:div w:id="1548755371">
                      <w:marLeft w:val="0"/>
                      <w:marRight w:val="0"/>
                      <w:marTop w:val="0"/>
                      <w:marBottom w:val="0"/>
                      <w:divBdr>
                        <w:top w:val="none" w:sz="0" w:space="0" w:color="auto"/>
                        <w:left w:val="none" w:sz="0" w:space="0" w:color="auto"/>
                        <w:bottom w:val="none" w:sz="0" w:space="0" w:color="auto"/>
                        <w:right w:val="none" w:sz="0" w:space="0" w:color="auto"/>
                      </w:divBdr>
                    </w:div>
                  </w:divsChild>
                </w:div>
                <w:div w:id="1071541172">
                  <w:marLeft w:val="0"/>
                  <w:marRight w:val="0"/>
                  <w:marTop w:val="0"/>
                  <w:marBottom w:val="0"/>
                  <w:divBdr>
                    <w:top w:val="none" w:sz="0" w:space="0" w:color="auto"/>
                    <w:left w:val="none" w:sz="0" w:space="0" w:color="auto"/>
                    <w:bottom w:val="none" w:sz="0" w:space="0" w:color="auto"/>
                    <w:right w:val="none" w:sz="0" w:space="0" w:color="auto"/>
                  </w:divBdr>
                  <w:divsChild>
                    <w:div w:id="614212522">
                      <w:marLeft w:val="0"/>
                      <w:marRight w:val="0"/>
                      <w:marTop w:val="0"/>
                      <w:marBottom w:val="0"/>
                      <w:divBdr>
                        <w:top w:val="none" w:sz="0" w:space="0" w:color="auto"/>
                        <w:left w:val="none" w:sz="0" w:space="0" w:color="auto"/>
                        <w:bottom w:val="none" w:sz="0" w:space="0" w:color="auto"/>
                        <w:right w:val="none" w:sz="0" w:space="0" w:color="auto"/>
                      </w:divBdr>
                    </w:div>
                  </w:divsChild>
                </w:div>
                <w:div w:id="1091466556">
                  <w:marLeft w:val="0"/>
                  <w:marRight w:val="0"/>
                  <w:marTop w:val="0"/>
                  <w:marBottom w:val="0"/>
                  <w:divBdr>
                    <w:top w:val="none" w:sz="0" w:space="0" w:color="auto"/>
                    <w:left w:val="none" w:sz="0" w:space="0" w:color="auto"/>
                    <w:bottom w:val="none" w:sz="0" w:space="0" w:color="auto"/>
                    <w:right w:val="none" w:sz="0" w:space="0" w:color="auto"/>
                  </w:divBdr>
                  <w:divsChild>
                    <w:div w:id="37583642">
                      <w:marLeft w:val="0"/>
                      <w:marRight w:val="0"/>
                      <w:marTop w:val="0"/>
                      <w:marBottom w:val="0"/>
                      <w:divBdr>
                        <w:top w:val="none" w:sz="0" w:space="0" w:color="auto"/>
                        <w:left w:val="none" w:sz="0" w:space="0" w:color="auto"/>
                        <w:bottom w:val="none" w:sz="0" w:space="0" w:color="auto"/>
                        <w:right w:val="none" w:sz="0" w:space="0" w:color="auto"/>
                      </w:divBdr>
                    </w:div>
                  </w:divsChild>
                </w:div>
                <w:div w:id="698314774">
                  <w:marLeft w:val="0"/>
                  <w:marRight w:val="0"/>
                  <w:marTop w:val="0"/>
                  <w:marBottom w:val="0"/>
                  <w:divBdr>
                    <w:top w:val="none" w:sz="0" w:space="0" w:color="auto"/>
                    <w:left w:val="none" w:sz="0" w:space="0" w:color="auto"/>
                    <w:bottom w:val="none" w:sz="0" w:space="0" w:color="auto"/>
                    <w:right w:val="none" w:sz="0" w:space="0" w:color="auto"/>
                  </w:divBdr>
                  <w:divsChild>
                    <w:div w:id="983852450">
                      <w:marLeft w:val="0"/>
                      <w:marRight w:val="0"/>
                      <w:marTop w:val="0"/>
                      <w:marBottom w:val="0"/>
                      <w:divBdr>
                        <w:top w:val="none" w:sz="0" w:space="0" w:color="auto"/>
                        <w:left w:val="none" w:sz="0" w:space="0" w:color="auto"/>
                        <w:bottom w:val="none" w:sz="0" w:space="0" w:color="auto"/>
                        <w:right w:val="none" w:sz="0" w:space="0" w:color="auto"/>
                      </w:divBdr>
                    </w:div>
                  </w:divsChild>
                </w:div>
                <w:div w:id="443616939">
                  <w:marLeft w:val="0"/>
                  <w:marRight w:val="0"/>
                  <w:marTop w:val="0"/>
                  <w:marBottom w:val="0"/>
                  <w:divBdr>
                    <w:top w:val="none" w:sz="0" w:space="0" w:color="auto"/>
                    <w:left w:val="none" w:sz="0" w:space="0" w:color="auto"/>
                    <w:bottom w:val="none" w:sz="0" w:space="0" w:color="auto"/>
                    <w:right w:val="none" w:sz="0" w:space="0" w:color="auto"/>
                  </w:divBdr>
                  <w:divsChild>
                    <w:div w:id="436145183">
                      <w:marLeft w:val="0"/>
                      <w:marRight w:val="0"/>
                      <w:marTop w:val="0"/>
                      <w:marBottom w:val="0"/>
                      <w:divBdr>
                        <w:top w:val="none" w:sz="0" w:space="0" w:color="auto"/>
                        <w:left w:val="none" w:sz="0" w:space="0" w:color="auto"/>
                        <w:bottom w:val="none" w:sz="0" w:space="0" w:color="auto"/>
                        <w:right w:val="none" w:sz="0" w:space="0" w:color="auto"/>
                      </w:divBdr>
                    </w:div>
                  </w:divsChild>
                </w:div>
                <w:div w:id="2120101878">
                  <w:marLeft w:val="0"/>
                  <w:marRight w:val="0"/>
                  <w:marTop w:val="0"/>
                  <w:marBottom w:val="0"/>
                  <w:divBdr>
                    <w:top w:val="none" w:sz="0" w:space="0" w:color="auto"/>
                    <w:left w:val="none" w:sz="0" w:space="0" w:color="auto"/>
                    <w:bottom w:val="none" w:sz="0" w:space="0" w:color="auto"/>
                    <w:right w:val="none" w:sz="0" w:space="0" w:color="auto"/>
                  </w:divBdr>
                  <w:divsChild>
                    <w:div w:id="817577404">
                      <w:marLeft w:val="0"/>
                      <w:marRight w:val="0"/>
                      <w:marTop w:val="0"/>
                      <w:marBottom w:val="0"/>
                      <w:divBdr>
                        <w:top w:val="none" w:sz="0" w:space="0" w:color="auto"/>
                        <w:left w:val="none" w:sz="0" w:space="0" w:color="auto"/>
                        <w:bottom w:val="none" w:sz="0" w:space="0" w:color="auto"/>
                        <w:right w:val="none" w:sz="0" w:space="0" w:color="auto"/>
                      </w:divBdr>
                    </w:div>
                  </w:divsChild>
                </w:div>
                <w:div w:id="363292454">
                  <w:marLeft w:val="0"/>
                  <w:marRight w:val="0"/>
                  <w:marTop w:val="0"/>
                  <w:marBottom w:val="0"/>
                  <w:divBdr>
                    <w:top w:val="none" w:sz="0" w:space="0" w:color="auto"/>
                    <w:left w:val="none" w:sz="0" w:space="0" w:color="auto"/>
                    <w:bottom w:val="none" w:sz="0" w:space="0" w:color="auto"/>
                    <w:right w:val="none" w:sz="0" w:space="0" w:color="auto"/>
                  </w:divBdr>
                  <w:divsChild>
                    <w:div w:id="2073188032">
                      <w:marLeft w:val="0"/>
                      <w:marRight w:val="0"/>
                      <w:marTop w:val="0"/>
                      <w:marBottom w:val="0"/>
                      <w:divBdr>
                        <w:top w:val="none" w:sz="0" w:space="0" w:color="auto"/>
                        <w:left w:val="none" w:sz="0" w:space="0" w:color="auto"/>
                        <w:bottom w:val="none" w:sz="0" w:space="0" w:color="auto"/>
                        <w:right w:val="none" w:sz="0" w:space="0" w:color="auto"/>
                      </w:divBdr>
                    </w:div>
                  </w:divsChild>
                </w:div>
                <w:div w:id="1304429082">
                  <w:marLeft w:val="0"/>
                  <w:marRight w:val="0"/>
                  <w:marTop w:val="0"/>
                  <w:marBottom w:val="0"/>
                  <w:divBdr>
                    <w:top w:val="none" w:sz="0" w:space="0" w:color="auto"/>
                    <w:left w:val="none" w:sz="0" w:space="0" w:color="auto"/>
                    <w:bottom w:val="none" w:sz="0" w:space="0" w:color="auto"/>
                    <w:right w:val="none" w:sz="0" w:space="0" w:color="auto"/>
                  </w:divBdr>
                  <w:divsChild>
                    <w:div w:id="1422869260">
                      <w:marLeft w:val="0"/>
                      <w:marRight w:val="0"/>
                      <w:marTop w:val="0"/>
                      <w:marBottom w:val="0"/>
                      <w:divBdr>
                        <w:top w:val="none" w:sz="0" w:space="0" w:color="auto"/>
                        <w:left w:val="none" w:sz="0" w:space="0" w:color="auto"/>
                        <w:bottom w:val="none" w:sz="0" w:space="0" w:color="auto"/>
                        <w:right w:val="none" w:sz="0" w:space="0" w:color="auto"/>
                      </w:divBdr>
                    </w:div>
                  </w:divsChild>
                </w:div>
                <w:div w:id="1866751353">
                  <w:marLeft w:val="0"/>
                  <w:marRight w:val="0"/>
                  <w:marTop w:val="0"/>
                  <w:marBottom w:val="0"/>
                  <w:divBdr>
                    <w:top w:val="none" w:sz="0" w:space="0" w:color="auto"/>
                    <w:left w:val="none" w:sz="0" w:space="0" w:color="auto"/>
                    <w:bottom w:val="none" w:sz="0" w:space="0" w:color="auto"/>
                    <w:right w:val="none" w:sz="0" w:space="0" w:color="auto"/>
                  </w:divBdr>
                  <w:divsChild>
                    <w:div w:id="863052495">
                      <w:marLeft w:val="0"/>
                      <w:marRight w:val="0"/>
                      <w:marTop w:val="0"/>
                      <w:marBottom w:val="0"/>
                      <w:divBdr>
                        <w:top w:val="none" w:sz="0" w:space="0" w:color="auto"/>
                        <w:left w:val="none" w:sz="0" w:space="0" w:color="auto"/>
                        <w:bottom w:val="none" w:sz="0" w:space="0" w:color="auto"/>
                        <w:right w:val="none" w:sz="0" w:space="0" w:color="auto"/>
                      </w:divBdr>
                    </w:div>
                  </w:divsChild>
                </w:div>
                <w:div w:id="1130510049">
                  <w:marLeft w:val="0"/>
                  <w:marRight w:val="0"/>
                  <w:marTop w:val="0"/>
                  <w:marBottom w:val="0"/>
                  <w:divBdr>
                    <w:top w:val="none" w:sz="0" w:space="0" w:color="auto"/>
                    <w:left w:val="none" w:sz="0" w:space="0" w:color="auto"/>
                    <w:bottom w:val="none" w:sz="0" w:space="0" w:color="auto"/>
                    <w:right w:val="none" w:sz="0" w:space="0" w:color="auto"/>
                  </w:divBdr>
                  <w:divsChild>
                    <w:div w:id="367800195">
                      <w:marLeft w:val="0"/>
                      <w:marRight w:val="0"/>
                      <w:marTop w:val="0"/>
                      <w:marBottom w:val="0"/>
                      <w:divBdr>
                        <w:top w:val="none" w:sz="0" w:space="0" w:color="auto"/>
                        <w:left w:val="none" w:sz="0" w:space="0" w:color="auto"/>
                        <w:bottom w:val="none" w:sz="0" w:space="0" w:color="auto"/>
                        <w:right w:val="none" w:sz="0" w:space="0" w:color="auto"/>
                      </w:divBdr>
                    </w:div>
                  </w:divsChild>
                </w:div>
                <w:div w:id="326179735">
                  <w:marLeft w:val="0"/>
                  <w:marRight w:val="0"/>
                  <w:marTop w:val="0"/>
                  <w:marBottom w:val="0"/>
                  <w:divBdr>
                    <w:top w:val="none" w:sz="0" w:space="0" w:color="auto"/>
                    <w:left w:val="none" w:sz="0" w:space="0" w:color="auto"/>
                    <w:bottom w:val="none" w:sz="0" w:space="0" w:color="auto"/>
                    <w:right w:val="none" w:sz="0" w:space="0" w:color="auto"/>
                  </w:divBdr>
                  <w:divsChild>
                    <w:div w:id="2105371125">
                      <w:marLeft w:val="0"/>
                      <w:marRight w:val="0"/>
                      <w:marTop w:val="0"/>
                      <w:marBottom w:val="0"/>
                      <w:divBdr>
                        <w:top w:val="none" w:sz="0" w:space="0" w:color="auto"/>
                        <w:left w:val="none" w:sz="0" w:space="0" w:color="auto"/>
                        <w:bottom w:val="none" w:sz="0" w:space="0" w:color="auto"/>
                        <w:right w:val="none" w:sz="0" w:space="0" w:color="auto"/>
                      </w:divBdr>
                    </w:div>
                  </w:divsChild>
                </w:div>
                <w:div w:id="1370833502">
                  <w:marLeft w:val="0"/>
                  <w:marRight w:val="0"/>
                  <w:marTop w:val="0"/>
                  <w:marBottom w:val="0"/>
                  <w:divBdr>
                    <w:top w:val="none" w:sz="0" w:space="0" w:color="auto"/>
                    <w:left w:val="none" w:sz="0" w:space="0" w:color="auto"/>
                    <w:bottom w:val="none" w:sz="0" w:space="0" w:color="auto"/>
                    <w:right w:val="none" w:sz="0" w:space="0" w:color="auto"/>
                  </w:divBdr>
                  <w:divsChild>
                    <w:div w:id="114299440">
                      <w:marLeft w:val="0"/>
                      <w:marRight w:val="0"/>
                      <w:marTop w:val="0"/>
                      <w:marBottom w:val="0"/>
                      <w:divBdr>
                        <w:top w:val="none" w:sz="0" w:space="0" w:color="auto"/>
                        <w:left w:val="none" w:sz="0" w:space="0" w:color="auto"/>
                        <w:bottom w:val="none" w:sz="0" w:space="0" w:color="auto"/>
                        <w:right w:val="none" w:sz="0" w:space="0" w:color="auto"/>
                      </w:divBdr>
                    </w:div>
                  </w:divsChild>
                </w:div>
                <w:div w:id="172964807">
                  <w:marLeft w:val="0"/>
                  <w:marRight w:val="0"/>
                  <w:marTop w:val="0"/>
                  <w:marBottom w:val="0"/>
                  <w:divBdr>
                    <w:top w:val="none" w:sz="0" w:space="0" w:color="auto"/>
                    <w:left w:val="none" w:sz="0" w:space="0" w:color="auto"/>
                    <w:bottom w:val="none" w:sz="0" w:space="0" w:color="auto"/>
                    <w:right w:val="none" w:sz="0" w:space="0" w:color="auto"/>
                  </w:divBdr>
                  <w:divsChild>
                    <w:div w:id="426196229">
                      <w:marLeft w:val="0"/>
                      <w:marRight w:val="0"/>
                      <w:marTop w:val="0"/>
                      <w:marBottom w:val="0"/>
                      <w:divBdr>
                        <w:top w:val="none" w:sz="0" w:space="0" w:color="auto"/>
                        <w:left w:val="none" w:sz="0" w:space="0" w:color="auto"/>
                        <w:bottom w:val="none" w:sz="0" w:space="0" w:color="auto"/>
                        <w:right w:val="none" w:sz="0" w:space="0" w:color="auto"/>
                      </w:divBdr>
                    </w:div>
                  </w:divsChild>
                </w:div>
                <w:div w:id="1033767565">
                  <w:marLeft w:val="0"/>
                  <w:marRight w:val="0"/>
                  <w:marTop w:val="0"/>
                  <w:marBottom w:val="0"/>
                  <w:divBdr>
                    <w:top w:val="none" w:sz="0" w:space="0" w:color="auto"/>
                    <w:left w:val="none" w:sz="0" w:space="0" w:color="auto"/>
                    <w:bottom w:val="none" w:sz="0" w:space="0" w:color="auto"/>
                    <w:right w:val="none" w:sz="0" w:space="0" w:color="auto"/>
                  </w:divBdr>
                  <w:divsChild>
                    <w:div w:id="1321235259">
                      <w:marLeft w:val="0"/>
                      <w:marRight w:val="0"/>
                      <w:marTop w:val="0"/>
                      <w:marBottom w:val="0"/>
                      <w:divBdr>
                        <w:top w:val="none" w:sz="0" w:space="0" w:color="auto"/>
                        <w:left w:val="none" w:sz="0" w:space="0" w:color="auto"/>
                        <w:bottom w:val="none" w:sz="0" w:space="0" w:color="auto"/>
                        <w:right w:val="none" w:sz="0" w:space="0" w:color="auto"/>
                      </w:divBdr>
                    </w:div>
                  </w:divsChild>
                </w:div>
                <w:div w:id="1264454337">
                  <w:marLeft w:val="0"/>
                  <w:marRight w:val="0"/>
                  <w:marTop w:val="0"/>
                  <w:marBottom w:val="0"/>
                  <w:divBdr>
                    <w:top w:val="none" w:sz="0" w:space="0" w:color="auto"/>
                    <w:left w:val="none" w:sz="0" w:space="0" w:color="auto"/>
                    <w:bottom w:val="none" w:sz="0" w:space="0" w:color="auto"/>
                    <w:right w:val="none" w:sz="0" w:space="0" w:color="auto"/>
                  </w:divBdr>
                  <w:divsChild>
                    <w:div w:id="1504860428">
                      <w:marLeft w:val="0"/>
                      <w:marRight w:val="0"/>
                      <w:marTop w:val="0"/>
                      <w:marBottom w:val="0"/>
                      <w:divBdr>
                        <w:top w:val="none" w:sz="0" w:space="0" w:color="auto"/>
                        <w:left w:val="none" w:sz="0" w:space="0" w:color="auto"/>
                        <w:bottom w:val="none" w:sz="0" w:space="0" w:color="auto"/>
                        <w:right w:val="none" w:sz="0" w:space="0" w:color="auto"/>
                      </w:divBdr>
                    </w:div>
                  </w:divsChild>
                </w:div>
                <w:div w:id="1527400865">
                  <w:marLeft w:val="0"/>
                  <w:marRight w:val="0"/>
                  <w:marTop w:val="0"/>
                  <w:marBottom w:val="0"/>
                  <w:divBdr>
                    <w:top w:val="none" w:sz="0" w:space="0" w:color="auto"/>
                    <w:left w:val="none" w:sz="0" w:space="0" w:color="auto"/>
                    <w:bottom w:val="none" w:sz="0" w:space="0" w:color="auto"/>
                    <w:right w:val="none" w:sz="0" w:space="0" w:color="auto"/>
                  </w:divBdr>
                  <w:divsChild>
                    <w:div w:id="662974313">
                      <w:marLeft w:val="0"/>
                      <w:marRight w:val="0"/>
                      <w:marTop w:val="0"/>
                      <w:marBottom w:val="0"/>
                      <w:divBdr>
                        <w:top w:val="none" w:sz="0" w:space="0" w:color="auto"/>
                        <w:left w:val="none" w:sz="0" w:space="0" w:color="auto"/>
                        <w:bottom w:val="none" w:sz="0" w:space="0" w:color="auto"/>
                        <w:right w:val="none" w:sz="0" w:space="0" w:color="auto"/>
                      </w:divBdr>
                    </w:div>
                  </w:divsChild>
                </w:div>
                <w:div w:id="2106416211">
                  <w:marLeft w:val="0"/>
                  <w:marRight w:val="0"/>
                  <w:marTop w:val="0"/>
                  <w:marBottom w:val="0"/>
                  <w:divBdr>
                    <w:top w:val="none" w:sz="0" w:space="0" w:color="auto"/>
                    <w:left w:val="none" w:sz="0" w:space="0" w:color="auto"/>
                    <w:bottom w:val="none" w:sz="0" w:space="0" w:color="auto"/>
                    <w:right w:val="none" w:sz="0" w:space="0" w:color="auto"/>
                  </w:divBdr>
                  <w:divsChild>
                    <w:div w:id="1026440907">
                      <w:marLeft w:val="0"/>
                      <w:marRight w:val="0"/>
                      <w:marTop w:val="0"/>
                      <w:marBottom w:val="0"/>
                      <w:divBdr>
                        <w:top w:val="none" w:sz="0" w:space="0" w:color="auto"/>
                        <w:left w:val="none" w:sz="0" w:space="0" w:color="auto"/>
                        <w:bottom w:val="none" w:sz="0" w:space="0" w:color="auto"/>
                        <w:right w:val="none" w:sz="0" w:space="0" w:color="auto"/>
                      </w:divBdr>
                    </w:div>
                  </w:divsChild>
                </w:div>
                <w:div w:id="1251162127">
                  <w:marLeft w:val="0"/>
                  <w:marRight w:val="0"/>
                  <w:marTop w:val="0"/>
                  <w:marBottom w:val="0"/>
                  <w:divBdr>
                    <w:top w:val="none" w:sz="0" w:space="0" w:color="auto"/>
                    <w:left w:val="none" w:sz="0" w:space="0" w:color="auto"/>
                    <w:bottom w:val="none" w:sz="0" w:space="0" w:color="auto"/>
                    <w:right w:val="none" w:sz="0" w:space="0" w:color="auto"/>
                  </w:divBdr>
                  <w:divsChild>
                    <w:div w:id="2045402137">
                      <w:marLeft w:val="0"/>
                      <w:marRight w:val="0"/>
                      <w:marTop w:val="0"/>
                      <w:marBottom w:val="0"/>
                      <w:divBdr>
                        <w:top w:val="none" w:sz="0" w:space="0" w:color="auto"/>
                        <w:left w:val="none" w:sz="0" w:space="0" w:color="auto"/>
                        <w:bottom w:val="none" w:sz="0" w:space="0" w:color="auto"/>
                        <w:right w:val="none" w:sz="0" w:space="0" w:color="auto"/>
                      </w:divBdr>
                    </w:div>
                  </w:divsChild>
                </w:div>
                <w:div w:id="2119793445">
                  <w:marLeft w:val="0"/>
                  <w:marRight w:val="0"/>
                  <w:marTop w:val="0"/>
                  <w:marBottom w:val="0"/>
                  <w:divBdr>
                    <w:top w:val="none" w:sz="0" w:space="0" w:color="auto"/>
                    <w:left w:val="none" w:sz="0" w:space="0" w:color="auto"/>
                    <w:bottom w:val="none" w:sz="0" w:space="0" w:color="auto"/>
                    <w:right w:val="none" w:sz="0" w:space="0" w:color="auto"/>
                  </w:divBdr>
                  <w:divsChild>
                    <w:div w:id="1062409721">
                      <w:marLeft w:val="0"/>
                      <w:marRight w:val="0"/>
                      <w:marTop w:val="0"/>
                      <w:marBottom w:val="0"/>
                      <w:divBdr>
                        <w:top w:val="none" w:sz="0" w:space="0" w:color="auto"/>
                        <w:left w:val="none" w:sz="0" w:space="0" w:color="auto"/>
                        <w:bottom w:val="none" w:sz="0" w:space="0" w:color="auto"/>
                        <w:right w:val="none" w:sz="0" w:space="0" w:color="auto"/>
                      </w:divBdr>
                    </w:div>
                  </w:divsChild>
                </w:div>
                <w:div w:id="1667513569">
                  <w:marLeft w:val="0"/>
                  <w:marRight w:val="0"/>
                  <w:marTop w:val="0"/>
                  <w:marBottom w:val="0"/>
                  <w:divBdr>
                    <w:top w:val="none" w:sz="0" w:space="0" w:color="auto"/>
                    <w:left w:val="none" w:sz="0" w:space="0" w:color="auto"/>
                    <w:bottom w:val="none" w:sz="0" w:space="0" w:color="auto"/>
                    <w:right w:val="none" w:sz="0" w:space="0" w:color="auto"/>
                  </w:divBdr>
                  <w:divsChild>
                    <w:div w:id="1625573330">
                      <w:marLeft w:val="0"/>
                      <w:marRight w:val="0"/>
                      <w:marTop w:val="0"/>
                      <w:marBottom w:val="0"/>
                      <w:divBdr>
                        <w:top w:val="none" w:sz="0" w:space="0" w:color="auto"/>
                        <w:left w:val="none" w:sz="0" w:space="0" w:color="auto"/>
                        <w:bottom w:val="none" w:sz="0" w:space="0" w:color="auto"/>
                        <w:right w:val="none" w:sz="0" w:space="0" w:color="auto"/>
                      </w:divBdr>
                    </w:div>
                  </w:divsChild>
                </w:div>
                <w:div w:id="1460420044">
                  <w:marLeft w:val="0"/>
                  <w:marRight w:val="0"/>
                  <w:marTop w:val="0"/>
                  <w:marBottom w:val="0"/>
                  <w:divBdr>
                    <w:top w:val="none" w:sz="0" w:space="0" w:color="auto"/>
                    <w:left w:val="none" w:sz="0" w:space="0" w:color="auto"/>
                    <w:bottom w:val="none" w:sz="0" w:space="0" w:color="auto"/>
                    <w:right w:val="none" w:sz="0" w:space="0" w:color="auto"/>
                  </w:divBdr>
                  <w:divsChild>
                    <w:div w:id="795686925">
                      <w:marLeft w:val="0"/>
                      <w:marRight w:val="0"/>
                      <w:marTop w:val="0"/>
                      <w:marBottom w:val="0"/>
                      <w:divBdr>
                        <w:top w:val="none" w:sz="0" w:space="0" w:color="auto"/>
                        <w:left w:val="none" w:sz="0" w:space="0" w:color="auto"/>
                        <w:bottom w:val="none" w:sz="0" w:space="0" w:color="auto"/>
                        <w:right w:val="none" w:sz="0" w:space="0" w:color="auto"/>
                      </w:divBdr>
                    </w:div>
                  </w:divsChild>
                </w:div>
                <w:div w:id="2134516601">
                  <w:marLeft w:val="0"/>
                  <w:marRight w:val="0"/>
                  <w:marTop w:val="0"/>
                  <w:marBottom w:val="0"/>
                  <w:divBdr>
                    <w:top w:val="none" w:sz="0" w:space="0" w:color="auto"/>
                    <w:left w:val="none" w:sz="0" w:space="0" w:color="auto"/>
                    <w:bottom w:val="none" w:sz="0" w:space="0" w:color="auto"/>
                    <w:right w:val="none" w:sz="0" w:space="0" w:color="auto"/>
                  </w:divBdr>
                  <w:divsChild>
                    <w:div w:id="1489443972">
                      <w:marLeft w:val="0"/>
                      <w:marRight w:val="0"/>
                      <w:marTop w:val="0"/>
                      <w:marBottom w:val="0"/>
                      <w:divBdr>
                        <w:top w:val="none" w:sz="0" w:space="0" w:color="auto"/>
                        <w:left w:val="none" w:sz="0" w:space="0" w:color="auto"/>
                        <w:bottom w:val="none" w:sz="0" w:space="0" w:color="auto"/>
                        <w:right w:val="none" w:sz="0" w:space="0" w:color="auto"/>
                      </w:divBdr>
                    </w:div>
                  </w:divsChild>
                </w:div>
                <w:div w:id="1708143536">
                  <w:marLeft w:val="0"/>
                  <w:marRight w:val="0"/>
                  <w:marTop w:val="0"/>
                  <w:marBottom w:val="0"/>
                  <w:divBdr>
                    <w:top w:val="none" w:sz="0" w:space="0" w:color="auto"/>
                    <w:left w:val="none" w:sz="0" w:space="0" w:color="auto"/>
                    <w:bottom w:val="none" w:sz="0" w:space="0" w:color="auto"/>
                    <w:right w:val="none" w:sz="0" w:space="0" w:color="auto"/>
                  </w:divBdr>
                  <w:divsChild>
                    <w:div w:id="206054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1167">
          <w:marLeft w:val="0"/>
          <w:marRight w:val="0"/>
          <w:marTop w:val="0"/>
          <w:marBottom w:val="0"/>
          <w:divBdr>
            <w:top w:val="none" w:sz="0" w:space="0" w:color="auto"/>
            <w:left w:val="none" w:sz="0" w:space="0" w:color="auto"/>
            <w:bottom w:val="none" w:sz="0" w:space="0" w:color="auto"/>
            <w:right w:val="none" w:sz="0" w:space="0" w:color="auto"/>
          </w:divBdr>
        </w:div>
        <w:div w:id="1573468104">
          <w:marLeft w:val="0"/>
          <w:marRight w:val="0"/>
          <w:marTop w:val="0"/>
          <w:marBottom w:val="0"/>
          <w:divBdr>
            <w:top w:val="none" w:sz="0" w:space="0" w:color="auto"/>
            <w:left w:val="none" w:sz="0" w:space="0" w:color="auto"/>
            <w:bottom w:val="none" w:sz="0" w:space="0" w:color="auto"/>
            <w:right w:val="none" w:sz="0" w:space="0" w:color="auto"/>
          </w:divBdr>
        </w:div>
        <w:div w:id="158084305">
          <w:marLeft w:val="0"/>
          <w:marRight w:val="0"/>
          <w:marTop w:val="0"/>
          <w:marBottom w:val="0"/>
          <w:divBdr>
            <w:top w:val="none" w:sz="0" w:space="0" w:color="auto"/>
            <w:left w:val="none" w:sz="0" w:space="0" w:color="auto"/>
            <w:bottom w:val="none" w:sz="0" w:space="0" w:color="auto"/>
            <w:right w:val="none" w:sz="0" w:space="0" w:color="auto"/>
          </w:divBdr>
        </w:div>
        <w:div w:id="1555846515">
          <w:marLeft w:val="0"/>
          <w:marRight w:val="0"/>
          <w:marTop w:val="0"/>
          <w:marBottom w:val="0"/>
          <w:divBdr>
            <w:top w:val="none" w:sz="0" w:space="0" w:color="auto"/>
            <w:left w:val="none" w:sz="0" w:space="0" w:color="auto"/>
            <w:bottom w:val="none" w:sz="0" w:space="0" w:color="auto"/>
            <w:right w:val="none" w:sz="0" w:space="0" w:color="auto"/>
          </w:divBdr>
        </w:div>
        <w:div w:id="1080061792">
          <w:marLeft w:val="0"/>
          <w:marRight w:val="0"/>
          <w:marTop w:val="0"/>
          <w:marBottom w:val="0"/>
          <w:divBdr>
            <w:top w:val="none" w:sz="0" w:space="0" w:color="auto"/>
            <w:left w:val="none" w:sz="0" w:space="0" w:color="auto"/>
            <w:bottom w:val="none" w:sz="0" w:space="0" w:color="auto"/>
            <w:right w:val="none" w:sz="0" w:space="0" w:color="auto"/>
          </w:divBdr>
        </w:div>
        <w:div w:id="1702198626">
          <w:marLeft w:val="0"/>
          <w:marRight w:val="0"/>
          <w:marTop w:val="0"/>
          <w:marBottom w:val="0"/>
          <w:divBdr>
            <w:top w:val="none" w:sz="0" w:space="0" w:color="auto"/>
            <w:left w:val="none" w:sz="0" w:space="0" w:color="auto"/>
            <w:bottom w:val="none" w:sz="0" w:space="0" w:color="auto"/>
            <w:right w:val="none" w:sz="0" w:space="0" w:color="auto"/>
          </w:divBdr>
        </w:div>
        <w:div w:id="750395751">
          <w:marLeft w:val="0"/>
          <w:marRight w:val="0"/>
          <w:marTop w:val="0"/>
          <w:marBottom w:val="0"/>
          <w:divBdr>
            <w:top w:val="none" w:sz="0" w:space="0" w:color="auto"/>
            <w:left w:val="none" w:sz="0" w:space="0" w:color="auto"/>
            <w:bottom w:val="none" w:sz="0" w:space="0" w:color="auto"/>
            <w:right w:val="none" w:sz="0" w:space="0" w:color="auto"/>
          </w:divBdr>
          <w:divsChild>
            <w:div w:id="912086870">
              <w:marLeft w:val="-75"/>
              <w:marRight w:val="0"/>
              <w:marTop w:val="30"/>
              <w:marBottom w:val="30"/>
              <w:divBdr>
                <w:top w:val="none" w:sz="0" w:space="0" w:color="auto"/>
                <w:left w:val="none" w:sz="0" w:space="0" w:color="auto"/>
                <w:bottom w:val="none" w:sz="0" w:space="0" w:color="auto"/>
                <w:right w:val="none" w:sz="0" w:space="0" w:color="auto"/>
              </w:divBdr>
              <w:divsChild>
                <w:div w:id="137261871">
                  <w:marLeft w:val="0"/>
                  <w:marRight w:val="0"/>
                  <w:marTop w:val="0"/>
                  <w:marBottom w:val="0"/>
                  <w:divBdr>
                    <w:top w:val="none" w:sz="0" w:space="0" w:color="auto"/>
                    <w:left w:val="none" w:sz="0" w:space="0" w:color="auto"/>
                    <w:bottom w:val="none" w:sz="0" w:space="0" w:color="auto"/>
                    <w:right w:val="none" w:sz="0" w:space="0" w:color="auto"/>
                  </w:divBdr>
                  <w:divsChild>
                    <w:div w:id="1072200262">
                      <w:marLeft w:val="0"/>
                      <w:marRight w:val="0"/>
                      <w:marTop w:val="0"/>
                      <w:marBottom w:val="0"/>
                      <w:divBdr>
                        <w:top w:val="none" w:sz="0" w:space="0" w:color="auto"/>
                        <w:left w:val="none" w:sz="0" w:space="0" w:color="auto"/>
                        <w:bottom w:val="none" w:sz="0" w:space="0" w:color="auto"/>
                        <w:right w:val="none" w:sz="0" w:space="0" w:color="auto"/>
                      </w:divBdr>
                    </w:div>
                  </w:divsChild>
                </w:div>
                <w:div w:id="1906910275">
                  <w:marLeft w:val="0"/>
                  <w:marRight w:val="0"/>
                  <w:marTop w:val="0"/>
                  <w:marBottom w:val="0"/>
                  <w:divBdr>
                    <w:top w:val="none" w:sz="0" w:space="0" w:color="auto"/>
                    <w:left w:val="none" w:sz="0" w:space="0" w:color="auto"/>
                    <w:bottom w:val="none" w:sz="0" w:space="0" w:color="auto"/>
                    <w:right w:val="none" w:sz="0" w:space="0" w:color="auto"/>
                  </w:divBdr>
                  <w:divsChild>
                    <w:div w:id="1819300579">
                      <w:marLeft w:val="0"/>
                      <w:marRight w:val="0"/>
                      <w:marTop w:val="0"/>
                      <w:marBottom w:val="0"/>
                      <w:divBdr>
                        <w:top w:val="none" w:sz="0" w:space="0" w:color="auto"/>
                        <w:left w:val="none" w:sz="0" w:space="0" w:color="auto"/>
                        <w:bottom w:val="none" w:sz="0" w:space="0" w:color="auto"/>
                        <w:right w:val="none" w:sz="0" w:space="0" w:color="auto"/>
                      </w:divBdr>
                    </w:div>
                  </w:divsChild>
                </w:div>
                <w:div w:id="63338551">
                  <w:marLeft w:val="0"/>
                  <w:marRight w:val="0"/>
                  <w:marTop w:val="0"/>
                  <w:marBottom w:val="0"/>
                  <w:divBdr>
                    <w:top w:val="none" w:sz="0" w:space="0" w:color="auto"/>
                    <w:left w:val="none" w:sz="0" w:space="0" w:color="auto"/>
                    <w:bottom w:val="none" w:sz="0" w:space="0" w:color="auto"/>
                    <w:right w:val="none" w:sz="0" w:space="0" w:color="auto"/>
                  </w:divBdr>
                  <w:divsChild>
                    <w:div w:id="690181032">
                      <w:marLeft w:val="0"/>
                      <w:marRight w:val="0"/>
                      <w:marTop w:val="0"/>
                      <w:marBottom w:val="0"/>
                      <w:divBdr>
                        <w:top w:val="none" w:sz="0" w:space="0" w:color="auto"/>
                        <w:left w:val="none" w:sz="0" w:space="0" w:color="auto"/>
                        <w:bottom w:val="none" w:sz="0" w:space="0" w:color="auto"/>
                        <w:right w:val="none" w:sz="0" w:space="0" w:color="auto"/>
                      </w:divBdr>
                    </w:div>
                  </w:divsChild>
                </w:div>
                <w:div w:id="117769518">
                  <w:marLeft w:val="0"/>
                  <w:marRight w:val="0"/>
                  <w:marTop w:val="0"/>
                  <w:marBottom w:val="0"/>
                  <w:divBdr>
                    <w:top w:val="none" w:sz="0" w:space="0" w:color="auto"/>
                    <w:left w:val="none" w:sz="0" w:space="0" w:color="auto"/>
                    <w:bottom w:val="none" w:sz="0" w:space="0" w:color="auto"/>
                    <w:right w:val="none" w:sz="0" w:space="0" w:color="auto"/>
                  </w:divBdr>
                  <w:divsChild>
                    <w:div w:id="125584002">
                      <w:marLeft w:val="0"/>
                      <w:marRight w:val="0"/>
                      <w:marTop w:val="0"/>
                      <w:marBottom w:val="0"/>
                      <w:divBdr>
                        <w:top w:val="none" w:sz="0" w:space="0" w:color="auto"/>
                        <w:left w:val="none" w:sz="0" w:space="0" w:color="auto"/>
                        <w:bottom w:val="none" w:sz="0" w:space="0" w:color="auto"/>
                        <w:right w:val="none" w:sz="0" w:space="0" w:color="auto"/>
                      </w:divBdr>
                    </w:div>
                  </w:divsChild>
                </w:div>
                <w:div w:id="1255744436">
                  <w:marLeft w:val="0"/>
                  <w:marRight w:val="0"/>
                  <w:marTop w:val="0"/>
                  <w:marBottom w:val="0"/>
                  <w:divBdr>
                    <w:top w:val="none" w:sz="0" w:space="0" w:color="auto"/>
                    <w:left w:val="none" w:sz="0" w:space="0" w:color="auto"/>
                    <w:bottom w:val="none" w:sz="0" w:space="0" w:color="auto"/>
                    <w:right w:val="none" w:sz="0" w:space="0" w:color="auto"/>
                  </w:divBdr>
                  <w:divsChild>
                    <w:div w:id="993292768">
                      <w:marLeft w:val="0"/>
                      <w:marRight w:val="0"/>
                      <w:marTop w:val="0"/>
                      <w:marBottom w:val="0"/>
                      <w:divBdr>
                        <w:top w:val="none" w:sz="0" w:space="0" w:color="auto"/>
                        <w:left w:val="none" w:sz="0" w:space="0" w:color="auto"/>
                        <w:bottom w:val="none" w:sz="0" w:space="0" w:color="auto"/>
                        <w:right w:val="none" w:sz="0" w:space="0" w:color="auto"/>
                      </w:divBdr>
                    </w:div>
                  </w:divsChild>
                </w:div>
                <w:div w:id="722556017">
                  <w:marLeft w:val="0"/>
                  <w:marRight w:val="0"/>
                  <w:marTop w:val="0"/>
                  <w:marBottom w:val="0"/>
                  <w:divBdr>
                    <w:top w:val="none" w:sz="0" w:space="0" w:color="auto"/>
                    <w:left w:val="none" w:sz="0" w:space="0" w:color="auto"/>
                    <w:bottom w:val="none" w:sz="0" w:space="0" w:color="auto"/>
                    <w:right w:val="none" w:sz="0" w:space="0" w:color="auto"/>
                  </w:divBdr>
                  <w:divsChild>
                    <w:div w:id="1444348839">
                      <w:marLeft w:val="0"/>
                      <w:marRight w:val="0"/>
                      <w:marTop w:val="0"/>
                      <w:marBottom w:val="0"/>
                      <w:divBdr>
                        <w:top w:val="none" w:sz="0" w:space="0" w:color="auto"/>
                        <w:left w:val="none" w:sz="0" w:space="0" w:color="auto"/>
                        <w:bottom w:val="none" w:sz="0" w:space="0" w:color="auto"/>
                        <w:right w:val="none" w:sz="0" w:space="0" w:color="auto"/>
                      </w:divBdr>
                    </w:div>
                  </w:divsChild>
                </w:div>
                <w:div w:id="1694376866">
                  <w:marLeft w:val="0"/>
                  <w:marRight w:val="0"/>
                  <w:marTop w:val="0"/>
                  <w:marBottom w:val="0"/>
                  <w:divBdr>
                    <w:top w:val="none" w:sz="0" w:space="0" w:color="auto"/>
                    <w:left w:val="none" w:sz="0" w:space="0" w:color="auto"/>
                    <w:bottom w:val="none" w:sz="0" w:space="0" w:color="auto"/>
                    <w:right w:val="none" w:sz="0" w:space="0" w:color="auto"/>
                  </w:divBdr>
                  <w:divsChild>
                    <w:div w:id="44765488">
                      <w:marLeft w:val="0"/>
                      <w:marRight w:val="0"/>
                      <w:marTop w:val="0"/>
                      <w:marBottom w:val="0"/>
                      <w:divBdr>
                        <w:top w:val="none" w:sz="0" w:space="0" w:color="auto"/>
                        <w:left w:val="none" w:sz="0" w:space="0" w:color="auto"/>
                        <w:bottom w:val="none" w:sz="0" w:space="0" w:color="auto"/>
                        <w:right w:val="none" w:sz="0" w:space="0" w:color="auto"/>
                      </w:divBdr>
                    </w:div>
                  </w:divsChild>
                </w:div>
                <w:div w:id="2031297362">
                  <w:marLeft w:val="0"/>
                  <w:marRight w:val="0"/>
                  <w:marTop w:val="0"/>
                  <w:marBottom w:val="0"/>
                  <w:divBdr>
                    <w:top w:val="none" w:sz="0" w:space="0" w:color="auto"/>
                    <w:left w:val="none" w:sz="0" w:space="0" w:color="auto"/>
                    <w:bottom w:val="none" w:sz="0" w:space="0" w:color="auto"/>
                    <w:right w:val="none" w:sz="0" w:space="0" w:color="auto"/>
                  </w:divBdr>
                  <w:divsChild>
                    <w:div w:id="573243729">
                      <w:marLeft w:val="0"/>
                      <w:marRight w:val="0"/>
                      <w:marTop w:val="0"/>
                      <w:marBottom w:val="0"/>
                      <w:divBdr>
                        <w:top w:val="none" w:sz="0" w:space="0" w:color="auto"/>
                        <w:left w:val="none" w:sz="0" w:space="0" w:color="auto"/>
                        <w:bottom w:val="none" w:sz="0" w:space="0" w:color="auto"/>
                        <w:right w:val="none" w:sz="0" w:space="0" w:color="auto"/>
                      </w:divBdr>
                    </w:div>
                  </w:divsChild>
                </w:div>
                <w:div w:id="1989360818">
                  <w:marLeft w:val="0"/>
                  <w:marRight w:val="0"/>
                  <w:marTop w:val="0"/>
                  <w:marBottom w:val="0"/>
                  <w:divBdr>
                    <w:top w:val="none" w:sz="0" w:space="0" w:color="auto"/>
                    <w:left w:val="none" w:sz="0" w:space="0" w:color="auto"/>
                    <w:bottom w:val="none" w:sz="0" w:space="0" w:color="auto"/>
                    <w:right w:val="none" w:sz="0" w:space="0" w:color="auto"/>
                  </w:divBdr>
                  <w:divsChild>
                    <w:div w:id="34425964">
                      <w:marLeft w:val="0"/>
                      <w:marRight w:val="0"/>
                      <w:marTop w:val="0"/>
                      <w:marBottom w:val="0"/>
                      <w:divBdr>
                        <w:top w:val="none" w:sz="0" w:space="0" w:color="auto"/>
                        <w:left w:val="none" w:sz="0" w:space="0" w:color="auto"/>
                        <w:bottom w:val="none" w:sz="0" w:space="0" w:color="auto"/>
                        <w:right w:val="none" w:sz="0" w:space="0" w:color="auto"/>
                      </w:divBdr>
                    </w:div>
                  </w:divsChild>
                </w:div>
                <w:div w:id="811944954">
                  <w:marLeft w:val="0"/>
                  <w:marRight w:val="0"/>
                  <w:marTop w:val="0"/>
                  <w:marBottom w:val="0"/>
                  <w:divBdr>
                    <w:top w:val="none" w:sz="0" w:space="0" w:color="auto"/>
                    <w:left w:val="none" w:sz="0" w:space="0" w:color="auto"/>
                    <w:bottom w:val="none" w:sz="0" w:space="0" w:color="auto"/>
                    <w:right w:val="none" w:sz="0" w:space="0" w:color="auto"/>
                  </w:divBdr>
                  <w:divsChild>
                    <w:div w:id="550771665">
                      <w:marLeft w:val="0"/>
                      <w:marRight w:val="0"/>
                      <w:marTop w:val="0"/>
                      <w:marBottom w:val="0"/>
                      <w:divBdr>
                        <w:top w:val="none" w:sz="0" w:space="0" w:color="auto"/>
                        <w:left w:val="none" w:sz="0" w:space="0" w:color="auto"/>
                        <w:bottom w:val="none" w:sz="0" w:space="0" w:color="auto"/>
                        <w:right w:val="none" w:sz="0" w:space="0" w:color="auto"/>
                      </w:divBdr>
                    </w:div>
                  </w:divsChild>
                </w:div>
                <w:div w:id="1173761089">
                  <w:marLeft w:val="0"/>
                  <w:marRight w:val="0"/>
                  <w:marTop w:val="0"/>
                  <w:marBottom w:val="0"/>
                  <w:divBdr>
                    <w:top w:val="none" w:sz="0" w:space="0" w:color="auto"/>
                    <w:left w:val="none" w:sz="0" w:space="0" w:color="auto"/>
                    <w:bottom w:val="none" w:sz="0" w:space="0" w:color="auto"/>
                    <w:right w:val="none" w:sz="0" w:space="0" w:color="auto"/>
                  </w:divBdr>
                  <w:divsChild>
                    <w:div w:id="1407414929">
                      <w:marLeft w:val="0"/>
                      <w:marRight w:val="0"/>
                      <w:marTop w:val="0"/>
                      <w:marBottom w:val="0"/>
                      <w:divBdr>
                        <w:top w:val="none" w:sz="0" w:space="0" w:color="auto"/>
                        <w:left w:val="none" w:sz="0" w:space="0" w:color="auto"/>
                        <w:bottom w:val="none" w:sz="0" w:space="0" w:color="auto"/>
                        <w:right w:val="none" w:sz="0" w:space="0" w:color="auto"/>
                      </w:divBdr>
                    </w:div>
                  </w:divsChild>
                </w:div>
                <w:div w:id="858592607">
                  <w:marLeft w:val="0"/>
                  <w:marRight w:val="0"/>
                  <w:marTop w:val="0"/>
                  <w:marBottom w:val="0"/>
                  <w:divBdr>
                    <w:top w:val="none" w:sz="0" w:space="0" w:color="auto"/>
                    <w:left w:val="none" w:sz="0" w:space="0" w:color="auto"/>
                    <w:bottom w:val="none" w:sz="0" w:space="0" w:color="auto"/>
                    <w:right w:val="none" w:sz="0" w:space="0" w:color="auto"/>
                  </w:divBdr>
                  <w:divsChild>
                    <w:div w:id="1489442138">
                      <w:marLeft w:val="0"/>
                      <w:marRight w:val="0"/>
                      <w:marTop w:val="0"/>
                      <w:marBottom w:val="0"/>
                      <w:divBdr>
                        <w:top w:val="none" w:sz="0" w:space="0" w:color="auto"/>
                        <w:left w:val="none" w:sz="0" w:space="0" w:color="auto"/>
                        <w:bottom w:val="none" w:sz="0" w:space="0" w:color="auto"/>
                        <w:right w:val="none" w:sz="0" w:space="0" w:color="auto"/>
                      </w:divBdr>
                    </w:div>
                  </w:divsChild>
                </w:div>
                <w:div w:id="1917085438">
                  <w:marLeft w:val="0"/>
                  <w:marRight w:val="0"/>
                  <w:marTop w:val="0"/>
                  <w:marBottom w:val="0"/>
                  <w:divBdr>
                    <w:top w:val="none" w:sz="0" w:space="0" w:color="auto"/>
                    <w:left w:val="none" w:sz="0" w:space="0" w:color="auto"/>
                    <w:bottom w:val="none" w:sz="0" w:space="0" w:color="auto"/>
                    <w:right w:val="none" w:sz="0" w:space="0" w:color="auto"/>
                  </w:divBdr>
                  <w:divsChild>
                    <w:div w:id="2102338729">
                      <w:marLeft w:val="0"/>
                      <w:marRight w:val="0"/>
                      <w:marTop w:val="0"/>
                      <w:marBottom w:val="0"/>
                      <w:divBdr>
                        <w:top w:val="none" w:sz="0" w:space="0" w:color="auto"/>
                        <w:left w:val="none" w:sz="0" w:space="0" w:color="auto"/>
                        <w:bottom w:val="none" w:sz="0" w:space="0" w:color="auto"/>
                        <w:right w:val="none" w:sz="0" w:space="0" w:color="auto"/>
                      </w:divBdr>
                    </w:div>
                  </w:divsChild>
                </w:div>
                <w:div w:id="1310092938">
                  <w:marLeft w:val="0"/>
                  <w:marRight w:val="0"/>
                  <w:marTop w:val="0"/>
                  <w:marBottom w:val="0"/>
                  <w:divBdr>
                    <w:top w:val="none" w:sz="0" w:space="0" w:color="auto"/>
                    <w:left w:val="none" w:sz="0" w:space="0" w:color="auto"/>
                    <w:bottom w:val="none" w:sz="0" w:space="0" w:color="auto"/>
                    <w:right w:val="none" w:sz="0" w:space="0" w:color="auto"/>
                  </w:divBdr>
                  <w:divsChild>
                    <w:div w:id="1264266572">
                      <w:marLeft w:val="0"/>
                      <w:marRight w:val="0"/>
                      <w:marTop w:val="0"/>
                      <w:marBottom w:val="0"/>
                      <w:divBdr>
                        <w:top w:val="none" w:sz="0" w:space="0" w:color="auto"/>
                        <w:left w:val="none" w:sz="0" w:space="0" w:color="auto"/>
                        <w:bottom w:val="none" w:sz="0" w:space="0" w:color="auto"/>
                        <w:right w:val="none" w:sz="0" w:space="0" w:color="auto"/>
                      </w:divBdr>
                    </w:div>
                  </w:divsChild>
                </w:div>
                <w:div w:id="144468662">
                  <w:marLeft w:val="0"/>
                  <w:marRight w:val="0"/>
                  <w:marTop w:val="0"/>
                  <w:marBottom w:val="0"/>
                  <w:divBdr>
                    <w:top w:val="none" w:sz="0" w:space="0" w:color="auto"/>
                    <w:left w:val="none" w:sz="0" w:space="0" w:color="auto"/>
                    <w:bottom w:val="none" w:sz="0" w:space="0" w:color="auto"/>
                    <w:right w:val="none" w:sz="0" w:space="0" w:color="auto"/>
                  </w:divBdr>
                  <w:divsChild>
                    <w:div w:id="1092512092">
                      <w:marLeft w:val="0"/>
                      <w:marRight w:val="0"/>
                      <w:marTop w:val="0"/>
                      <w:marBottom w:val="0"/>
                      <w:divBdr>
                        <w:top w:val="none" w:sz="0" w:space="0" w:color="auto"/>
                        <w:left w:val="none" w:sz="0" w:space="0" w:color="auto"/>
                        <w:bottom w:val="none" w:sz="0" w:space="0" w:color="auto"/>
                        <w:right w:val="none" w:sz="0" w:space="0" w:color="auto"/>
                      </w:divBdr>
                    </w:div>
                  </w:divsChild>
                </w:div>
                <w:div w:id="197087967">
                  <w:marLeft w:val="0"/>
                  <w:marRight w:val="0"/>
                  <w:marTop w:val="0"/>
                  <w:marBottom w:val="0"/>
                  <w:divBdr>
                    <w:top w:val="none" w:sz="0" w:space="0" w:color="auto"/>
                    <w:left w:val="none" w:sz="0" w:space="0" w:color="auto"/>
                    <w:bottom w:val="none" w:sz="0" w:space="0" w:color="auto"/>
                    <w:right w:val="none" w:sz="0" w:space="0" w:color="auto"/>
                  </w:divBdr>
                  <w:divsChild>
                    <w:div w:id="1579053368">
                      <w:marLeft w:val="0"/>
                      <w:marRight w:val="0"/>
                      <w:marTop w:val="0"/>
                      <w:marBottom w:val="0"/>
                      <w:divBdr>
                        <w:top w:val="none" w:sz="0" w:space="0" w:color="auto"/>
                        <w:left w:val="none" w:sz="0" w:space="0" w:color="auto"/>
                        <w:bottom w:val="none" w:sz="0" w:space="0" w:color="auto"/>
                        <w:right w:val="none" w:sz="0" w:space="0" w:color="auto"/>
                      </w:divBdr>
                    </w:div>
                  </w:divsChild>
                </w:div>
                <w:div w:id="1483885658">
                  <w:marLeft w:val="0"/>
                  <w:marRight w:val="0"/>
                  <w:marTop w:val="0"/>
                  <w:marBottom w:val="0"/>
                  <w:divBdr>
                    <w:top w:val="none" w:sz="0" w:space="0" w:color="auto"/>
                    <w:left w:val="none" w:sz="0" w:space="0" w:color="auto"/>
                    <w:bottom w:val="none" w:sz="0" w:space="0" w:color="auto"/>
                    <w:right w:val="none" w:sz="0" w:space="0" w:color="auto"/>
                  </w:divBdr>
                  <w:divsChild>
                    <w:div w:id="1735348939">
                      <w:marLeft w:val="0"/>
                      <w:marRight w:val="0"/>
                      <w:marTop w:val="0"/>
                      <w:marBottom w:val="0"/>
                      <w:divBdr>
                        <w:top w:val="none" w:sz="0" w:space="0" w:color="auto"/>
                        <w:left w:val="none" w:sz="0" w:space="0" w:color="auto"/>
                        <w:bottom w:val="none" w:sz="0" w:space="0" w:color="auto"/>
                        <w:right w:val="none" w:sz="0" w:space="0" w:color="auto"/>
                      </w:divBdr>
                    </w:div>
                  </w:divsChild>
                </w:div>
                <w:div w:id="1891571639">
                  <w:marLeft w:val="0"/>
                  <w:marRight w:val="0"/>
                  <w:marTop w:val="0"/>
                  <w:marBottom w:val="0"/>
                  <w:divBdr>
                    <w:top w:val="none" w:sz="0" w:space="0" w:color="auto"/>
                    <w:left w:val="none" w:sz="0" w:space="0" w:color="auto"/>
                    <w:bottom w:val="none" w:sz="0" w:space="0" w:color="auto"/>
                    <w:right w:val="none" w:sz="0" w:space="0" w:color="auto"/>
                  </w:divBdr>
                  <w:divsChild>
                    <w:div w:id="1109086393">
                      <w:marLeft w:val="0"/>
                      <w:marRight w:val="0"/>
                      <w:marTop w:val="0"/>
                      <w:marBottom w:val="0"/>
                      <w:divBdr>
                        <w:top w:val="none" w:sz="0" w:space="0" w:color="auto"/>
                        <w:left w:val="none" w:sz="0" w:space="0" w:color="auto"/>
                        <w:bottom w:val="none" w:sz="0" w:space="0" w:color="auto"/>
                        <w:right w:val="none" w:sz="0" w:space="0" w:color="auto"/>
                      </w:divBdr>
                    </w:div>
                  </w:divsChild>
                </w:div>
                <w:div w:id="2062554052">
                  <w:marLeft w:val="0"/>
                  <w:marRight w:val="0"/>
                  <w:marTop w:val="0"/>
                  <w:marBottom w:val="0"/>
                  <w:divBdr>
                    <w:top w:val="none" w:sz="0" w:space="0" w:color="auto"/>
                    <w:left w:val="none" w:sz="0" w:space="0" w:color="auto"/>
                    <w:bottom w:val="none" w:sz="0" w:space="0" w:color="auto"/>
                    <w:right w:val="none" w:sz="0" w:space="0" w:color="auto"/>
                  </w:divBdr>
                  <w:divsChild>
                    <w:div w:id="1616864650">
                      <w:marLeft w:val="0"/>
                      <w:marRight w:val="0"/>
                      <w:marTop w:val="0"/>
                      <w:marBottom w:val="0"/>
                      <w:divBdr>
                        <w:top w:val="none" w:sz="0" w:space="0" w:color="auto"/>
                        <w:left w:val="none" w:sz="0" w:space="0" w:color="auto"/>
                        <w:bottom w:val="none" w:sz="0" w:space="0" w:color="auto"/>
                        <w:right w:val="none" w:sz="0" w:space="0" w:color="auto"/>
                      </w:divBdr>
                    </w:div>
                  </w:divsChild>
                </w:div>
                <w:div w:id="1852337292">
                  <w:marLeft w:val="0"/>
                  <w:marRight w:val="0"/>
                  <w:marTop w:val="0"/>
                  <w:marBottom w:val="0"/>
                  <w:divBdr>
                    <w:top w:val="none" w:sz="0" w:space="0" w:color="auto"/>
                    <w:left w:val="none" w:sz="0" w:space="0" w:color="auto"/>
                    <w:bottom w:val="none" w:sz="0" w:space="0" w:color="auto"/>
                    <w:right w:val="none" w:sz="0" w:space="0" w:color="auto"/>
                  </w:divBdr>
                  <w:divsChild>
                    <w:div w:id="17007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1314">
          <w:marLeft w:val="0"/>
          <w:marRight w:val="0"/>
          <w:marTop w:val="0"/>
          <w:marBottom w:val="0"/>
          <w:divBdr>
            <w:top w:val="none" w:sz="0" w:space="0" w:color="auto"/>
            <w:left w:val="none" w:sz="0" w:space="0" w:color="auto"/>
            <w:bottom w:val="none" w:sz="0" w:space="0" w:color="auto"/>
            <w:right w:val="none" w:sz="0" w:space="0" w:color="auto"/>
          </w:divBdr>
        </w:div>
        <w:div w:id="781220133">
          <w:marLeft w:val="0"/>
          <w:marRight w:val="0"/>
          <w:marTop w:val="0"/>
          <w:marBottom w:val="0"/>
          <w:divBdr>
            <w:top w:val="none" w:sz="0" w:space="0" w:color="auto"/>
            <w:left w:val="none" w:sz="0" w:space="0" w:color="auto"/>
            <w:bottom w:val="none" w:sz="0" w:space="0" w:color="auto"/>
            <w:right w:val="none" w:sz="0" w:space="0" w:color="auto"/>
          </w:divBdr>
        </w:div>
        <w:div w:id="614479874">
          <w:marLeft w:val="0"/>
          <w:marRight w:val="0"/>
          <w:marTop w:val="0"/>
          <w:marBottom w:val="0"/>
          <w:divBdr>
            <w:top w:val="none" w:sz="0" w:space="0" w:color="auto"/>
            <w:left w:val="none" w:sz="0" w:space="0" w:color="auto"/>
            <w:bottom w:val="none" w:sz="0" w:space="0" w:color="auto"/>
            <w:right w:val="none" w:sz="0" w:space="0" w:color="auto"/>
          </w:divBdr>
        </w:div>
        <w:div w:id="1275164823">
          <w:marLeft w:val="0"/>
          <w:marRight w:val="0"/>
          <w:marTop w:val="0"/>
          <w:marBottom w:val="0"/>
          <w:divBdr>
            <w:top w:val="none" w:sz="0" w:space="0" w:color="auto"/>
            <w:left w:val="none" w:sz="0" w:space="0" w:color="auto"/>
            <w:bottom w:val="none" w:sz="0" w:space="0" w:color="auto"/>
            <w:right w:val="none" w:sz="0" w:space="0" w:color="auto"/>
          </w:divBdr>
        </w:div>
        <w:div w:id="790712310">
          <w:marLeft w:val="0"/>
          <w:marRight w:val="0"/>
          <w:marTop w:val="0"/>
          <w:marBottom w:val="0"/>
          <w:divBdr>
            <w:top w:val="none" w:sz="0" w:space="0" w:color="auto"/>
            <w:left w:val="none" w:sz="0" w:space="0" w:color="auto"/>
            <w:bottom w:val="none" w:sz="0" w:space="0" w:color="auto"/>
            <w:right w:val="none" w:sz="0" w:space="0" w:color="auto"/>
          </w:divBdr>
          <w:divsChild>
            <w:div w:id="1865289540">
              <w:marLeft w:val="-75"/>
              <w:marRight w:val="0"/>
              <w:marTop w:val="30"/>
              <w:marBottom w:val="30"/>
              <w:divBdr>
                <w:top w:val="none" w:sz="0" w:space="0" w:color="auto"/>
                <w:left w:val="none" w:sz="0" w:space="0" w:color="auto"/>
                <w:bottom w:val="none" w:sz="0" w:space="0" w:color="auto"/>
                <w:right w:val="none" w:sz="0" w:space="0" w:color="auto"/>
              </w:divBdr>
              <w:divsChild>
                <w:div w:id="473185896">
                  <w:marLeft w:val="0"/>
                  <w:marRight w:val="0"/>
                  <w:marTop w:val="0"/>
                  <w:marBottom w:val="0"/>
                  <w:divBdr>
                    <w:top w:val="none" w:sz="0" w:space="0" w:color="auto"/>
                    <w:left w:val="none" w:sz="0" w:space="0" w:color="auto"/>
                    <w:bottom w:val="none" w:sz="0" w:space="0" w:color="auto"/>
                    <w:right w:val="none" w:sz="0" w:space="0" w:color="auto"/>
                  </w:divBdr>
                  <w:divsChild>
                    <w:div w:id="1986737203">
                      <w:marLeft w:val="0"/>
                      <w:marRight w:val="0"/>
                      <w:marTop w:val="0"/>
                      <w:marBottom w:val="0"/>
                      <w:divBdr>
                        <w:top w:val="none" w:sz="0" w:space="0" w:color="auto"/>
                        <w:left w:val="none" w:sz="0" w:space="0" w:color="auto"/>
                        <w:bottom w:val="none" w:sz="0" w:space="0" w:color="auto"/>
                        <w:right w:val="none" w:sz="0" w:space="0" w:color="auto"/>
                      </w:divBdr>
                    </w:div>
                  </w:divsChild>
                </w:div>
                <w:div w:id="1820683946">
                  <w:marLeft w:val="0"/>
                  <w:marRight w:val="0"/>
                  <w:marTop w:val="0"/>
                  <w:marBottom w:val="0"/>
                  <w:divBdr>
                    <w:top w:val="none" w:sz="0" w:space="0" w:color="auto"/>
                    <w:left w:val="none" w:sz="0" w:space="0" w:color="auto"/>
                    <w:bottom w:val="none" w:sz="0" w:space="0" w:color="auto"/>
                    <w:right w:val="none" w:sz="0" w:space="0" w:color="auto"/>
                  </w:divBdr>
                  <w:divsChild>
                    <w:div w:id="1107502119">
                      <w:marLeft w:val="0"/>
                      <w:marRight w:val="0"/>
                      <w:marTop w:val="0"/>
                      <w:marBottom w:val="0"/>
                      <w:divBdr>
                        <w:top w:val="none" w:sz="0" w:space="0" w:color="auto"/>
                        <w:left w:val="none" w:sz="0" w:space="0" w:color="auto"/>
                        <w:bottom w:val="none" w:sz="0" w:space="0" w:color="auto"/>
                        <w:right w:val="none" w:sz="0" w:space="0" w:color="auto"/>
                      </w:divBdr>
                    </w:div>
                  </w:divsChild>
                </w:div>
                <w:div w:id="390349519">
                  <w:marLeft w:val="0"/>
                  <w:marRight w:val="0"/>
                  <w:marTop w:val="0"/>
                  <w:marBottom w:val="0"/>
                  <w:divBdr>
                    <w:top w:val="none" w:sz="0" w:space="0" w:color="auto"/>
                    <w:left w:val="none" w:sz="0" w:space="0" w:color="auto"/>
                    <w:bottom w:val="none" w:sz="0" w:space="0" w:color="auto"/>
                    <w:right w:val="none" w:sz="0" w:space="0" w:color="auto"/>
                  </w:divBdr>
                  <w:divsChild>
                    <w:div w:id="459883442">
                      <w:marLeft w:val="0"/>
                      <w:marRight w:val="0"/>
                      <w:marTop w:val="0"/>
                      <w:marBottom w:val="0"/>
                      <w:divBdr>
                        <w:top w:val="none" w:sz="0" w:space="0" w:color="auto"/>
                        <w:left w:val="none" w:sz="0" w:space="0" w:color="auto"/>
                        <w:bottom w:val="none" w:sz="0" w:space="0" w:color="auto"/>
                        <w:right w:val="none" w:sz="0" w:space="0" w:color="auto"/>
                      </w:divBdr>
                    </w:div>
                  </w:divsChild>
                </w:div>
                <w:div w:id="1800800056">
                  <w:marLeft w:val="0"/>
                  <w:marRight w:val="0"/>
                  <w:marTop w:val="0"/>
                  <w:marBottom w:val="0"/>
                  <w:divBdr>
                    <w:top w:val="none" w:sz="0" w:space="0" w:color="auto"/>
                    <w:left w:val="none" w:sz="0" w:space="0" w:color="auto"/>
                    <w:bottom w:val="none" w:sz="0" w:space="0" w:color="auto"/>
                    <w:right w:val="none" w:sz="0" w:space="0" w:color="auto"/>
                  </w:divBdr>
                  <w:divsChild>
                    <w:div w:id="407387630">
                      <w:marLeft w:val="0"/>
                      <w:marRight w:val="0"/>
                      <w:marTop w:val="0"/>
                      <w:marBottom w:val="0"/>
                      <w:divBdr>
                        <w:top w:val="none" w:sz="0" w:space="0" w:color="auto"/>
                        <w:left w:val="none" w:sz="0" w:space="0" w:color="auto"/>
                        <w:bottom w:val="none" w:sz="0" w:space="0" w:color="auto"/>
                        <w:right w:val="none" w:sz="0" w:space="0" w:color="auto"/>
                      </w:divBdr>
                    </w:div>
                  </w:divsChild>
                </w:div>
                <w:div w:id="855777223">
                  <w:marLeft w:val="0"/>
                  <w:marRight w:val="0"/>
                  <w:marTop w:val="0"/>
                  <w:marBottom w:val="0"/>
                  <w:divBdr>
                    <w:top w:val="none" w:sz="0" w:space="0" w:color="auto"/>
                    <w:left w:val="none" w:sz="0" w:space="0" w:color="auto"/>
                    <w:bottom w:val="none" w:sz="0" w:space="0" w:color="auto"/>
                    <w:right w:val="none" w:sz="0" w:space="0" w:color="auto"/>
                  </w:divBdr>
                  <w:divsChild>
                    <w:div w:id="2055300898">
                      <w:marLeft w:val="0"/>
                      <w:marRight w:val="0"/>
                      <w:marTop w:val="0"/>
                      <w:marBottom w:val="0"/>
                      <w:divBdr>
                        <w:top w:val="none" w:sz="0" w:space="0" w:color="auto"/>
                        <w:left w:val="none" w:sz="0" w:space="0" w:color="auto"/>
                        <w:bottom w:val="none" w:sz="0" w:space="0" w:color="auto"/>
                        <w:right w:val="none" w:sz="0" w:space="0" w:color="auto"/>
                      </w:divBdr>
                    </w:div>
                  </w:divsChild>
                </w:div>
                <w:div w:id="2069524026">
                  <w:marLeft w:val="0"/>
                  <w:marRight w:val="0"/>
                  <w:marTop w:val="0"/>
                  <w:marBottom w:val="0"/>
                  <w:divBdr>
                    <w:top w:val="none" w:sz="0" w:space="0" w:color="auto"/>
                    <w:left w:val="none" w:sz="0" w:space="0" w:color="auto"/>
                    <w:bottom w:val="none" w:sz="0" w:space="0" w:color="auto"/>
                    <w:right w:val="none" w:sz="0" w:space="0" w:color="auto"/>
                  </w:divBdr>
                  <w:divsChild>
                    <w:div w:id="671448770">
                      <w:marLeft w:val="0"/>
                      <w:marRight w:val="0"/>
                      <w:marTop w:val="0"/>
                      <w:marBottom w:val="0"/>
                      <w:divBdr>
                        <w:top w:val="none" w:sz="0" w:space="0" w:color="auto"/>
                        <w:left w:val="none" w:sz="0" w:space="0" w:color="auto"/>
                        <w:bottom w:val="none" w:sz="0" w:space="0" w:color="auto"/>
                        <w:right w:val="none" w:sz="0" w:space="0" w:color="auto"/>
                      </w:divBdr>
                    </w:div>
                  </w:divsChild>
                </w:div>
                <w:div w:id="170805861">
                  <w:marLeft w:val="0"/>
                  <w:marRight w:val="0"/>
                  <w:marTop w:val="0"/>
                  <w:marBottom w:val="0"/>
                  <w:divBdr>
                    <w:top w:val="none" w:sz="0" w:space="0" w:color="auto"/>
                    <w:left w:val="none" w:sz="0" w:space="0" w:color="auto"/>
                    <w:bottom w:val="none" w:sz="0" w:space="0" w:color="auto"/>
                    <w:right w:val="none" w:sz="0" w:space="0" w:color="auto"/>
                  </w:divBdr>
                  <w:divsChild>
                    <w:div w:id="1217619161">
                      <w:marLeft w:val="0"/>
                      <w:marRight w:val="0"/>
                      <w:marTop w:val="0"/>
                      <w:marBottom w:val="0"/>
                      <w:divBdr>
                        <w:top w:val="none" w:sz="0" w:space="0" w:color="auto"/>
                        <w:left w:val="none" w:sz="0" w:space="0" w:color="auto"/>
                        <w:bottom w:val="none" w:sz="0" w:space="0" w:color="auto"/>
                        <w:right w:val="none" w:sz="0" w:space="0" w:color="auto"/>
                      </w:divBdr>
                    </w:div>
                  </w:divsChild>
                </w:div>
                <w:div w:id="1725791611">
                  <w:marLeft w:val="0"/>
                  <w:marRight w:val="0"/>
                  <w:marTop w:val="0"/>
                  <w:marBottom w:val="0"/>
                  <w:divBdr>
                    <w:top w:val="none" w:sz="0" w:space="0" w:color="auto"/>
                    <w:left w:val="none" w:sz="0" w:space="0" w:color="auto"/>
                    <w:bottom w:val="none" w:sz="0" w:space="0" w:color="auto"/>
                    <w:right w:val="none" w:sz="0" w:space="0" w:color="auto"/>
                  </w:divBdr>
                  <w:divsChild>
                    <w:div w:id="808282332">
                      <w:marLeft w:val="0"/>
                      <w:marRight w:val="0"/>
                      <w:marTop w:val="0"/>
                      <w:marBottom w:val="0"/>
                      <w:divBdr>
                        <w:top w:val="none" w:sz="0" w:space="0" w:color="auto"/>
                        <w:left w:val="none" w:sz="0" w:space="0" w:color="auto"/>
                        <w:bottom w:val="none" w:sz="0" w:space="0" w:color="auto"/>
                        <w:right w:val="none" w:sz="0" w:space="0" w:color="auto"/>
                      </w:divBdr>
                    </w:div>
                  </w:divsChild>
                </w:div>
                <w:div w:id="1728871057">
                  <w:marLeft w:val="0"/>
                  <w:marRight w:val="0"/>
                  <w:marTop w:val="0"/>
                  <w:marBottom w:val="0"/>
                  <w:divBdr>
                    <w:top w:val="none" w:sz="0" w:space="0" w:color="auto"/>
                    <w:left w:val="none" w:sz="0" w:space="0" w:color="auto"/>
                    <w:bottom w:val="none" w:sz="0" w:space="0" w:color="auto"/>
                    <w:right w:val="none" w:sz="0" w:space="0" w:color="auto"/>
                  </w:divBdr>
                  <w:divsChild>
                    <w:div w:id="16927855">
                      <w:marLeft w:val="0"/>
                      <w:marRight w:val="0"/>
                      <w:marTop w:val="0"/>
                      <w:marBottom w:val="0"/>
                      <w:divBdr>
                        <w:top w:val="none" w:sz="0" w:space="0" w:color="auto"/>
                        <w:left w:val="none" w:sz="0" w:space="0" w:color="auto"/>
                        <w:bottom w:val="none" w:sz="0" w:space="0" w:color="auto"/>
                        <w:right w:val="none" w:sz="0" w:space="0" w:color="auto"/>
                      </w:divBdr>
                    </w:div>
                  </w:divsChild>
                </w:div>
                <w:div w:id="1326661331">
                  <w:marLeft w:val="0"/>
                  <w:marRight w:val="0"/>
                  <w:marTop w:val="0"/>
                  <w:marBottom w:val="0"/>
                  <w:divBdr>
                    <w:top w:val="none" w:sz="0" w:space="0" w:color="auto"/>
                    <w:left w:val="none" w:sz="0" w:space="0" w:color="auto"/>
                    <w:bottom w:val="none" w:sz="0" w:space="0" w:color="auto"/>
                    <w:right w:val="none" w:sz="0" w:space="0" w:color="auto"/>
                  </w:divBdr>
                  <w:divsChild>
                    <w:div w:id="983317013">
                      <w:marLeft w:val="0"/>
                      <w:marRight w:val="0"/>
                      <w:marTop w:val="0"/>
                      <w:marBottom w:val="0"/>
                      <w:divBdr>
                        <w:top w:val="none" w:sz="0" w:space="0" w:color="auto"/>
                        <w:left w:val="none" w:sz="0" w:space="0" w:color="auto"/>
                        <w:bottom w:val="none" w:sz="0" w:space="0" w:color="auto"/>
                        <w:right w:val="none" w:sz="0" w:space="0" w:color="auto"/>
                      </w:divBdr>
                    </w:div>
                  </w:divsChild>
                </w:div>
                <w:div w:id="1815948058">
                  <w:marLeft w:val="0"/>
                  <w:marRight w:val="0"/>
                  <w:marTop w:val="0"/>
                  <w:marBottom w:val="0"/>
                  <w:divBdr>
                    <w:top w:val="none" w:sz="0" w:space="0" w:color="auto"/>
                    <w:left w:val="none" w:sz="0" w:space="0" w:color="auto"/>
                    <w:bottom w:val="none" w:sz="0" w:space="0" w:color="auto"/>
                    <w:right w:val="none" w:sz="0" w:space="0" w:color="auto"/>
                  </w:divBdr>
                  <w:divsChild>
                    <w:div w:id="751854935">
                      <w:marLeft w:val="0"/>
                      <w:marRight w:val="0"/>
                      <w:marTop w:val="0"/>
                      <w:marBottom w:val="0"/>
                      <w:divBdr>
                        <w:top w:val="none" w:sz="0" w:space="0" w:color="auto"/>
                        <w:left w:val="none" w:sz="0" w:space="0" w:color="auto"/>
                        <w:bottom w:val="none" w:sz="0" w:space="0" w:color="auto"/>
                        <w:right w:val="none" w:sz="0" w:space="0" w:color="auto"/>
                      </w:divBdr>
                    </w:div>
                  </w:divsChild>
                </w:div>
                <w:div w:id="1103916251">
                  <w:marLeft w:val="0"/>
                  <w:marRight w:val="0"/>
                  <w:marTop w:val="0"/>
                  <w:marBottom w:val="0"/>
                  <w:divBdr>
                    <w:top w:val="none" w:sz="0" w:space="0" w:color="auto"/>
                    <w:left w:val="none" w:sz="0" w:space="0" w:color="auto"/>
                    <w:bottom w:val="none" w:sz="0" w:space="0" w:color="auto"/>
                    <w:right w:val="none" w:sz="0" w:space="0" w:color="auto"/>
                  </w:divBdr>
                  <w:divsChild>
                    <w:div w:id="434638267">
                      <w:marLeft w:val="0"/>
                      <w:marRight w:val="0"/>
                      <w:marTop w:val="0"/>
                      <w:marBottom w:val="0"/>
                      <w:divBdr>
                        <w:top w:val="none" w:sz="0" w:space="0" w:color="auto"/>
                        <w:left w:val="none" w:sz="0" w:space="0" w:color="auto"/>
                        <w:bottom w:val="none" w:sz="0" w:space="0" w:color="auto"/>
                        <w:right w:val="none" w:sz="0" w:space="0" w:color="auto"/>
                      </w:divBdr>
                    </w:div>
                  </w:divsChild>
                </w:div>
                <w:div w:id="1427261589">
                  <w:marLeft w:val="0"/>
                  <w:marRight w:val="0"/>
                  <w:marTop w:val="0"/>
                  <w:marBottom w:val="0"/>
                  <w:divBdr>
                    <w:top w:val="none" w:sz="0" w:space="0" w:color="auto"/>
                    <w:left w:val="none" w:sz="0" w:space="0" w:color="auto"/>
                    <w:bottom w:val="none" w:sz="0" w:space="0" w:color="auto"/>
                    <w:right w:val="none" w:sz="0" w:space="0" w:color="auto"/>
                  </w:divBdr>
                  <w:divsChild>
                    <w:div w:id="787427767">
                      <w:marLeft w:val="0"/>
                      <w:marRight w:val="0"/>
                      <w:marTop w:val="0"/>
                      <w:marBottom w:val="0"/>
                      <w:divBdr>
                        <w:top w:val="none" w:sz="0" w:space="0" w:color="auto"/>
                        <w:left w:val="none" w:sz="0" w:space="0" w:color="auto"/>
                        <w:bottom w:val="none" w:sz="0" w:space="0" w:color="auto"/>
                        <w:right w:val="none" w:sz="0" w:space="0" w:color="auto"/>
                      </w:divBdr>
                    </w:div>
                  </w:divsChild>
                </w:div>
                <w:div w:id="1910194010">
                  <w:marLeft w:val="0"/>
                  <w:marRight w:val="0"/>
                  <w:marTop w:val="0"/>
                  <w:marBottom w:val="0"/>
                  <w:divBdr>
                    <w:top w:val="none" w:sz="0" w:space="0" w:color="auto"/>
                    <w:left w:val="none" w:sz="0" w:space="0" w:color="auto"/>
                    <w:bottom w:val="none" w:sz="0" w:space="0" w:color="auto"/>
                    <w:right w:val="none" w:sz="0" w:space="0" w:color="auto"/>
                  </w:divBdr>
                  <w:divsChild>
                    <w:div w:id="312373492">
                      <w:marLeft w:val="0"/>
                      <w:marRight w:val="0"/>
                      <w:marTop w:val="0"/>
                      <w:marBottom w:val="0"/>
                      <w:divBdr>
                        <w:top w:val="none" w:sz="0" w:space="0" w:color="auto"/>
                        <w:left w:val="none" w:sz="0" w:space="0" w:color="auto"/>
                        <w:bottom w:val="none" w:sz="0" w:space="0" w:color="auto"/>
                        <w:right w:val="none" w:sz="0" w:space="0" w:color="auto"/>
                      </w:divBdr>
                    </w:div>
                  </w:divsChild>
                </w:div>
                <w:div w:id="1359041890">
                  <w:marLeft w:val="0"/>
                  <w:marRight w:val="0"/>
                  <w:marTop w:val="0"/>
                  <w:marBottom w:val="0"/>
                  <w:divBdr>
                    <w:top w:val="none" w:sz="0" w:space="0" w:color="auto"/>
                    <w:left w:val="none" w:sz="0" w:space="0" w:color="auto"/>
                    <w:bottom w:val="none" w:sz="0" w:space="0" w:color="auto"/>
                    <w:right w:val="none" w:sz="0" w:space="0" w:color="auto"/>
                  </w:divBdr>
                  <w:divsChild>
                    <w:div w:id="107043018">
                      <w:marLeft w:val="0"/>
                      <w:marRight w:val="0"/>
                      <w:marTop w:val="0"/>
                      <w:marBottom w:val="0"/>
                      <w:divBdr>
                        <w:top w:val="none" w:sz="0" w:space="0" w:color="auto"/>
                        <w:left w:val="none" w:sz="0" w:space="0" w:color="auto"/>
                        <w:bottom w:val="none" w:sz="0" w:space="0" w:color="auto"/>
                        <w:right w:val="none" w:sz="0" w:space="0" w:color="auto"/>
                      </w:divBdr>
                    </w:div>
                  </w:divsChild>
                </w:div>
                <w:div w:id="205798088">
                  <w:marLeft w:val="0"/>
                  <w:marRight w:val="0"/>
                  <w:marTop w:val="0"/>
                  <w:marBottom w:val="0"/>
                  <w:divBdr>
                    <w:top w:val="none" w:sz="0" w:space="0" w:color="auto"/>
                    <w:left w:val="none" w:sz="0" w:space="0" w:color="auto"/>
                    <w:bottom w:val="none" w:sz="0" w:space="0" w:color="auto"/>
                    <w:right w:val="none" w:sz="0" w:space="0" w:color="auto"/>
                  </w:divBdr>
                  <w:divsChild>
                    <w:div w:id="701905330">
                      <w:marLeft w:val="0"/>
                      <w:marRight w:val="0"/>
                      <w:marTop w:val="0"/>
                      <w:marBottom w:val="0"/>
                      <w:divBdr>
                        <w:top w:val="none" w:sz="0" w:space="0" w:color="auto"/>
                        <w:left w:val="none" w:sz="0" w:space="0" w:color="auto"/>
                        <w:bottom w:val="none" w:sz="0" w:space="0" w:color="auto"/>
                        <w:right w:val="none" w:sz="0" w:space="0" w:color="auto"/>
                      </w:divBdr>
                    </w:div>
                  </w:divsChild>
                </w:div>
                <w:div w:id="289869349">
                  <w:marLeft w:val="0"/>
                  <w:marRight w:val="0"/>
                  <w:marTop w:val="0"/>
                  <w:marBottom w:val="0"/>
                  <w:divBdr>
                    <w:top w:val="none" w:sz="0" w:space="0" w:color="auto"/>
                    <w:left w:val="none" w:sz="0" w:space="0" w:color="auto"/>
                    <w:bottom w:val="none" w:sz="0" w:space="0" w:color="auto"/>
                    <w:right w:val="none" w:sz="0" w:space="0" w:color="auto"/>
                  </w:divBdr>
                  <w:divsChild>
                    <w:div w:id="838158788">
                      <w:marLeft w:val="0"/>
                      <w:marRight w:val="0"/>
                      <w:marTop w:val="0"/>
                      <w:marBottom w:val="0"/>
                      <w:divBdr>
                        <w:top w:val="none" w:sz="0" w:space="0" w:color="auto"/>
                        <w:left w:val="none" w:sz="0" w:space="0" w:color="auto"/>
                        <w:bottom w:val="none" w:sz="0" w:space="0" w:color="auto"/>
                        <w:right w:val="none" w:sz="0" w:space="0" w:color="auto"/>
                      </w:divBdr>
                    </w:div>
                  </w:divsChild>
                </w:div>
                <w:div w:id="673654545">
                  <w:marLeft w:val="0"/>
                  <w:marRight w:val="0"/>
                  <w:marTop w:val="0"/>
                  <w:marBottom w:val="0"/>
                  <w:divBdr>
                    <w:top w:val="none" w:sz="0" w:space="0" w:color="auto"/>
                    <w:left w:val="none" w:sz="0" w:space="0" w:color="auto"/>
                    <w:bottom w:val="none" w:sz="0" w:space="0" w:color="auto"/>
                    <w:right w:val="none" w:sz="0" w:space="0" w:color="auto"/>
                  </w:divBdr>
                  <w:divsChild>
                    <w:div w:id="742802568">
                      <w:marLeft w:val="0"/>
                      <w:marRight w:val="0"/>
                      <w:marTop w:val="0"/>
                      <w:marBottom w:val="0"/>
                      <w:divBdr>
                        <w:top w:val="none" w:sz="0" w:space="0" w:color="auto"/>
                        <w:left w:val="none" w:sz="0" w:space="0" w:color="auto"/>
                        <w:bottom w:val="none" w:sz="0" w:space="0" w:color="auto"/>
                        <w:right w:val="none" w:sz="0" w:space="0" w:color="auto"/>
                      </w:divBdr>
                    </w:div>
                  </w:divsChild>
                </w:div>
                <w:div w:id="621575421">
                  <w:marLeft w:val="0"/>
                  <w:marRight w:val="0"/>
                  <w:marTop w:val="0"/>
                  <w:marBottom w:val="0"/>
                  <w:divBdr>
                    <w:top w:val="none" w:sz="0" w:space="0" w:color="auto"/>
                    <w:left w:val="none" w:sz="0" w:space="0" w:color="auto"/>
                    <w:bottom w:val="none" w:sz="0" w:space="0" w:color="auto"/>
                    <w:right w:val="none" w:sz="0" w:space="0" w:color="auto"/>
                  </w:divBdr>
                  <w:divsChild>
                    <w:div w:id="1286961872">
                      <w:marLeft w:val="0"/>
                      <w:marRight w:val="0"/>
                      <w:marTop w:val="0"/>
                      <w:marBottom w:val="0"/>
                      <w:divBdr>
                        <w:top w:val="none" w:sz="0" w:space="0" w:color="auto"/>
                        <w:left w:val="none" w:sz="0" w:space="0" w:color="auto"/>
                        <w:bottom w:val="none" w:sz="0" w:space="0" w:color="auto"/>
                        <w:right w:val="none" w:sz="0" w:space="0" w:color="auto"/>
                      </w:divBdr>
                    </w:div>
                  </w:divsChild>
                </w:div>
                <w:div w:id="1713656542">
                  <w:marLeft w:val="0"/>
                  <w:marRight w:val="0"/>
                  <w:marTop w:val="0"/>
                  <w:marBottom w:val="0"/>
                  <w:divBdr>
                    <w:top w:val="none" w:sz="0" w:space="0" w:color="auto"/>
                    <w:left w:val="none" w:sz="0" w:space="0" w:color="auto"/>
                    <w:bottom w:val="none" w:sz="0" w:space="0" w:color="auto"/>
                    <w:right w:val="none" w:sz="0" w:space="0" w:color="auto"/>
                  </w:divBdr>
                  <w:divsChild>
                    <w:div w:id="525482724">
                      <w:marLeft w:val="0"/>
                      <w:marRight w:val="0"/>
                      <w:marTop w:val="0"/>
                      <w:marBottom w:val="0"/>
                      <w:divBdr>
                        <w:top w:val="none" w:sz="0" w:space="0" w:color="auto"/>
                        <w:left w:val="none" w:sz="0" w:space="0" w:color="auto"/>
                        <w:bottom w:val="none" w:sz="0" w:space="0" w:color="auto"/>
                        <w:right w:val="none" w:sz="0" w:space="0" w:color="auto"/>
                      </w:divBdr>
                    </w:div>
                  </w:divsChild>
                </w:div>
                <w:div w:id="621498331">
                  <w:marLeft w:val="0"/>
                  <w:marRight w:val="0"/>
                  <w:marTop w:val="0"/>
                  <w:marBottom w:val="0"/>
                  <w:divBdr>
                    <w:top w:val="none" w:sz="0" w:space="0" w:color="auto"/>
                    <w:left w:val="none" w:sz="0" w:space="0" w:color="auto"/>
                    <w:bottom w:val="none" w:sz="0" w:space="0" w:color="auto"/>
                    <w:right w:val="none" w:sz="0" w:space="0" w:color="auto"/>
                  </w:divBdr>
                  <w:divsChild>
                    <w:div w:id="723018863">
                      <w:marLeft w:val="0"/>
                      <w:marRight w:val="0"/>
                      <w:marTop w:val="0"/>
                      <w:marBottom w:val="0"/>
                      <w:divBdr>
                        <w:top w:val="none" w:sz="0" w:space="0" w:color="auto"/>
                        <w:left w:val="none" w:sz="0" w:space="0" w:color="auto"/>
                        <w:bottom w:val="none" w:sz="0" w:space="0" w:color="auto"/>
                        <w:right w:val="none" w:sz="0" w:space="0" w:color="auto"/>
                      </w:divBdr>
                    </w:div>
                  </w:divsChild>
                </w:div>
                <w:div w:id="1999923857">
                  <w:marLeft w:val="0"/>
                  <w:marRight w:val="0"/>
                  <w:marTop w:val="0"/>
                  <w:marBottom w:val="0"/>
                  <w:divBdr>
                    <w:top w:val="none" w:sz="0" w:space="0" w:color="auto"/>
                    <w:left w:val="none" w:sz="0" w:space="0" w:color="auto"/>
                    <w:bottom w:val="none" w:sz="0" w:space="0" w:color="auto"/>
                    <w:right w:val="none" w:sz="0" w:space="0" w:color="auto"/>
                  </w:divBdr>
                  <w:divsChild>
                    <w:div w:id="858733805">
                      <w:marLeft w:val="0"/>
                      <w:marRight w:val="0"/>
                      <w:marTop w:val="0"/>
                      <w:marBottom w:val="0"/>
                      <w:divBdr>
                        <w:top w:val="none" w:sz="0" w:space="0" w:color="auto"/>
                        <w:left w:val="none" w:sz="0" w:space="0" w:color="auto"/>
                        <w:bottom w:val="none" w:sz="0" w:space="0" w:color="auto"/>
                        <w:right w:val="none" w:sz="0" w:space="0" w:color="auto"/>
                      </w:divBdr>
                    </w:div>
                  </w:divsChild>
                </w:div>
                <w:div w:id="1951736236">
                  <w:marLeft w:val="0"/>
                  <w:marRight w:val="0"/>
                  <w:marTop w:val="0"/>
                  <w:marBottom w:val="0"/>
                  <w:divBdr>
                    <w:top w:val="none" w:sz="0" w:space="0" w:color="auto"/>
                    <w:left w:val="none" w:sz="0" w:space="0" w:color="auto"/>
                    <w:bottom w:val="none" w:sz="0" w:space="0" w:color="auto"/>
                    <w:right w:val="none" w:sz="0" w:space="0" w:color="auto"/>
                  </w:divBdr>
                  <w:divsChild>
                    <w:div w:id="1474253519">
                      <w:marLeft w:val="0"/>
                      <w:marRight w:val="0"/>
                      <w:marTop w:val="0"/>
                      <w:marBottom w:val="0"/>
                      <w:divBdr>
                        <w:top w:val="none" w:sz="0" w:space="0" w:color="auto"/>
                        <w:left w:val="none" w:sz="0" w:space="0" w:color="auto"/>
                        <w:bottom w:val="none" w:sz="0" w:space="0" w:color="auto"/>
                        <w:right w:val="none" w:sz="0" w:space="0" w:color="auto"/>
                      </w:divBdr>
                    </w:div>
                  </w:divsChild>
                </w:div>
                <w:div w:id="811749534">
                  <w:marLeft w:val="0"/>
                  <w:marRight w:val="0"/>
                  <w:marTop w:val="0"/>
                  <w:marBottom w:val="0"/>
                  <w:divBdr>
                    <w:top w:val="none" w:sz="0" w:space="0" w:color="auto"/>
                    <w:left w:val="none" w:sz="0" w:space="0" w:color="auto"/>
                    <w:bottom w:val="none" w:sz="0" w:space="0" w:color="auto"/>
                    <w:right w:val="none" w:sz="0" w:space="0" w:color="auto"/>
                  </w:divBdr>
                  <w:divsChild>
                    <w:div w:id="1342078466">
                      <w:marLeft w:val="0"/>
                      <w:marRight w:val="0"/>
                      <w:marTop w:val="0"/>
                      <w:marBottom w:val="0"/>
                      <w:divBdr>
                        <w:top w:val="none" w:sz="0" w:space="0" w:color="auto"/>
                        <w:left w:val="none" w:sz="0" w:space="0" w:color="auto"/>
                        <w:bottom w:val="none" w:sz="0" w:space="0" w:color="auto"/>
                        <w:right w:val="none" w:sz="0" w:space="0" w:color="auto"/>
                      </w:divBdr>
                    </w:div>
                  </w:divsChild>
                </w:div>
                <w:div w:id="609552344">
                  <w:marLeft w:val="0"/>
                  <w:marRight w:val="0"/>
                  <w:marTop w:val="0"/>
                  <w:marBottom w:val="0"/>
                  <w:divBdr>
                    <w:top w:val="none" w:sz="0" w:space="0" w:color="auto"/>
                    <w:left w:val="none" w:sz="0" w:space="0" w:color="auto"/>
                    <w:bottom w:val="none" w:sz="0" w:space="0" w:color="auto"/>
                    <w:right w:val="none" w:sz="0" w:space="0" w:color="auto"/>
                  </w:divBdr>
                  <w:divsChild>
                    <w:div w:id="1571426776">
                      <w:marLeft w:val="0"/>
                      <w:marRight w:val="0"/>
                      <w:marTop w:val="0"/>
                      <w:marBottom w:val="0"/>
                      <w:divBdr>
                        <w:top w:val="none" w:sz="0" w:space="0" w:color="auto"/>
                        <w:left w:val="none" w:sz="0" w:space="0" w:color="auto"/>
                        <w:bottom w:val="none" w:sz="0" w:space="0" w:color="auto"/>
                        <w:right w:val="none" w:sz="0" w:space="0" w:color="auto"/>
                      </w:divBdr>
                    </w:div>
                  </w:divsChild>
                </w:div>
                <w:div w:id="1324042155">
                  <w:marLeft w:val="0"/>
                  <w:marRight w:val="0"/>
                  <w:marTop w:val="0"/>
                  <w:marBottom w:val="0"/>
                  <w:divBdr>
                    <w:top w:val="none" w:sz="0" w:space="0" w:color="auto"/>
                    <w:left w:val="none" w:sz="0" w:space="0" w:color="auto"/>
                    <w:bottom w:val="none" w:sz="0" w:space="0" w:color="auto"/>
                    <w:right w:val="none" w:sz="0" w:space="0" w:color="auto"/>
                  </w:divBdr>
                  <w:divsChild>
                    <w:div w:id="1926838204">
                      <w:marLeft w:val="0"/>
                      <w:marRight w:val="0"/>
                      <w:marTop w:val="0"/>
                      <w:marBottom w:val="0"/>
                      <w:divBdr>
                        <w:top w:val="none" w:sz="0" w:space="0" w:color="auto"/>
                        <w:left w:val="none" w:sz="0" w:space="0" w:color="auto"/>
                        <w:bottom w:val="none" w:sz="0" w:space="0" w:color="auto"/>
                        <w:right w:val="none" w:sz="0" w:space="0" w:color="auto"/>
                      </w:divBdr>
                    </w:div>
                  </w:divsChild>
                </w:div>
                <w:div w:id="1979607342">
                  <w:marLeft w:val="0"/>
                  <w:marRight w:val="0"/>
                  <w:marTop w:val="0"/>
                  <w:marBottom w:val="0"/>
                  <w:divBdr>
                    <w:top w:val="none" w:sz="0" w:space="0" w:color="auto"/>
                    <w:left w:val="none" w:sz="0" w:space="0" w:color="auto"/>
                    <w:bottom w:val="none" w:sz="0" w:space="0" w:color="auto"/>
                    <w:right w:val="none" w:sz="0" w:space="0" w:color="auto"/>
                  </w:divBdr>
                  <w:divsChild>
                    <w:div w:id="74085541">
                      <w:marLeft w:val="0"/>
                      <w:marRight w:val="0"/>
                      <w:marTop w:val="0"/>
                      <w:marBottom w:val="0"/>
                      <w:divBdr>
                        <w:top w:val="none" w:sz="0" w:space="0" w:color="auto"/>
                        <w:left w:val="none" w:sz="0" w:space="0" w:color="auto"/>
                        <w:bottom w:val="none" w:sz="0" w:space="0" w:color="auto"/>
                        <w:right w:val="none" w:sz="0" w:space="0" w:color="auto"/>
                      </w:divBdr>
                    </w:div>
                  </w:divsChild>
                </w:div>
                <w:div w:id="807747404">
                  <w:marLeft w:val="0"/>
                  <w:marRight w:val="0"/>
                  <w:marTop w:val="0"/>
                  <w:marBottom w:val="0"/>
                  <w:divBdr>
                    <w:top w:val="none" w:sz="0" w:space="0" w:color="auto"/>
                    <w:left w:val="none" w:sz="0" w:space="0" w:color="auto"/>
                    <w:bottom w:val="none" w:sz="0" w:space="0" w:color="auto"/>
                    <w:right w:val="none" w:sz="0" w:space="0" w:color="auto"/>
                  </w:divBdr>
                  <w:divsChild>
                    <w:div w:id="577903412">
                      <w:marLeft w:val="0"/>
                      <w:marRight w:val="0"/>
                      <w:marTop w:val="0"/>
                      <w:marBottom w:val="0"/>
                      <w:divBdr>
                        <w:top w:val="none" w:sz="0" w:space="0" w:color="auto"/>
                        <w:left w:val="none" w:sz="0" w:space="0" w:color="auto"/>
                        <w:bottom w:val="none" w:sz="0" w:space="0" w:color="auto"/>
                        <w:right w:val="none" w:sz="0" w:space="0" w:color="auto"/>
                      </w:divBdr>
                    </w:div>
                  </w:divsChild>
                </w:div>
                <w:div w:id="1367676079">
                  <w:marLeft w:val="0"/>
                  <w:marRight w:val="0"/>
                  <w:marTop w:val="0"/>
                  <w:marBottom w:val="0"/>
                  <w:divBdr>
                    <w:top w:val="none" w:sz="0" w:space="0" w:color="auto"/>
                    <w:left w:val="none" w:sz="0" w:space="0" w:color="auto"/>
                    <w:bottom w:val="none" w:sz="0" w:space="0" w:color="auto"/>
                    <w:right w:val="none" w:sz="0" w:space="0" w:color="auto"/>
                  </w:divBdr>
                  <w:divsChild>
                    <w:div w:id="1348369269">
                      <w:marLeft w:val="0"/>
                      <w:marRight w:val="0"/>
                      <w:marTop w:val="0"/>
                      <w:marBottom w:val="0"/>
                      <w:divBdr>
                        <w:top w:val="none" w:sz="0" w:space="0" w:color="auto"/>
                        <w:left w:val="none" w:sz="0" w:space="0" w:color="auto"/>
                        <w:bottom w:val="none" w:sz="0" w:space="0" w:color="auto"/>
                        <w:right w:val="none" w:sz="0" w:space="0" w:color="auto"/>
                      </w:divBdr>
                    </w:div>
                  </w:divsChild>
                </w:div>
                <w:div w:id="618492169">
                  <w:marLeft w:val="0"/>
                  <w:marRight w:val="0"/>
                  <w:marTop w:val="0"/>
                  <w:marBottom w:val="0"/>
                  <w:divBdr>
                    <w:top w:val="none" w:sz="0" w:space="0" w:color="auto"/>
                    <w:left w:val="none" w:sz="0" w:space="0" w:color="auto"/>
                    <w:bottom w:val="none" w:sz="0" w:space="0" w:color="auto"/>
                    <w:right w:val="none" w:sz="0" w:space="0" w:color="auto"/>
                  </w:divBdr>
                  <w:divsChild>
                    <w:div w:id="192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31816">
          <w:marLeft w:val="0"/>
          <w:marRight w:val="0"/>
          <w:marTop w:val="0"/>
          <w:marBottom w:val="0"/>
          <w:divBdr>
            <w:top w:val="none" w:sz="0" w:space="0" w:color="auto"/>
            <w:left w:val="none" w:sz="0" w:space="0" w:color="auto"/>
            <w:bottom w:val="none" w:sz="0" w:space="0" w:color="auto"/>
            <w:right w:val="none" w:sz="0" w:space="0" w:color="auto"/>
          </w:divBdr>
        </w:div>
        <w:div w:id="2130778724">
          <w:marLeft w:val="0"/>
          <w:marRight w:val="0"/>
          <w:marTop w:val="0"/>
          <w:marBottom w:val="0"/>
          <w:divBdr>
            <w:top w:val="none" w:sz="0" w:space="0" w:color="auto"/>
            <w:left w:val="none" w:sz="0" w:space="0" w:color="auto"/>
            <w:bottom w:val="none" w:sz="0" w:space="0" w:color="auto"/>
            <w:right w:val="none" w:sz="0" w:space="0" w:color="auto"/>
          </w:divBdr>
        </w:div>
        <w:div w:id="1803497079">
          <w:marLeft w:val="0"/>
          <w:marRight w:val="0"/>
          <w:marTop w:val="0"/>
          <w:marBottom w:val="0"/>
          <w:divBdr>
            <w:top w:val="none" w:sz="0" w:space="0" w:color="auto"/>
            <w:left w:val="none" w:sz="0" w:space="0" w:color="auto"/>
            <w:bottom w:val="none" w:sz="0" w:space="0" w:color="auto"/>
            <w:right w:val="none" w:sz="0" w:space="0" w:color="auto"/>
          </w:divBdr>
        </w:div>
        <w:div w:id="632560831">
          <w:marLeft w:val="0"/>
          <w:marRight w:val="0"/>
          <w:marTop w:val="0"/>
          <w:marBottom w:val="0"/>
          <w:divBdr>
            <w:top w:val="none" w:sz="0" w:space="0" w:color="auto"/>
            <w:left w:val="none" w:sz="0" w:space="0" w:color="auto"/>
            <w:bottom w:val="none" w:sz="0" w:space="0" w:color="auto"/>
            <w:right w:val="none" w:sz="0" w:space="0" w:color="auto"/>
          </w:divBdr>
        </w:div>
        <w:div w:id="1726098129">
          <w:marLeft w:val="0"/>
          <w:marRight w:val="0"/>
          <w:marTop w:val="0"/>
          <w:marBottom w:val="0"/>
          <w:divBdr>
            <w:top w:val="none" w:sz="0" w:space="0" w:color="auto"/>
            <w:left w:val="none" w:sz="0" w:space="0" w:color="auto"/>
            <w:bottom w:val="none" w:sz="0" w:space="0" w:color="auto"/>
            <w:right w:val="none" w:sz="0" w:space="0" w:color="auto"/>
          </w:divBdr>
        </w:div>
        <w:div w:id="1932853538">
          <w:marLeft w:val="0"/>
          <w:marRight w:val="0"/>
          <w:marTop w:val="0"/>
          <w:marBottom w:val="0"/>
          <w:divBdr>
            <w:top w:val="none" w:sz="0" w:space="0" w:color="auto"/>
            <w:left w:val="none" w:sz="0" w:space="0" w:color="auto"/>
            <w:bottom w:val="none" w:sz="0" w:space="0" w:color="auto"/>
            <w:right w:val="none" w:sz="0" w:space="0" w:color="auto"/>
          </w:divBdr>
          <w:divsChild>
            <w:div w:id="1984191377">
              <w:marLeft w:val="-75"/>
              <w:marRight w:val="0"/>
              <w:marTop w:val="30"/>
              <w:marBottom w:val="30"/>
              <w:divBdr>
                <w:top w:val="none" w:sz="0" w:space="0" w:color="auto"/>
                <w:left w:val="none" w:sz="0" w:space="0" w:color="auto"/>
                <w:bottom w:val="none" w:sz="0" w:space="0" w:color="auto"/>
                <w:right w:val="none" w:sz="0" w:space="0" w:color="auto"/>
              </w:divBdr>
              <w:divsChild>
                <w:div w:id="553734215">
                  <w:marLeft w:val="0"/>
                  <w:marRight w:val="0"/>
                  <w:marTop w:val="0"/>
                  <w:marBottom w:val="0"/>
                  <w:divBdr>
                    <w:top w:val="none" w:sz="0" w:space="0" w:color="auto"/>
                    <w:left w:val="none" w:sz="0" w:space="0" w:color="auto"/>
                    <w:bottom w:val="none" w:sz="0" w:space="0" w:color="auto"/>
                    <w:right w:val="none" w:sz="0" w:space="0" w:color="auto"/>
                  </w:divBdr>
                  <w:divsChild>
                    <w:div w:id="784809125">
                      <w:marLeft w:val="0"/>
                      <w:marRight w:val="0"/>
                      <w:marTop w:val="0"/>
                      <w:marBottom w:val="0"/>
                      <w:divBdr>
                        <w:top w:val="none" w:sz="0" w:space="0" w:color="auto"/>
                        <w:left w:val="none" w:sz="0" w:space="0" w:color="auto"/>
                        <w:bottom w:val="none" w:sz="0" w:space="0" w:color="auto"/>
                        <w:right w:val="none" w:sz="0" w:space="0" w:color="auto"/>
                      </w:divBdr>
                    </w:div>
                  </w:divsChild>
                </w:div>
                <w:div w:id="1139617994">
                  <w:marLeft w:val="0"/>
                  <w:marRight w:val="0"/>
                  <w:marTop w:val="0"/>
                  <w:marBottom w:val="0"/>
                  <w:divBdr>
                    <w:top w:val="none" w:sz="0" w:space="0" w:color="auto"/>
                    <w:left w:val="none" w:sz="0" w:space="0" w:color="auto"/>
                    <w:bottom w:val="none" w:sz="0" w:space="0" w:color="auto"/>
                    <w:right w:val="none" w:sz="0" w:space="0" w:color="auto"/>
                  </w:divBdr>
                  <w:divsChild>
                    <w:div w:id="1246300429">
                      <w:marLeft w:val="0"/>
                      <w:marRight w:val="0"/>
                      <w:marTop w:val="0"/>
                      <w:marBottom w:val="0"/>
                      <w:divBdr>
                        <w:top w:val="none" w:sz="0" w:space="0" w:color="auto"/>
                        <w:left w:val="none" w:sz="0" w:space="0" w:color="auto"/>
                        <w:bottom w:val="none" w:sz="0" w:space="0" w:color="auto"/>
                        <w:right w:val="none" w:sz="0" w:space="0" w:color="auto"/>
                      </w:divBdr>
                    </w:div>
                  </w:divsChild>
                </w:div>
                <w:div w:id="1943143801">
                  <w:marLeft w:val="0"/>
                  <w:marRight w:val="0"/>
                  <w:marTop w:val="0"/>
                  <w:marBottom w:val="0"/>
                  <w:divBdr>
                    <w:top w:val="none" w:sz="0" w:space="0" w:color="auto"/>
                    <w:left w:val="none" w:sz="0" w:space="0" w:color="auto"/>
                    <w:bottom w:val="none" w:sz="0" w:space="0" w:color="auto"/>
                    <w:right w:val="none" w:sz="0" w:space="0" w:color="auto"/>
                  </w:divBdr>
                  <w:divsChild>
                    <w:div w:id="1499225524">
                      <w:marLeft w:val="0"/>
                      <w:marRight w:val="0"/>
                      <w:marTop w:val="0"/>
                      <w:marBottom w:val="0"/>
                      <w:divBdr>
                        <w:top w:val="none" w:sz="0" w:space="0" w:color="auto"/>
                        <w:left w:val="none" w:sz="0" w:space="0" w:color="auto"/>
                        <w:bottom w:val="none" w:sz="0" w:space="0" w:color="auto"/>
                        <w:right w:val="none" w:sz="0" w:space="0" w:color="auto"/>
                      </w:divBdr>
                    </w:div>
                  </w:divsChild>
                </w:div>
                <w:div w:id="302080074">
                  <w:marLeft w:val="0"/>
                  <w:marRight w:val="0"/>
                  <w:marTop w:val="0"/>
                  <w:marBottom w:val="0"/>
                  <w:divBdr>
                    <w:top w:val="none" w:sz="0" w:space="0" w:color="auto"/>
                    <w:left w:val="none" w:sz="0" w:space="0" w:color="auto"/>
                    <w:bottom w:val="none" w:sz="0" w:space="0" w:color="auto"/>
                    <w:right w:val="none" w:sz="0" w:space="0" w:color="auto"/>
                  </w:divBdr>
                  <w:divsChild>
                    <w:div w:id="38823967">
                      <w:marLeft w:val="0"/>
                      <w:marRight w:val="0"/>
                      <w:marTop w:val="0"/>
                      <w:marBottom w:val="0"/>
                      <w:divBdr>
                        <w:top w:val="none" w:sz="0" w:space="0" w:color="auto"/>
                        <w:left w:val="none" w:sz="0" w:space="0" w:color="auto"/>
                        <w:bottom w:val="none" w:sz="0" w:space="0" w:color="auto"/>
                        <w:right w:val="none" w:sz="0" w:space="0" w:color="auto"/>
                      </w:divBdr>
                    </w:div>
                  </w:divsChild>
                </w:div>
                <w:div w:id="933050178">
                  <w:marLeft w:val="0"/>
                  <w:marRight w:val="0"/>
                  <w:marTop w:val="0"/>
                  <w:marBottom w:val="0"/>
                  <w:divBdr>
                    <w:top w:val="none" w:sz="0" w:space="0" w:color="auto"/>
                    <w:left w:val="none" w:sz="0" w:space="0" w:color="auto"/>
                    <w:bottom w:val="none" w:sz="0" w:space="0" w:color="auto"/>
                    <w:right w:val="none" w:sz="0" w:space="0" w:color="auto"/>
                  </w:divBdr>
                  <w:divsChild>
                    <w:div w:id="506285199">
                      <w:marLeft w:val="0"/>
                      <w:marRight w:val="0"/>
                      <w:marTop w:val="0"/>
                      <w:marBottom w:val="0"/>
                      <w:divBdr>
                        <w:top w:val="none" w:sz="0" w:space="0" w:color="auto"/>
                        <w:left w:val="none" w:sz="0" w:space="0" w:color="auto"/>
                        <w:bottom w:val="none" w:sz="0" w:space="0" w:color="auto"/>
                        <w:right w:val="none" w:sz="0" w:space="0" w:color="auto"/>
                      </w:divBdr>
                    </w:div>
                    <w:div w:id="862980806">
                      <w:marLeft w:val="0"/>
                      <w:marRight w:val="0"/>
                      <w:marTop w:val="0"/>
                      <w:marBottom w:val="0"/>
                      <w:divBdr>
                        <w:top w:val="none" w:sz="0" w:space="0" w:color="auto"/>
                        <w:left w:val="none" w:sz="0" w:space="0" w:color="auto"/>
                        <w:bottom w:val="none" w:sz="0" w:space="0" w:color="auto"/>
                        <w:right w:val="none" w:sz="0" w:space="0" w:color="auto"/>
                      </w:divBdr>
                    </w:div>
                    <w:div w:id="1290092890">
                      <w:marLeft w:val="0"/>
                      <w:marRight w:val="0"/>
                      <w:marTop w:val="0"/>
                      <w:marBottom w:val="0"/>
                      <w:divBdr>
                        <w:top w:val="none" w:sz="0" w:space="0" w:color="auto"/>
                        <w:left w:val="none" w:sz="0" w:space="0" w:color="auto"/>
                        <w:bottom w:val="none" w:sz="0" w:space="0" w:color="auto"/>
                        <w:right w:val="none" w:sz="0" w:space="0" w:color="auto"/>
                      </w:divBdr>
                    </w:div>
                  </w:divsChild>
                </w:div>
                <w:div w:id="1029722989">
                  <w:marLeft w:val="0"/>
                  <w:marRight w:val="0"/>
                  <w:marTop w:val="0"/>
                  <w:marBottom w:val="0"/>
                  <w:divBdr>
                    <w:top w:val="none" w:sz="0" w:space="0" w:color="auto"/>
                    <w:left w:val="none" w:sz="0" w:space="0" w:color="auto"/>
                    <w:bottom w:val="none" w:sz="0" w:space="0" w:color="auto"/>
                    <w:right w:val="none" w:sz="0" w:space="0" w:color="auto"/>
                  </w:divBdr>
                  <w:divsChild>
                    <w:div w:id="176388503">
                      <w:marLeft w:val="0"/>
                      <w:marRight w:val="0"/>
                      <w:marTop w:val="0"/>
                      <w:marBottom w:val="0"/>
                      <w:divBdr>
                        <w:top w:val="none" w:sz="0" w:space="0" w:color="auto"/>
                        <w:left w:val="none" w:sz="0" w:space="0" w:color="auto"/>
                        <w:bottom w:val="none" w:sz="0" w:space="0" w:color="auto"/>
                        <w:right w:val="none" w:sz="0" w:space="0" w:color="auto"/>
                      </w:divBdr>
                    </w:div>
                  </w:divsChild>
                </w:div>
                <w:div w:id="1372727971">
                  <w:marLeft w:val="0"/>
                  <w:marRight w:val="0"/>
                  <w:marTop w:val="0"/>
                  <w:marBottom w:val="0"/>
                  <w:divBdr>
                    <w:top w:val="none" w:sz="0" w:space="0" w:color="auto"/>
                    <w:left w:val="none" w:sz="0" w:space="0" w:color="auto"/>
                    <w:bottom w:val="none" w:sz="0" w:space="0" w:color="auto"/>
                    <w:right w:val="none" w:sz="0" w:space="0" w:color="auto"/>
                  </w:divBdr>
                  <w:divsChild>
                    <w:div w:id="788470728">
                      <w:marLeft w:val="0"/>
                      <w:marRight w:val="0"/>
                      <w:marTop w:val="0"/>
                      <w:marBottom w:val="0"/>
                      <w:divBdr>
                        <w:top w:val="none" w:sz="0" w:space="0" w:color="auto"/>
                        <w:left w:val="none" w:sz="0" w:space="0" w:color="auto"/>
                        <w:bottom w:val="none" w:sz="0" w:space="0" w:color="auto"/>
                        <w:right w:val="none" w:sz="0" w:space="0" w:color="auto"/>
                      </w:divBdr>
                    </w:div>
                  </w:divsChild>
                </w:div>
                <w:div w:id="1737824263">
                  <w:marLeft w:val="0"/>
                  <w:marRight w:val="0"/>
                  <w:marTop w:val="0"/>
                  <w:marBottom w:val="0"/>
                  <w:divBdr>
                    <w:top w:val="none" w:sz="0" w:space="0" w:color="auto"/>
                    <w:left w:val="none" w:sz="0" w:space="0" w:color="auto"/>
                    <w:bottom w:val="none" w:sz="0" w:space="0" w:color="auto"/>
                    <w:right w:val="none" w:sz="0" w:space="0" w:color="auto"/>
                  </w:divBdr>
                  <w:divsChild>
                    <w:div w:id="1286236050">
                      <w:marLeft w:val="0"/>
                      <w:marRight w:val="0"/>
                      <w:marTop w:val="0"/>
                      <w:marBottom w:val="0"/>
                      <w:divBdr>
                        <w:top w:val="none" w:sz="0" w:space="0" w:color="auto"/>
                        <w:left w:val="none" w:sz="0" w:space="0" w:color="auto"/>
                        <w:bottom w:val="none" w:sz="0" w:space="0" w:color="auto"/>
                        <w:right w:val="none" w:sz="0" w:space="0" w:color="auto"/>
                      </w:divBdr>
                    </w:div>
                  </w:divsChild>
                </w:div>
                <w:div w:id="1224222427">
                  <w:marLeft w:val="0"/>
                  <w:marRight w:val="0"/>
                  <w:marTop w:val="0"/>
                  <w:marBottom w:val="0"/>
                  <w:divBdr>
                    <w:top w:val="none" w:sz="0" w:space="0" w:color="auto"/>
                    <w:left w:val="none" w:sz="0" w:space="0" w:color="auto"/>
                    <w:bottom w:val="none" w:sz="0" w:space="0" w:color="auto"/>
                    <w:right w:val="none" w:sz="0" w:space="0" w:color="auto"/>
                  </w:divBdr>
                  <w:divsChild>
                    <w:div w:id="1429960147">
                      <w:marLeft w:val="0"/>
                      <w:marRight w:val="0"/>
                      <w:marTop w:val="0"/>
                      <w:marBottom w:val="0"/>
                      <w:divBdr>
                        <w:top w:val="none" w:sz="0" w:space="0" w:color="auto"/>
                        <w:left w:val="none" w:sz="0" w:space="0" w:color="auto"/>
                        <w:bottom w:val="none" w:sz="0" w:space="0" w:color="auto"/>
                        <w:right w:val="none" w:sz="0" w:space="0" w:color="auto"/>
                      </w:divBdr>
                    </w:div>
                    <w:div w:id="1151140817">
                      <w:marLeft w:val="0"/>
                      <w:marRight w:val="0"/>
                      <w:marTop w:val="0"/>
                      <w:marBottom w:val="0"/>
                      <w:divBdr>
                        <w:top w:val="none" w:sz="0" w:space="0" w:color="auto"/>
                        <w:left w:val="none" w:sz="0" w:space="0" w:color="auto"/>
                        <w:bottom w:val="none" w:sz="0" w:space="0" w:color="auto"/>
                        <w:right w:val="none" w:sz="0" w:space="0" w:color="auto"/>
                      </w:divBdr>
                    </w:div>
                    <w:div w:id="1944067586">
                      <w:marLeft w:val="0"/>
                      <w:marRight w:val="0"/>
                      <w:marTop w:val="0"/>
                      <w:marBottom w:val="0"/>
                      <w:divBdr>
                        <w:top w:val="none" w:sz="0" w:space="0" w:color="auto"/>
                        <w:left w:val="none" w:sz="0" w:space="0" w:color="auto"/>
                        <w:bottom w:val="none" w:sz="0" w:space="0" w:color="auto"/>
                        <w:right w:val="none" w:sz="0" w:space="0" w:color="auto"/>
                      </w:divBdr>
                    </w:div>
                  </w:divsChild>
                </w:div>
                <w:div w:id="1283347951">
                  <w:marLeft w:val="0"/>
                  <w:marRight w:val="0"/>
                  <w:marTop w:val="0"/>
                  <w:marBottom w:val="0"/>
                  <w:divBdr>
                    <w:top w:val="none" w:sz="0" w:space="0" w:color="auto"/>
                    <w:left w:val="none" w:sz="0" w:space="0" w:color="auto"/>
                    <w:bottom w:val="none" w:sz="0" w:space="0" w:color="auto"/>
                    <w:right w:val="none" w:sz="0" w:space="0" w:color="auto"/>
                  </w:divBdr>
                  <w:divsChild>
                    <w:div w:id="961806608">
                      <w:marLeft w:val="0"/>
                      <w:marRight w:val="0"/>
                      <w:marTop w:val="0"/>
                      <w:marBottom w:val="0"/>
                      <w:divBdr>
                        <w:top w:val="none" w:sz="0" w:space="0" w:color="auto"/>
                        <w:left w:val="none" w:sz="0" w:space="0" w:color="auto"/>
                        <w:bottom w:val="none" w:sz="0" w:space="0" w:color="auto"/>
                        <w:right w:val="none" w:sz="0" w:space="0" w:color="auto"/>
                      </w:divBdr>
                    </w:div>
                  </w:divsChild>
                </w:div>
                <w:div w:id="322127874">
                  <w:marLeft w:val="0"/>
                  <w:marRight w:val="0"/>
                  <w:marTop w:val="0"/>
                  <w:marBottom w:val="0"/>
                  <w:divBdr>
                    <w:top w:val="none" w:sz="0" w:space="0" w:color="auto"/>
                    <w:left w:val="none" w:sz="0" w:space="0" w:color="auto"/>
                    <w:bottom w:val="none" w:sz="0" w:space="0" w:color="auto"/>
                    <w:right w:val="none" w:sz="0" w:space="0" w:color="auto"/>
                  </w:divBdr>
                  <w:divsChild>
                    <w:div w:id="1363481458">
                      <w:marLeft w:val="0"/>
                      <w:marRight w:val="0"/>
                      <w:marTop w:val="0"/>
                      <w:marBottom w:val="0"/>
                      <w:divBdr>
                        <w:top w:val="none" w:sz="0" w:space="0" w:color="auto"/>
                        <w:left w:val="none" w:sz="0" w:space="0" w:color="auto"/>
                        <w:bottom w:val="none" w:sz="0" w:space="0" w:color="auto"/>
                        <w:right w:val="none" w:sz="0" w:space="0" w:color="auto"/>
                      </w:divBdr>
                    </w:div>
                  </w:divsChild>
                </w:div>
                <w:div w:id="1986035670">
                  <w:marLeft w:val="0"/>
                  <w:marRight w:val="0"/>
                  <w:marTop w:val="0"/>
                  <w:marBottom w:val="0"/>
                  <w:divBdr>
                    <w:top w:val="none" w:sz="0" w:space="0" w:color="auto"/>
                    <w:left w:val="none" w:sz="0" w:space="0" w:color="auto"/>
                    <w:bottom w:val="none" w:sz="0" w:space="0" w:color="auto"/>
                    <w:right w:val="none" w:sz="0" w:space="0" w:color="auto"/>
                  </w:divBdr>
                  <w:divsChild>
                    <w:div w:id="278030646">
                      <w:marLeft w:val="0"/>
                      <w:marRight w:val="0"/>
                      <w:marTop w:val="0"/>
                      <w:marBottom w:val="0"/>
                      <w:divBdr>
                        <w:top w:val="none" w:sz="0" w:space="0" w:color="auto"/>
                        <w:left w:val="none" w:sz="0" w:space="0" w:color="auto"/>
                        <w:bottom w:val="none" w:sz="0" w:space="0" w:color="auto"/>
                        <w:right w:val="none" w:sz="0" w:space="0" w:color="auto"/>
                      </w:divBdr>
                    </w:div>
                  </w:divsChild>
                </w:div>
                <w:div w:id="26949869">
                  <w:marLeft w:val="0"/>
                  <w:marRight w:val="0"/>
                  <w:marTop w:val="0"/>
                  <w:marBottom w:val="0"/>
                  <w:divBdr>
                    <w:top w:val="none" w:sz="0" w:space="0" w:color="auto"/>
                    <w:left w:val="none" w:sz="0" w:space="0" w:color="auto"/>
                    <w:bottom w:val="none" w:sz="0" w:space="0" w:color="auto"/>
                    <w:right w:val="none" w:sz="0" w:space="0" w:color="auto"/>
                  </w:divBdr>
                  <w:divsChild>
                    <w:div w:id="1707410295">
                      <w:marLeft w:val="0"/>
                      <w:marRight w:val="0"/>
                      <w:marTop w:val="0"/>
                      <w:marBottom w:val="0"/>
                      <w:divBdr>
                        <w:top w:val="none" w:sz="0" w:space="0" w:color="auto"/>
                        <w:left w:val="none" w:sz="0" w:space="0" w:color="auto"/>
                        <w:bottom w:val="none" w:sz="0" w:space="0" w:color="auto"/>
                        <w:right w:val="none" w:sz="0" w:space="0" w:color="auto"/>
                      </w:divBdr>
                    </w:div>
                    <w:div w:id="1736006776">
                      <w:marLeft w:val="0"/>
                      <w:marRight w:val="0"/>
                      <w:marTop w:val="0"/>
                      <w:marBottom w:val="0"/>
                      <w:divBdr>
                        <w:top w:val="none" w:sz="0" w:space="0" w:color="auto"/>
                        <w:left w:val="none" w:sz="0" w:space="0" w:color="auto"/>
                        <w:bottom w:val="none" w:sz="0" w:space="0" w:color="auto"/>
                        <w:right w:val="none" w:sz="0" w:space="0" w:color="auto"/>
                      </w:divBdr>
                    </w:div>
                    <w:div w:id="306589109">
                      <w:marLeft w:val="0"/>
                      <w:marRight w:val="0"/>
                      <w:marTop w:val="0"/>
                      <w:marBottom w:val="0"/>
                      <w:divBdr>
                        <w:top w:val="none" w:sz="0" w:space="0" w:color="auto"/>
                        <w:left w:val="none" w:sz="0" w:space="0" w:color="auto"/>
                        <w:bottom w:val="none" w:sz="0" w:space="0" w:color="auto"/>
                        <w:right w:val="none" w:sz="0" w:space="0" w:color="auto"/>
                      </w:divBdr>
                    </w:div>
                  </w:divsChild>
                </w:div>
                <w:div w:id="61951925">
                  <w:marLeft w:val="0"/>
                  <w:marRight w:val="0"/>
                  <w:marTop w:val="0"/>
                  <w:marBottom w:val="0"/>
                  <w:divBdr>
                    <w:top w:val="none" w:sz="0" w:space="0" w:color="auto"/>
                    <w:left w:val="none" w:sz="0" w:space="0" w:color="auto"/>
                    <w:bottom w:val="none" w:sz="0" w:space="0" w:color="auto"/>
                    <w:right w:val="none" w:sz="0" w:space="0" w:color="auto"/>
                  </w:divBdr>
                  <w:divsChild>
                    <w:div w:id="1744520614">
                      <w:marLeft w:val="0"/>
                      <w:marRight w:val="0"/>
                      <w:marTop w:val="0"/>
                      <w:marBottom w:val="0"/>
                      <w:divBdr>
                        <w:top w:val="none" w:sz="0" w:space="0" w:color="auto"/>
                        <w:left w:val="none" w:sz="0" w:space="0" w:color="auto"/>
                        <w:bottom w:val="none" w:sz="0" w:space="0" w:color="auto"/>
                        <w:right w:val="none" w:sz="0" w:space="0" w:color="auto"/>
                      </w:divBdr>
                    </w:div>
                  </w:divsChild>
                </w:div>
                <w:div w:id="2078041944">
                  <w:marLeft w:val="0"/>
                  <w:marRight w:val="0"/>
                  <w:marTop w:val="0"/>
                  <w:marBottom w:val="0"/>
                  <w:divBdr>
                    <w:top w:val="none" w:sz="0" w:space="0" w:color="auto"/>
                    <w:left w:val="none" w:sz="0" w:space="0" w:color="auto"/>
                    <w:bottom w:val="none" w:sz="0" w:space="0" w:color="auto"/>
                    <w:right w:val="none" w:sz="0" w:space="0" w:color="auto"/>
                  </w:divBdr>
                  <w:divsChild>
                    <w:div w:id="61368774">
                      <w:marLeft w:val="0"/>
                      <w:marRight w:val="0"/>
                      <w:marTop w:val="0"/>
                      <w:marBottom w:val="0"/>
                      <w:divBdr>
                        <w:top w:val="none" w:sz="0" w:space="0" w:color="auto"/>
                        <w:left w:val="none" w:sz="0" w:space="0" w:color="auto"/>
                        <w:bottom w:val="none" w:sz="0" w:space="0" w:color="auto"/>
                        <w:right w:val="none" w:sz="0" w:space="0" w:color="auto"/>
                      </w:divBdr>
                    </w:div>
                  </w:divsChild>
                </w:div>
                <w:div w:id="1489862394">
                  <w:marLeft w:val="0"/>
                  <w:marRight w:val="0"/>
                  <w:marTop w:val="0"/>
                  <w:marBottom w:val="0"/>
                  <w:divBdr>
                    <w:top w:val="none" w:sz="0" w:space="0" w:color="auto"/>
                    <w:left w:val="none" w:sz="0" w:space="0" w:color="auto"/>
                    <w:bottom w:val="none" w:sz="0" w:space="0" w:color="auto"/>
                    <w:right w:val="none" w:sz="0" w:space="0" w:color="auto"/>
                  </w:divBdr>
                  <w:divsChild>
                    <w:div w:id="913050050">
                      <w:marLeft w:val="0"/>
                      <w:marRight w:val="0"/>
                      <w:marTop w:val="0"/>
                      <w:marBottom w:val="0"/>
                      <w:divBdr>
                        <w:top w:val="none" w:sz="0" w:space="0" w:color="auto"/>
                        <w:left w:val="none" w:sz="0" w:space="0" w:color="auto"/>
                        <w:bottom w:val="none" w:sz="0" w:space="0" w:color="auto"/>
                        <w:right w:val="none" w:sz="0" w:space="0" w:color="auto"/>
                      </w:divBdr>
                    </w:div>
                  </w:divsChild>
                </w:div>
                <w:div w:id="1192376918">
                  <w:marLeft w:val="0"/>
                  <w:marRight w:val="0"/>
                  <w:marTop w:val="0"/>
                  <w:marBottom w:val="0"/>
                  <w:divBdr>
                    <w:top w:val="none" w:sz="0" w:space="0" w:color="auto"/>
                    <w:left w:val="none" w:sz="0" w:space="0" w:color="auto"/>
                    <w:bottom w:val="none" w:sz="0" w:space="0" w:color="auto"/>
                    <w:right w:val="none" w:sz="0" w:space="0" w:color="auto"/>
                  </w:divBdr>
                  <w:divsChild>
                    <w:div w:id="1765762682">
                      <w:marLeft w:val="0"/>
                      <w:marRight w:val="0"/>
                      <w:marTop w:val="0"/>
                      <w:marBottom w:val="0"/>
                      <w:divBdr>
                        <w:top w:val="none" w:sz="0" w:space="0" w:color="auto"/>
                        <w:left w:val="none" w:sz="0" w:space="0" w:color="auto"/>
                        <w:bottom w:val="none" w:sz="0" w:space="0" w:color="auto"/>
                        <w:right w:val="none" w:sz="0" w:space="0" w:color="auto"/>
                      </w:divBdr>
                    </w:div>
                    <w:div w:id="61680208">
                      <w:marLeft w:val="0"/>
                      <w:marRight w:val="0"/>
                      <w:marTop w:val="0"/>
                      <w:marBottom w:val="0"/>
                      <w:divBdr>
                        <w:top w:val="none" w:sz="0" w:space="0" w:color="auto"/>
                        <w:left w:val="none" w:sz="0" w:space="0" w:color="auto"/>
                        <w:bottom w:val="none" w:sz="0" w:space="0" w:color="auto"/>
                        <w:right w:val="none" w:sz="0" w:space="0" w:color="auto"/>
                      </w:divBdr>
                    </w:div>
                    <w:div w:id="1325359463">
                      <w:marLeft w:val="0"/>
                      <w:marRight w:val="0"/>
                      <w:marTop w:val="0"/>
                      <w:marBottom w:val="0"/>
                      <w:divBdr>
                        <w:top w:val="none" w:sz="0" w:space="0" w:color="auto"/>
                        <w:left w:val="none" w:sz="0" w:space="0" w:color="auto"/>
                        <w:bottom w:val="none" w:sz="0" w:space="0" w:color="auto"/>
                        <w:right w:val="none" w:sz="0" w:space="0" w:color="auto"/>
                      </w:divBdr>
                    </w:div>
                    <w:div w:id="1568302980">
                      <w:marLeft w:val="0"/>
                      <w:marRight w:val="0"/>
                      <w:marTop w:val="0"/>
                      <w:marBottom w:val="0"/>
                      <w:divBdr>
                        <w:top w:val="none" w:sz="0" w:space="0" w:color="auto"/>
                        <w:left w:val="none" w:sz="0" w:space="0" w:color="auto"/>
                        <w:bottom w:val="none" w:sz="0" w:space="0" w:color="auto"/>
                        <w:right w:val="none" w:sz="0" w:space="0" w:color="auto"/>
                      </w:divBdr>
                    </w:div>
                  </w:divsChild>
                </w:div>
                <w:div w:id="1589541222">
                  <w:marLeft w:val="0"/>
                  <w:marRight w:val="0"/>
                  <w:marTop w:val="0"/>
                  <w:marBottom w:val="0"/>
                  <w:divBdr>
                    <w:top w:val="none" w:sz="0" w:space="0" w:color="auto"/>
                    <w:left w:val="none" w:sz="0" w:space="0" w:color="auto"/>
                    <w:bottom w:val="none" w:sz="0" w:space="0" w:color="auto"/>
                    <w:right w:val="none" w:sz="0" w:space="0" w:color="auto"/>
                  </w:divBdr>
                  <w:divsChild>
                    <w:div w:id="23213923">
                      <w:marLeft w:val="0"/>
                      <w:marRight w:val="0"/>
                      <w:marTop w:val="0"/>
                      <w:marBottom w:val="0"/>
                      <w:divBdr>
                        <w:top w:val="none" w:sz="0" w:space="0" w:color="auto"/>
                        <w:left w:val="none" w:sz="0" w:space="0" w:color="auto"/>
                        <w:bottom w:val="none" w:sz="0" w:space="0" w:color="auto"/>
                        <w:right w:val="none" w:sz="0" w:space="0" w:color="auto"/>
                      </w:divBdr>
                    </w:div>
                  </w:divsChild>
                </w:div>
                <w:div w:id="1529022756">
                  <w:marLeft w:val="0"/>
                  <w:marRight w:val="0"/>
                  <w:marTop w:val="0"/>
                  <w:marBottom w:val="0"/>
                  <w:divBdr>
                    <w:top w:val="none" w:sz="0" w:space="0" w:color="auto"/>
                    <w:left w:val="none" w:sz="0" w:space="0" w:color="auto"/>
                    <w:bottom w:val="none" w:sz="0" w:space="0" w:color="auto"/>
                    <w:right w:val="none" w:sz="0" w:space="0" w:color="auto"/>
                  </w:divBdr>
                  <w:divsChild>
                    <w:div w:id="1569346191">
                      <w:marLeft w:val="0"/>
                      <w:marRight w:val="0"/>
                      <w:marTop w:val="0"/>
                      <w:marBottom w:val="0"/>
                      <w:divBdr>
                        <w:top w:val="none" w:sz="0" w:space="0" w:color="auto"/>
                        <w:left w:val="none" w:sz="0" w:space="0" w:color="auto"/>
                        <w:bottom w:val="none" w:sz="0" w:space="0" w:color="auto"/>
                        <w:right w:val="none" w:sz="0" w:space="0" w:color="auto"/>
                      </w:divBdr>
                    </w:div>
                  </w:divsChild>
                </w:div>
                <w:div w:id="1172835207">
                  <w:marLeft w:val="0"/>
                  <w:marRight w:val="0"/>
                  <w:marTop w:val="0"/>
                  <w:marBottom w:val="0"/>
                  <w:divBdr>
                    <w:top w:val="none" w:sz="0" w:space="0" w:color="auto"/>
                    <w:left w:val="none" w:sz="0" w:space="0" w:color="auto"/>
                    <w:bottom w:val="none" w:sz="0" w:space="0" w:color="auto"/>
                    <w:right w:val="none" w:sz="0" w:space="0" w:color="auto"/>
                  </w:divBdr>
                  <w:divsChild>
                    <w:div w:id="859245307">
                      <w:marLeft w:val="0"/>
                      <w:marRight w:val="0"/>
                      <w:marTop w:val="0"/>
                      <w:marBottom w:val="0"/>
                      <w:divBdr>
                        <w:top w:val="none" w:sz="0" w:space="0" w:color="auto"/>
                        <w:left w:val="none" w:sz="0" w:space="0" w:color="auto"/>
                        <w:bottom w:val="none" w:sz="0" w:space="0" w:color="auto"/>
                        <w:right w:val="none" w:sz="0" w:space="0" w:color="auto"/>
                      </w:divBdr>
                    </w:div>
                  </w:divsChild>
                </w:div>
                <w:div w:id="1178538544">
                  <w:marLeft w:val="0"/>
                  <w:marRight w:val="0"/>
                  <w:marTop w:val="0"/>
                  <w:marBottom w:val="0"/>
                  <w:divBdr>
                    <w:top w:val="none" w:sz="0" w:space="0" w:color="auto"/>
                    <w:left w:val="none" w:sz="0" w:space="0" w:color="auto"/>
                    <w:bottom w:val="none" w:sz="0" w:space="0" w:color="auto"/>
                    <w:right w:val="none" w:sz="0" w:space="0" w:color="auto"/>
                  </w:divBdr>
                  <w:divsChild>
                    <w:div w:id="1166287215">
                      <w:marLeft w:val="0"/>
                      <w:marRight w:val="0"/>
                      <w:marTop w:val="0"/>
                      <w:marBottom w:val="0"/>
                      <w:divBdr>
                        <w:top w:val="none" w:sz="0" w:space="0" w:color="auto"/>
                        <w:left w:val="none" w:sz="0" w:space="0" w:color="auto"/>
                        <w:bottom w:val="none" w:sz="0" w:space="0" w:color="auto"/>
                        <w:right w:val="none" w:sz="0" w:space="0" w:color="auto"/>
                      </w:divBdr>
                    </w:div>
                    <w:div w:id="794832622">
                      <w:marLeft w:val="0"/>
                      <w:marRight w:val="0"/>
                      <w:marTop w:val="0"/>
                      <w:marBottom w:val="0"/>
                      <w:divBdr>
                        <w:top w:val="none" w:sz="0" w:space="0" w:color="auto"/>
                        <w:left w:val="none" w:sz="0" w:space="0" w:color="auto"/>
                        <w:bottom w:val="none" w:sz="0" w:space="0" w:color="auto"/>
                        <w:right w:val="none" w:sz="0" w:space="0" w:color="auto"/>
                      </w:divBdr>
                    </w:div>
                    <w:div w:id="111826341">
                      <w:marLeft w:val="0"/>
                      <w:marRight w:val="0"/>
                      <w:marTop w:val="0"/>
                      <w:marBottom w:val="0"/>
                      <w:divBdr>
                        <w:top w:val="none" w:sz="0" w:space="0" w:color="auto"/>
                        <w:left w:val="none" w:sz="0" w:space="0" w:color="auto"/>
                        <w:bottom w:val="none" w:sz="0" w:space="0" w:color="auto"/>
                        <w:right w:val="none" w:sz="0" w:space="0" w:color="auto"/>
                      </w:divBdr>
                    </w:div>
                  </w:divsChild>
                </w:div>
                <w:div w:id="199899328">
                  <w:marLeft w:val="0"/>
                  <w:marRight w:val="0"/>
                  <w:marTop w:val="0"/>
                  <w:marBottom w:val="0"/>
                  <w:divBdr>
                    <w:top w:val="none" w:sz="0" w:space="0" w:color="auto"/>
                    <w:left w:val="none" w:sz="0" w:space="0" w:color="auto"/>
                    <w:bottom w:val="none" w:sz="0" w:space="0" w:color="auto"/>
                    <w:right w:val="none" w:sz="0" w:space="0" w:color="auto"/>
                  </w:divBdr>
                  <w:divsChild>
                    <w:div w:id="1309630708">
                      <w:marLeft w:val="0"/>
                      <w:marRight w:val="0"/>
                      <w:marTop w:val="0"/>
                      <w:marBottom w:val="0"/>
                      <w:divBdr>
                        <w:top w:val="none" w:sz="0" w:space="0" w:color="auto"/>
                        <w:left w:val="none" w:sz="0" w:space="0" w:color="auto"/>
                        <w:bottom w:val="none" w:sz="0" w:space="0" w:color="auto"/>
                        <w:right w:val="none" w:sz="0" w:space="0" w:color="auto"/>
                      </w:divBdr>
                    </w:div>
                  </w:divsChild>
                </w:div>
                <w:div w:id="910582473">
                  <w:marLeft w:val="0"/>
                  <w:marRight w:val="0"/>
                  <w:marTop w:val="0"/>
                  <w:marBottom w:val="0"/>
                  <w:divBdr>
                    <w:top w:val="none" w:sz="0" w:space="0" w:color="auto"/>
                    <w:left w:val="none" w:sz="0" w:space="0" w:color="auto"/>
                    <w:bottom w:val="none" w:sz="0" w:space="0" w:color="auto"/>
                    <w:right w:val="none" w:sz="0" w:space="0" w:color="auto"/>
                  </w:divBdr>
                  <w:divsChild>
                    <w:div w:id="1107432701">
                      <w:marLeft w:val="0"/>
                      <w:marRight w:val="0"/>
                      <w:marTop w:val="0"/>
                      <w:marBottom w:val="0"/>
                      <w:divBdr>
                        <w:top w:val="none" w:sz="0" w:space="0" w:color="auto"/>
                        <w:left w:val="none" w:sz="0" w:space="0" w:color="auto"/>
                        <w:bottom w:val="none" w:sz="0" w:space="0" w:color="auto"/>
                        <w:right w:val="none" w:sz="0" w:space="0" w:color="auto"/>
                      </w:divBdr>
                    </w:div>
                  </w:divsChild>
                </w:div>
                <w:div w:id="1307592073">
                  <w:marLeft w:val="0"/>
                  <w:marRight w:val="0"/>
                  <w:marTop w:val="0"/>
                  <w:marBottom w:val="0"/>
                  <w:divBdr>
                    <w:top w:val="none" w:sz="0" w:space="0" w:color="auto"/>
                    <w:left w:val="none" w:sz="0" w:space="0" w:color="auto"/>
                    <w:bottom w:val="none" w:sz="0" w:space="0" w:color="auto"/>
                    <w:right w:val="none" w:sz="0" w:space="0" w:color="auto"/>
                  </w:divBdr>
                  <w:divsChild>
                    <w:div w:id="1350059211">
                      <w:marLeft w:val="0"/>
                      <w:marRight w:val="0"/>
                      <w:marTop w:val="0"/>
                      <w:marBottom w:val="0"/>
                      <w:divBdr>
                        <w:top w:val="none" w:sz="0" w:space="0" w:color="auto"/>
                        <w:left w:val="none" w:sz="0" w:space="0" w:color="auto"/>
                        <w:bottom w:val="none" w:sz="0" w:space="0" w:color="auto"/>
                        <w:right w:val="none" w:sz="0" w:space="0" w:color="auto"/>
                      </w:divBdr>
                    </w:div>
                  </w:divsChild>
                </w:div>
                <w:div w:id="2077170177">
                  <w:marLeft w:val="0"/>
                  <w:marRight w:val="0"/>
                  <w:marTop w:val="0"/>
                  <w:marBottom w:val="0"/>
                  <w:divBdr>
                    <w:top w:val="none" w:sz="0" w:space="0" w:color="auto"/>
                    <w:left w:val="none" w:sz="0" w:space="0" w:color="auto"/>
                    <w:bottom w:val="none" w:sz="0" w:space="0" w:color="auto"/>
                    <w:right w:val="none" w:sz="0" w:space="0" w:color="auto"/>
                  </w:divBdr>
                  <w:divsChild>
                    <w:div w:id="1022515437">
                      <w:marLeft w:val="0"/>
                      <w:marRight w:val="0"/>
                      <w:marTop w:val="0"/>
                      <w:marBottom w:val="0"/>
                      <w:divBdr>
                        <w:top w:val="none" w:sz="0" w:space="0" w:color="auto"/>
                        <w:left w:val="none" w:sz="0" w:space="0" w:color="auto"/>
                        <w:bottom w:val="none" w:sz="0" w:space="0" w:color="auto"/>
                        <w:right w:val="none" w:sz="0" w:space="0" w:color="auto"/>
                      </w:divBdr>
                    </w:div>
                    <w:div w:id="385110625">
                      <w:marLeft w:val="0"/>
                      <w:marRight w:val="0"/>
                      <w:marTop w:val="0"/>
                      <w:marBottom w:val="0"/>
                      <w:divBdr>
                        <w:top w:val="none" w:sz="0" w:space="0" w:color="auto"/>
                        <w:left w:val="none" w:sz="0" w:space="0" w:color="auto"/>
                        <w:bottom w:val="none" w:sz="0" w:space="0" w:color="auto"/>
                        <w:right w:val="none" w:sz="0" w:space="0" w:color="auto"/>
                      </w:divBdr>
                    </w:div>
                    <w:div w:id="1983538466">
                      <w:marLeft w:val="0"/>
                      <w:marRight w:val="0"/>
                      <w:marTop w:val="0"/>
                      <w:marBottom w:val="0"/>
                      <w:divBdr>
                        <w:top w:val="none" w:sz="0" w:space="0" w:color="auto"/>
                        <w:left w:val="none" w:sz="0" w:space="0" w:color="auto"/>
                        <w:bottom w:val="none" w:sz="0" w:space="0" w:color="auto"/>
                        <w:right w:val="none" w:sz="0" w:space="0" w:color="auto"/>
                      </w:divBdr>
                    </w:div>
                  </w:divsChild>
                </w:div>
                <w:div w:id="1901211968">
                  <w:marLeft w:val="0"/>
                  <w:marRight w:val="0"/>
                  <w:marTop w:val="0"/>
                  <w:marBottom w:val="0"/>
                  <w:divBdr>
                    <w:top w:val="none" w:sz="0" w:space="0" w:color="auto"/>
                    <w:left w:val="none" w:sz="0" w:space="0" w:color="auto"/>
                    <w:bottom w:val="none" w:sz="0" w:space="0" w:color="auto"/>
                    <w:right w:val="none" w:sz="0" w:space="0" w:color="auto"/>
                  </w:divBdr>
                  <w:divsChild>
                    <w:div w:id="595945942">
                      <w:marLeft w:val="0"/>
                      <w:marRight w:val="0"/>
                      <w:marTop w:val="0"/>
                      <w:marBottom w:val="0"/>
                      <w:divBdr>
                        <w:top w:val="none" w:sz="0" w:space="0" w:color="auto"/>
                        <w:left w:val="none" w:sz="0" w:space="0" w:color="auto"/>
                        <w:bottom w:val="none" w:sz="0" w:space="0" w:color="auto"/>
                        <w:right w:val="none" w:sz="0" w:space="0" w:color="auto"/>
                      </w:divBdr>
                    </w:div>
                  </w:divsChild>
                </w:div>
                <w:div w:id="1821774499">
                  <w:marLeft w:val="0"/>
                  <w:marRight w:val="0"/>
                  <w:marTop w:val="0"/>
                  <w:marBottom w:val="0"/>
                  <w:divBdr>
                    <w:top w:val="none" w:sz="0" w:space="0" w:color="auto"/>
                    <w:left w:val="none" w:sz="0" w:space="0" w:color="auto"/>
                    <w:bottom w:val="none" w:sz="0" w:space="0" w:color="auto"/>
                    <w:right w:val="none" w:sz="0" w:space="0" w:color="auto"/>
                  </w:divBdr>
                  <w:divsChild>
                    <w:div w:id="2136831701">
                      <w:marLeft w:val="0"/>
                      <w:marRight w:val="0"/>
                      <w:marTop w:val="0"/>
                      <w:marBottom w:val="0"/>
                      <w:divBdr>
                        <w:top w:val="none" w:sz="0" w:space="0" w:color="auto"/>
                        <w:left w:val="none" w:sz="0" w:space="0" w:color="auto"/>
                        <w:bottom w:val="none" w:sz="0" w:space="0" w:color="auto"/>
                        <w:right w:val="none" w:sz="0" w:space="0" w:color="auto"/>
                      </w:divBdr>
                    </w:div>
                  </w:divsChild>
                </w:div>
                <w:div w:id="1981766722">
                  <w:marLeft w:val="0"/>
                  <w:marRight w:val="0"/>
                  <w:marTop w:val="0"/>
                  <w:marBottom w:val="0"/>
                  <w:divBdr>
                    <w:top w:val="none" w:sz="0" w:space="0" w:color="auto"/>
                    <w:left w:val="none" w:sz="0" w:space="0" w:color="auto"/>
                    <w:bottom w:val="none" w:sz="0" w:space="0" w:color="auto"/>
                    <w:right w:val="none" w:sz="0" w:space="0" w:color="auto"/>
                  </w:divBdr>
                  <w:divsChild>
                    <w:div w:id="181821566">
                      <w:marLeft w:val="0"/>
                      <w:marRight w:val="0"/>
                      <w:marTop w:val="0"/>
                      <w:marBottom w:val="0"/>
                      <w:divBdr>
                        <w:top w:val="none" w:sz="0" w:space="0" w:color="auto"/>
                        <w:left w:val="none" w:sz="0" w:space="0" w:color="auto"/>
                        <w:bottom w:val="none" w:sz="0" w:space="0" w:color="auto"/>
                        <w:right w:val="none" w:sz="0" w:space="0" w:color="auto"/>
                      </w:divBdr>
                    </w:div>
                  </w:divsChild>
                </w:div>
                <w:div w:id="453250851">
                  <w:marLeft w:val="0"/>
                  <w:marRight w:val="0"/>
                  <w:marTop w:val="0"/>
                  <w:marBottom w:val="0"/>
                  <w:divBdr>
                    <w:top w:val="none" w:sz="0" w:space="0" w:color="auto"/>
                    <w:left w:val="none" w:sz="0" w:space="0" w:color="auto"/>
                    <w:bottom w:val="none" w:sz="0" w:space="0" w:color="auto"/>
                    <w:right w:val="none" w:sz="0" w:space="0" w:color="auto"/>
                  </w:divBdr>
                  <w:divsChild>
                    <w:div w:id="1815022695">
                      <w:marLeft w:val="0"/>
                      <w:marRight w:val="0"/>
                      <w:marTop w:val="0"/>
                      <w:marBottom w:val="0"/>
                      <w:divBdr>
                        <w:top w:val="none" w:sz="0" w:space="0" w:color="auto"/>
                        <w:left w:val="none" w:sz="0" w:space="0" w:color="auto"/>
                        <w:bottom w:val="none" w:sz="0" w:space="0" w:color="auto"/>
                        <w:right w:val="none" w:sz="0" w:space="0" w:color="auto"/>
                      </w:divBdr>
                    </w:div>
                    <w:div w:id="1279028554">
                      <w:marLeft w:val="0"/>
                      <w:marRight w:val="0"/>
                      <w:marTop w:val="0"/>
                      <w:marBottom w:val="0"/>
                      <w:divBdr>
                        <w:top w:val="none" w:sz="0" w:space="0" w:color="auto"/>
                        <w:left w:val="none" w:sz="0" w:space="0" w:color="auto"/>
                        <w:bottom w:val="none" w:sz="0" w:space="0" w:color="auto"/>
                        <w:right w:val="none" w:sz="0" w:space="0" w:color="auto"/>
                      </w:divBdr>
                    </w:div>
                    <w:div w:id="1165852051">
                      <w:marLeft w:val="0"/>
                      <w:marRight w:val="0"/>
                      <w:marTop w:val="0"/>
                      <w:marBottom w:val="0"/>
                      <w:divBdr>
                        <w:top w:val="none" w:sz="0" w:space="0" w:color="auto"/>
                        <w:left w:val="none" w:sz="0" w:space="0" w:color="auto"/>
                        <w:bottom w:val="none" w:sz="0" w:space="0" w:color="auto"/>
                        <w:right w:val="none" w:sz="0" w:space="0" w:color="auto"/>
                      </w:divBdr>
                    </w:div>
                  </w:divsChild>
                </w:div>
                <w:div w:id="2021158482">
                  <w:marLeft w:val="0"/>
                  <w:marRight w:val="0"/>
                  <w:marTop w:val="0"/>
                  <w:marBottom w:val="0"/>
                  <w:divBdr>
                    <w:top w:val="none" w:sz="0" w:space="0" w:color="auto"/>
                    <w:left w:val="none" w:sz="0" w:space="0" w:color="auto"/>
                    <w:bottom w:val="none" w:sz="0" w:space="0" w:color="auto"/>
                    <w:right w:val="none" w:sz="0" w:space="0" w:color="auto"/>
                  </w:divBdr>
                  <w:divsChild>
                    <w:div w:id="1029917574">
                      <w:marLeft w:val="0"/>
                      <w:marRight w:val="0"/>
                      <w:marTop w:val="0"/>
                      <w:marBottom w:val="0"/>
                      <w:divBdr>
                        <w:top w:val="none" w:sz="0" w:space="0" w:color="auto"/>
                        <w:left w:val="none" w:sz="0" w:space="0" w:color="auto"/>
                        <w:bottom w:val="none" w:sz="0" w:space="0" w:color="auto"/>
                        <w:right w:val="none" w:sz="0" w:space="0" w:color="auto"/>
                      </w:divBdr>
                    </w:div>
                  </w:divsChild>
                </w:div>
                <w:div w:id="330527398">
                  <w:marLeft w:val="0"/>
                  <w:marRight w:val="0"/>
                  <w:marTop w:val="0"/>
                  <w:marBottom w:val="0"/>
                  <w:divBdr>
                    <w:top w:val="none" w:sz="0" w:space="0" w:color="auto"/>
                    <w:left w:val="none" w:sz="0" w:space="0" w:color="auto"/>
                    <w:bottom w:val="none" w:sz="0" w:space="0" w:color="auto"/>
                    <w:right w:val="none" w:sz="0" w:space="0" w:color="auto"/>
                  </w:divBdr>
                  <w:divsChild>
                    <w:div w:id="1663464787">
                      <w:marLeft w:val="0"/>
                      <w:marRight w:val="0"/>
                      <w:marTop w:val="0"/>
                      <w:marBottom w:val="0"/>
                      <w:divBdr>
                        <w:top w:val="none" w:sz="0" w:space="0" w:color="auto"/>
                        <w:left w:val="none" w:sz="0" w:space="0" w:color="auto"/>
                        <w:bottom w:val="none" w:sz="0" w:space="0" w:color="auto"/>
                        <w:right w:val="none" w:sz="0" w:space="0" w:color="auto"/>
                      </w:divBdr>
                    </w:div>
                  </w:divsChild>
                </w:div>
                <w:div w:id="1011418441">
                  <w:marLeft w:val="0"/>
                  <w:marRight w:val="0"/>
                  <w:marTop w:val="0"/>
                  <w:marBottom w:val="0"/>
                  <w:divBdr>
                    <w:top w:val="none" w:sz="0" w:space="0" w:color="auto"/>
                    <w:left w:val="none" w:sz="0" w:space="0" w:color="auto"/>
                    <w:bottom w:val="none" w:sz="0" w:space="0" w:color="auto"/>
                    <w:right w:val="none" w:sz="0" w:space="0" w:color="auto"/>
                  </w:divBdr>
                  <w:divsChild>
                    <w:div w:id="18439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4149">
          <w:marLeft w:val="0"/>
          <w:marRight w:val="0"/>
          <w:marTop w:val="0"/>
          <w:marBottom w:val="0"/>
          <w:divBdr>
            <w:top w:val="none" w:sz="0" w:space="0" w:color="auto"/>
            <w:left w:val="none" w:sz="0" w:space="0" w:color="auto"/>
            <w:bottom w:val="none" w:sz="0" w:space="0" w:color="auto"/>
            <w:right w:val="none" w:sz="0" w:space="0" w:color="auto"/>
          </w:divBdr>
        </w:div>
        <w:div w:id="1399815721">
          <w:marLeft w:val="0"/>
          <w:marRight w:val="0"/>
          <w:marTop w:val="0"/>
          <w:marBottom w:val="0"/>
          <w:divBdr>
            <w:top w:val="none" w:sz="0" w:space="0" w:color="auto"/>
            <w:left w:val="none" w:sz="0" w:space="0" w:color="auto"/>
            <w:bottom w:val="none" w:sz="0" w:space="0" w:color="auto"/>
            <w:right w:val="none" w:sz="0" w:space="0" w:color="auto"/>
          </w:divBdr>
        </w:div>
        <w:div w:id="171071499">
          <w:marLeft w:val="0"/>
          <w:marRight w:val="0"/>
          <w:marTop w:val="0"/>
          <w:marBottom w:val="0"/>
          <w:divBdr>
            <w:top w:val="none" w:sz="0" w:space="0" w:color="auto"/>
            <w:left w:val="none" w:sz="0" w:space="0" w:color="auto"/>
            <w:bottom w:val="none" w:sz="0" w:space="0" w:color="auto"/>
            <w:right w:val="none" w:sz="0" w:space="0" w:color="auto"/>
          </w:divBdr>
        </w:div>
        <w:div w:id="367075022">
          <w:marLeft w:val="0"/>
          <w:marRight w:val="0"/>
          <w:marTop w:val="0"/>
          <w:marBottom w:val="0"/>
          <w:divBdr>
            <w:top w:val="none" w:sz="0" w:space="0" w:color="auto"/>
            <w:left w:val="none" w:sz="0" w:space="0" w:color="auto"/>
            <w:bottom w:val="none" w:sz="0" w:space="0" w:color="auto"/>
            <w:right w:val="none" w:sz="0" w:space="0" w:color="auto"/>
          </w:divBdr>
          <w:divsChild>
            <w:div w:id="2053532667">
              <w:marLeft w:val="-75"/>
              <w:marRight w:val="0"/>
              <w:marTop w:val="30"/>
              <w:marBottom w:val="30"/>
              <w:divBdr>
                <w:top w:val="none" w:sz="0" w:space="0" w:color="auto"/>
                <w:left w:val="none" w:sz="0" w:space="0" w:color="auto"/>
                <w:bottom w:val="none" w:sz="0" w:space="0" w:color="auto"/>
                <w:right w:val="none" w:sz="0" w:space="0" w:color="auto"/>
              </w:divBdr>
              <w:divsChild>
                <w:div w:id="673411484">
                  <w:marLeft w:val="0"/>
                  <w:marRight w:val="0"/>
                  <w:marTop w:val="0"/>
                  <w:marBottom w:val="0"/>
                  <w:divBdr>
                    <w:top w:val="none" w:sz="0" w:space="0" w:color="auto"/>
                    <w:left w:val="none" w:sz="0" w:space="0" w:color="auto"/>
                    <w:bottom w:val="none" w:sz="0" w:space="0" w:color="auto"/>
                    <w:right w:val="none" w:sz="0" w:space="0" w:color="auto"/>
                  </w:divBdr>
                  <w:divsChild>
                    <w:div w:id="1075007194">
                      <w:marLeft w:val="0"/>
                      <w:marRight w:val="0"/>
                      <w:marTop w:val="0"/>
                      <w:marBottom w:val="0"/>
                      <w:divBdr>
                        <w:top w:val="none" w:sz="0" w:space="0" w:color="auto"/>
                        <w:left w:val="none" w:sz="0" w:space="0" w:color="auto"/>
                        <w:bottom w:val="none" w:sz="0" w:space="0" w:color="auto"/>
                        <w:right w:val="none" w:sz="0" w:space="0" w:color="auto"/>
                      </w:divBdr>
                    </w:div>
                    <w:div w:id="610361422">
                      <w:marLeft w:val="0"/>
                      <w:marRight w:val="0"/>
                      <w:marTop w:val="0"/>
                      <w:marBottom w:val="0"/>
                      <w:divBdr>
                        <w:top w:val="none" w:sz="0" w:space="0" w:color="auto"/>
                        <w:left w:val="none" w:sz="0" w:space="0" w:color="auto"/>
                        <w:bottom w:val="none" w:sz="0" w:space="0" w:color="auto"/>
                        <w:right w:val="none" w:sz="0" w:space="0" w:color="auto"/>
                      </w:divBdr>
                    </w:div>
                  </w:divsChild>
                </w:div>
                <w:div w:id="787167646">
                  <w:marLeft w:val="0"/>
                  <w:marRight w:val="0"/>
                  <w:marTop w:val="0"/>
                  <w:marBottom w:val="0"/>
                  <w:divBdr>
                    <w:top w:val="none" w:sz="0" w:space="0" w:color="auto"/>
                    <w:left w:val="none" w:sz="0" w:space="0" w:color="auto"/>
                    <w:bottom w:val="none" w:sz="0" w:space="0" w:color="auto"/>
                    <w:right w:val="none" w:sz="0" w:space="0" w:color="auto"/>
                  </w:divBdr>
                  <w:divsChild>
                    <w:div w:id="341400046">
                      <w:marLeft w:val="0"/>
                      <w:marRight w:val="0"/>
                      <w:marTop w:val="0"/>
                      <w:marBottom w:val="0"/>
                      <w:divBdr>
                        <w:top w:val="none" w:sz="0" w:space="0" w:color="auto"/>
                        <w:left w:val="none" w:sz="0" w:space="0" w:color="auto"/>
                        <w:bottom w:val="none" w:sz="0" w:space="0" w:color="auto"/>
                        <w:right w:val="none" w:sz="0" w:space="0" w:color="auto"/>
                      </w:divBdr>
                    </w:div>
                  </w:divsChild>
                </w:div>
                <w:div w:id="2055544553">
                  <w:marLeft w:val="0"/>
                  <w:marRight w:val="0"/>
                  <w:marTop w:val="0"/>
                  <w:marBottom w:val="0"/>
                  <w:divBdr>
                    <w:top w:val="none" w:sz="0" w:space="0" w:color="auto"/>
                    <w:left w:val="none" w:sz="0" w:space="0" w:color="auto"/>
                    <w:bottom w:val="none" w:sz="0" w:space="0" w:color="auto"/>
                    <w:right w:val="none" w:sz="0" w:space="0" w:color="auto"/>
                  </w:divBdr>
                  <w:divsChild>
                    <w:div w:id="230697690">
                      <w:marLeft w:val="0"/>
                      <w:marRight w:val="0"/>
                      <w:marTop w:val="0"/>
                      <w:marBottom w:val="0"/>
                      <w:divBdr>
                        <w:top w:val="none" w:sz="0" w:space="0" w:color="auto"/>
                        <w:left w:val="none" w:sz="0" w:space="0" w:color="auto"/>
                        <w:bottom w:val="none" w:sz="0" w:space="0" w:color="auto"/>
                        <w:right w:val="none" w:sz="0" w:space="0" w:color="auto"/>
                      </w:divBdr>
                    </w:div>
                  </w:divsChild>
                </w:div>
                <w:div w:id="1141070105">
                  <w:marLeft w:val="0"/>
                  <w:marRight w:val="0"/>
                  <w:marTop w:val="0"/>
                  <w:marBottom w:val="0"/>
                  <w:divBdr>
                    <w:top w:val="none" w:sz="0" w:space="0" w:color="auto"/>
                    <w:left w:val="none" w:sz="0" w:space="0" w:color="auto"/>
                    <w:bottom w:val="none" w:sz="0" w:space="0" w:color="auto"/>
                    <w:right w:val="none" w:sz="0" w:space="0" w:color="auto"/>
                  </w:divBdr>
                  <w:divsChild>
                    <w:div w:id="1708094827">
                      <w:marLeft w:val="0"/>
                      <w:marRight w:val="0"/>
                      <w:marTop w:val="0"/>
                      <w:marBottom w:val="0"/>
                      <w:divBdr>
                        <w:top w:val="none" w:sz="0" w:space="0" w:color="auto"/>
                        <w:left w:val="none" w:sz="0" w:space="0" w:color="auto"/>
                        <w:bottom w:val="none" w:sz="0" w:space="0" w:color="auto"/>
                        <w:right w:val="none" w:sz="0" w:space="0" w:color="auto"/>
                      </w:divBdr>
                    </w:div>
                  </w:divsChild>
                </w:div>
                <w:div w:id="155075405">
                  <w:marLeft w:val="0"/>
                  <w:marRight w:val="0"/>
                  <w:marTop w:val="0"/>
                  <w:marBottom w:val="0"/>
                  <w:divBdr>
                    <w:top w:val="none" w:sz="0" w:space="0" w:color="auto"/>
                    <w:left w:val="none" w:sz="0" w:space="0" w:color="auto"/>
                    <w:bottom w:val="none" w:sz="0" w:space="0" w:color="auto"/>
                    <w:right w:val="none" w:sz="0" w:space="0" w:color="auto"/>
                  </w:divBdr>
                  <w:divsChild>
                    <w:div w:id="715784836">
                      <w:marLeft w:val="0"/>
                      <w:marRight w:val="0"/>
                      <w:marTop w:val="0"/>
                      <w:marBottom w:val="0"/>
                      <w:divBdr>
                        <w:top w:val="none" w:sz="0" w:space="0" w:color="auto"/>
                        <w:left w:val="none" w:sz="0" w:space="0" w:color="auto"/>
                        <w:bottom w:val="none" w:sz="0" w:space="0" w:color="auto"/>
                        <w:right w:val="none" w:sz="0" w:space="0" w:color="auto"/>
                      </w:divBdr>
                    </w:div>
                    <w:div w:id="364405552">
                      <w:marLeft w:val="0"/>
                      <w:marRight w:val="0"/>
                      <w:marTop w:val="0"/>
                      <w:marBottom w:val="0"/>
                      <w:divBdr>
                        <w:top w:val="none" w:sz="0" w:space="0" w:color="auto"/>
                        <w:left w:val="none" w:sz="0" w:space="0" w:color="auto"/>
                        <w:bottom w:val="none" w:sz="0" w:space="0" w:color="auto"/>
                        <w:right w:val="none" w:sz="0" w:space="0" w:color="auto"/>
                      </w:divBdr>
                    </w:div>
                    <w:div w:id="1168397598">
                      <w:marLeft w:val="0"/>
                      <w:marRight w:val="0"/>
                      <w:marTop w:val="0"/>
                      <w:marBottom w:val="0"/>
                      <w:divBdr>
                        <w:top w:val="none" w:sz="0" w:space="0" w:color="auto"/>
                        <w:left w:val="none" w:sz="0" w:space="0" w:color="auto"/>
                        <w:bottom w:val="none" w:sz="0" w:space="0" w:color="auto"/>
                        <w:right w:val="none" w:sz="0" w:space="0" w:color="auto"/>
                      </w:divBdr>
                    </w:div>
                  </w:divsChild>
                </w:div>
                <w:div w:id="953053194">
                  <w:marLeft w:val="0"/>
                  <w:marRight w:val="0"/>
                  <w:marTop w:val="0"/>
                  <w:marBottom w:val="0"/>
                  <w:divBdr>
                    <w:top w:val="none" w:sz="0" w:space="0" w:color="auto"/>
                    <w:left w:val="none" w:sz="0" w:space="0" w:color="auto"/>
                    <w:bottom w:val="none" w:sz="0" w:space="0" w:color="auto"/>
                    <w:right w:val="none" w:sz="0" w:space="0" w:color="auto"/>
                  </w:divBdr>
                  <w:divsChild>
                    <w:div w:id="1812743725">
                      <w:marLeft w:val="0"/>
                      <w:marRight w:val="0"/>
                      <w:marTop w:val="0"/>
                      <w:marBottom w:val="0"/>
                      <w:divBdr>
                        <w:top w:val="none" w:sz="0" w:space="0" w:color="auto"/>
                        <w:left w:val="none" w:sz="0" w:space="0" w:color="auto"/>
                        <w:bottom w:val="none" w:sz="0" w:space="0" w:color="auto"/>
                        <w:right w:val="none" w:sz="0" w:space="0" w:color="auto"/>
                      </w:divBdr>
                    </w:div>
                  </w:divsChild>
                </w:div>
                <w:div w:id="1571696069">
                  <w:marLeft w:val="0"/>
                  <w:marRight w:val="0"/>
                  <w:marTop w:val="0"/>
                  <w:marBottom w:val="0"/>
                  <w:divBdr>
                    <w:top w:val="none" w:sz="0" w:space="0" w:color="auto"/>
                    <w:left w:val="none" w:sz="0" w:space="0" w:color="auto"/>
                    <w:bottom w:val="none" w:sz="0" w:space="0" w:color="auto"/>
                    <w:right w:val="none" w:sz="0" w:space="0" w:color="auto"/>
                  </w:divBdr>
                  <w:divsChild>
                    <w:div w:id="1622805514">
                      <w:marLeft w:val="0"/>
                      <w:marRight w:val="0"/>
                      <w:marTop w:val="0"/>
                      <w:marBottom w:val="0"/>
                      <w:divBdr>
                        <w:top w:val="none" w:sz="0" w:space="0" w:color="auto"/>
                        <w:left w:val="none" w:sz="0" w:space="0" w:color="auto"/>
                        <w:bottom w:val="none" w:sz="0" w:space="0" w:color="auto"/>
                        <w:right w:val="none" w:sz="0" w:space="0" w:color="auto"/>
                      </w:divBdr>
                    </w:div>
                  </w:divsChild>
                </w:div>
                <w:div w:id="1992171471">
                  <w:marLeft w:val="0"/>
                  <w:marRight w:val="0"/>
                  <w:marTop w:val="0"/>
                  <w:marBottom w:val="0"/>
                  <w:divBdr>
                    <w:top w:val="none" w:sz="0" w:space="0" w:color="auto"/>
                    <w:left w:val="none" w:sz="0" w:space="0" w:color="auto"/>
                    <w:bottom w:val="none" w:sz="0" w:space="0" w:color="auto"/>
                    <w:right w:val="none" w:sz="0" w:space="0" w:color="auto"/>
                  </w:divBdr>
                  <w:divsChild>
                    <w:div w:id="21249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02913">
          <w:marLeft w:val="0"/>
          <w:marRight w:val="0"/>
          <w:marTop w:val="0"/>
          <w:marBottom w:val="0"/>
          <w:divBdr>
            <w:top w:val="none" w:sz="0" w:space="0" w:color="auto"/>
            <w:left w:val="none" w:sz="0" w:space="0" w:color="auto"/>
            <w:bottom w:val="none" w:sz="0" w:space="0" w:color="auto"/>
            <w:right w:val="none" w:sz="0" w:space="0" w:color="auto"/>
          </w:divBdr>
        </w:div>
        <w:div w:id="640891198">
          <w:marLeft w:val="0"/>
          <w:marRight w:val="0"/>
          <w:marTop w:val="0"/>
          <w:marBottom w:val="0"/>
          <w:divBdr>
            <w:top w:val="none" w:sz="0" w:space="0" w:color="auto"/>
            <w:left w:val="none" w:sz="0" w:space="0" w:color="auto"/>
            <w:bottom w:val="none" w:sz="0" w:space="0" w:color="auto"/>
            <w:right w:val="none" w:sz="0" w:space="0" w:color="auto"/>
          </w:divBdr>
        </w:div>
        <w:div w:id="210729671">
          <w:marLeft w:val="0"/>
          <w:marRight w:val="0"/>
          <w:marTop w:val="0"/>
          <w:marBottom w:val="0"/>
          <w:divBdr>
            <w:top w:val="none" w:sz="0" w:space="0" w:color="auto"/>
            <w:left w:val="none" w:sz="0" w:space="0" w:color="auto"/>
            <w:bottom w:val="none" w:sz="0" w:space="0" w:color="auto"/>
            <w:right w:val="none" w:sz="0" w:space="0" w:color="auto"/>
          </w:divBdr>
        </w:div>
        <w:div w:id="1467626055">
          <w:marLeft w:val="0"/>
          <w:marRight w:val="0"/>
          <w:marTop w:val="0"/>
          <w:marBottom w:val="0"/>
          <w:divBdr>
            <w:top w:val="none" w:sz="0" w:space="0" w:color="auto"/>
            <w:left w:val="none" w:sz="0" w:space="0" w:color="auto"/>
            <w:bottom w:val="none" w:sz="0" w:space="0" w:color="auto"/>
            <w:right w:val="none" w:sz="0" w:space="0" w:color="auto"/>
          </w:divBdr>
        </w:div>
        <w:div w:id="1728995098">
          <w:marLeft w:val="0"/>
          <w:marRight w:val="0"/>
          <w:marTop w:val="0"/>
          <w:marBottom w:val="0"/>
          <w:divBdr>
            <w:top w:val="none" w:sz="0" w:space="0" w:color="auto"/>
            <w:left w:val="none" w:sz="0" w:space="0" w:color="auto"/>
            <w:bottom w:val="none" w:sz="0" w:space="0" w:color="auto"/>
            <w:right w:val="none" w:sz="0" w:space="0" w:color="auto"/>
          </w:divBdr>
        </w:div>
        <w:div w:id="2119790053">
          <w:marLeft w:val="0"/>
          <w:marRight w:val="0"/>
          <w:marTop w:val="0"/>
          <w:marBottom w:val="0"/>
          <w:divBdr>
            <w:top w:val="none" w:sz="0" w:space="0" w:color="auto"/>
            <w:left w:val="none" w:sz="0" w:space="0" w:color="auto"/>
            <w:bottom w:val="none" w:sz="0" w:space="0" w:color="auto"/>
            <w:right w:val="none" w:sz="0" w:space="0" w:color="auto"/>
          </w:divBdr>
        </w:div>
      </w:divsChild>
    </w:div>
    <w:div w:id="375860899">
      <w:bodyDiv w:val="1"/>
      <w:marLeft w:val="0"/>
      <w:marRight w:val="0"/>
      <w:marTop w:val="0"/>
      <w:marBottom w:val="0"/>
      <w:divBdr>
        <w:top w:val="none" w:sz="0" w:space="0" w:color="auto"/>
        <w:left w:val="none" w:sz="0" w:space="0" w:color="auto"/>
        <w:bottom w:val="none" w:sz="0" w:space="0" w:color="auto"/>
        <w:right w:val="none" w:sz="0" w:space="0" w:color="auto"/>
      </w:divBdr>
      <w:divsChild>
        <w:div w:id="1463839109">
          <w:marLeft w:val="274"/>
          <w:marRight w:val="0"/>
          <w:marTop w:val="0"/>
          <w:marBottom w:val="0"/>
          <w:divBdr>
            <w:top w:val="none" w:sz="0" w:space="0" w:color="auto"/>
            <w:left w:val="none" w:sz="0" w:space="0" w:color="auto"/>
            <w:bottom w:val="none" w:sz="0" w:space="0" w:color="auto"/>
            <w:right w:val="none" w:sz="0" w:space="0" w:color="auto"/>
          </w:divBdr>
        </w:div>
        <w:div w:id="1166507681">
          <w:marLeft w:val="274"/>
          <w:marRight w:val="0"/>
          <w:marTop w:val="0"/>
          <w:marBottom w:val="0"/>
          <w:divBdr>
            <w:top w:val="none" w:sz="0" w:space="0" w:color="auto"/>
            <w:left w:val="none" w:sz="0" w:space="0" w:color="auto"/>
            <w:bottom w:val="none" w:sz="0" w:space="0" w:color="auto"/>
            <w:right w:val="none" w:sz="0" w:space="0" w:color="auto"/>
          </w:divBdr>
        </w:div>
        <w:div w:id="1033727698">
          <w:marLeft w:val="274"/>
          <w:marRight w:val="0"/>
          <w:marTop w:val="0"/>
          <w:marBottom w:val="0"/>
          <w:divBdr>
            <w:top w:val="none" w:sz="0" w:space="0" w:color="auto"/>
            <w:left w:val="none" w:sz="0" w:space="0" w:color="auto"/>
            <w:bottom w:val="none" w:sz="0" w:space="0" w:color="auto"/>
            <w:right w:val="none" w:sz="0" w:space="0" w:color="auto"/>
          </w:divBdr>
        </w:div>
      </w:divsChild>
    </w:div>
    <w:div w:id="376978626">
      <w:bodyDiv w:val="1"/>
      <w:marLeft w:val="0"/>
      <w:marRight w:val="0"/>
      <w:marTop w:val="0"/>
      <w:marBottom w:val="0"/>
      <w:divBdr>
        <w:top w:val="none" w:sz="0" w:space="0" w:color="auto"/>
        <w:left w:val="none" w:sz="0" w:space="0" w:color="auto"/>
        <w:bottom w:val="none" w:sz="0" w:space="0" w:color="auto"/>
        <w:right w:val="none" w:sz="0" w:space="0" w:color="auto"/>
      </w:divBdr>
      <w:divsChild>
        <w:div w:id="496456833">
          <w:marLeft w:val="547"/>
          <w:marRight w:val="0"/>
          <w:marTop w:val="0"/>
          <w:marBottom w:val="0"/>
          <w:divBdr>
            <w:top w:val="none" w:sz="0" w:space="0" w:color="auto"/>
            <w:left w:val="none" w:sz="0" w:space="0" w:color="auto"/>
            <w:bottom w:val="none" w:sz="0" w:space="0" w:color="auto"/>
            <w:right w:val="none" w:sz="0" w:space="0" w:color="auto"/>
          </w:divBdr>
        </w:div>
        <w:div w:id="912549418">
          <w:marLeft w:val="547"/>
          <w:marRight w:val="0"/>
          <w:marTop w:val="0"/>
          <w:marBottom w:val="0"/>
          <w:divBdr>
            <w:top w:val="none" w:sz="0" w:space="0" w:color="auto"/>
            <w:left w:val="none" w:sz="0" w:space="0" w:color="auto"/>
            <w:bottom w:val="none" w:sz="0" w:space="0" w:color="auto"/>
            <w:right w:val="none" w:sz="0" w:space="0" w:color="auto"/>
          </w:divBdr>
        </w:div>
        <w:div w:id="1176312554">
          <w:marLeft w:val="547"/>
          <w:marRight w:val="0"/>
          <w:marTop w:val="0"/>
          <w:marBottom w:val="0"/>
          <w:divBdr>
            <w:top w:val="none" w:sz="0" w:space="0" w:color="auto"/>
            <w:left w:val="none" w:sz="0" w:space="0" w:color="auto"/>
            <w:bottom w:val="none" w:sz="0" w:space="0" w:color="auto"/>
            <w:right w:val="none" w:sz="0" w:space="0" w:color="auto"/>
          </w:divBdr>
        </w:div>
        <w:div w:id="1992252249">
          <w:marLeft w:val="547"/>
          <w:marRight w:val="0"/>
          <w:marTop w:val="0"/>
          <w:marBottom w:val="0"/>
          <w:divBdr>
            <w:top w:val="none" w:sz="0" w:space="0" w:color="auto"/>
            <w:left w:val="none" w:sz="0" w:space="0" w:color="auto"/>
            <w:bottom w:val="none" w:sz="0" w:space="0" w:color="auto"/>
            <w:right w:val="none" w:sz="0" w:space="0" w:color="auto"/>
          </w:divBdr>
        </w:div>
      </w:divsChild>
    </w:div>
    <w:div w:id="377361152">
      <w:bodyDiv w:val="1"/>
      <w:marLeft w:val="0"/>
      <w:marRight w:val="0"/>
      <w:marTop w:val="0"/>
      <w:marBottom w:val="0"/>
      <w:divBdr>
        <w:top w:val="none" w:sz="0" w:space="0" w:color="auto"/>
        <w:left w:val="none" w:sz="0" w:space="0" w:color="auto"/>
        <w:bottom w:val="none" w:sz="0" w:space="0" w:color="auto"/>
        <w:right w:val="none" w:sz="0" w:space="0" w:color="auto"/>
      </w:divBdr>
    </w:div>
    <w:div w:id="379669028">
      <w:bodyDiv w:val="1"/>
      <w:marLeft w:val="0"/>
      <w:marRight w:val="0"/>
      <w:marTop w:val="0"/>
      <w:marBottom w:val="0"/>
      <w:divBdr>
        <w:top w:val="none" w:sz="0" w:space="0" w:color="auto"/>
        <w:left w:val="none" w:sz="0" w:space="0" w:color="auto"/>
        <w:bottom w:val="none" w:sz="0" w:space="0" w:color="auto"/>
        <w:right w:val="none" w:sz="0" w:space="0" w:color="auto"/>
      </w:divBdr>
    </w:div>
    <w:div w:id="411779327">
      <w:bodyDiv w:val="1"/>
      <w:marLeft w:val="0"/>
      <w:marRight w:val="0"/>
      <w:marTop w:val="0"/>
      <w:marBottom w:val="0"/>
      <w:divBdr>
        <w:top w:val="none" w:sz="0" w:space="0" w:color="auto"/>
        <w:left w:val="none" w:sz="0" w:space="0" w:color="auto"/>
        <w:bottom w:val="none" w:sz="0" w:space="0" w:color="auto"/>
        <w:right w:val="none" w:sz="0" w:space="0" w:color="auto"/>
      </w:divBdr>
      <w:divsChild>
        <w:div w:id="1868985396">
          <w:marLeft w:val="274"/>
          <w:marRight w:val="0"/>
          <w:marTop w:val="0"/>
          <w:marBottom w:val="0"/>
          <w:divBdr>
            <w:top w:val="none" w:sz="0" w:space="0" w:color="auto"/>
            <w:left w:val="none" w:sz="0" w:space="0" w:color="auto"/>
            <w:bottom w:val="none" w:sz="0" w:space="0" w:color="auto"/>
            <w:right w:val="none" w:sz="0" w:space="0" w:color="auto"/>
          </w:divBdr>
        </w:div>
      </w:divsChild>
    </w:div>
    <w:div w:id="428821038">
      <w:bodyDiv w:val="1"/>
      <w:marLeft w:val="0"/>
      <w:marRight w:val="0"/>
      <w:marTop w:val="0"/>
      <w:marBottom w:val="0"/>
      <w:divBdr>
        <w:top w:val="none" w:sz="0" w:space="0" w:color="auto"/>
        <w:left w:val="none" w:sz="0" w:space="0" w:color="auto"/>
        <w:bottom w:val="none" w:sz="0" w:space="0" w:color="auto"/>
        <w:right w:val="none" w:sz="0" w:space="0" w:color="auto"/>
      </w:divBdr>
      <w:divsChild>
        <w:div w:id="263808317">
          <w:marLeft w:val="547"/>
          <w:marRight w:val="0"/>
          <w:marTop w:val="0"/>
          <w:marBottom w:val="0"/>
          <w:divBdr>
            <w:top w:val="none" w:sz="0" w:space="0" w:color="auto"/>
            <w:left w:val="none" w:sz="0" w:space="0" w:color="auto"/>
            <w:bottom w:val="none" w:sz="0" w:space="0" w:color="auto"/>
            <w:right w:val="none" w:sz="0" w:space="0" w:color="auto"/>
          </w:divBdr>
        </w:div>
        <w:div w:id="283076416">
          <w:marLeft w:val="547"/>
          <w:marRight w:val="0"/>
          <w:marTop w:val="0"/>
          <w:marBottom w:val="0"/>
          <w:divBdr>
            <w:top w:val="none" w:sz="0" w:space="0" w:color="auto"/>
            <w:left w:val="none" w:sz="0" w:space="0" w:color="auto"/>
            <w:bottom w:val="none" w:sz="0" w:space="0" w:color="auto"/>
            <w:right w:val="none" w:sz="0" w:space="0" w:color="auto"/>
          </w:divBdr>
        </w:div>
      </w:divsChild>
    </w:div>
    <w:div w:id="435104117">
      <w:bodyDiv w:val="1"/>
      <w:marLeft w:val="0"/>
      <w:marRight w:val="0"/>
      <w:marTop w:val="0"/>
      <w:marBottom w:val="0"/>
      <w:divBdr>
        <w:top w:val="none" w:sz="0" w:space="0" w:color="auto"/>
        <w:left w:val="none" w:sz="0" w:space="0" w:color="auto"/>
        <w:bottom w:val="none" w:sz="0" w:space="0" w:color="auto"/>
        <w:right w:val="none" w:sz="0" w:space="0" w:color="auto"/>
      </w:divBdr>
    </w:div>
    <w:div w:id="459957613">
      <w:bodyDiv w:val="1"/>
      <w:marLeft w:val="0"/>
      <w:marRight w:val="0"/>
      <w:marTop w:val="0"/>
      <w:marBottom w:val="0"/>
      <w:divBdr>
        <w:top w:val="none" w:sz="0" w:space="0" w:color="auto"/>
        <w:left w:val="none" w:sz="0" w:space="0" w:color="auto"/>
        <w:bottom w:val="none" w:sz="0" w:space="0" w:color="auto"/>
        <w:right w:val="none" w:sz="0" w:space="0" w:color="auto"/>
      </w:divBdr>
    </w:div>
    <w:div w:id="466893527">
      <w:bodyDiv w:val="1"/>
      <w:marLeft w:val="0"/>
      <w:marRight w:val="0"/>
      <w:marTop w:val="0"/>
      <w:marBottom w:val="0"/>
      <w:divBdr>
        <w:top w:val="none" w:sz="0" w:space="0" w:color="auto"/>
        <w:left w:val="none" w:sz="0" w:space="0" w:color="auto"/>
        <w:bottom w:val="none" w:sz="0" w:space="0" w:color="auto"/>
        <w:right w:val="none" w:sz="0" w:space="0" w:color="auto"/>
      </w:divBdr>
    </w:div>
    <w:div w:id="521479320">
      <w:bodyDiv w:val="1"/>
      <w:marLeft w:val="0"/>
      <w:marRight w:val="0"/>
      <w:marTop w:val="0"/>
      <w:marBottom w:val="0"/>
      <w:divBdr>
        <w:top w:val="none" w:sz="0" w:space="0" w:color="auto"/>
        <w:left w:val="none" w:sz="0" w:space="0" w:color="auto"/>
        <w:bottom w:val="none" w:sz="0" w:space="0" w:color="auto"/>
        <w:right w:val="none" w:sz="0" w:space="0" w:color="auto"/>
      </w:divBdr>
      <w:divsChild>
        <w:div w:id="1070153009">
          <w:marLeft w:val="547"/>
          <w:marRight w:val="0"/>
          <w:marTop w:val="0"/>
          <w:marBottom w:val="0"/>
          <w:divBdr>
            <w:top w:val="none" w:sz="0" w:space="0" w:color="auto"/>
            <w:left w:val="none" w:sz="0" w:space="0" w:color="auto"/>
            <w:bottom w:val="none" w:sz="0" w:space="0" w:color="auto"/>
            <w:right w:val="none" w:sz="0" w:space="0" w:color="auto"/>
          </w:divBdr>
        </w:div>
      </w:divsChild>
    </w:div>
    <w:div w:id="522592262">
      <w:bodyDiv w:val="1"/>
      <w:marLeft w:val="0"/>
      <w:marRight w:val="0"/>
      <w:marTop w:val="0"/>
      <w:marBottom w:val="0"/>
      <w:divBdr>
        <w:top w:val="none" w:sz="0" w:space="0" w:color="auto"/>
        <w:left w:val="none" w:sz="0" w:space="0" w:color="auto"/>
        <w:bottom w:val="none" w:sz="0" w:space="0" w:color="auto"/>
        <w:right w:val="none" w:sz="0" w:space="0" w:color="auto"/>
      </w:divBdr>
    </w:div>
    <w:div w:id="523599286">
      <w:bodyDiv w:val="1"/>
      <w:marLeft w:val="0"/>
      <w:marRight w:val="0"/>
      <w:marTop w:val="0"/>
      <w:marBottom w:val="0"/>
      <w:divBdr>
        <w:top w:val="none" w:sz="0" w:space="0" w:color="auto"/>
        <w:left w:val="none" w:sz="0" w:space="0" w:color="auto"/>
        <w:bottom w:val="none" w:sz="0" w:space="0" w:color="auto"/>
        <w:right w:val="none" w:sz="0" w:space="0" w:color="auto"/>
      </w:divBdr>
      <w:divsChild>
        <w:div w:id="103698574">
          <w:marLeft w:val="274"/>
          <w:marRight w:val="0"/>
          <w:marTop w:val="0"/>
          <w:marBottom w:val="0"/>
          <w:divBdr>
            <w:top w:val="none" w:sz="0" w:space="0" w:color="auto"/>
            <w:left w:val="none" w:sz="0" w:space="0" w:color="auto"/>
            <w:bottom w:val="none" w:sz="0" w:space="0" w:color="auto"/>
            <w:right w:val="none" w:sz="0" w:space="0" w:color="auto"/>
          </w:divBdr>
        </w:div>
        <w:div w:id="1130510854">
          <w:marLeft w:val="274"/>
          <w:marRight w:val="0"/>
          <w:marTop w:val="0"/>
          <w:marBottom w:val="0"/>
          <w:divBdr>
            <w:top w:val="none" w:sz="0" w:space="0" w:color="auto"/>
            <w:left w:val="none" w:sz="0" w:space="0" w:color="auto"/>
            <w:bottom w:val="none" w:sz="0" w:space="0" w:color="auto"/>
            <w:right w:val="none" w:sz="0" w:space="0" w:color="auto"/>
          </w:divBdr>
        </w:div>
        <w:div w:id="932595214">
          <w:marLeft w:val="274"/>
          <w:marRight w:val="0"/>
          <w:marTop w:val="0"/>
          <w:marBottom w:val="0"/>
          <w:divBdr>
            <w:top w:val="none" w:sz="0" w:space="0" w:color="auto"/>
            <w:left w:val="none" w:sz="0" w:space="0" w:color="auto"/>
            <w:bottom w:val="none" w:sz="0" w:space="0" w:color="auto"/>
            <w:right w:val="none" w:sz="0" w:space="0" w:color="auto"/>
          </w:divBdr>
        </w:div>
      </w:divsChild>
    </w:div>
    <w:div w:id="529686795">
      <w:bodyDiv w:val="1"/>
      <w:marLeft w:val="0"/>
      <w:marRight w:val="0"/>
      <w:marTop w:val="0"/>
      <w:marBottom w:val="0"/>
      <w:divBdr>
        <w:top w:val="none" w:sz="0" w:space="0" w:color="auto"/>
        <w:left w:val="none" w:sz="0" w:space="0" w:color="auto"/>
        <w:bottom w:val="none" w:sz="0" w:space="0" w:color="auto"/>
        <w:right w:val="none" w:sz="0" w:space="0" w:color="auto"/>
      </w:divBdr>
    </w:div>
    <w:div w:id="534923436">
      <w:bodyDiv w:val="1"/>
      <w:marLeft w:val="0"/>
      <w:marRight w:val="0"/>
      <w:marTop w:val="0"/>
      <w:marBottom w:val="0"/>
      <w:divBdr>
        <w:top w:val="none" w:sz="0" w:space="0" w:color="auto"/>
        <w:left w:val="none" w:sz="0" w:space="0" w:color="auto"/>
        <w:bottom w:val="none" w:sz="0" w:space="0" w:color="auto"/>
        <w:right w:val="none" w:sz="0" w:space="0" w:color="auto"/>
      </w:divBdr>
    </w:div>
    <w:div w:id="546065215">
      <w:bodyDiv w:val="1"/>
      <w:marLeft w:val="0"/>
      <w:marRight w:val="0"/>
      <w:marTop w:val="0"/>
      <w:marBottom w:val="0"/>
      <w:divBdr>
        <w:top w:val="none" w:sz="0" w:space="0" w:color="auto"/>
        <w:left w:val="none" w:sz="0" w:space="0" w:color="auto"/>
        <w:bottom w:val="none" w:sz="0" w:space="0" w:color="auto"/>
        <w:right w:val="none" w:sz="0" w:space="0" w:color="auto"/>
      </w:divBdr>
    </w:div>
    <w:div w:id="559093036">
      <w:bodyDiv w:val="1"/>
      <w:marLeft w:val="0"/>
      <w:marRight w:val="0"/>
      <w:marTop w:val="0"/>
      <w:marBottom w:val="0"/>
      <w:divBdr>
        <w:top w:val="none" w:sz="0" w:space="0" w:color="auto"/>
        <w:left w:val="none" w:sz="0" w:space="0" w:color="auto"/>
        <w:bottom w:val="none" w:sz="0" w:space="0" w:color="auto"/>
        <w:right w:val="none" w:sz="0" w:space="0" w:color="auto"/>
      </w:divBdr>
    </w:div>
    <w:div w:id="562256220">
      <w:bodyDiv w:val="1"/>
      <w:marLeft w:val="0"/>
      <w:marRight w:val="0"/>
      <w:marTop w:val="0"/>
      <w:marBottom w:val="0"/>
      <w:divBdr>
        <w:top w:val="none" w:sz="0" w:space="0" w:color="auto"/>
        <w:left w:val="none" w:sz="0" w:space="0" w:color="auto"/>
        <w:bottom w:val="none" w:sz="0" w:space="0" w:color="auto"/>
        <w:right w:val="none" w:sz="0" w:space="0" w:color="auto"/>
      </w:divBdr>
      <w:divsChild>
        <w:div w:id="420759790">
          <w:marLeft w:val="0"/>
          <w:marRight w:val="0"/>
          <w:marTop w:val="0"/>
          <w:marBottom w:val="0"/>
          <w:divBdr>
            <w:top w:val="none" w:sz="0" w:space="0" w:color="auto"/>
            <w:left w:val="none" w:sz="0" w:space="0" w:color="auto"/>
            <w:bottom w:val="none" w:sz="0" w:space="0" w:color="auto"/>
            <w:right w:val="none" w:sz="0" w:space="0" w:color="auto"/>
          </w:divBdr>
        </w:div>
        <w:div w:id="1780179948">
          <w:marLeft w:val="0"/>
          <w:marRight w:val="0"/>
          <w:marTop w:val="0"/>
          <w:marBottom w:val="0"/>
          <w:divBdr>
            <w:top w:val="none" w:sz="0" w:space="0" w:color="auto"/>
            <w:left w:val="none" w:sz="0" w:space="0" w:color="auto"/>
            <w:bottom w:val="none" w:sz="0" w:space="0" w:color="auto"/>
            <w:right w:val="none" w:sz="0" w:space="0" w:color="auto"/>
          </w:divBdr>
        </w:div>
        <w:div w:id="2051411857">
          <w:marLeft w:val="0"/>
          <w:marRight w:val="0"/>
          <w:marTop w:val="0"/>
          <w:marBottom w:val="0"/>
          <w:divBdr>
            <w:top w:val="none" w:sz="0" w:space="0" w:color="auto"/>
            <w:left w:val="none" w:sz="0" w:space="0" w:color="auto"/>
            <w:bottom w:val="none" w:sz="0" w:space="0" w:color="auto"/>
            <w:right w:val="none" w:sz="0" w:space="0" w:color="auto"/>
          </w:divBdr>
        </w:div>
        <w:div w:id="311107362">
          <w:marLeft w:val="0"/>
          <w:marRight w:val="0"/>
          <w:marTop w:val="0"/>
          <w:marBottom w:val="0"/>
          <w:divBdr>
            <w:top w:val="none" w:sz="0" w:space="0" w:color="auto"/>
            <w:left w:val="none" w:sz="0" w:space="0" w:color="auto"/>
            <w:bottom w:val="none" w:sz="0" w:space="0" w:color="auto"/>
            <w:right w:val="none" w:sz="0" w:space="0" w:color="auto"/>
          </w:divBdr>
          <w:divsChild>
            <w:div w:id="506794539">
              <w:marLeft w:val="-75"/>
              <w:marRight w:val="0"/>
              <w:marTop w:val="30"/>
              <w:marBottom w:val="30"/>
              <w:divBdr>
                <w:top w:val="none" w:sz="0" w:space="0" w:color="auto"/>
                <w:left w:val="none" w:sz="0" w:space="0" w:color="auto"/>
                <w:bottom w:val="none" w:sz="0" w:space="0" w:color="auto"/>
                <w:right w:val="none" w:sz="0" w:space="0" w:color="auto"/>
              </w:divBdr>
              <w:divsChild>
                <w:div w:id="2041512101">
                  <w:marLeft w:val="0"/>
                  <w:marRight w:val="0"/>
                  <w:marTop w:val="0"/>
                  <w:marBottom w:val="0"/>
                  <w:divBdr>
                    <w:top w:val="none" w:sz="0" w:space="0" w:color="auto"/>
                    <w:left w:val="none" w:sz="0" w:space="0" w:color="auto"/>
                    <w:bottom w:val="none" w:sz="0" w:space="0" w:color="auto"/>
                    <w:right w:val="none" w:sz="0" w:space="0" w:color="auto"/>
                  </w:divBdr>
                  <w:divsChild>
                    <w:div w:id="992878240">
                      <w:marLeft w:val="0"/>
                      <w:marRight w:val="0"/>
                      <w:marTop w:val="0"/>
                      <w:marBottom w:val="0"/>
                      <w:divBdr>
                        <w:top w:val="none" w:sz="0" w:space="0" w:color="auto"/>
                        <w:left w:val="none" w:sz="0" w:space="0" w:color="auto"/>
                        <w:bottom w:val="none" w:sz="0" w:space="0" w:color="auto"/>
                        <w:right w:val="none" w:sz="0" w:space="0" w:color="auto"/>
                      </w:divBdr>
                    </w:div>
                  </w:divsChild>
                </w:div>
                <w:div w:id="909265364">
                  <w:marLeft w:val="0"/>
                  <w:marRight w:val="0"/>
                  <w:marTop w:val="0"/>
                  <w:marBottom w:val="0"/>
                  <w:divBdr>
                    <w:top w:val="none" w:sz="0" w:space="0" w:color="auto"/>
                    <w:left w:val="none" w:sz="0" w:space="0" w:color="auto"/>
                    <w:bottom w:val="none" w:sz="0" w:space="0" w:color="auto"/>
                    <w:right w:val="none" w:sz="0" w:space="0" w:color="auto"/>
                  </w:divBdr>
                  <w:divsChild>
                    <w:div w:id="1405105127">
                      <w:marLeft w:val="0"/>
                      <w:marRight w:val="0"/>
                      <w:marTop w:val="0"/>
                      <w:marBottom w:val="0"/>
                      <w:divBdr>
                        <w:top w:val="none" w:sz="0" w:space="0" w:color="auto"/>
                        <w:left w:val="none" w:sz="0" w:space="0" w:color="auto"/>
                        <w:bottom w:val="none" w:sz="0" w:space="0" w:color="auto"/>
                        <w:right w:val="none" w:sz="0" w:space="0" w:color="auto"/>
                      </w:divBdr>
                    </w:div>
                  </w:divsChild>
                </w:div>
                <w:div w:id="927890081">
                  <w:marLeft w:val="0"/>
                  <w:marRight w:val="0"/>
                  <w:marTop w:val="0"/>
                  <w:marBottom w:val="0"/>
                  <w:divBdr>
                    <w:top w:val="none" w:sz="0" w:space="0" w:color="auto"/>
                    <w:left w:val="none" w:sz="0" w:space="0" w:color="auto"/>
                    <w:bottom w:val="none" w:sz="0" w:space="0" w:color="auto"/>
                    <w:right w:val="none" w:sz="0" w:space="0" w:color="auto"/>
                  </w:divBdr>
                  <w:divsChild>
                    <w:div w:id="1753964879">
                      <w:marLeft w:val="0"/>
                      <w:marRight w:val="0"/>
                      <w:marTop w:val="0"/>
                      <w:marBottom w:val="0"/>
                      <w:divBdr>
                        <w:top w:val="none" w:sz="0" w:space="0" w:color="auto"/>
                        <w:left w:val="none" w:sz="0" w:space="0" w:color="auto"/>
                        <w:bottom w:val="none" w:sz="0" w:space="0" w:color="auto"/>
                        <w:right w:val="none" w:sz="0" w:space="0" w:color="auto"/>
                      </w:divBdr>
                    </w:div>
                  </w:divsChild>
                </w:div>
                <w:div w:id="672874426">
                  <w:marLeft w:val="0"/>
                  <w:marRight w:val="0"/>
                  <w:marTop w:val="0"/>
                  <w:marBottom w:val="0"/>
                  <w:divBdr>
                    <w:top w:val="none" w:sz="0" w:space="0" w:color="auto"/>
                    <w:left w:val="none" w:sz="0" w:space="0" w:color="auto"/>
                    <w:bottom w:val="none" w:sz="0" w:space="0" w:color="auto"/>
                    <w:right w:val="none" w:sz="0" w:space="0" w:color="auto"/>
                  </w:divBdr>
                  <w:divsChild>
                    <w:div w:id="682585377">
                      <w:marLeft w:val="0"/>
                      <w:marRight w:val="0"/>
                      <w:marTop w:val="0"/>
                      <w:marBottom w:val="0"/>
                      <w:divBdr>
                        <w:top w:val="none" w:sz="0" w:space="0" w:color="auto"/>
                        <w:left w:val="none" w:sz="0" w:space="0" w:color="auto"/>
                        <w:bottom w:val="none" w:sz="0" w:space="0" w:color="auto"/>
                        <w:right w:val="none" w:sz="0" w:space="0" w:color="auto"/>
                      </w:divBdr>
                    </w:div>
                  </w:divsChild>
                </w:div>
                <w:div w:id="1244338392">
                  <w:marLeft w:val="0"/>
                  <w:marRight w:val="0"/>
                  <w:marTop w:val="0"/>
                  <w:marBottom w:val="0"/>
                  <w:divBdr>
                    <w:top w:val="none" w:sz="0" w:space="0" w:color="auto"/>
                    <w:left w:val="none" w:sz="0" w:space="0" w:color="auto"/>
                    <w:bottom w:val="none" w:sz="0" w:space="0" w:color="auto"/>
                    <w:right w:val="none" w:sz="0" w:space="0" w:color="auto"/>
                  </w:divBdr>
                  <w:divsChild>
                    <w:div w:id="1363094436">
                      <w:marLeft w:val="0"/>
                      <w:marRight w:val="0"/>
                      <w:marTop w:val="0"/>
                      <w:marBottom w:val="0"/>
                      <w:divBdr>
                        <w:top w:val="none" w:sz="0" w:space="0" w:color="auto"/>
                        <w:left w:val="none" w:sz="0" w:space="0" w:color="auto"/>
                        <w:bottom w:val="none" w:sz="0" w:space="0" w:color="auto"/>
                        <w:right w:val="none" w:sz="0" w:space="0" w:color="auto"/>
                      </w:divBdr>
                    </w:div>
                  </w:divsChild>
                </w:div>
                <w:div w:id="1508515410">
                  <w:marLeft w:val="0"/>
                  <w:marRight w:val="0"/>
                  <w:marTop w:val="0"/>
                  <w:marBottom w:val="0"/>
                  <w:divBdr>
                    <w:top w:val="none" w:sz="0" w:space="0" w:color="auto"/>
                    <w:left w:val="none" w:sz="0" w:space="0" w:color="auto"/>
                    <w:bottom w:val="none" w:sz="0" w:space="0" w:color="auto"/>
                    <w:right w:val="none" w:sz="0" w:space="0" w:color="auto"/>
                  </w:divBdr>
                  <w:divsChild>
                    <w:div w:id="394740186">
                      <w:marLeft w:val="0"/>
                      <w:marRight w:val="0"/>
                      <w:marTop w:val="0"/>
                      <w:marBottom w:val="0"/>
                      <w:divBdr>
                        <w:top w:val="none" w:sz="0" w:space="0" w:color="auto"/>
                        <w:left w:val="none" w:sz="0" w:space="0" w:color="auto"/>
                        <w:bottom w:val="none" w:sz="0" w:space="0" w:color="auto"/>
                        <w:right w:val="none" w:sz="0" w:space="0" w:color="auto"/>
                      </w:divBdr>
                    </w:div>
                  </w:divsChild>
                </w:div>
                <w:div w:id="1327705947">
                  <w:marLeft w:val="0"/>
                  <w:marRight w:val="0"/>
                  <w:marTop w:val="0"/>
                  <w:marBottom w:val="0"/>
                  <w:divBdr>
                    <w:top w:val="none" w:sz="0" w:space="0" w:color="auto"/>
                    <w:left w:val="none" w:sz="0" w:space="0" w:color="auto"/>
                    <w:bottom w:val="none" w:sz="0" w:space="0" w:color="auto"/>
                    <w:right w:val="none" w:sz="0" w:space="0" w:color="auto"/>
                  </w:divBdr>
                  <w:divsChild>
                    <w:div w:id="981542166">
                      <w:marLeft w:val="0"/>
                      <w:marRight w:val="0"/>
                      <w:marTop w:val="0"/>
                      <w:marBottom w:val="0"/>
                      <w:divBdr>
                        <w:top w:val="none" w:sz="0" w:space="0" w:color="auto"/>
                        <w:left w:val="none" w:sz="0" w:space="0" w:color="auto"/>
                        <w:bottom w:val="none" w:sz="0" w:space="0" w:color="auto"/>
                        <w:right w:val="none" w:sz="0" w:space="0" w:color="auto"/>
                      </w:divBdr>
                    </w:div>
                  </w:divsChild>
                </w:div>
                <w:div w:id="1536432093">
                  <w:marLeft w:val="0"/>
                  <w:marRight w:val="0"/>
                  <w:marTop w:val="0"/>
                  <w:marBottom w:val="0"/>
                  <w:divBdr>
                    <w:top w:val="none" w:sz="0" w:space="0" w:color="auto"/>
                    <w:left w:val="none" w:sz="0" w:space="0" w:color="auto"/>
                    <w:bottom w:val="none" w:sz="0" w:space="0" w:color="auto"/>
                    <w:right w:val="none" w:sz="0" w:space="0" w:color="auto"/>
                  </w:divBdr>
                  <w:divsChild>
                    <w:div w:id="1168325975">
                      <w:marLeft w:val="0"/>
                      <w:marRight w:val="0"/>
                      <w:marTop w:val="0"/>
                      <w:marBottom w:val="0"/>
                      <w:divBdr>
                        <w:top w:val="none" w:sz="0" w:space="0" w:color="auto"/>
                        <w:left w:val="none" w:sz="0" w:space="0" w:color="auto"/>
                        <w:bottom w:val="none" w:sz="0" w:space="0" w:color="auto"/>
                        <w:right w:val="none" w:sz="0" w:space="0" w:color="auto"/>
                      </w:divBdr>
                    </w:div>
                  </w:divsChild>
                </w:div>
                <w:div w:id="1619989888">
                  <w:marLeft w:val="0"/>
                  <w:marRight w:val="0"/>
                  <w:marTop w:val="0"/>
                  <w:marBottom w:val="0"/>
                  <w:divBdr>
                    <w:top w:val="none" w:sz="0" w:space="0" w:color="auto"/>
                    <w:left w:val="none" w:sz="0" w:space="0" w:color="auto"/>
                    <w:bottom w:val="none" w:sz="0" w:space="0" w:color="auto"/>
                    <w:right w:val="none" w:sz="0" w:space="0" w:color="auto"/>
                  </w:divBdr>
                  <w:divsChild>
                    <w:div w:id="443503267">
                      <w:marLeft w:val="0"/>
                      <w:marRight w:val="0"/>
                      <w:marTop w:val="0"/>
                      <w:marBottom w:val="0"/>
                      <w:divBdr>
                        <w:top w:val="none" w:sz="0" w:space="0" w:color="auto"/>
                        <w:left w:val="none" w:sz="0" w:space="0" w:color="auto"/>
                        <w:bottom w:val="none" w:sz="0" w:space="0" w:color="auto"/>
                        <w:right w:val="none" w:sz="0" w:space="0" w:color="auto"/>
                      </w:divBdr>
                    </w:div>
                  </w:divsChild>
                </w:div>
                <w:div w:id="827869562">
                  <w:marLeft w:val="0"/>
                  <w:marRight w:val="0"/>
                  <w:marTop w:val="0"/>
                  <w:marBottom w:val="0"/>
                  <w:divBdr>
                    <w:top w:val="none" w:sz="0" w:space="0" w:color="auto"/>
                    <w:left w:val="none" w:sz="0" w:space="0" w:color="auto"/>
                    <w:bottom w:val="none" w:sz="0" w:space="0" w:color="auto"/>
                    <w:right w:val="none" w:sz="0" w:space="0" w:color="auto"/>
                  </w:divBdr>
                  <w:divsChild>
                    <w:div w:id="1510175413">
                      <w:marLeft w:val="0"/>
                      <w:marRight w:val="0"/>
                      <w:marTop w:val="0"/>
                      <w:marBottom w:val="0"/>
                      <w:divBdr>
                        <w:top w:val="none" w:sz="0" w:space="0" w:color="auto"/>
                        <w:left w:val="none" w:sz="0" w:space="0" w:color="auto"/>
                        <w:bottom w:val="none" w:sz="0" w:space="0" w:color="auto"/>
                        <w:right w:val="none" w:sz="0" w:space="0" w:color="auto"/>
                      </w:divBdr>
                    </w:div>
                  </w:divsChild>
                </w:div>
                <w:div w:id="916792581">
                  <w:marLeft w:val="0"/>
                  <w:marRight w:val="0"/>
                  <w:marTop w:val="0"/>
                  <w:marBottom w:val="0"/>
                  <w:divBdr>
                    <w:top w:val="none" w:sz="0" w:space="0" w:color="auto"/>
                    <w:left w:val="none" w:sz="0" w:space="0" w:color="auto"/>
                    <w:bottom w:val="none" w:sz="0" w:space="0" w:color="auto"/>
                    <w:right w:val="none" w:sz="0" w:space="0" w:color="auto"/>
                  </w:divBdr>
                  <w:divsChild>
                    <w:div w:id="1633749891">
                      <w:marLeft w:val="0"/>
                      <w:marRight w:val="0"/>
                      <w:marTop w:val="0"/>
                      <w:marBottom w:val="0"/>
                      <w:divBdr>
                        <w:top w:val="none" w:sz="0" w:space="0" w:color="auto"/>
                        <w:left w:val="none" w:sz="0" w:space="0" w:color="auto"/>
                        <w:bottom w:val="none" w:sz="0" w:space="0" w:color="auto"/>
                        <w:right w:val="none" w:sz="0" w:space="0" w:color="auto"/>
                      </w:divBdr>
                    </w:div>
                  </w:divsChild>
                </w:div>
                <w:div w:id="136075346">
                  <w:marLeft w:val="0"/>
                  <w:marRight w:val="0"/>
                  <w:marTop w:val="0"/>
                  <w:marBottom w:val="0"/>
                  <w:divBdr>
                    <w:top w:val="none" w:sz="0" w:space="0" w:color="auto"/>
                    <w:left w:val="none" w:sz="0" w:space="0" w:color="auto"/>
                    <w:bottom w:val="none" w:sz="0" w:space="0" w:color="auto"/>
                    <w:right w:val="none" w:sz="0" w:space="0" w:color="auto"/>
                  </w:divBdr>
                  <w:divsChild>
                    <w:div w:id="1456287787">
                      <w:marLeft w:val="0"/>
                      <w:marRight w:val="0"/>
                      <w:marTop w:val="0"/>
                      <w:marBottom w:val="0"/>
                      <w:divBdr>
                        <w:top w:val="none" w:sz="0" w:space="0" w:color="auto"/>
                        <w:left w:val="none" w:sz="0" w:space="0" w:color="auto"/>
                        <w:bottom w:val="none" w:sz="0" w:space="0" w:color="auto"/>
                        <w:right w:val="none" w:sz="0" w:space="0" w:color="auto"/>
                      </w:divBdr>
                    </w:div>
                  </w:divsChild>
                </w:div>
                <w:div w:id="1936547852">
                  <w:marLeft w:val="0"/>
                  <w:marRight w:val="0"/>
                  <w:marTop w:val="0"/>
                  <w:marBottom w:val="0"/>
                  <w:divBdr>
                    <w:top w:val="none" w:sz="0" w:space="0" w:color="auto"/>
                    <w:left w:val="none" w:sz="0" w:space="0" w:color="auto"/>
                    <w:bottom w:val="none" w:sz="0" w:space="0" w:color="auto"/>
                    <w:right w:val="none" w:sz="0" w:space="0" w:color="auto"/>
                  </w:divBdr>
                  <w:divsChild>
                    <w:div w:id="1682702606">
                      <w:marLeft w:val="0"/>
                      <w:marRight w:val="0"/>
                      <w:marTop w:val="0"/>
                      <w:marBottom w:val="0"/>
                      <w:divBdr>
                        <w:top w:val="none" w:sz="0" w:space="0" w:color="auto"/>
                        <w:left w:val="none" w:sz="0" w:space="0" w:color="auto"/>
                        <w:bottom w:val="none" w:sz="0" w:space="0" w:color="auto"/>
                        <w:right w:val="none" w:sz="0" w:space="0" w:color="auto"/>
                      </w:divBdr>
                    </w:div>
                  </w:divsChild>
                </w:div>
                <w:div w:id="894506036">
                  <w:marLeft w:val="0"/>
                  <w:marRight w:val="0"/>
                  <w:marTop w:val="0"/>
                  <w:marBottom w:val="0"/>
                  <w:divBdr>
                    <w:top w:val="none" w:sz="0" w:space="0" w:color="auto"/>
                    <w:left w:val="none" w:sz="0" w:space="0" w:color="auto"/>
                    <w:bottom w:val="none" w:sz="0" w:space="0" w:color="auto"/>
                    <w:right w:val="none" w:sz="0" w:space="0" w:color="auto"/>
                  </w:divBdr>
                  <w:divsChild>
                    <w:div w:id="1256398484">
                      <w:marLeft w:val="0"/>
                      <w:marRight w:val="0"/>
                      <w:marTop w:val="0"/>
                      <w:marBottom w:val="0"/>
                      <w:divBdr>
                        <w:top w:val="none" w:sz="0" w:space="0" w:color="auto"/>
                        <w:left w:val="none" w:sz="0" w:space="0" w:color="auto"/>
                        <w:bottom w:val="none" w:sz="0" w:space="0" w:color="auto"/>
                        <w:right w:val="none" w:sz="0" w:space="0" w:color="auto"/>
                      </w:divBdr>
                    </w:div>
                  </w:divsChild>
                </w:div>
                <w:div w:id="2114280113">
                  <w:marLeft w:val="0"/>
                  <w:marRight w:val="0"/>
                  <w:marTop w:val="0"/>
                  <w:marBottom w:val="0"/>
                  <w:divBdr>
                    <w:top w:val="none" w:sz="0" w:space="0" w:color="auto"/>
                    <w:left w:val="none" w:sz="0" w:space="0" w:color="auto"/>
                    <w:bottom w:val="none" w:sz="0" w:space="0" w:color="auto"/>
                    <w:right w:val="none" w:sz="0" w:space="0" w:color="auto"/>
                  </w:divBdr>
                  <w:divsChild>
                    <w:div w:id="300891343">
                      <w:marLeft w:val="0"/>
                      <w:marRight w:val="0"/>
                      <w:marTop w:val="0"/>
                      <w:marBottom w:val="0"/>
                      <w:divBdr>
                        <w:top w:val="none" w:sz="0" w:space="0" w:color="auto"/>
                        <w:left w:val="none" w:sz="0" w:space="0" w:color="auto"/>
                        <w:bottom w:val="none" w:sz="0" w:space="0" w:color="auto"/>
                        <w:right w:val="none" w:sz="0" w:space="0" w:color="auto"/>
                      </w:divBdr>
                    </w:div>
                  </w:divsChild>
                </w:div>
                <w:div w:id="2020085935">
                  <w:marLeft w:val="0"/>
                  <w:marRight w:val="0"/>
                  <w:marTop w:val="0"/>
                  <w:marBottom w:val="0"/>
                  <w:divBdr>
                    <w:top w:val="none" w:sz="0" w:space="0" w:color="auto"/>
                    <w:left w:val="none" w:sz="0" w:space="0" w:color="auto"/>
                    <w:bottom w:val="none" w:sz="0" w:space="0" w:color="auto"/>
                    <w:right w:val="none" w:sz="0" w:space="0" w:color="auto"/>
                  </w:divBdr>
                  <w:divsChild>
                    <w:div w:id="1210844300">
                      <w:marLeft w:val="0"/>
                      <w:marRight w:val="0"/>
                      <w:marTop w:val="0"/>
                      <w:marBottom w:val="0"/>
                      <w:divBdr>
                        <w:top w:val="none" w:sz="0" w:space="0" w:color="auto"/>
                        <w:left w:val="none" w:sz="0" w:space="0" w:color="auto"/>
                        <w:bottom w:val="none" w:sz="0" w:space="0" w:color="auto"/>
                        <w:right w:val="none" w:sz="0" w:space="0" w:color="auto"/>
                      </w:divBdr>
                    </w:div>
                  </w:divsChild>
                </w:div>
                <w:div w:id="89088436">
                  <w:marLeft w:val="0"/>
                  <w:marRight w:val="0"/>
                  <w:marTop w:val="0"/>
                  <w:marBottom w:val="0"/>
                  <w:divBdr>
                    <w:top w:val="none" w:sz="0" w:space="0" w:color="auto"/>
                    <w:left w:val="none" w:sz="0" w:space="0" w:color="auto"/>
                    <w:bottom w:val="none" w:sz="0" w:space="0" w:color="auto"/>
                    <w:right w:val="none" w:sz="0" w:space="0" w:color="auto"/>
                  </w:divBdr>
                  <w:divsChild>
                    <w:div w:id="173805209">
                      <w:marLeft w:val="0"/>
                      <w:marRight w:val="0"/>
                      <w:marTop w:val="0"/>
                      <w:marBottom w:val="0"/>
                      <w:divBdr>
                        <w:top w:val="none" w:sz="0" w:space="0" w:color="auto"/>
                        <w:left w:val="none" w:sz="0" w:space="0" w:color="auto"/>
                        <w:bottom w:val="none" w:sz="0" w:space="0" w:color="auto"/>
                        <w:right w:val="none" w:sz="0" w:space="0" w:color="auto"/>
                      </w:divBdr>
                    </w:div>
                  </w:divsChild>
                </w:div>
                <w:div w:id="732776712">
                  <w:marLeft w:val="0"/>
                  <w:marRight w:val="0"/>
                  <w:marTop w:val="0"/>
                  <w:marBottom w:val="0"/>
                  <w:divBdr>
                    <w:top w:val="none" w:sz="0" w:space="0" w:color="auto"/>
                    <w:left w:val="none" w:sz="0" w:space="0" w:color="auto"/>
                    <w:bottom w:val="none" w:sz="0" w:space="0" w:color="auto"/>
                    <w:right w:val="none" w:sz="0" w:space="0" w:color="auto"/>
                  </w:divBdr>
                  <w:divsChild>
                    <w:div w:id="1429278368">
                      <w:marLeft w:val="0"/>
                      <w:marRight w:val="0"/>
                      <w:marTop w:val="0"/>
                      <w:marBottom w:val="0"/>
                      <w:divBdr>
                        <w:top w:val="none" w:sz="0" w:space="0" w:color="auto"/>
                        <w:left w:val="none" w:sz="0" w:space="0" w:color="auto"/>
                        <w:bottom w:val="none" w:sz="0" w:space="0" w:color="auto"/>
                        <w:right w:val="none" w:sz="0" w:space="0" w:color="auto"/>
                      </w:divBdr>
                    </w:div>
                  </w:divsChild>
                </w:div>
                <w:div w:id="957033426">
                  <w:marLeft w:val="0"/>
                  <w:marRight w:val="0"/>
                  <w:marTop w:val="0"/>
                  <w:marBottom w:val="0"/>
                  <w:divBdr>
                    <w:top w:val="none" w:sz="0" w:space="0" w:color="auto"/>
                    <w:left w:val="none" w:sz="0" w:space="0" w:color="auto"/>
                    <w:bottom w:val="none" w:sz="0" w:space="0" w:color="auto"/>
                    <w:right w:val="none" w:sz="0" w:space="0" w:color="auto"/>
                  </w:divBdr>
                  <w:divsChild>
                    <w:div w:id="1327249013">
                      <w:marLeft w:val="0"/>
                      <w:marRight w:val="0"/>
                      <w:marTop w:val="0"/>
                      <w:marBottom w:val="0"/>
                      <w:divBdr>
                        <w:top w:val="none" w:sz="0" w:space="0" w:color="auto"/>
                        <w:left w:val="none" w:sz="0" w:space="0" w:color="auto"/>
                        <w:bottom w:val="none" w:sz="0" w:space="0" w:color="auto"/>
                        <w:right w:val="none" w:sz="0" w:space="0" w:color="auto"/>
                      </w:divBdr>
                    </w:div>
                  </w:divsChild>
                </w:div>
                <w:div w:id="315187283">
                  <w:marLeft w:val="0"/>
                  <w:marRight w:val="0"/>
                  <w:marTop w:val="0"/>
                  <w:marBottom w:val="0"/>
                  <w:divBdr>
                    <w:top w:val="none" w:sz="0" w:space="0" w:color="auto"/>
                    <w:left w:val="none" w:sz="0" w:space="0" w:color="auto"/>
                    <w:bottom w:val="none" w:sz="0" w:space="0" w:color="auto"/>
                    <w:right w:val="none" w:sz="0" w:space="0" w:color="auto"/>
                  </w:divBdr>
                  <w:divsChild>
                    <w:div w:id="450320407">
                      <w:marLeft w:val="0"/>
                      <w:marRight w:val="0"/>
                      <w:marTop w:val="0"/>
                      <w:marBottom w:val="0"/>
                      <w:divBdr>
                        <w:top w:val="none" w:sz="0" w:space="0" w:color="auto"/>
                        <w:left w:val="none" w:sz="0" w:space="0" w:color="auto"/>
                        <w:bottom w:val="none" w:sz="0" w:space="0" w:color="auto"/>
                        <w:right w:val="none" w:sz="0" w:space="0" w:color="auto"/>
                      </w:divBdr>
                    </w:div>
                  </w:divsChild>
                </w:div>
                <w:div w:id="1841919789">
                  <w:marLeft w:val="0"/>
                  <w:marRight w:val="0"/>
                  <w:marTop w:val="0"/>
                  <w:marBottom w:val="0"/>
                  <w:divBdr>
                    <w:top w:val="none" w:sz="0" w:space="0" w:color="auto"/>
                    <w:left w:val="none" w:sz="0" w:space="0" w:color="auto"/>
                    <w:bottom w:val="none" w:sz="0" w:space="0" w:color="auto"/>
                    <w:right w:val="none" w:sz="0" w:space="0" w:color="auto"/>
                  </w:divBdr>
                  <w:divsChild>
                    <w:div w:id="9962712">
                      <w:marLeft w:val="0"/>
                      <w:marRight w:val="0"/>
                      <w:marTop w:val="0"/>
                      <w:marBottom w:val="0"/>
                      <w:divBdr>
                        <w:top w:val="none" w:sz="0" w:space="0" w:color="auto"/>
                        <w:left w:val="none" w:sz="0" w:space="0" w:color="auto"/>
                        <w:bottom w:val="none" w:sz="0" w:space="0" w:color="auto"/>
                        <w:right w:val="none" w:sz="0" w:space="0" w:color="auto"/>
                      </w:divBdr>
                    </w:div>
                  </w:divsChild>
                </w:div>
                <w:div w:id="380905365">
                  <w:marLeft w:val="0"/>
                  <w:marRight w:val="0"/>
                  <w:marTop w:val="0"/>
                  <w:marBottom w:val="0"/>
                  <w:divBdr>
                    <w:top w:val="none" w:sz="0" w:space="0" w:color="auto"/>
                    <w:left w:val="none" w:sz="0" w:space="0" w:color="auto"/>
                    <w:bottom w:val="none" w:sz="0" w:space="0" w:color="auto"/>
                    <w:right w:val="none" w:sz="0" w:space="0" w:color="auto"/>
                  </w:divBdr>
                  <w:divsChild>
                    <w:div w:id="931472590">
                      <w:marLeft w:val="0"/>
                      <w:marRight w:val="0"/>
                      <w:marTop w:val="0"/>
                      <w:marBottom w:val="0"/>
                      <w:divBdr>
                        <w:top w:val="none" w:sz="0" w:space="0" w:color="auto"/>
                        <w:left w:val="none" w:sz="0" w:space="0" w:color="auto"/>
                        <w:bottom w:val="none" w:sz="0" w:space="0" w:color="auto"/>
                        <w:right w:val="none" w:sz="0" w:space="0" w:color="auto"/>
                      </w:divBdr>
                    </w:div>
                  </w:divsChild>
                </w:div>
                <w:div w:id="513299827">
                  <w:marLeft w:val="0"/>
                  <w:marRight w:val="0"/>
                  <w:marTop w:val="0"/>
                  <w:marBottom w:val="0"/>
                  <w:divBdr>
                    <w:top w:val="none" w:sz="0" w:space="0" w:color="auto"/>
                    <w:left w:val="none" w:sz="0" w:space="0" w:color="auto"/>
                    <w:bottom w:val="none" w:sz="0" w:space="0" w:color="auto"/>
                    <w:right w:val="none" w:sz="0" w:space="0" w:color="auto"/>
                  </w:divBdr>
                  <w:divsChild>
                    <w:div w:id="255987577">
                      <w:marLeft w:val="0"/>
                      <w:marRight w:val="0"/>
                      <w:marTop w:val="0"/>
                      <w:marBottom w:val="0"/>
                      <w:divBdr>
                        <w:top w:val="none" w:sz="0" w:space="0" w:color="auto"/>
                        <w:left w:val="none" w:sz="0" w:space="0" w:color="auto"/>
                        <w:bottom w:val="none" w:sz="0" w:space="0" w:color="auto"/>
                        <w:right w:val="none" w:sz="0" w:space="0" w:color="auto"/>
                      </w:divBdr>
                    </w:div>
                  </w:divsChild>
                </w:div>
                <w:div w:id="99230187">
                  <w:marLeft w:val="0"/>
                  <w:marRight w:val="0"/>
                  <w:marTop w:val="0"/>
                  <w:marBottom w:val="0"/>
                  <w:divBdr>
                    <w:top w:val="none" w:sz="0" w:space="0" w:color="auto"/>
                    <w:left w:val="none" w:sz="0" w:space="0" w:color="auto"/>
                    <w:bottom w:val="none" w:sz="0" w:space="0" w:color="auto"/>
                    <w:right w:val="none" w:sz="0" w:space="0" w:color="auto"/>
                  </w:divBdr>
                  <w:divsChild>
                    <w:div w:id="1343317943">
                      <w:marLeft w:val="0"/>
                      <w:marRight w:val="0"/>
                      <w:marTop w:val="0"/>
                      <w:marBottom w:val="0"/>
                      <w:divBdr>
                        <w:top w:val="none" w:sz="0" w:space="0" w:color="auto"/>
                        <w:left w:val="none" w:sz="0" w:space="0" w:color="auto"/>
                        <w:bottom w:val="none" w:sz="0" w:space="0" w:color="auto"/>
                        <w:right w:val="none" w:sz="0" w:space="0" w:color="auto"/>
                      </w:divBdr>
                    </w:div>
                  </w:divsChild>
                </w:div>
                <w:div w:id="1833568701">
                  <w:marLeft w:val="0"/>
                  <w:marRight w:val="0"/>
                  <w:marTop w:val="0"/>
                  <w:marBottom w:val="0"/>
                  <w:divBdr>
                    <w:top w:val="none" w:sz="0" w:space="0" w:color="auto"/>
                    <w:left w:val="none" w:sz="0" w:space="0" w:color="auto"/>
                    <w:bottom w:val="none" w:sz="0" w:space="0" w:color="auto"/>
                    <w:right w:val="none" w:sz="0" w:space="0" w:color="auto"/>
                  </w:divBdr>
                  <w:divsChild>
                    <w:div w:id="1455177855">
                      <w:marLeft w:val="0"/>
                      <w:marRight w:val="0"/>
                      <w:marTop w:val="0"/>
                      <w:marBottom w:val="0"/>
                      <w:divBdr>
                        <w:top w:val="none" w:sz="0" w:space="0" w:color="auto"/>
                        <w:left w:val="none" w:sz="0" w:space="0" w:color="auto"/>
                        <w:bottom w:val="none" w:sz="0" w:space="0" w:color="auto"/>
                        <w:right w:val="none" w:sz="0" w:space="0" w:color="auto"/>
                      </w:divBdr>
                    </w:div>
                  </w:divsChild>
                </w:div>
                <w:div w:id="660963083">
                  <w:marLeft w:val="0"/>
                  <w:marRight w:val="0"/>
                  <w:marTop w:val="0"/>
                  <w:marBottom w:val="0"/>
                  <w:divBdr>
                    <w:top w:val="none" w:sz="0" w:space="0" w:color="auto"/>
                    <w:left w:val="none" w:sz="0" w:space="0" w:color="auto"/>
                    <w:bottom w:val="none" w:sz="0" w:space="0" w:color="auto"/>
                    <w:right w:val="none" w:sz="0" w:space="0" w:color="auto"/>
                  </w:divBdr>
                  <w:divsChild>
                    <w:div w:id="521482615">
                      <w:marLeft w:val="0"/>
                      <w:marRight w:val="0"/>
                      <w:marTop w:val="0"/>
                      <w:marBottom w:val="0"/>
                      <w:divBdr>
                        <w:top w:val="none" w:sz="0" w:space="0" w:color="auto"/>
                        <w:left w:val="none" w:sz="0" w:space="0" w:color="auto"/>
                        <w:bottom w:val="none" w:sz="0" w:space="0" w:color="auto"/>
                        <w:right w:val="none" w:sz="0" w:space="0" w:color="auto"/>
                      </w:divBdr>
                    </w:div>
                  </w:divsChild>
                </w:div>
                <w:div w:id="1576284738">
                  <w:marLeft w:val="0"/>
                  <w:marRight w:val="0"/>
                  <w:marTop w:val="0"/>
                  <w:marBottom w:val="0"/>
                  <w:divBdr>
                    <w:top w:val="none" w:sz="0" w:space="0" w:color="auto"/>
                    <w:left w:val="none" w:sz="0" w:space="0" w:color="auto"/>
                    <w:bottom w:val="none" w:sz="0" w:space="0" w:color="auto"/>
                    <w:right w:val="none" w:sz="0" w:space="0" w:color="auto"/>
                  </w:divBdr>
                  <w:divsChild>
                    <w:div w:id="852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81792">
          <w:marLeft w:val="0"/>
          <w:marRight w:val="0"/>
          <w:marTop w:val="0"/>
          <w:marBottom w:val="0"/>
          <w:divBdr>
            <w:top w:val="none" w:sz="0" w:space="0" w:color="auto"/>
            <w:left w:val="none" w:sz="0" w:space="0" w:color="auto"/>
            <w:bottom w:val="none" w:sz="0" w:space="0" w:color="auto"/>
            <w:right w:val="none" w:sz="0" w:space="0" w:color="auto"/>
          </w:divBdr>
        </w:div>
        <w:div w:id="1630933848">
          <w:marLeft w:val="0"/>
          <w:marRight w:val="0"/>
          <w:marTop w:val="0"/>
          <w:marBottom w:val="0"/>
          <w:divBdr>
            <w:top w:val="none" w:sz="0" w:space="0" w:color="auto"/>
            <w:left w:val="none" w:sz="0" w:space="0" w:color="auto"/>
            <w:bottom w:val="none" w:sz="0" w:space="0" w:color="auto"/>
            <w:right w:val="none" w:sz="0" w:space="0" w:color="auto"/>
          </w:divBdr>
        </w:div>
        <w:div w:id="299000750">
          <w:marLeft w:val="0"/>
          <w:marRight w:val="0"/>
          <w:marTop w:val="0"/>
          <w:marBottom w:val="0"/>
          <w:divBdr>
            <w:top w:val="none" w:sz="0" w:space="0" w:color="auto"/>
            <w:left w:val="none" w:sz="0" w:space="0" w:color="auto"/>
            <w:bottom w:val="none" w:sz="0" w:space="0" w:color="auto"/>
            <w:right w:val="none" w:sz="0" w:space="0" w:color="auto"/>
          </w:divBdr>
        </w:div>
      </w:divsChild>
    </w:div>
    <w:div w:id="575480241">
      <w:bodyDiv w:val="1"/>
      <w:marLeft w:val="0"/>
      <w:marRight w:val="0"/>
      <w:marTop w:val="0"/>
      <w:marBottom w:val="0"/>
      <w:divBdr>
        <w:top w:val="none" w:sz="0" w:space="0" w:color="auto"/>
        <w:left w:val="none" w:sz="0" w:space="0" w:color="auto"/>
        <w:bottom w:val="none" w:sz="0" w:space="0" w:color="auto"/>
        <w:right w:val="none" w:sz="0" w:space="0" w:color="auto"/>
      </w:divBdr>
      <w:divsChild>
        <w:div w:id="1883011061">
          <w:marLeft w:val="274"/>
          <w:marRight w:val="0"/>
          <w:marTop w:val="0"/>
          <w:marBottom w:val="0"/>
          <w:divBdr>
            <w:top w:val="none" w:sz="0" w:space="0" w:color="auto"/>
            <w:left w:val="none" w:sz="0" w:space="0" w:color="auto"/>
            <w:bottom w:val="none" w:sz="0" w:space="0" w:color="auto"/>
            <w:right w:val="none" w:sz="0" w:space="0" w:color="auto"/>
          </w:divBdr>
        </w:div>
      </w:divsChild>
    </w:div>
    <w:div w:id="586230029">
      <w:bodyDiv w:val="1"/>
      <w:marLeft w:val="0"/>
      <w:marRight w:val="0"/>
      <w:marTop w:val="0"/>
      <w:marBottom w:val="0"/>
      <w:divBdr>
        <w:top w:val="none" w:sz="0" w:space="0" w:color="auto"/>
        <w:left w:val="none" w:sz="0" w:space="0" w:color="auto"/>
        <w:bottom w:val="none" w:sz="0" w:space="0" w:color="auto"/>
        <w:right w:val="none" w:sz="0" w:space="0" w:color="auto"/>
      </w:divBdr>
    </w:div>
    <w:div w:id="594021428">
      <w:bodyDiv w:val="1"/>
      <w:marLeft w:val="0"/>
      <w:marRight w:val="0"/>
      <w:marTop w:val="0"/>
      <w:marBottom w:val="0"/>
      <w:divBdr>
        <w:top w:val="none" w:sz="0" w:space="0" w:color="auto"/>
        <w:left w:val="none" w:sz="0" w:space="0" w:color="auto"/>
        <w:bottom w:val="none" w:sz="0" w:space="0" w:color="auto"/>
        <w:right w:val="none" w:sz="0" w:space="0" w:color="auto"/>
      </w:divBdr>
    </w:div>
    <w:div w:id="594552556">
      <w:bodyDiv w:val="1"/>
      <w:marLeft w:val="0"/>
      <w:marRight w:val="0"/>
      <w:marTop w:val="0"/>
      <w:marBottom w:val="0"/>
      <w:divBdr>
        <w:top w:val="none" w:sz="0" w:space="0" w:color="auto"/>
        <w:left w:val="none" w:sz="0" w:space="0" w:color="auto"/>
        <w:bottom w:val="none" w:sz="0" w:space="0" w:color="auto"/>
        <w:right w:val="none" w:sz="0" w:space="0" w:color="auto"/>
      </w:divBdr>
    </w:div>
    <w:div w:id="629479638">
      <w:bodyDiv w:val="1"/>
      <w:marLeft w:val="0"/>
      <w:marRight w:val="0"/>
      <w:marTop w:val="0"/>
      <w:marBottom w:val="0"/>
      <w:divBdr>
        <w:top w:val="none" w:sz="0" w:space="0" w:color="auto"/>
        <w:left w:val="none" w:sz="0" w:space="0" w:color="auto"/>
        <w:bottom w:val="none" w:sz="0" w:space="0" w:color="auto"/>
        <w:right w:val="none" w:sz="0" w:space="0" w:color="auto"/>
      </w:divBdr>
    </w:div>
    <w:div w:id="638149237">
      <w:bodyDiv w:val="1"/>
      <w:marLeft w:val="0"/>
      <w:marRight w:val="0"/>
      <w:marTop w:val="0"/>
      <w:marBottom w:val="0"/>
      <w:divBdr>
        <w:top w:val="none" w:sz="0" w:space="0" w:color="auto"/>
        <w:left w:val="none" w:sz="0" w:space="0" w:color="auto"/>
        <w:bottom w:val="none" w:sz="0" w:space="0" w:color="auto"/>
        <w:right w:val="none" w:sz="0" w:space="0" w:color="auto"/>
      </w:divBdr>
      <w:divsChild>
        <w:div w:id="1941837863">
          <w:marLeft w:val="274"/>
          <w:marRight w:val="0"/>
          <w:marTop w:val="0"/>
          <w:marBottom w:val="0"/>
          <w:divBdr>
            <w:top w:val="none" w:sz="0" w:space="0" w:color="auto"/>
            <w:left w:val="none" w:sz="0" w:space="0" w:color="auto"/>
            <w:bottom w:val="none" w:sz="0" w:space="0" w:color="auto"/>
            <w:right w:val="none" w:sz="0" w:space="0" w:color="auto"/>
          </w:divBdr>
        </w:div>
        <w:div w:id="1750422148">
          <w:marLeft w:val="274"/>
          <w:marRight w:val="0"/>
          <w:marTop w:val="0"/>
          <w:marBottom w:val="0"/>
          <w:divBdr>
            <w:top w:val="none" w:sz="0" w:space="0" w:color="auto"/>
            <w:left w:val="none" w:sz="0" w:space="0" w:color="auto"/>
            <w:bottom w:val="none" w:sz="0" w:space="0" w:color="auto"/>
            <w:right w:val="none" w:sz="0" w:space="0" w:color="auto"/>
          </w:divBdr>
        </w:div>
        <w:div w:id="1699115904">
          <w:marLeft w:val="274"/>
          <w:marRight w:val="0"/>
          <w:marTop w:val="0"/>
          <w:marBottom w:val="0"/>
          <w:divBdr>
            <w:top w:val="none" w:sz="0" w:space="0" w:color="auto"/>
            <w:left w:val="none" w:sz="0" w:space="0" w:color="auto"/>
            <w:bottom w:val="none" w:sz="0" w:space="0" w:color="auto"/>
            <w:right w:val="none" w:sz="0" w:space="0" w:color="auto"/>
          </w:divBdr>
        </w:div>
        <w:div w:id="1225991359">
          <w:marLeft w:val="274"/>
          <w:marRight w:val="0"/>
          <w:marTop w:val="0"/>
          <w:marBottom w:val="0"/>
          <w:divBdr>
            <w:top w:val="none" w:sz="0" w:space="0" w:color="auto"/>
            <w:left w:val="none" w:sz="0" w:space="0" w:color="auto"/>
            <w:bottom w:val="none" w:sz="0" w:space="0" w:color="auto"/>
            <w:right w:val="none" w:sz="0" w:space="0" w:color="auto"/>
          </w:divBdr>
        </w:div>
        <w:div w:id="1700620430">
          <w:marLeft w:val="274"/>
          <w:marRight w:val="0"/>
          <w:marTop w:val="0"/>
          <w:marBottom w:val="0"/>
          <w:divBdr>
            <w:top w:val="none" w:sz="0" w:space="0" w:color="auto"/>
            <w:left w:val="none" w:sz="0" w:space="0" w:color="auto"/>
            <w:bottom w:val="none" w:sz="0" w:space="0" w:color="auto"/>
            <w:right w:val="none" w:sz="0" w:space="0" w:color="auto"/>
          </w:divBdr>
        </w:div>
        <w:div w:id="719285041">
          <w:marLeft w:val="274"/>
          <w:marRight w:val="0"/>
          <w:marTop w:val="0"/>
          <w:marBottom w:val="0"/>
          <w:divBdr>
            <w:top w:val="none" w:sz="0" w:space="0" w:color="auto"/>
            <w:left w:val="none" w:sz="0" w:space="0" w:color="auto"/>
            <w:bottom w:val="none" w:sz="0" w:space="0" w:color="auto"/>
            <w:right w:val="none" w:sz="0" w:space="0" w:color="auto"/>
          </w:divBdr>
        </w:div>
        <w:div w:id="1079715813">
          <w:marLeft w:val="274"/>
          <w:marRight w:val="0"/>
          <w:marTop w:val="0"/>
          <w:marBottom w:val="0"/>
          <w:divBdr>
            <w:top w:val="none" w:sz="0" w:space="0" w:color="auto"/>
            <w:left w:val="none" w:sz="0" w:space="0" w:color="auto"/>
            <w:bottom w:val="none" w:sz="0" w:space="0" w:color="auto"/>
            <w:right w:val="none" w:sz="0" w:space="0" w:color="auto"/>
          </w:divBdr>
        </w:div>
        <w:div w:id="260988607">
          <w:marLeft w:val="274"/>
          <w:marRight w:val="0"/>
          <w:marTop w:val="0"/>
          <w:marBottom w:val="0"/>
          <w:divBdr>
            <w:top w:val="none" w:sz="0" w:space="0" w:color="auto"/>
            <w:left w:val="none" w:sz="0" w:space="0" w:color="auto"/>
            <w:bottom w:val="none" w:sz="0" w:space="0" w:color="auto"/>
            <w:right w:val="none" w:sz="0" w:space="0" w:color="auto"/>
          </w:divBdr>
        </w:div>
        <w:div w:id="1558081760">
          <w:marLeft w:val="274"/>
          <w:marRight w:val="0"/>
          <w:marTop w:val="0"/>
          <w:marBottom w:val="0"/>
          <w:divBdr>
            <w:top w:val="none" w:sz="0" w:space="0" w:color="auto"/>
            <w:left w:val="none" w:sz="0" w:space="0" w:color="auto"/>
            <w:bottom w:val="none" w:sz="0" w:space="0" w:color="auto"/>
            <w:right w:val="none" w:sz="0" w:space="0" w:color="auto"/>
          </w:divBdr>
        </w:div>
      </w:divsChild>
    </w:div>
    <w:div w:id="638536844">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sChild>
        <w:div w:id="36242769">
          <w:marLeft w:val="274"/>
          <w:marRight w:val="0"/>
          <w:marTop w:val="0"/>
          <w:marBottom w:val="0"/>
          <w:divBdr>
            <w:top w:val="none" w:sz="0" w:space="0" w:color="auto"/>
            <w:left w:val="none" w:sz="0" w:space="0" w:color="auto"/>
            <w:bottom w:val="none" w:sz="0" w:space="0" w:color="auto"/>
            <w:right w:val="none" w:sz="0" w:space="0" w:color="auto"/>
          </w:divBdr>
        </w:div>
        <w:div w:id="1293947532">
          <w:marLeft w:val="274"/>
          <w:marRight w:val="0"/>
          <w:marTop w:val="0"/>
          <w:marBottom w:val="0"/>
          <w:divBdr>
            <w:top w:val="none" w:sz="0" w:space="0" w:color="auto"/>
            <w:left w:val="none" w:sz="0" w:space="0" w:color="auto"/>
            <w:bottom w:val="none" w:sz="0" w:space="0" w:color="auto"/>
            <w:right w:val="none" w:sz="0" w:space="0" w:color="auto"/>
          </w:divBdr>
        </w:div>
        <w:div w:id="991715778">
          <w:marLeft w:val="274"/>
          <w:marRight w:val="0"/>
          <w:marTop w:val="0"/>
          <w:marBottom w:val="0"/>
          <w:divBdr>
            <w:top w:val="none" w:sz="0" w:space="0" w:color="auto"/>
            <w:left w:val="none" w:sz="0" w:space="0" w:color="auto"/>
            <w:bottom w:val="none" w:sz="0" w:space="0" w:color="auto"/>
            <w:right w:val="none" w:sz="0" w:space="0" w:color="auto"/>
          </w:divBdr>
        </w:div>
        <w:div w:id="207374433">
          <w:marLeft w:val="274"/>
          <w:marRight w:val="0"/>
          <w:marTop w:val="0"/>
          <w:marBottom w:val="0"/>
          <w:divBdr>
            <w:top w:val="none" w:sz="0" w:space="0" w:color="auto"/>
            <w:left w:val="none" w:sz="0" w:space="0" w:color="auto"/>
            <w:bottom w:val="none" w:sz="0" w:space="0" w:color="auto"/>
            <w:right w:val="none" w:sz="0" w:space="0" w:color="auto"/>
          </w:divBdr>
        </w:div>
        <w:div w:id="1501775312">
          <w:marLeft w:val="274"/>
          <w:marRight w:val="0"/>
          <w:marTop w:val="0"/>
          <w:marBottom w:val="0"/>
          <w:divBdr>
            <w:top w:val="none" w:sz="0" w:space="0" w:color="auto"/>
            <w:left w:val="none" w:sz="0" w:space="0" w:color="auto"/>
            <w:bottom w:val="none" w:sz="0" w:space="0" w:color="auto"/>
            <w:right w:val="none" w:sz="0" w:space="0" w:color="auto"/>
          </w:divBdr>
        </w:div>
        <w:div w:id="741756700">
          <w:marLeft w:val="274"/>
          <w:marRight w:val="0"/>
          <w:marTop w:val="0"/>
          <w:marBottom w:val="0"/>
          <w:divBdr>
            <w:top w:val="none" w:sz="0" w:space="0" w:color="auto"/>
            <w:left w:val="none" w:sz="0" w:space="0" w:color="auto"/>
            <w:bottom w:val="none" w:sz="0" w:space="0" w:color="auto"/>
            <w:right w:val="none" w:sz="0" w:space="0" w:color="auto"/>
          </w:divBdr>
        </w:div>
        <w:div w:id="1759599721">
          <w:marLeft w:val="274"/>
          <w:marRight w:val="0"/>
          <w:marTop w:val="0"/>
          <w:marBottom w:val="0"/>
          <w:divBdr>
            <w:top w:val="none" w:sz="0" w:space="0" w:color="auto"/>
            <w:left w:val="none" w:sz="0" w:space="0" w:color="auto"/>
            <w:bottom w:val="none" w:sz="0" w:space="0" w:color="auto"/>
            <w:right w:val="none" w:sz="0" w:space="0" w:color="auto"/>
          </w:divBdr>
        </w:div>
        <w:div w:id="1546216179">
          <w:marLeft w:val="274"/>
          <w:marRight w:val="0"/>
          <w:marTop w:val="0"/>
          <w:marBottom w:val="0"/>
          <w:divBdr>
            <w:top w:val="none" w:sz="0" w:space="0" w:color="auto"/>
            <w:left w:val="none" w:sz="0" w:space="0" w:color="auto"/>
            <w:bottom w:val="none" w:sz="0" w:space="0" w:color="auto"/>
            <w:right w:val="none" w:sz="0" w:space="0" w:color="auto"/>
          </w:divBdr>
        </w:div>
        <w:div w:id="1270358848">
          <w:marLeft w:val="274"/>
          <w:marRight w:val="0"/>
          <w:marTop w:val="0"/>
          <w:marBottom w:val="0"/>
          <w:divBdr>
            <w:top w:val="none" w:sz="0" w:space="0" w:color="auto"/>
            <w:left w:val="none" w:sz="0" w:space="0" w:color="auto"/>
            <w:bottom w:val="none" w:sz="0" w:space="0" w:color="auto"/>
            <w:right w:val="none" w:sz="0" w:space="0" w:color="auto"/>
          </w:divBdr>
        </w:div>
        <w:div w:id="65225233">
          <w:marLeft w:val="274"/>
          <w:marRight w:val="0"/>
          <w:marTop w:val="0"/>
          <w:marBottom w:val="0"/>
          <w:divBdr>
            <w:top w:val="none" w:sz="0" w:space="0" w:color="auto"/>
            <w:left w:val="none" w:sz="0" w:space="0" w:color="auto"/>
            <w:bottom w:val="none" w:sz="0" w:space="0" w:color="auto"/>
            <w:right w:val="none" w:sz="0" w:space="0" w:color="auto"/>
          </w:divBdr>
        </w:div>
        <w:div w:id="500508577">
          <w:marLeft w:val="274"/>
          <w:marRight w:val="0"/>
          <w:marTop w:val="0"/>
          <w:marBottom w:val="0"/>
          <w:divBdr>
            <w:top w:val="none" w:sz="0" w:space="0" w:color="auto"/>
            <w:left w:val="none" w:sz="0" w:space="0" w:color="auto"/>
            <w:bottom w:val="none" w:sz="0" w:space="0" w:color="auto"/>
            <w:right w:val="none" w:sz="0" w:space="0" w:color="auto"/>
          </w:divBdr>
        </w:div>
        <w:div w:id="762264633">
          <w:marLeft w:val="274"/>
          <w:marRight w:val="0"/>
          <w:marTop w:val="0"/>
          <w:marBottom w:val="0"/>
          <w:divBdr>
            <w:top w:val="none" w:sz="0" w:space="0" w:color="auto"/>
            <w:left w:val="none" w:sz="0" w:space="0" w:color="auto"/>
            <w:bottom w:val="none" w:sz="0" w:space="0" w:color="auto"/>
            <w:right w:val="none" w:sz="0" w:space="0" w:color="auto"/>
          </w:divBdr>
        </w:div>
        <w:div w:id="50691404">
          <w:marLeft w:val="274"/>
          <w:marRight w:val="0"/>
          <w:marTop w:val="0"/>
          <w:marBottom w:val="0"/>
          <w:divBdr>
            <w:top w:val="none" w:sz="0" w:space="0" w:color="auto"/>
            <w:left w:val="none" w:sz="0" w:space="0" w:color="auto"/>
            <w:bottom w:val="none" w:sz="0" w:space="0" w:color="auto"/>
            <w:right w:val="none" w:sz="0" w:space="0" w:color="auto"/>
          </w:divBdr>
        </w:div>
      </w:divsChild>
    </w:div>
    <w:div w:id="691079300">
      <w:bodyDiv w:val="1"/>
      <w:marLeft w:val="0"/>
      <w:marRight w:val="0"/>
      <w:marTop w:val="0"/>
      <w:marBottom w:val="0"/>
      <w:divBdr>
        <w:top w:val="none" w:sz="0" w:space="0" w:color="auto"/>
        <w:left w:val="none" w:sz="0" w:space="0" w:color="auto"/>
        <w:bottom w:val="none" w:sz="0" w:space="0" w:color="auto"/>
        <w:right w:val="none" w:sz="0" w:space="0" w:color="auto"/>
      </w:divBdr>
    </w:div>
    <w:div w:id="692153009">
      <w:bodyDiv w:val="1"/>
      <w:marLeft w:val="0"/>
      <w:marRight w:val="0"/>
      <w:marTop w:val="0"/>
      <w:marBottom w:val="0"/>
      <w:divBdr>
        <w:top w:val="none" w:sz="0" w:space="0" w:color="auto"/>
        <w:left w:val="none" w:sz="0" w:space="0" w:color="auto"/>
        <w:bottom w:val="none" w:sz="0" w:space="0" w:color="auto"/>
        <w:right w:val="none" w:sz="0" w:space="0" w:color="auto"/>
      </w:divBdr>
    </w:div>
    <w:div w:id="698551531">
      <w:bodyDiv w:val="1"/>
      <w:marLeft w:val="0"/>
      <w:marRight w:val="0"/>
      <w:marTop w:val="0"/>
      <w:marBottom w:val="0"/>
      <w:divBdr>
        <w:top w:val="none" w:sz="0" w:space="0" w:color="auto"/>
        <w:left w:val="none" w:sz="0" w:space="0" w:color="auto"/>
        <w:bottom w:val="none" w:sz="0" w:space="0" w:color="auto"/>
        <w:right w:val="none" w:sz="0" w:space="0" w:color="auto"/>
      </w:divBdr>
    </w:div>
    <w:div w:id="741605973">
      <w:bodyDiv w:val="1"/>
      <w:marLeft w:val="0"/>
      <w:marRight w:val="0"/>
      <w:marTop w:val="0"/>
      <w:marBottom w:val="0"/>
      <w:divBdr>
        <w:top w:val="none" w:sz="0" w:space="0" w:color="auto"/>
        <w:left w:val="none" w:sz="0" w:space="0" w:color="auto"/>
        <w:bottom w:val="none" w:sz="0" w:space="0" w:color="auto"/>
        <w:right w:val="none" w:sz="0" w:space="0" w:color="auto"/>
      </w:divBdr>
    </w:div>
    <w:div w:id="792090146">
      <w:bodyDiv w:val="1"/>
      <w:marLeft w:val="0"/>
      <w:marRight w:val="0"/>
      <w:marTop w:val="0"/>
      <w:marBottom w:val="0"/>
      <w:divBdr>
        <w:top w:val="none" w:sz="0" w:space="0" w:color="auto"/>
        <w:left w:val="none" w:sz="0" w:space="0" w:color="auto"/>
        <w:bottom w:val="none" w:sz="0" w:space="0" w:color="auto"/>
        <w:right w:val="none" w:sz="0" w:space="0" w:color="auto"/>
      </w:divBdr>
    </w:div>
    <w:div w:id="802771456">
      <w:bodyDiv w:val="1"/>
      <w:marLeft w:val="0"/>
      <w:marRight w:val="0"/>
      <w:marTop w:val="0"/>
      <w:marBottom w:val="0"/>
      <w:divBdr>
        <w:top w:val="none" w:sz="0" w:space="0" w:color="auto"/>
        <w:left w:val="none" w:sz="0" w:space="0" w:color="auto"/>
        <w:bottom w:val="none" w:sz="0" w:space="0" w:color="auto"/>
        <w:right w:val="none" w:sz="0" w:space="0" w:color="auto"/>
      </w:divBdr>
    </w:div>
    <w:div w:id="805197476">
      <w:bodyDiv w:val="1"/>
      <w:marLeft w:val="0"/>
      <w:marRight w:val="0"/>
      <w:marTop w:val="0"/>
      <w:marBottom w:val="0"/>
      <w:divBdr>
        <w:top w:val="none" w:sz="0" w:space="0" w:color="auto"/>
        <w:left w:val="none" w:sz="0" w:space="0" w:color="auto"/>
        <w:bottom w:val="none" w:sz="0" w:space="0" w:color="auto"/>
        <w:right w:val="none" w:sz="0" w:space="0" w:color="auto"/>
      </w:divBdr>
    </w:div>
    <w:div w:id="814448460">
      <w:bodyDiv w:val="1"/>
      <w:marLeft w:val="0"/>
      <w:marRight w:val="0"/>
      <w:marTop w:val="0"/>
      <w:marBottom w:val="0"/>
      <w:divBdr>
        <w:top w:val="none" w:sz="0" w:space="0" w:color="auto"/>
        <w:left w:val="none" w:sz="0" w:space="0" w:color="auto"/>
        <w:bottom w:val="none" w:sz="0" w:space="0" w:color="auto"/>
        <w:right w:val="none" w:sz="0" w:space="0" w:color="auto"/>
      </w:divBdr>
    </w:div>
    <w:div w:id="822894512">
      <w:bodyDiv w:val="1"/>
      <w:marLeft w:val="0"/>
      <w:marRight w:val="0"/>
      <w:marTop w:val="0"/>
      <w:marBottom w:val="0"/>
      <w:divBdr>
        <w:top w:val="none" w:sz="0" w:space="0" w:color="auto"/>
        <w:left w:val="none" w:sz="0" w:space="0" w:color="auto"/>
        <w:bottom w:val="none" w:sz="0" w:space="0" w:color="auto"/>
        <w:right w:val="none" w:sz="0" w:space="0" w:color="auto"/>
      </w:divBdr>
    </w:div>
    <w:div w:id="832600870">
      <w:bodyDiv w:val="1"/>
      <w:marLeft w:val="0"/>
      <w:marRight w:val="0"/>
      <w:marTop w:val="0"/>
      <w:marBottom w:val="0"/>
      <w:divBdr>
        <w:top w:val="none" w:sz="0" w:space="0" w:color="auto"/>
        <w:left w:val="none" w:sz="0" w:space="0" w:color="auto"/>
        <w:bottom w:val="none" w:sz="0" w:space="0" w:color="auto"/>
        <w:right w:val="none" w:sz="0" w:space="0" w:color="auto"/>
      </w:divBdr>
      <w:divsChild>
        <w:div w:id="886067640">
          <w:marLeft w:val="0"/>
          <w:marRight w:val="0"/>
          <w:marTop w:val="0"/>
          <w:marBottom w:val="0"/>
          <w:divBdr>
            <w:top w:val="none" w:sz="0" w:space="0" w:color="auto"/>
            <w:left w:val="none" w:sz="0" w:space="0" w:color="auto"/>
            <w:bottom w:val="none" w:sz="0" w:space="0" w:color="auto"/>
            <w:right w:val="none" w:sz="0" w:space="0" w:color="auto"/>
          </w:divBdr>
          <w:divsChild>
            <w:div w:id="665015116">
              <w:marLeft w:val="0"/>
              <w:marRight w:val="0"/>
              <w:marTop w:val="0"/>
              <w:marBottom w:val="0"/>
              <w:divBdr>
                <w:top w:val="none" w:sz="0" w:space="0" w:color="auto"/>
                <w:left w:val="none" w:sz="0" w:space="0" w:color="auto"/>
                <w:bottom w:val="none" w:sz="0" w:space="0" w:color="auto"/>
                <w:right w:val="none" w:sz="0" w:space="0" w:color="auto"/>
              </w:divBdr>
              <w:divsChild>
                <w:div w:id="1728914809">
                  <w:marLeft w:val="0"/>
                  <w:marRight w:val="0"/>
                  <w:marTop w:val="0"/>
                  <w:marBottom w:val="0"/>
                  <w:divBdr>
                    <w:top w:val="none" w:sz="0" w:space="0" w:color="auto"/>
                    <w:left w:val="none" w:sz="0" w:space="0" w:color="auto"/>
                    <w:bottom w:val="none" w:sz="0" w:space="0" w:color="auto"/>
                    <w:right w:val="none" w:sz="0" w:space="0" w:color="auto"/>
                  </w:divBdr>
                  <w:divsChild>
                    <w:div w:id="1688172245">
                      <w:marLeft w:val="0"/>
                      <w:marRight w:val="0"/>
                      <w:marTop w:val="0"/>
                      <w:marBottom w:val="0"/>
                      <w:divBdr>
                        <w:top w:val="none" w:sz="0" w:space="0" w:color="auto"/>
                        <w:left w:val="none" w:sz="0" w:space="0" w:color="auto"/>
                        <w:bottom w:val="none" w:sz="0" w:space="0" w:color="auto"/>
                        <w:right w:val="none" w:sz="0" w:space="0" w:color="auto"/>
                      </w:divBdr>
                      <w:divsChild>
                        <w:div w:id="29926914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791675">
      <w:bodyDiv w:val="1"/>
      <w:marLeft w:val="0"/>
      <w:marRight w:val="0"/>
      <w:marTop w:val="0"/>
      <w:marBottom w:val="0"/>
      <w:divBdr>
        <w:top w:val="none" w:sz="0" w:space="0" w:color="auto"/>
        <w:left w:val="none" w:sz="0" w:space="0" w:color="auto"/>
        <w:bottom w:val="none" w:sz="0" w:space="0" w:color="auto"/>
        <w:right w:val="none" w:sz="0" w:space="0" w:color="auto"/>
      </w:divBdr>
      <w:divsChild>
        <w:div w:id="1518041810">
          <w:marLeft w:val="274"/>
          <w:marRight w:val="0"/>
          <w:marTop w:val="0"/>
          <w:marBottom w:val="0"/>
          <w:divBdr>
            <w:top w:val="none" w:sz="0" w:space="0" w:color="auto"/>
            <w:left w:val="none" w:sz="0" w:space="0" w:color="auto"/>
            <w:bottom w:val="none" w:sz="0" w:space="0" w:color="auto"/>
            <w:right w:val="none" w:sz="0" w:space="0" w:color="auto"/>
          </w:divBdr>
        </w:div>
        <w:div w:id="1029994762">
          <w:marLeft w:val="274"/>
          <w:marRight w:val="0"/>
          <w:marTop w:val="0"/>
          <w:marBottom w:val="0"/>
          <w:divBdr>
            <w:top w:val="none" w:sz="0" w:space="0" w:color="auto"/>
            <w:left w:val="none" w:sz="0" w:space="0" w:color="auto"/>
            <w:bottom w:val="none" w:sz="0" w:space="0" w:color="auto"/>
            <w:right w:val="none" w:sz="0" w:space="0" w:color="auto"/>
          </w:divBdr>
        </w:div>
        <w:div w:id="872039731">
          <w:marLeft w:val="274"/>
          <w:marRight w:val="0"/>
          <w:marTop w:val="0"/>
          <w:marBottom w:val="0"/>
          <w:divBdr>
            <w:top w:val="none" w:sz="0" w:space="0" w:color="auto"/>
            <w:left w:val="none" w:sz="0" w:space="0" w:color="auto"/>
            <w:bottom w:val="none" w:sz="0" w:space="0" w:color="auto"/>
            <w:right w:val="none" w:sz="0" w:space="0" w:color="auto"/>
          </w:divBdr>
        </w:div>
        <w:div w:id="1777669908">
          <w:marLeft w:val="274"/>
          <w:marRight w:val="0"/>
          <w:marTop w:val="0"/>
          <w:marBottom w:val="0"/>
          <w:divBdr>
            <w:top w:val="none" w:sz="0" w:space="0" w:color="auto"/>
            <w:left w:val="none" w:sz="0" w:space="0" w:color="auto"/>
            <w:bottom w:val="none" w:sz="0" w:space="0" w:color="auto"/>
            <w:right w:val="none" w:sz="0" w:space="0" w:color="auto"/>
          </w:divBdr>
        </w:div>
        <w:div w:id="344600978">
          <w:marLeft w:val="274"/>
          <w:marRight w:val="0"/>
          <w:marTop w:val="0"/>
          <w:marBottom w:val="0"/>
          <w:divBdr>
            <w:top w:val="none" w:sz="0" w:space="0" w:color="auto"/>
            <w:left w:val="none" w:sz="0" w:space="0" w:color="auto"/>
            <w:bottom w:val="none" w:sz="0" w:space="0" w:color="auto"/>
            <w:right w:val="none" w:sz="0" w:space="0" w:color="auto"/>
          </w:divBdr>
        </w:div>
      </w:divsChild>
    </w:div>
    <w:div w:id="858196984">
      <w:bodyDiv w:val="1"/>
      <w:marLeft w:val="0"/>
      <w:marRight w:val="0"/>
      <w:marTop w:val="0"/>
      <w:marBottom w:val="0"/>
      <w:divBdr>
        <w:top w:val="none" w:sz="0" w:space="0" w:color="auto"/>
        <w:left w:val="none" w:sz="0" w:space="0" w:color="auto"/>
        <w:bottom w:val="none" w:sz="0" w:space="0" w:color="auto"/>
        <w:right w:val="none" w:sz="0" w:space="0" w:color="auto"/>
      </w:divBdr>
    </w:div>
    <w:div w:id="861088561">
      <w:bodyDiv w:val="1"/>
      <w:marLeft w:val="0"/>
      <w:marRight w:val="0"/>
      <w:marTop w:val="0"/>
      <w:marBottom w:val="0"/>
      <w:divBdr>
        <w:top w:val="none" w:sz="0" w:space="0" w:color="auto"/>
        <w:left w:val="none" w:sz="0" w:space="0" w:color="auto"/>
        <w:bottom w:val="none" w:sz="0" w:space="0" w:color="auto"/>
        <w:right w:val="none" w:sz="0" w:space="0" w:color="auto"/>
      </w:divBdr>
    </w:div>
    <w:div w:id="867565633">
      <w:bodyDiv w:val="1"/>
      <w:marLeft w:val="0"/>
      <w:marRight w:val="0"/>
      <w:marTop w:val="0"/>
      <w:marBottom w:val="0"/>
      <w:divBdr>
        <w:top w:val="none" w:sz="0" w:space="0" w:color="auto"/>
        <w:left w:val="none" w:sz="0" w:space="0" w:color="auto"/>
        <w:bottom w:val="none" w:sz="0" w:space="0" w:color="auto"/>
        <w:right w:val="none" w:sz="0" w:space="0" w:color="auto"/>
      </w:divBdr>
    </w:div>
    <w:div w:id="872814307">
      <w:bodyDiv w:val="1"/>
      <w:marLeft w:val="0"/>
      <w:marRight w:val="0"/>
      <w:marTop w:val="0"/>
      <w:marBottom w:val="0"/>
      <w:divBdr>
        <w:top w:val="none" w:sz="0" w:space="0" w:color="auto"/>
        <w:left w:val="none" w:sz="0" w:space="0" w:color="auto"/>
        <w:bottom w:val="none" w:sz="0" w:space="0" w:color="auto"/>
        <w:right w:val="none" w:sz="0" w:space="0" w:color="auto"/>
      </w:divBdr>
      <w:divsChild>
        <w:div w:id="1877741109">
          <w:marLeft w:val="274"/>
          <w:marRight w:val="0"/>
          <w:marTop w:val="0"/>
          <w:marBottom w:val="0"/>
          <w:divBdr>
            <w:top w:val="none" w:sz="0" w:space="0" w:color="auto"/>
            <w:left w:val="none" w:sz="0" w:space="0" w:color="auto"/>
            <w:bottom w:val="none" w:sz="0" w:space="0" w:color="auto"/>
            <w:right w:val="none" w:sz="0" w:space="0" w:color="auto"/>
          </w:divBdr>
        </w:div>
        <w:div w:id="383330088">
          <w:marLeft w:val="274"/>
          <w:marRight w:val="0"/>
          <w:marTop w:val="0"/>
          <w:marBottom w:val="0"/>
          <w:divBdr>
            <w:top w:val="none" w:sz="0" w:space="0" w:color="auto"/>
            <w:left w:val="none" w:sz="0" w:space="0" w:color="auto"/>
            <w:bottom w:val="none" w:sz="0" w:space="0" w:color="auto"/>
            <w:right w:val="none" w:sz="0" w:space="0" w:color="auto"/>
          </w:divBdr>
        </w:div>
        <w:div w:id="716777930">
          <w:marLeft w:val="274"/>
          <w:marRight w:val="0"/>
          <w:marTop w:val="0"/>
          <w:marBottom w:val="0"/>
          <w:divBdr>
            <w:top w:val="none" w:sz="0" w:space="0" w:color="auto"/>
            <w:left w:val="none" w:sz="0" w:space="0" w:color="auto"/>
            <w:bottom w:val="none" w:sz="0" w:space="0" w:color="auto"/>
            <w:right w:val="none" w:sz="0" w:space="0" w:color="auto"/>
          </w:divBdr>
        </w:div>
      </w:divsChild>
    </w:div>
    <w:div w:id="876505692">
      <w:bodyDiv w:val="1"/>
      <w:marLeft w:val="0"/>
      <w:marRight w:val="0"/>
      <w:marTop w:val="0"/>
      <w:marBottom w:val="0"/>
      <w:divBdr>
        <w:top w:val="none" w:sz="0" w:space="0" w:color="auto"/>
        <w:left w:val="none" w:sz="0" w:space="0" w:color="auto"/>
        <w:bottom w:val="none" w:sz="0" w:space="0" w:color="auto"/>
        <w:right w:val="none" w:sz="0" w:space="0" w:color="auto"/>
      </w:divBdr>
      <w:divsChild>
        <w:div w:id="1356229231">
          <w:marLeft w:val="274"/>
          <w:marRight w:val="0"/>
          <w:marTop w:val="0"/>
          <w:marBottom w:val="0"/>
          <w:divBdr>
            <w:top w:val="none" w:sz="0" w:space="0" w:color="auto"/>
            <w:left w:val="none" w:sz="0" w:space="0" w:color="auto"/>
            <w:bottom w:val="none" w:sz="0" w:space="0" w:color="auto"/>
            <w:right w:val="none" w:sz="0" w:space="0" w:color="auto"/>
          </w:divBdr>
        </w:div>
        <w:div w:id="538858941">
          <w:marLeft w:val="274"/>
          <w:marRight w:val="0"/>
          <w:marTop w:val="0"/>
          <w:marBottom w:val="0"/>
          <w:divBdr>
            <w:top w:val="none" w:sz="0" w:space="0" w:color="auto"/>
            <w:left w:val="none" w:sz="0" w:space="0" w:color="auto"/>
            <w:bottom w:val="none" w:sz="0" w:space="0" w:color="auto"/>
            <w:right w:val="none" w:sz="0" w:space="0" w:color="auto"/>
          </w:divBdr>
        </w:div>
        <w:div w:id="85081749">
          <w:marLeft w:val="274"/>
          <w:marRight w:val="0"/>
          <w:marTop w:val="0"/>
          <w:marBottom w:val="0"/>
          <w:divBdr>
            <w:top w:val="none" w:sz="0" w:space="0" w:color="auto"/>
            <w:left w:val="none" w:sz="0" w:space="0" w:color="auto"/>
            <w:bottom w:val="none" w:sz="0" w:space="0" w:color="auto"/>
            <w:right w:val="none" w:sz="0" w:space="0" w:color="auto"/>
          </w:divBdr>
        </w:div>
        <w:div w:id="1932082594">
          <w:marLeft w:val="274"/>
          <w:marRight w:val="0"/>
          <w:marTop w:val="0"/>
          <w:marBottom w:val="0"/>
          <w:divBdr>
            <w:top w:val="none" w:sz="0" w:space="0" w:color="auto"/>
            <w:left w:val="none" w:sz="0" w:space="0" w:color="auto"/>
            <w:bottom w:val="none" w:sz="0" w:space="0" w:color="auto"/>
            <w:right w:val="none" w:sz="0" w:space="0" w:color="auto"/>
          </w:divBdr>
        </w:div>
        <w:div w:id="1195382852">
          <w:marLeft w:val="274"/>
          <w:marRight w:val="0"/>
          <w:marTop w:val="0"/>
          <w:marBottom w:val="0"/>
          <w:divBdr>
            <w:top w:val="none" w:sz="0" w:space="0" w:color="auto"/>
            <w:left w:val="none" w:sz="0" w:space="0" w:color="auto"/>
            <w:bottom w:val="none" w:sz="0" w:space="0" w:color="auto"/>
            <w:right w:val="none" w:sz="0" w:space="0" w:color="auto"/>
          </w:divBdr>
        </w:div>
        <w:div w:id="766313231">
          <w:marLeft w:val="274"/>
          <w:marRight w:val="0"/>
          <w:marTop w:val="0"/>
          <w:marBottom w:val="0"/>
          <w:divBdr>
            <w:top w:val="none" w:sz="0" w:space="0" w:color="auto"/>
            <w:left w:val="none" w:sz="0" w:space="0" w:color="auto"/>
            <w:bottom w:val="none" w:sz="0" w:space="0" w:color="auto"/>
            <w:right w:val="none" w:sz="0" w:space="0" w:color="auto"/>
          </w:divBdr>
        </w:div>
        <w:div w:id="571699021">
          <w:marLeft w:val="274"/>
          <w:marRight w:val="0"/>
          <w:marTop w:val="0"/>
          <w:marBottom w:val="0"/>
          <w:divBdr>
            <w:top w:val="none" w:sz="0" w:space="0" w:color="auto"/>
            <w:left w:val="none" w:sz="0" w:space="0" w:color="auto"/>
            <w:bottom w:val="none" w:sz="0" w:space="0" w:color="auto"/>
            <w:right w:val="none" w:sz="0" w:space="0" w:color="auto"/>
          </w:divBdr>
        </w:div>
        <w:div w:id="1819297890">
          <w:marLeft w:val="274"/>
          <w:marRight w:val="0"/>
          <w:marTop w:val="0"/>
          <w:marBottom w:val="0"/>
          <w:divBdr>
            <w:top w:val="none" w:sz="0" w:space="0" w:color="auto"/>
            <w:left w:val="none" w:sz="0" w:space="0" w:color="auto"/>
            <w:bottom w:val="none" w:sz="0" w:space="0" w:color="auto"/>
            <w:right w:val="none" w:sz="0" w:space="0" w:color="auto"/>
          </w:divBdr>
        </w:div>
        <w:div w:id="1013649953">
          <w:marLeft w:val="274"/>
          <w:marRight w:val="0"/>
          <w:marTop w:val="0"/>
          <w:marBottom w:val="0"/>
          <w:divBdr>
            <w:top w:val="none" w:sz="0" w:space="0" w:color="auto"/>
            <w:left w:val="none" w:sz="0" w:space="0" w:color="auto"/>
            <w:bottom w:val="none" w:sz="0" w:space="0" w:color="auto"/>
            <w:right w:val="none" w:sz="0" w:space="0" w:color="auto"/>
          </w:divBdr>
        </w:div>
        <w:div w:id="1511290799">
          <w:marLeft w:val="274"/>
          <w:marRight w:val="0"/>
          <w:marTop w:val="0"/>
          <w:marBottom w:val="0"/>
          <w:divBdr>
            <w:top w:val="none" w:sz="0" w:space="0" w:color="auto"/>
            <w:left w:val="none" w:sz="0" w:space="0" w:color="auto"/>
            <w:bottom w:val="none" w:sz="0" w:space="0" w:color="auto"/>
            <w:right w:val="none" w:sz="0" w:space="0" w:color="auto"/>
          </w:divBdr>
        </w:div>
        <w:div w:id="266162410">
          <w:marLeft w:val="274"/>
          <w:marRight w:val="0"/>
          <w:marTop w:val="0"/>
          <w:marBottom w:val="0"/>
          <w:divBdr>
            <w:top w:val="none" w:sz="0" w:space="0" w:color="auto"/>
            <w:left w:val="none" w:sz="0" w:space="0" w:color="auto"/>
            <w:bottom w:val="none" w:sz="0" w:space="0" w:color="auto"/>
            <w:right w:val="none" w:sz="0" w:space="0" w:color="auto"/>
          </w:divBdr>
        </w:div>
        <w:div w:id="2035500715">
          <w:marLeft w:val="274"/>
          <w:marRight w:val="0"/>
          <w:marTop w:val="0"/>
          <w:marBottom w:val="0"/>
          <w:divBdr>
            <w:top w:val="none" w:sz="0" w:space="0" w:color="auto"/>
            <w:left w:val="none" w:sz="0" w:space="0" w:color="auto"/>
            <w:bottom w:val="none" w:sz="0" w:space="0" w:color="auto"/>
            <w:right w:val="none" w:sz="0" w:space="0" w:color="auto"/>
          </w:divBdr>
        </w:div>
        <w:div w:id="1521504967">
          <w:marLeft w:val="274"/>
          <w:marRight w:val="0"/>
          <w:marTop w:val="0"/>
          <w:marBottom w:val="0"/>
          <w:divBdr>
            <w:top w:val="none" w:sz="0" w:space="0" w:color="auto"/>
            <w:left w:val="none" w:sz="0" w:space="0" w:color="auto"/>
            <w:bottom w:val="none" w:sz="0" w:space="0" w:color="auto"/>
            <w:right w:val="none" w:sz="0" w:space="0" w:color="auto"/>
          </w:divBdr>
        </w:div>
      </w:divsChild>
    </w:div>
    <w:div w:id="878052407">
      <w:bodyDiv w:val="1"/>
      <w:marLeft w:val="0"/>
      <w:marRight w:val="0"/>
      <w:marTop w:val="0"/>
      <w:marBottom w:val="0"/>
      <w:divBdr>
        <w:top w:val="none" w:sz="0" w:space="0" w:color="auto"/>
        <w:left w:val="none" w:sz="0" w:space="0" w:color="auto"/>
        <w:bottom w:val="none" w:sz="0" w:space="0" w:color="auto"/>
        <w:right w:val="none" w:sz="0" w:space="0" w:color="auto"/>
      </w:divBdr>
    </w:div>
    <w:div w:id="881862667">
      <w:bodyDiv w:val="1"/>
      <w:marLeft w:val="0"/>
      <w:marRight w:val="0"/>
      <w:marTop w:val="0"/>
      <w:marBottom w:val="0"/>
      <w:divBdr>
        <w:top w:val="none" w:sz="0" w:space="0" w:color="auto"/>
        <w:left w:val="none" w:sz="0" w:space="0" w:color="auto"/>
        <w:bottom w:val="none" w:sz="0" w:space="0" w:color="auto"/>
        <w:right w:val="none" w:sz="0" w:space="0" w:color="auto"/>
      </w:divBdr>
      <w:divsChild>
        <w:div w:id="1104307206">
          <w:marLeft w:val="0"/>
          <w:marRight w:val="0"/>
          <w:marTop w:val="0"/>
          <w:marBottom w:val="0"/>
          <w:divBdr>
            <w:top w:val="none" w:sz="0" w:space="0" w:color="auto"/>
            <w:left w:val="none" w:sz="0" w:space="0" w:color="auto"/>
            <w:bottom w:val="none" w:sz="0" w:space="0" w:color="auto"/>
            <w:right w:val="none" w:sz="0" w:space="0" w:color="auto"/>
          </w:divBdr>
        </w:div>
        <w:div w:id="1346515759">
          <w:marLeft w:val="0"/>
          <w:marRight w:val="0"/>
          <w:marTop w:val="0"/>
          <w:marBottom w:val="0"/>
          <w:divBdr>
            <w:top w:val="none" w:sz="0" w:space="0" w:color="auto"/>
            <w:left w:val="none" w:sz="0" w:space="0" w:color="auto"/>
            <w:bottom w:val="none" w:sz="0" w:space="0" w:color="auto"/>
            <w:right w:val="none" w:sz="0" w:space="0" w:color="auto"/>
          </w:divBdr>
        </w:div>
        <w:div w:id="1021784689">
          <w:marLeft w:val="0"/>
          <w:marRight w:val="0"/>
          <w:marTop w:val="0"/>
          <w:marBottom w:val="0"/>
          <w:divBdr>
            <w:top w:val="none" w:sz="0" w:space="0" w:color="auto"/>
            <w:left w:val="none" w:sz="0" w:space="0" w:color="auto"/>
            <w:bottom w:val="none" w:sz="0" w:space="0" w:color="auto"/>
            <w:right w:val="none" w:sz="0" w:space="0" w:color="auto"/>
          </w:divBdr>
          <w:divsChild>
            <w:div w:id="1307273975">
              <w:marLeft w:val="-75"/>
              <w:marRight w:val="0"/>
              <w:marTop w:val="30"/>
              <w:marBottom w:val="30"/>
              <w:divBdr>
                <w:top w:val="none" w:sz="0" w:space="0" w:color="auto"/>
                <w:left w:val="none" w:sz="0" w:space="0" w:color="auto"/>
                <w:bottom w:val="none" w:sz="0" w:space="0" w:color="auto"/>
                <w:right w:val="none" w:sz="0" w:space="0" w:color="auto"/>
              </w:divBdr>
              <w:divsChild>
                <w:div w:id="1837502216">
                  <w:marLeft w:val="0"/>
                  <w:marRight w:val="0"/>
                  <w:marTop w:val="0"/>
                  <w:marBottom w:val="0"/>
                  <w:divBdr>
                    <w:top w:val="none" w:sz="0" w:space="0" w:color="auto"/>
                    <w:left w:val="none" w:sz="0" w:space="0" w:color="auto"/>
                    <w:bottom w:val="none" w:sz="0" w:space="0" w:color="auto"/>
                    <w:right w:val="none" w:sz="0" w:space="0" w:color="auto"/>
                  </w:divBdr>
                  <w:divsChild>
                    <w:div w:id="469522097">
                      <w:marLeft w:val="0"/>
                      <w:marRight w:val="0"/>
                      <w:marTop w:val="0"/>
                      <w:marBottom w:val="0"/>
                      <w:divBdr>
                        <w:top w:val="none" w:sz="0" w:space="0" w:color="auto"/>
                        <w:left w:val="none" w:sz="0" w:space="0" w:color="auto"/>
                        <w:bottom w:val="none" w:sz="0" w:space="0" w:color="auto"/>
                        <w:right w:val="none" w:sz="0" w:space="0" w:color="auto"/>
                      </w:divBdr>
                    </w:div>
                    <w:div w:id="1957788743">
                      <w:marLeft w:val="0"/>
                      <w:marRight w:val="0"/>
                      <w:marTop w:val="0"/>
                      <w:marBottom w:val="0"/>
                      <w:divBdr>
                        <w:top w:val="none" w:sz="0" w:space="0" w:color="auto"/>
                        <w:left w:val="none" w:sz="0" w:space="0" w:color="auto"/>
                        <w:bottom w:val="none" w:sz="0" w:space="0" w:color="auto"/>
                        <w:right w:val="none" w:sz="0" w:space="0" w:color="auto"/>
                      </w:divBdr>
                    </w:div>
                  </w:divsChild>
                </w:div>
                <w:div w:id="1861158906">
                  <w:marLeft w:val="0"/>
                  <w:marRight w:val="0"/>
                  <w:marTop w:val="0"/>
                  <w:marBottom w:val="0"/>
                  <w:divBdr>
                    <w:top w:val="none" w:sz="0" w:space="0" w:color="auto"/>
                    <w:left w:val="none" w:sz="0" w:space="0" w:color="auto"/>
                    <w:bottom w:val="none" w:sz="0" w:space="0" w:color="auto"/>
                    <w:right w:val="none" w:sz="0" w:space="0" w:color="auto"/>
                  </w:divBdr>
                  <w:divsChild>
                    <w:div w:id="809129015">
                      <w:marLeft w:val="0"/>
                      <w:marRight w:val="0"/>
                      <w:marTop w:val="0"/>
                      <w:marBottom w:val="0"/>
                      <w:divBdr>
                        <w:top w:val="none" w:sz="0" w:space="0" w:color="auto"/>
                        <w:left w:val="none" w:sz="0" w:space="0" w:color="auto"/>
                        <w:bottom w:val="none" w:sz="0" w:space="0" w:color="auto"/>
                        <w:right w:val="none" w:sz="0" w:space="0" w:color="auto"/>
                      </w:divBdr>
                    </w:div>
                  </w:divsChild>
                </w:div>
                <w:div w:id="1017847571">
                  <w:marLeft w:val="0"/>
                  <w:marRight w:val="0"/>
                  <w:marTop w:val="0"/>
                  <w:marBottom w:val="0"/>
                  <w:divBdr>
                    <w:top w:val="none" w:sz="0" w:space="0" w:color="auto"/>
                    <w:left w:val="none" w:sz="0" w:space="0" w:color="auto"/>
                    <w:bottom w:val="none" w:sz="0" w:space="0" w:color="auto"/>
                    <w:right w:val="none" w:sz="0" w:space="0" w:color="auto"/>
                  </w:divBdr>
                  <w:divsChild>
                    <w:div w:id="427845974">
                      <w:marLeft w:val="0"/>
                      <w:marRight w:val="0"/>
                      <w:marTop w:val="0"/>
                      <w:marBottom w:val="0"/>
                      <w:divBdr>
                        <w:top w:val="none" w:sz="0" w:space="0" w:color="auto"/>
                        <w:left w:val="none" w:sz="0" w:space="0" w:color="auto"/>
                        <w:bottom w:val="none" w:sz="0" w:space="0" w:color="auto"/>
                        <w:right w:val="none" w:sz="0" w:space="0" w:color="auto"/>
                      </w:divBdr>
                    </w:div>
                  </w:divsChild>
                </w:div>
                <w:div w:id="530653386">
                  <w:marLeft w:val="0"/>
                  <w:marRight w:val="0"/>
                  <w:marTop w:val="0"/>
                  <w:marBottom w:val="0"/>
                  <w:divBdr>
                    <w:top w:val="none" w:sz="0" w:space="0" w:color="auto"/>
                    <w:left w:val="none" w:sz="0" w:space="0" w:color="auto"/>
                    <w:bottom w:val="none" w:sz="0" w:space="0" w:color="auto"/>
                    <w:right w:val="none" w:sz="0" w:space="0" w:color="auto"/>
                  </w:divBdr>
                  <w:divsChild>
                    <w:div w:id="1064721529">
                      <w:marLeft w:val="0"/>
                      <w:marRight w:val="0"/>
                      <w:marTop w:val="0"/>
                      <w:marBottom w:val="0"/>
                      <w:divBdr>
                        <w:top w:val="none" w:sz="0" w:space="0" w:color="auto"/>
                        <w:left w:val="none" w:sz="0" w:space="0" w:color="auto"/>
                        <w:bottom w:val="none" w:sz="0" w:space="0" w:color="auto"/>
                        <w:right w:val="none" w:sz="0" w:space="0" w:color="auto"/>
                      </w:divBdr>
                    </w:div>
                  </w:divsChild>
                </w:div>
                <w:div w:id="774904025">
                  <w:marLeft w:val="0"/>
                  <w:marRight w:val="0"/>
                  <w:marTop w:val="0"/>
                  <w:marBottom w:val="0"/>
                  <w:divBdr>
                    <w:top w:val="none" w:sz="0" w:space="0" w:color="auto"/>
                    <w:left w:val="none" w:sz="0" w:space="0" w:color="auto"/>
                    <w:bottom w:val="none" w:sz="0" w:space="0" w:color="auto"/>
                    <w:right w:val="none" w:sz="0" w:space="0" w:color="auto"/>
                  </w:divBdr>
                  <w:divsChild>
                    <w:div w:id="1792237439">
                      <w:marLeft w:val="0"/>
                      <w:marRight w:val="0"/>
                      <w:marTop w:val="0"/>
                      <w:marBottom w:val="0"/>
                      <w:divBdr>
                        <w:top w:val="none" w:sz="0" w:space="0" w:color="auto"/>
                        <w:left w:val="none" w:sz="0" w:space="0" w:color="auto"/>
                        <w:bottom w:val="none" w:sz="0" w:space="0" w:color="auto"/>
                        <w:right w:val="none" w:sz="0" w:space="0" w:color="auto"/>
                      </w:divBdr>
                    </w:div>
                  </w:divsChild>
                </w:div>
                <w:div w:id="1049643778">
                  <w:marLeft w:val="0"/>
                  <w:marRight w:val="0"/>
                  <w:marTop w:val="0"/>
                  <w:marBottom w:val="0"/>
                  <w:divBdr>
                    <w:top w:val="none" w:sz="0" w:space="0" w:color="auto"/>
                    <w:left w:val="none" w:sz="0" w:space="0" w:color="auto"/>
                    <w:bottom w:val="none" w:sz="0" w:space="0" w:color="auto"/>
                    <w:right w:val="none" w:sz="0" w:space="0" w:color="auto"/>
                  </w:divBdr>
                  <w:divsChild>
                    <w:div w:id="1164515088">
                      <w:marLeft w:val="0"/>
                      <w:marRight w:val="0"/>
                      <w:marTop w:val="0"/>
                      <w:marBottom w:val="0"/>
                      <w:divBdr>
                        <w:top w:val="none" w:sz="0" w:space="0" w:color="auto"/>
                        <w:left w:val="none" w:sz="0" w:space="0" w:color="auto"/>
                        <w:bottom w:val="none" w:sz="0" w:space="0" w:color="auto"/>
                        <w:right w:val="none" w:sz="0" w:space="0" w:color="auto"/>
                      </w:divBdr>
                    </w:div>
                  </w:divsChild>
                </w:div>
                <w:div w:id="1663391129">
                  <w:marLeft w:val="0"/>
                  <w:marRight w:val="0"/>
                  <w:marTop w:val="0"/>
                  <w:marBottom w:val="0"/>
                  <w:divBdr>
                    <w:top w:val="none" w:sz="0" w:space="0" w:color="auto"/>
                    <w:left w:val="none" w:sz="0" w:space="0" w:color="auto"/>
                    <w:bottom w:val="none" w:sz="0" w:space="0" w:color="auto"/>
                    <w:right w:val="none" w:sz="0" w:space="0" w:color="auto"/>
                  </w:divBdr>
                  <w:divsChild>
                    <w:div w:id="1023746183">
                      <w:marLeft w:val="0"/>
                      <w:marRight w:val="0"/>
                      <w:marTop w:val="0"/>
                      <w:marBottom w:val="0"/>
                      <w:divBdr>
                        <w:top w:val="none" w:sz="0" w:space="0" w:color="auto"/>
                        <w:left w:val="none" w:sz="0" w:space="0" w:color="auto"/>
                        <w:bottom w:val="none" w:sz="0" w:space="0" w:color="auto"/>
                        <w:right w:val="none" w:sz="0" w:space="0" w:color="auto"/>
                      </w:divBdr>
                    </w:div>
                  </w:divsChild>
                </w:div>
                <w:div w:id="482545925">
                  <w:marLeft w:val="0"/>
                  <w:marRight w:val="0"/>
                  <w:marTop w:val="0"/>
                  <w:marBottom w:val="0"/>
                  <w:divBdr>
                    <w:top w:val="none" w:sz="0" w:space="0" w:color="auto"/>
                    <w:left w:val="none" w:sz="0" w:space="0" w:color="auto"/>
                    <w:bottom w:val="none" w:sz="0" w:space="0" w:color="auto"/>
                    <w:right w:val="none" w:sz="0" w:space="0" w:color="auto"/>
                  </w:divBdr>
                  <w:divsChild>
                    <w:div w:id="37823071">
                      <w:marLeft w:val="0"/>
                      <w:marRight w:val="0"/>
                      <w:marTop w:val="0"/>
                      <w:marBottom w:val="0"/>
                      <w:divBdr>
                        <w:top w:val="none" w:sz="0" w:space="0" w:color="auto"/>
                        <w:left w:val="none" w:sz="0" w:space="0" w:color="auto"/>
                        <w:bottom w:val="none" w:sz="0" w:space="0" w:color="auto"/>
                        <w:right w:val="none" w:sz="0" w:space="0" w:color="auto"/>
                      </w:divBdr>
                    </w:div>
                  </w:divsChild>
                </w:div>
                <w:div w:id="659843318">
                  <w:marLeft w:val="0"/>
                  <w:marRight w:val="0"/>
                  <w:marTop w:val="0"/>
                  <w:marBottom w:val="0"/>
                  <w:divBdr>
                    <w:top w:val="none" w:sz="0" w:space="0" w:color="auto"/>
                    <w:left w:val="none" w:sz="0" w:space="0" w:color="auto"/>
                    <w:bottom w:val="none" w:sz="0" w:space="0" w:color="auto"/>
                    <w:right w:val="none" w:sz="0" w:space="0" w:color="auto"/>
                  </w:divBdr>
                  <w:divsChild>
                    <w:div w:id="200942001">
                      <w:marLeft w:val="0"/>
                      <w:marRight w:val="0"/>
                      <w:marTop w:val="0"/>
                      <w:marBottom w:val="0"/>
                      <w:divBdr>
                        <w:top w:val="none" w:sz="0" w:space="0" w:color="auto"/>
                        <w:left w:val="none" w:sz="0" w:space="0" w:color="auto"/>
                        <w:bottom w:val="none" w:sz="0" w:space="0" w:color="auto"/>
                        <w:right w:val="none" w:sz="0" w:space="0" w:color="auto"/>
                      </w:divBdr>
                    </w:div>
                  </w:divsChild>
                </w:div>
                <w:div w:id="921842117">
                  <w:marLeft w:val="0"/>
                  <w:marRight w:val="0"/>
                  <w:marTop w:val="0"/>
                  <w:marBottom w:val="0"/>
                  <w:divBdr>
                    <w:top w:val="none" w:sz="0" w:space="0" w:color="auto"/>
                    <w:left w:val="none" w:sz="0" w:space="0" w:color="auto"/>
                    <w:bottom w:val="none" w:sz="0" w:space="0" w:color="auto"/>
                    <w:right w:val="none" w:sz="0" w:space="0" w:color="auto"/>
                  </w:divBdr>
                  <w:divsChild>
                    <w:div w:id="1462305166">
                      <w:marLeft w:val="0"/>
                      <w:marRight w:val="0"/>
                      <w:marTop w:val="0"/>
                      <w:marBottom w:val="0"/>
                      <w:divBdr>
                        <w:top w:val="none" w:sz="0" w:space="0" w:color="auto"/>
                        <w:left w:val="none" w:sz="0" w:space="0" w:color="auto"/>
                        <w:bottom w:val="none" w:sz="0" w:space="0" w:color="auto"/>
                        <w:right w:val="none" w:sz="0" w:space="0" w:color="auto"/>
                      </w:divBdr>
                    </w:div>
                    <w:div w:id="910623994">
                      <w:marLeft w:val="0"/>
                      <w:marRight w:val="0"/>
                      <w:marTop w:val="0"/>
                      <w:marBottom w:val="0"/>
                      <w:divBdr>
                        <w:top w:val="none" w:sz="0" w:space="0" w:color="auto"/>
                        <w:left w:val="none" w:sz="0" w:space="0" w:color="auto"/>
                        <w:bottom w:val="none" w:sz="0" w:space="0" w:color="auto"/>
                        <w:right w:val="none" w:sz="0" w:space="0" w:color="auto"/>
                      </w:divBdr>
                    </w:div>
                    <w:div w:id="2031644668">
                      <w:marLeft w:val="0"/>
                      <w:marRight w:val="0"/>
                      <w:marTop w:val="0"/>
                      <w:marBottom w:val="0"/>
                      <w:divBdr>
                        <w:top w:val="none" w:sz="0" w:space="0" w:color="auto"/>
                        <w:left w:val="none" w:sz="0" w:space="0" w:color="auto"/>
                        <w:bottom w:val="none" w:sz="0" w:space="0" w:color="auto"/>
                        <w:right w:val="none" w:sz="0" w:space="0" w:color="auto"/>
                      </w:divBdr>
                    </w:div>
                  </w:divsChild>
                </w:div>
                <w:div w:id="29693134">
                  <w:marLeft w:val="0"/>
                  <w:marRight w:val="0"/>
                  <w:marTop w:val="0"/>
                  <w:marBottom w:val="0"/>
                  <w:divBdr>
                    <w:top w:val="none" w:sz="0" w:space="0" w:color="auto"/>
                    <w:left w:val="none" w:sz="0" w:space="0" w:color="auto"/>
                    <w:bottom w:val="none" w:sz="0" w:space="0" w:color="auto"/>
                    <w:right w:val="none" w:sz="0" w:space="0" w:color="auto"/>
                  </w:divBdr>
                  <w:divsChild>
                    <w:div w:id="1903253447">
                      <w:marLeft w:val="0"/>
                      <w:marRight w:val="0"/>
                      <w:marTop w:val="0"/>
                      <w:marBottom w:val="0"/>
                      <w:divBdr>
                        <w:top w:val="none" w:sz="0" w:space="0" w:color="auto"/>
                        <w:left w:val="none" w:sz="0" w:space="0" w:color="auto"/>
                        <w:bottom w:val="none" w:sz="0" w:space="0" w:color="auto"/>
                        <w:right w:val="none" w:sz="0" w:space="0" w:color="auto"/>
                      </w:divBdr>
                    </w:div>
                  </w:divsChild>
                </w:div>
                <w:div w:id="653801333">
                  <w:marLeft w:val="0"/>
                  <w:marRight w:val="0"/>
                  <w:marTop w:val="0"/>
                  <w:marBottom w:val="0"/>
                  <w:divBdr>
                    <w:top w:val="none" w:sz="0" w:space="0" w:color="auto"/>
                    <w:left w:val="none" w:sz="0" w:space="0" w:color="auto"/>
                    <w:bottom w:val="none" w:sz="0" w:space="0" w:color="auto"/>
                    <w:right w:val="none" w:sz="0" w:space="0" w:color="auto"/>
                  </w:divBdr>
                  <w:divsChild>
                    <w:div w:id="986595423">
                      <w:marLeft w:val="0"/>
                      <w:marRight w:val="0"/>
                      <w:marTop w:val="0"/>
                      <w:marBottom w:val="0"/>
                      <w:divBdr>
                        <w:top w:val="none" w:sz="0" w:space="0" w:color="auto"/>
                        <w:left w:val="none" w:sz="0" w:space="0" w:color="auto"/>
                        <w:bottom w:val="none" w:sz="0" w:space="0" w:color="auto"/>
                        <w:right w:val="none" w:sz="0" w:space="0" w:color="auto"/>
                      </w:divBdr>
                    </w:div>
                  </w:divsChild>
                </w:div>
                <w:div w:id="271667883">
                  <w:marLeft w:val="0"/>
                  <w:marRight w:val="0"/>
                  <w:marTop w:val="0"/>
                  <w:marBottom w:val="0"/>
                  <w:divBdr>
                    <w:top w:val="none" w:sz="0" w:space="0" w:color="auto"/>
                    <w:left w:val="none" w:sz="0" w:space="0" w:color="auto"/>
                    <w:bottom w:val="none" w:sz="0" w:space="0" w:color="auto"/>
                    <w:right w:val="none" w:sz="0" w:space="0" w:color="auto"/>
                  </w:divBdr>
                  <w:divsChild>
                    <w:div w:id="370150892">
                      <w:marLeft w:val="0"/>
                      <w:marRight w:val="0"/>
                      <w:marTop w:val="0"/>
                      <w:marBottom w:val="0"/>
                      <w:divBdr>
                        <w:top w:val="none" w:sz="0" w:space="0" w:color="auto"/>
                        <w:left w:val="none" w:sz="0" w:space="0" w:color="auto"/>
                        <w:bottom w:val="none" w:sz="0" w:space="0" w:color="auto"/>
                        <w:right w:val="none" w:sz="0" w:space="0" w:color="auto"/>
                      </w:divBdr>
                    </w:div>
                  </w:divsChild>
                </w:div>
                <w:div w:id="399444416">
                  <w:marLeft w:val="0"/>
                  <w:marRight w:val="0"/>
                  <w:marTop w:val="0"/>
                  <w:marBottom w:val="0"/>
                  <w:divBdr>
                    <w:top w:val="none" w:sz="0" w:space="0" w:color="auto"/>
                    <w:left w:val="none" w:sz="0" w:space="0" w:color="auto"/>
                    <w:bottom w:val="none" w:sz="0" w:space="0" w:color="auto"/>
                    <w:right w:val="none" w:sz="0" w:space="0" w:color="auto"/>
                  </w:divBdr>
                  <w:divsChild>
                    <w:div w:id="142088177">
                      <w:marLeft w:val="0"/>
                      <w:marRight w:val="0"/>
                      <w:marTop w:val="0"/>
                      <w:marBottom w:val="0"/>
                      <w:divBdr>
                        <w:top w:val="none" w:sz="0" w:space="0" w:color="auto"/>
                        <w:left w:val="none" w:sz="0" w:space="0" w:color="auto"/>
                        <w:bottom w:val="none" w:sz="0" w:space="0" w:color="auto"/>
                        <w:right w:val="none" w:sz="0" w:space="0" w:color="auto"/>
                      </w:divBdr>
                    </w:div>
                  </w:divsChild>
                </w:div>
                <w:div w:id="1051272103">
                  <w:marLeft w:val="0"/>
                  <w:marRight w:val="0"/>
                  <w:marTop w:val="0"/>
                  <w:marBottom w:val="0"/>
                  <w:divBdr>
                    <w:top w:val="none" w:sz="0" w:space="0" w:color="auto"/>
                    <w:left w:val="none" w:sz="0" w:space="0" w:color="auto"/>
                    <w:bottom w:val="none" w:sz="0" w:space="0" w:color="auto"/>
                    <w:right w:val="none" w:sz="0" w:space="0" w:color="auto"/>
                  </w:divBdr>
                  <w:divsChild>
                    <w:div w:id="112018442">
                      <w:marLeft w:val="0"/>
                      <w:marRight w:val="0"/>
                      <w:marTop w:val="0"/>
                      <w:marBottom w:val="0"/>
                      <w:divBdr>
                        <w:top w:val="none" w:sz="0" w:space="0" w:color="auto"/>
                        <w:left w:val="none" w:sz="0" w:space="0" w:color="auto"/>
                        <w:bottom w:val="none" w:sz="0" w:space="0" w:color="auto"/>
                        <w:right w:val="none" w:sz="0" w:space="0" w:color="auto"/>
                      </w:divBdr>
                    </w:div>
                  </w:divsChild>
                </w:div>
                <w:div w:id="45881267">
                  <w:marLeft w:val="0"/>
                  <w:marRight w:val="0"/>
                  <w:marTop w:val="0"/>
                  <w:marBottom w:val="0"/>
                  <w:divBdr>
                    <w:top w:val="none" w:sz="0" w:space="0" w:color="auto"/>
                    <w:left w:val="none" w:sz="0" w:space="0" w:color="auto"/>
                    <w:bottom w:val="none" w:sz="0" w:space="0" w:color="auto"/>
                    <w:right w:val="none" w:sz="0" w:space="0" w:color="auto"/>
                  </w:divBdr>
                  <w:divsChild>
                    <w:div w:id="1582835938">
                      <w:marLeft w:val="0"/>
                      <w:marRight w:val="0"/>
                      <w:marTop w:val="0"/>
                      <w:marBottom w:val="0"/>
                      <w:divBdr>
                        <w:top w:val="none" w:sz="0" w:space="0" w:color="auto"/>
                        <w:left w:val="none" w:sz="0" w:space="0" w:color="auto"/>
                        <w:bottom w:val="none" w:sz="0" w:space="0" w:color="auto"/>
                        <w:right w:val="none" w:sz="0" w:space="0" w:color="auto"/>
                      </w:divBdr>
                    </w:div>
                  </w:divsChild>
                </w:div>
                <w:div w:id="1063525969">
                  <w:marLeft w:val="0"/>
                  <w:marRight w:val="0"/>
                  <w:marTop w:val="0"/>
                  <w:marBottom w:val="0"/>
                  <w:divBdr>
                    <w:top w:val="none" w:sz="0" w:space="0" w:color="auto"/>
                    <w:left w:val="none" w:sz="0" w:space="0" w:color="auto"/>
                    <w:bottom w:val="none" w:sz="0" w:space="0" w:color="auto"/>
                    <w:right w:val="none" w:sz="0" w:space="0" w:color="auto"/>
                  </w:divBdr>
                  <w:divsChild>
                    <w:div w:id="1035621053">
                      <w:marLeft w:val="0"/>
                      <w:marRight w:val="0"/>
                      <w:marTop w:val="0"/>
                      <w:marBottom w:val="0"/>
                      <w:divBdr>
                        <w:top w:val="none" w:sz="0" w:space="0" w:color="auto"/>
                        <w:left w:val="none" w:sz="0" w:space="0" w:color="auto"/>
                        <w:bottom w:val="none" w:sz="0" w:space="0" w:color="auto"/>
                        <w:right w:val="none" w:sz="0" w:space="0" w:color="auto"/>
                      </w:divBdr>
                    </w:div>
                  </w:divsChild>
                </w:div>
                <w:div w:id="1765762647">
                  <w:marLeft w:val="0"/>
                  <w:marRight w:val="0"/>
                  <w:marTop w:val="0"/>
                  <w:marBottom w:val="0"/>
                  <w:divBdr>
                    <w:top w:val="none" w:sz="0" w:space="0" w:color="auto"/>
                    <w:left w:val="none" w:sz="0" w:space="0" w:color="auto"/>
                    <w:bottom w:val="none" w:sz="0" w:space="0" w:color="auto"/>
                    <w:right w:val="none" w:sz="0" w:space="0" w:color="auto"/>
                  </w:divBdr>
                  <w:divsChild>
                    <w:div w:id="25108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9518">
          <w:marLeft w:val="0"/>
          <w:marRight w:val="0"/>
          <w:marTop w:val="0"/>
          <w:marBottom w:val="0"/>
          <w:divBdr>
            <w:top w:val="none" w:sz="0" w:space="0" w:color="auto"/>
            <w:left w:val="none" w:sz="0" w:space="0" w:color="auto"/>
            <w:bottom w:val="none" w:sz="0" w:space="0" w:color="auto"/>
            <w:right w:val="none" w:sz="0" w:space="0" w:color="auto"/>
          </w:divBdr>
        </w:div>
      </w:divsChild>
    </w:div>
    <w:div w:id="882333124">
      <w:bodyDiv w:val="1"/>
      <w:marLeft w:val="0"/>
      <w:marRight w:val="0"/>
      <w:marTop w:val="0"/>
      <w:marBottom w:val="0"/>
      <w:divBdr>
        <w:top w:val="none" w:sz="0" w:space="0" w:color="auto"/>
        <w:left w:val="none" w:sz="0" w:space="0" w:color="auto"/>
        <w:bottom w:val="none" w:sz="0" w:space="0" w:color="auto"/>
        <w:right w:val="none" w:sz="0" w:space="0" w:color="auto"/>
      </w:divBdr>
    </w:div>
    <w:div w:id="885721323">
      <w:bodyDiv w:val="1"/>
      <w:marLeft w:val="0"/>
      <w:marRight w:val="0"/>
      <w:marTop w:val="0"/>
      <w:marBottom w:val="0"/>
      <w:divBdr>
        <w:top w:val="none" w:sz="0" w:space="0" w:color="auto"/>
        <w:left w:val="none" w:sz="0" w:space="0" w:color="auto"/>
        <w:bottom w:val="none" w:sz="0" w:space="0" w:color="auto"/>
        <w:right w:val="none" w:sz="0" w:space="0" w:color="auto"/>
      </w:divBdr>
      <w:divsChild>
        <w:div w:id="1263758782">
          <w:marLeft w:val="0"/>
          <w:marRight w:val="0"/>
          <w:marTop w:val="0"/>
          <w:marBottom w:val="0"/>
          <w:divBdr>
            <w:top w:val="none" w:sz="0" w:space="0" w:color="auto"/>
            <w:left w:val="none" w:sz="0" w:space="0" w:color="auto"/>
            <w:bottom w:val="none" w:sz="0" w:space="0" w:color="auto"/>
            <w:right w:val="none" w:sz="0" w:space="0" w:color="auto"/>
          </w:divBdr>
        </w:div>
      </w:divsChild>
    </w:div>
    <w:div w:id="895167362">
      <w:bodyDiv w:val="1"/>
      <w:marLeft w:val="0"/>
      <w:marRight w:val="0"/>
      <w:marTop w:val="0"/>
      <w:marBottom w:val="0"/>
      <w:divBdr>
        <w:top w:val="none" w:sz="0" w:space="0" w:color="auto"/>
        <w:left w:val="none" w:sz="0" w:space="0" w:color="auto"/>
        <w:bottom w:val="none" w:sz="0" w:space="0" w:color="auto"/>
        <w:right w:val="none" w:sz="0" w:space="0" w:color="auto"/>
      </w:divBdr>
      <w:divsChild>
        <w:div w:id="1108695117">
          <w:marLeft w:val="274"/>
          <w:marRight w:val="0"/>
          <w:marTop w:val="0"/>
          <w:marBottom w:val="0"/>
          <w:divBdr>
            <w:top w:val="none" w:sz="0" w:space="0" w:color="auto"/>
            <w:left w:val="none" w:sz="0" w:space="0" w:color="auto"/>
            <w:bottom w:val="none" w:sz="0" w:space="0" w:color="auto"/>
            <w:right w:val="none" w:sz="0" w:space="0" w:color="auto"/>
          </w:divBdr>
        </w:div>
        <w:div w:id="71662583">
          <w:marLeft w:val="274"/>
          <w:marRight w:val="0"/>
          <w:marTop w:val="0"/>
          <w:marBottom w:val="0"/>
          <w:divBdr>
            <w:top w:val="none" w:sz="0" w:space="0" w:color="auto"/>
            <w:left w:val="none" w:sz="0" w:space="0" w:color="auto"/>
            <w:bottom w:val="none" w:sz="0" w:space="0" w:color="auto"/>
            <w:right w:val="none" w:sz="0" w:space="0" w:color="auto"/>
          </w:divBdr>
        </w:div>
        <w:div w:id="945697962">
          <w:marLeft w:val="274"/>
          <w:marRight w:val="0"/>
          <w:marTop w:val="0"/>
          <w:marBottom w:val="0"/>
          <w:divBdr>
            <w:top w:val="none" w:sz="0" w:space="0" w:color="auto"/>
            <w:left w:val="none" w:sz="0" w:space="0" w:color="auto"/>
            <w:bottom w:val="none" w:sz="0" w:space="0" w:color="auto"/>
            <w:right w:val="none" w:sz="0" w:space="0" w:color="auto"/>
          </w:divBdr>
        </w:div>
        <w:div w:id="120075586">
          <w:marLeft w:val="274"/>
          <w:marRight w:val="0"/>
          <w:marTop w:val="0"/>
          <w:marBottom w:val="0"/>
          <w:divBdr>
            <w:top w:val="none" w:sz="0" w:space="0" w:color="auto"/>
            <w:left w:val="none" w:sz="0" w:space="0" w:color="auto"/>
            <w:bottom w:val="none" w:sz="0" w:space="0" w:color="auto"/>
            <w:right w:val="none" w:sz="0" w:space="0" w:color="auto"/>
          </w:divBdr>
        </w:div>
        <w:div w:id="498666598">
          <w:marLeft w:val="274"/>
          <w:marRight w:val="0"/>
          <w:marTop w:val="0"/>
          <w:marBottom w:val="0"/>
          <w:divBdr>
            <w:top w:val="none" w:sz="0" w:space="0" w:color="auto"/>
            <w:left w:val="none" w:sz="0" w:space="0" w:color="auto"/>
            <w:bottom w:val="none" w:sz="0" w:space="0" w:color="auto"/>
            <w:right w:val="none" w:sz="0" w:space="0" w:color="auto"/>
          </w:divBdr>
        </w:div>
        <w:div w:id="1735424352">
          <w:marLeft w:val="274"/>
          <w:marRight w:val="0"/>
          <w:marTop w:val="0"/>
          <w:marBottom w:val="0"/>
          <w:divBdr>
            <w:top w:val="none" w:sz="0" w:space="0" w:color="auto"/>
            <w:left w:val="none" w:sz="0" w:space="0" w:color="auto"/>
            <w:bottom w:val="none" w:sz="0" w:space="0" w:color="auto"/>
            <w:right w:val="none" w:sz="0" w:space="0" w:color="auto"/>
          </w:divBdr>
        </w:div>
        <w:div w:id="749960803">
          <w:marLeft w:val="274"/>
          <w:marRight w:val="0"/>
          <w:marTop w:val="0"/>
          <w:marBottom w:val="0"/>
          <w:divBdr>
            <w:top w:val="none" w:sz="0" w:space="0" w:color="auto"/>
            <w:left w:val="none" w:sz="0" w:space="0" w:color="auto"/>
            <w:bottom w:val="none" w:sz="0" w:space="0" w:color="auto"/>
            <w:right w:val="none" w:sz="0" w:space="0" w:color="auto"/>
          </w:divBdr>
        </w:div>
        <w:div w:id="1311862721">
          <w:marLeft w:val="274"/>
          <w:marRight w:val="0"/>
          <w:marTop w:val="0"/>
          <w:marBottom w:val="0"/>
          <w:divBdr>
            <w:top w:val="none" w:sz="0" w:space="0" w:color="auto"/>
            <w:left w:val="none" w:sz="0" w:space="0" w:color="auto"/>
            <w:bottom w:val="none" w:sz="0" w:space="0" w:color="auto"/>
            <w:right w:val="none" w:sz="0" w:space="0" w:color="auto"/>
          </w:divBdr>
        </w:div>
        <w:div w:id="1453401338">
          <w:marLeft w:val="274"/>
          <w:marRight w:val="0"/>
          <w:marTop w:val="0"/>
          <w:marBottom w:val="0"/>
          <w:divBdr>
            <w:top w:val="none" w:sz="0" w:space="0" w:color="auto"/>
            <w:left w:val="none" w:sz="0" w:space="0" w:color="auto"/>
            <w:bottom w:val="none" w:sz="0" w:space="0" w:color="auto"/>
            <w:right w:val="none" w:sz="0" w:space="0" w:color="auto"/>
          </w:divBdr>
        </w:div>
        <w:div w:id="1205219068">
          <w:marLeft w:val="274"/>
          <w:marRight w:val="0"/>
          <w:marTop w:val="0"/>
          <w:marBottom w:val="0"/>
          <w:divBdr>
            <w:top w:val="none" w:sz="0" w:space="0" w:color="auto"/>
            <w:left w:val="none" w:sz="0" w:space="0" w:color="auto"/>
            <w:bottom w:val="none" w:sz="0" w:space="0" w:color="auto"/>
            <w:right w:val="none" w:sz="0" w:space="0" w:color="auto"/>
          </w:divBdr>
        </w:div>
        <w:div w:id="2972270">
          <w:marLeft w:val="274"/>
          <w:marRight w:val="0"/>
          <w:marTop w:val="0"/>
          <w:marBottom w:val="0"/>
          <w:divBdr>
            <w:top w:val="none" w:sz="0" w:space="0" w:color="auto"/>
            <w:left w:val="none" w:sz="0" w:space="0" w:color="auto"/>
            <w:bottom w:val="none" w:sz="0" w:space="0" w:color="auto"/>
            <w:right w:val="none" w:sz="0" w:space="0" w:color="auto"/>
          </w:divBdr>
        </w:div>
        <w:div w:id="1057514139">
          <w:marLeft w:val="274"/>
          <w:marRight w:val="0"/>
          <w:marTop w:val="0"/>
          <w:marBottom w:val="0"/>
          <w:divBdr>
            <w:top w:val="none" w:sz="0" w:space="0" w:color="auto"/>
            <w:left w:val="none" w:sz="0" w:space="0" w:color="auto"/>
            <w:bottom w:val="none" w:sz="0" w:space="0" w:color="auto"/>
            <w:right w:val="none" w:sz="0" w:space="0" w:color="auto"/>
          </w:divBdr>
        </w:div>
        <w:div w:id="590312440">
          <w:marLeft w:val="274"/>
          <w:marRight w:val="0"/>
          <w:marTop w:val="0"/>
          <w:marBottom w:val="0"/>
          <w:divBdr>
            <w:top w:val="none" w:sz="0" w:space="0" w:color="auto"/>
            <w:left w:val="none" w:sz="0" w:space="0" w:color="auto"/>
            <w:bottom w:val="none" w:sz="0" w:space="0" w:color="auto"/>
            <w:right w:val="none" w:sz="0" w:space="0" w:color="auto"/>
          </w:divBdr>
        </w:div>
      </w:divsChild>
    </w:div>
    <w:div w:id="918564023">
      <w:bodyDiv w:val="1"/>
      <w:marLeft w:val="0"/>
      <w:marRight w:val="0"/>
      <w:marTop w:val="0"/>
      <w:marBottom w:val="0"/>
      <w:divBdr>
        <w:top w:val="none" w:sz="0" w:space="0" w:color="auto"/>
        <w:left w:val="none" w:sz="0" w:space="0" w:color="auto"/>
        <w:bottom w:val="none" w:sz="0" w:space="0" w:color="auto"/>
        <w:right w:val="none" w:sz="0" w:space="0" w:color="auto"/>
      </w:divBdr>
    </w:div>
    <w:div w:id="926035451">
      <w:bodyDiv w:val="1"/>
      <w:marLeft w:val="0"/>
      <w:marRight w:val="0"/>
      <w:marTop w:val="0"/>
      <w:marBottom w:val="0"/>
      <w:divBdr>
        <w:top w:val="none" w:sz="0" w:space="0" w:color="auto"/>
        <w:left w:val="none" w:sz="0" w:space="0" w:color="auto"/>
        <w:bottom w:val="none" w:sz="0" w:space="0" w:color="auto"/>
        <w:right w:val="none" w:sz="0" w:space="0" w:color="auto"/>
      </w:divBdr>
    </w:div>
    <w:div w:id="928734073">
      <w:bodyDiv w:val="1"/>
      <w:marLeft w:val="0"/>
      <w:marRight w:val="0"/>
      <w:marTop w:val="0"/>
      <w:marBottom w:val="0"/>
      <w:divBdr>
        <w:top w:val="none" w:sz="0" w:space="0" w:color="auto"/>
        <w:left w:val="none" w:sz="0" w:space="0" w:color="auto"/>
        <w:bottom w:val="none" w:sz="0" w:space="0" w:color="auto"/>
        <w:right w:val="none" w:sz="0" w:space="0" w:color="auto"/>
      </w:divBdr>
    </w:div>
    <w:div w:id="942495771">
      <w:bodyDiv w:val="1"/>
      <w:marLeft w:val="0"/>
      <w:marRight w:val="0"/>
      <w:marTop w:val="0"/>
      <w:marBottom w:val="0"/>
      <w:divBdr>
        <w:top w:val="none" w:sz="0" w:space="0" w:color="auto"/>
        <w:left w:val="none" w:sz="0" w:space="0" w:color="auto"/>
        <w:bottom w:val="none" w:sz="0" w:space="0" w:color="auto"/>
        <w:right w:val="none" w:sz="0" w:space="0" w:color="auto"/>
      </w:divBdr>
    </w:div>
    <w:div w:id="960578788">
      <w:bodyDiv w:val="1"/>
      <w:marLeft w:val="0"/>
      <w:marRight w:val="0"/>
      <w:marTop w:val="0"/>
      <w:marBottom w:val="0"/>
      <w:divBdr>
        <w:top w:val="none" w:sz="0" w:space="0" w:color="auto"/>
        <w:left w:val="none" w:sz="0" w:space="0" w:color="auto"/>
        <w:bottom w:val="none" w:sz="0" w:space="0" w:color="auto"/>
        <w:right w:val="none" w:sz="0" w:space="0" w:color="auto"/>
      </w:divBdr>
    </w:div>
    <w:div w:id="978458741">
      <w:bodyDiv w:val="1"/>
      <w:marLeft w:val="0"/>
      <w:marRight w:val="0"/>
      <w:marTop w:val="0"/>
      <w:marBottom w:val="0"/>
      <w:divBdr>
        <w:top w:val="none" w:sz="0" w:space="0" w:color="auto"/>
        <w:left w:val="none" w:sz="0" w:space="0" w:color="auto"/>
        <w:bottom w:val="none" w:sz="0" w:space="0" w:color="auto"/>
        <w:right w:val="none" w:sz="0" w:space="0" w:color="auto"/>
      </w:divBdr>
    </w:div>
    <w:div w:id="991985635">
      <w:bodyDiv w:val="1"/>
      <w:marLeft w:val="0"/>
      <w:marRight w:val="0"/>
      <w:marTop w:val="0"/>
      <w:marBottom w:val="0"/>
      <w:divBdr>
        <w:top w:val="none" w:sz="0" w:space="0" w:color="auto"/>
        <w:left w:val="none" w:sz="0" w:space="0" w:color="auto"/>
        <w:bottom w:val="none" w:sz="0" w:space="0" w:color="auto"/>
        <w:right w:val="none" w:sz="0" w:space="0" w:color="auto"/>
      </w:divBdr>
      <w:divsChild>
        <w:div w:id="1969582888">
          <w:marLeft w:val="274"/>
          <w:marRight w:val="0"/>
          <w:marTop w:val="0"/>
          <w:marBottom w:val="0"/>
          <w:divBdr>
            <w:top w:val="none" w:sz="0" w:space="0" w:color="auto"/>
            <w:left w:val="none" w:sz="0" w:space="0" w:color="auto"/>
            <w:bottom w:val="none" w:sz="0" w:space="0" w:color="auto"/>
            <w:right w:val="none" w:sz="0" w:space="0" w:color="auto"/>
          </w:divBdr>
        </w:div>
        <w:div w:id="20591570">
          <w:marLeft w:val="274"/>
          <w:marRight w:val="0"/>
          <w:marTop w:val="0"/>
          <w:marBottom w:val="0"/>
          <w:divBdr>
            <w:top w:val="none" w:sz="0" w:space="0" w:color="auto"/>
            <w:left w:val="none" w:sz="0" w:space="0" w:color="auto"/>
            <w:bottom w:val="none" w:sz="0" w:space="0" w:color="auto"/>
            <w:right w:val="none" w:sz="0" w:space="0" w:color="auto"/>
          </w:divBdr>
        </w:div>
        <w:div w:id="1550453429">
          <w:marLeft w:val="274"/>
          <w:marRight w:val="0"/>
          <w:marTop w:val="0"/>
          <w:marBottom w:val="0"/>
          <w:divBdr>
            <w:top w:val="none" w:sz="0" w:space="0" w:color="auto"/>
            <w:left w:val="none" w:sz="0" w:space="0" w:color="auto"/>
            <w:bottom w:val="none" w:sz="0" w:space="0" w:color="auto"/>
            <w:right w:val="none" w:sz="0" w:space="0" w:color="auto"/>
          </w:divBdr>
        </w:div>
        <w:div w:id="1347749565">
          <w:marLeft w:val="274"/>
          <w:marRight w:val="0"/>
          <w:marTop w:val="0"/>
          <w:marBottom w:val="0"/>
          <w:divBdr>
            <w:top w:val="none" w:sz="0" w:space="0" w:color="auto"/>
            <w:left w:val="none" w:sz="0" w:space="0" w:color="auto"/>
            <w:bottom w:val="none" w:sz="0" w:space="0" w:color="auto"/>
            <w:right w:val="none" w:sz="0" w:space="0" w:color="auto"/>
          </w:divBdr>
        </w:div>
        <w:div w:id="1392537924">
          <w:marLeft w:val="274"/>
          <w:marRight w:val="0"/>
          <w:marTop w:val="0"/>
          <w:marBottom w:val="0"/>
          <w:divBdr>
            <w:top w:val="none" w:sz="0" w:space="0" w:color="auto"/>
            <w:left w:val="none" w:sz="0" w:space="0" w:color="auto"/>
            <w:bottom w:val="none" w:sz="0" w:space="0" w:color="auto"/>
            <w:right w:val="none" w:sz="0" w:space="0" w:color="auto"/>
          </w:divBdr>
        </w:div>
        <w:div w:id="849098252">
          <w:marLeft w:val="274"/>
          <w:marRight w:val="0"/>
          <w:marTop w:val="0"/>
          <w:marBottom w:val="0"/>
          <w:divBdr>
            <w:top w:val="none" w:sz="0" w:space="0" w:color="auto"/>
            <w:left w:val="none" w:sz="0" w:space="0" w:color="auto"/>
            <w:bottom w:val="none" w:sz="0" w:space="0" w:color="auto"/>
            <w:right w:val="none" w:sz="0" w:space="0" w:color="auto"/>
          </w:divBdr>
        </w:div>
        <w:div w:id="1448234291">
          <w:marLeft w:val="274"/>
          <w:marRight w:val="0"/>
          <w:marTop w:val="0"/>
          <w:marBottom w:val="0"/>
          <w:divBdr>
            <w:top w:val="none" w:sz="0" w:space="0" w:color="auto"/>
            <w:left w:val="none" w:sz="0" w:space="0" w:color="auto"/>
            <w:bottom w:val="none" w:sz="0" w:space="0" w:color="auto"/>
            <w:right w:val="none" w:sz="0" w:space="0" w:color="auto"/>
          </w:divBdr>
        </w:div>
        <w:div w:id="915701384">
          <w:marLeft w:val="274"/>
          <w:marRight w:val="0"/>
          <w:marTop w:val="0"/>
          <w:marBottom w:val="0"/>
          <w:divBdr>
            <w:top w:val="none" w:sz="0" w:space="0" w:color="auto"/>
            <w:left w:val="none" w:sz="0" w:space="0" w:color="auto"/>
            <w:bottom w:val="none" w:sz="0" w:space="0" w:color="auto"/>
            <w:right w:val="none" w:sz="0" w:space="0" w:color="auto"/>
          </w:divBdr>
        </w:div>
        <w:div w:id="1345396636">
          <w:marLeft w:val="274"/>
          <w:marRight w:val="0"/>
          <w:marTop w:val="0"/>
          <w:marBottom w:val="0"/>
          <w:divBdr>
            <w:top w:val="none" w:sz="0" w:space="0" w:color="auto"/>
            <w:left w:val="none" w:sz="0" w:space="0" w:color="auto"/>
            <w:bottom w:val="none" w:sz="0" w:space="0" w:color="auto"/>
            <w:right w:val="none" w:sz="0" w:space="0" w:color="auto"/>
          </w:divBdr>
        </w:div>
        <w:div w:id="1228226761">
          <w:marLeft w:val="274"/>
          <w:marRight w:val="0"/>
          <w:marTop w:val="0"/>
          <w:marBottom w:val="0"/>
          <w:divBdr>
            <w:top w:val="none" w:sz="0" w:space="0" w:color="auto"/>
            <w:left w:val="none" w:sz="0" w:space="0" w:color="auto"/>
            <w:bottom w:val="none" w:sz="0" w:space="0" w:color="auto"/>
            <w:right w:val="none" w:sz="0" w:space="0" w:color="auto"/>
          </w:divBdr>
        </w:div>
        <w:div w:id="1142237202">
          <w:marLeft w:val="274"/>
          <w:marRight w:val="0"/>
          <w:marTop w:val="0"/>
          <w:marBottom w:val="0"/>
          <w:divBdr>
            <w:top w:val="none" w:sz="0" w:space="0" w:color="auto"/>
            <w:left w:val="none" w:sz="0" w:space="0" w:color="auto"/>
            <w:bottom w:val="none" w:sz="0" w:space="0" w:color="auto"/>
            <w:right w:val="none" w:sz="0" w:space="0" w:color="auto"/>
          </w:divBdr>
        </w:div>
        <w:div w:id="2078934083">
          <w:marLeft w:val="274"/>
          <w:marRight w:val="0"/>
          <w:marTop w:val="0"/>
          <w:marBottom w:val="0"/>
          <w:divBdr>
            <w:top w:val="none" w:sz="0" w:space="0" w:color="auto"/>
            <w:left w:val="none" w:sz="0" w:space="0" w:color="auto"/>
            <w:bottom w:val="none" w:sz="0" w:space="0" w:color="auto"/>
            <w:right w:val="none" w:sz="0" w:space="0" w:color="auto"/>
          </w:divBdr>
        </w:div>
        <w:div w:id="355471940">
          <w:marLeft w:val="274"/>
          <w:marRight w:val="0"/>
          <w:marTop w:val="0"/>
          <w:marBottom w:val="0"/>
          <w:divBdr>
            <w:top w:val="none" w:sz="0" w:space="0" w:color="auto"/>
            <w:left w:val="none" w:sz="0" w:space="0" w:color="auto"/>
            <w:bottom w:val="none" w:sz="0" w:space="0" w:color="auto"/>
            <w:right w:val="none" w:sz="0" w:space="0" w:color="auto"/>
          </w:divBdr>
        </w:div>
        <w:div w:id="210456645">
          <w:marLeft w:val="274"/>
          <w:marRight w:val="0"/>
          <w:marTop w:val="0"/>
          <w:marBottom w:val="0"/>
          <w:divBdr>
            <w:top w:val="none" w:sz="0" w:space="0" w:color="auto"/>
            <w:left w:val="none" w:sz="0" w:space="0" w:color="auto"/>
            <w:bottom w:val="none" w:sz="0" w:space="0" w:color="auto"/>
            <w:right w:val="none" w:sz="0" w:space="0" w:color="auto"/>
          </w:divBdr>
        </w:div>
        <w:div w:id="1840198494">
          <w:marLeft w:val="274"/>
          <w:marRight w:val="0"/>
          <w:marTop w:val="0"/>
          <w:marBottom w:val="0"/>
          <w:divBdr>
            <w:top w:val="none" w:sz="0" w:space="0" w:color="auto"/>
            <w:left w:val="none" w:sz="0" w:space="0" w:color="auto"/>
            <w:bottom w:val="none" w:sz="0" w:space="0" w:color="auto"/>
            <w:right w:val="none" w:sz="0" w:space="0" w:color="auto"/>
          </w:divBdr>
        </w:div>
        <w:div w:id="1861119947">
          <w:marLeft w:val="274"/>
          <w:marRight w:val="0"/>
          <w:marTop w:val="0"/>
          <w:marBottom w:val="0"/>
          <w:divBdr>
            <w:top w:val="none" w:sz="0" w:space="0" w:color="auto"/>
            <w:left w:val="none" w:sz="0" w:space="0" w:color="auto"/>
            <w:bottom w:val="none" w:sz="0" w:space="0" w:color="auto"/>
            <w:right w:val="none" w:sz="0" w:space="0" w:color="auto"/>
          </w:divBdr>
        </w:div>
        <w:div w:id="1007253430">
          <w:marLeft w:val="274"/>
          <w:marRight w:val="0"/>
          <w:marTop w:val="0"/>
          <w:marBottom w:val="0"/>
          <w:divBdr>
            <w:top w:val="none" w:sz="0" w:space="0" w:color="auto"/>
            <w:left w:val="none" w:sz="0" w:space="0" w:color="auto"/>
            <w:bottom w:val="none" w:sz="0" w:space="0" w:color="auto"/>
            <w:right w:val="none" w:sz="0" w:space="0" w:color="auto"/>
          </w:divBdr>
        </w:div>
        <w:div w:id="458453617">
          <w:marLeft w:val="274"/>
          <w:marRight w:val="0"/>
          <w:marTop w:val="0"/>
          <w:marBottom w:val="0"/>
          <w:divBdr>
            <w:top w:val="none" w:sz="0" w:space="0" w:color="auto"/>
            <w:left w:val="none" w:sz="0" w:space="0" w:color="auto"/>
            <w:bottom w:val="none" w:sz="0" w:space="0" w:color="auto"/>
            <w:right w:val="none" w:sz="0" w:space="0" w:color="auto"/>
          </w:divBdr>
        </w:div>
        <w:div w:id="720396831">
          <w:marLeft w:val="274"/>
          <w:marRight w:val="0"/>
          <w:marTop w:val="0"/>
          <w:marBottom w:val="0"/>
          <w:divBdr>
            <w:top w:val="none" w:sz="0" w:space="0" w:color="auto"/>
            <w:left w:val="none" w:sz="0" w:space="0" w:color="auto"/>
            <w:bottom w:val="none" w:sz="0" w:space="0" w:color="auto"/>
            <w:right w:val="none" w:sz="0" w:space="0" w:color="auto"/>
          </w:divBdr>
        </w:div>
        <w:div w:id="13575705">
          <w:marLeft w:val="274"/>
          <w:marRight w:val="0"/>
          <w:marTop w:val="0"/>
          <w:marBottom w:val="0"/>
          <w:divBdr>
            <w:top w:val="none" w:sz="0" w:space="0" w:color="auto"/>
            <w:left w:val="none" w:sz="0" w:space="0" w:color="auto"/>
            <w:bottom w:val="none" w:sz="0" w:space="0" w:color="auto"/>
            <w:right w:val="none" w:sz="0" w:space="0" w:color="auto"/>
          </w:divBdr>
        </w:div>
        <w:div w:id="1950894214">
          <w:marLeft w:val="274"/>
          <w:marRight w:val="0"/>
          <w:marTop w:val="0"/>
          <w:marBottom w:val="0"/>
          <w:divBdr>
            <w:top w:val="none" w:sz="0" w:space="0" w:color="auto"/>
            <w:left w:val="none" w:sz="0" w:space="0" w:color="auto"/>
            <w:bottom w:val="none" w:sz="0" w:space="0" w:color="auto"/>
            <w:right w:val="none" w:sz="0" w:space="0" w:color="auto"/>
          </w:divBdr>
        </w:div>
        <w:div w:id="2138179626">
          <w:marLeft w:val="274"/>
          <w:marRight w:val="0"/>
          <w:marTop w:val="0"/>
          <w:marBottom w:val="0"/>
          <w:divBdr>
            <w:top w:val="none" w:sz="0" w:space="0" w:color="auto"/>
            <w:left w:val="none" w:sz="0" w:space="0" w:color="auto"/>
            <w:bottom w:val="none" w:sz="0" w:space="0" w:color="auto"/>
            <w:right w:val="none" w:sz="0" w:space="0" w:color="auto"/>
          </w:divBdr>
        </w:div>
        <w:div w:id="1746223685">
          <w:marLeft w:val="274"/>
          <w:marRight w:val="0"/>
          <w:marTop w:val="0"/>
          <w:marBottom w:val="0"/>
          <w:divBdr>
            <w:top w:val="none" w:sz="0" w:space="0" w:color="auto"/>
            <w:left w:val="none" w:sz="0" w:space="0" w:color="auto"/>
            <w:bottom w:val="none" w:sz="0" w:space="0" w:color="auto"/>
            <w:right w:val="none" w:sz="0" w:space="0" w:color="auto"/>
          </w:divBdr>
        </w:div>
        <w:div w:id="777798533">
          <w:marLeft w:val="274"/>
          <w:marRight w:val="0"/>
          <w:marTop w:val="0"/>
          <w:marBottom w:val="0"/>
          <w:divBdr>
            <w:top w:val="none" w:sz="0" w:space="0" w:color="auto"/>
            <w:left w:val="none" w:sz="0" w:space="0" w:color="auto"/>
            <w:bottom w:val="none" w:sz="0" w:space="0" w:color="auto"/>
            <w:right w:val="none" w:sz="0" w:space="0" w:color="auto"/>
          </w:divBdr>
        </w:div>
        <w:div w:id="1464810809">
          <w:marLeft w:val="274"/>
          <w:marRight w:val="0"/>
          <w:marTop w:val="0"/>
          <w:marBottom w:val="0"/>
          <w:divBdr>
            <w:top w:val="none" w:sz="0" w:space="0" w:color="auto"/>
            <w:left w:val="none" w:sz="0" w:space="0" w:color="auto"/>
            <w:bottom w:val="none" w:sz="0" w:space="0" w:color="auto"/>
            <w:right w:val="none" w:sz="0" w:space="0" w:color="auto"/>
          </w:divBdr>
        </w:div>
        <w:div w:id="1140268914">
          <w:marLeft w:val="274"/>
          <w:marRight w:val="0"/>
          <w:marTop w:val="0"/>
          <w:marBottom w:val="0"/>
          <w:divBdr>
            <w:top w:val="none" w:sz="0" w:space="0" w:color="auto"/>
            <w:left w:val="none" w:sz="0" w:space="0" w:color="auto"/>
            <w:bottom w:val="none" w:sz="0" w:space="0" w:color="auto"/>
            <w:right w:val="none" w:sz="0" w:space="0" w:color="auto"/>
          </w:divBdr>
        </w:div>
        <w:div w:id="970473478">
          <w:marLeft w:val="274"/>
          <w:marRight w:val="0"/>
          <w:marTop w:val="0"/>
          <w:marBottom w:val="0"/>
          <w:divBdr>
            <w:top w:val="none" w:sz="0" w:space="0" w:color="auto"/>
            <w:left w:val="none" w:sz="0" w:space="0" w:color="auto"/>
            <w:bottom w:val="none" w:sz="0" w:space="0" w:color="auto"/>
            <w:right w:val="none" w:sz="0" w:space="0" w:color="auto"/>
          </w:divBdr>
        </w:div>
        <w:div w:id="1309242158">
          <w:marLeft w:val="274"/>
          <w:marRight w:val="0"/>
          <w:marTop w:val="0"/>
          <w:marBottom w:val="0"/>
          <w:divBdr>
            <w:top w:val="none" w:sz="0" w:space="0" w:color="auto"/>
            <w:left w:val="none" w:sz="0" w:space="0" w:color="auto"/>
            <w:bottom w:val="none" w:sz="0" w:space="0" w:color="auto"/>
            <w:right w:val="none" w:sz="0" w:space="0" w:color="auto"/>
          </w:divBdr>
        </w:div>
        <w:div w:id="1265259723">
          <w:marLeft w:val="274"/>
          <w:marRight w:val="0"/>
          <w:marTop w:val="0"/>
          <w:marBottom w:val="0"/>
          <w:divBdr>
            <w:top w:val="none" w:sz="0" w:space="0" w:color="auto"/>
            <w:left w:val="none" w:sz="0" w:space="0" w:color="auto"/>
            <w:bottom w:val="none" w:sz="0" w:space="0" w:color="auto"/>
            <w:right w:val="none" w:sz="0" w:space="0" w:color="auto"/>
          </w:divBdr>
        </w:div>
        <w:div w:id="422993233">
          <w:marLeft w:val="274"/>
          <w:marRight w:val="0"/>
          <w:marTop w:val="0"/>
          <w:marBottom w:val="0"/>
          <w:divBdr>
            <w:top w:val="none" w:sz="0" w:space="0" w:color="auto"/>
            <w:left w:val="none" w:sz="0" w:space="0" w:color="auto"/>
            <w:bottom w:val="none" w:sz="0" w:space="0" w:color="auto"/>
            <w:right w:val="none" w:sz="0" w:space="0" w:color="auto"/>
          </w:divBdr>
        </w:div>
        <w:div w:id="1452822241">
          <w:marLeft w:val="274"/>
          <w:marRight w:val="0"/>
          <w:marTop w:val="0"/>
          <w:marBottom w:val="0"/>
          <w:divBdr>
            <w:top w:val="none" w:sz="0" w:space="0" w:color="auto"/>
            <w:left w:val="none" w:sz="0" w:space="0" w:color="auto"/>
            <w:bottom w:val="none" w:sz="0" w:space="0" w:color="auto"/>
            <w:right w:val="none" w:sz="0" w:space="0" w:color="auto"/>
          </w:divBdr>
        </w:div>
        <w:div w:id="1729110351">
          <w:marLeft w:val="274"/>
          <w:marRight w:val="0"/>
          <w:marTop w:val="0"/>
          <w:marBottom w:val="0"/>
          <w:divBdr>
            <w:top w:val="none" w:sz="0" w:space="0" w:color="auto"/>
            <w:left w:val="none" w:sz="0" w:space="0" w:color="auto"/>
            <w:bottom w:val="none" w:sz="0" w:space="0" w:color="auto"/>
            <w:right w:val="none" w:sz="0" w:space="0" w:color="auto"/>
          </w:divBdr>
        </w:div>
        <w:div w:id="1701664933">
          <w:marLeft w:val="274"/>
          <w:marRight w:val="0"/>
          <w:marTop w:val="0"/>
          <w:marBottom w:val="0"/>
          <w:divBdr>
            <w:top w:val="none" w:sz="0" w:space="0" w:color="auto"/>
            <w:left w:val="none" w:sz="0" w:space="0" w:color="auto"/>
            <w:bottom w:val="none" w:sz="0" w:space="0" w:color="auto"/>
            <w:right w:val="none" w:sz="0" w:space="0" w:color="auto"/>
          </w:divBdr>
        </w:div>
        <w:div w:id="2041397663">
          <w:marLeft w:val="274"/>
          <w:marRight w:val="0"/>
          <w:marTop w:val="0"/>
          <w:marBottom w:val="0"/>
          <w:divBdr>
            <w:top w:val="none" w:sz="0" w:space="0" w:color="auto"/>
            <w:left w:val="none" w:sz="0" w:space="0" w:color="auto"/>
            <w:bottom w:val="none" w:sz="0" w:space="0" w:color="auto"/>
            <w:right w:val="none" w:sz="0" w:space="0" w:color="auto"/>
          </w:divBdr>
        </w:div>
        <w:div w:id="1757166773">
          <w:marLeft w:val="274"/>
          <w:marRight w:val="0"/>
          <w:marTop w:val="0"/>
          <w:marBottom w:val="0"/>
          <w:divBdr>
            <w:top w:val="none" w:sz="0" w:space="0" w:color="auto"/>
            <w:left w:val="none" w:sz="0" w:space="0" w:color="auto"/>
            <w:bottom w:val="none" w:sz="0" w:space="0" w:color="auto"/>
            <w:right w:val="none" w:sz="0" w:space="0" w:color="auto"/>
          </w:divBdr>
        </w:div>
        <w:div w:id="2018925210">
          <w:marLeft w:val="274"/>
          <w:marRight w:val="0"/>
          <w:marTop w:val="0"/>
          <w:marBottom w:val="0"/>
          <w:divBdr>
            <w:top w:val="none" w:sz="0" w:space="0" w:color="auto"/>
            <w:left w:val="none" w:sz="0" w:space="0" w:color="auto"/>
            <w:bottom w:val="none" w:sz="0" w:space="0" w:color="auto"/>
            <w:right w:val="none" w:sz="0" w:space="0" w:color="auto"/>
          </w:divBdr>
        </w:div>
        <w:div w:id="727411333">
          <w:marLeft w:val="274"/>
          <w:marRight w:val="0"/>
          <w:marTop w:val="0"/>
          <w:marBottom w:val="0"/>
          <w:divBdr>
            <w:top w:val="none" w:sz="0" w:space="0" w:color="auto"/>
            <w:left w:val="none" w:sz="0" w:space="0" w:color="auto"/>
            <w:bottom w:val="none" w:sz="0" w:space="0" w:color="auto"/>
            <w:right w:val="none" w:sz="0" w:space="0" w:color="auto"/>
          </w:divBdr>
        </w:div>
        <w:div w:id="1069379552">
          <w:marLeft w:val="274"/>
          <w:marRight w:val="0"/>
          <w:marTop w:val="0"/>
          <w:marBottom w:val="0"/>
          <w:divBdr>
            <w:top w:val="none" w:sz="0" w:space="0" w:color="auto"/>
            <w:left w:val="none" w:sz="0" w:space="0" w:color="auto"/>
            <w:bottom w:val="none" w:sz="0" w:space="0" w:color="auto"/>
            <w:right w:val="none" w:sz="0" w:space="0" w:color="auto"/>
          </w:divBdr>
        </w:div>
        <w:div w:id="569117632">
          <w:marLeft w:val="274"/>
          <w:marRight w:val="0"/>
          <w:marTop w:val="0"/>
          <w:marBottom w:val="0"/>
          <w:divBdr>
            <w:top w:val="none" w:sz="0" w:space="0" w:color="auto"/>
            <w:left w:val="none" w:sz="0" w:space="0" w:color="auto"/>
            <w:bottom w:val="none" w:sz="0" w:space="0" w:color="auto"/>
            <w:right w:val="none" w:sz="0" w:space="0" w:color="auto"/>
          </w:divBdr>
        </w:div>
        <w:div w:id="1255478656">
          <w:marLeft w:val="274"/>
          <w:marRight w:val="0"/>
          <w:marTop w:val="0"/>
          <w:marBottom w:val="0"/>
          <w:divBdr>
            <w:top w:val="none" w:sz="0" w:space="0" w:color="auto"/>
            <w:left w:val="none" w:sz="0" w:space="0" w:color="auto"/>
            <w:bottom w:val="none" w:sz="0" w:space="0" w:color="auto"/>
            <w:right w:val="none" w:sz="0" w:space="0" w:color="auto"/>
          </w:divBdr>
        </w:div>
        <w:div w:id="65999764">
          <w:marLeft w:val="274"/>
          <w:marRight w:val="0"/>
          <w:marTop w:val="0"/>
          <w:marBottom w:val="0"/>
          <w:divBdr>
            <w:top w:val="none" w:sz="0" w:space="0" w:color="auto"/>
            <w:left w:val="none" w:sz="0" w:space="0" w:color="auto"/>
            <w:bottom w:val="none" w:sz="0" w:space="0" w:color="auto"/>
            <w:right w:val="none" w:sz="0" w:space="0" w:color="auto"/>
          </w:divBdr>
        </w:div>
        <w:div w:id="709502704">
          <w:marLeft w:val="274"/>
          <w:marRight w:val="0"/>
          <w:marTop w:val="0"/>
          <w:marBottom w:val="0"/>
          <w:divBdr>
            <w:top w:val="none" w:sz="0" w:space="0" w:color="auto"/>
            <w:left w:val="none" w:sz="0" w:space="0" w:color="auto"/>
            <w:bottom w:val="none" w:sz="0" w:space="0" w:color="auto"/>
            <w:right w:val="none" w:sz="0" w:space="0" w:color="auto"/>
          </w:divBdr>
        </w:div>
        <w:div w:id="10842006">
          <w:marLeft w:val="274"/>
          <w:marRight w:val="0"/>
          <w:marTop w:val="0"/>
          <w:marBottom w:val="0"/>
          <w:divBdr>
            <w:top w:val="none" w:sz="0" w:space="0" w:color="auto"/>
            <w:left w:val="none" w:sz="0" w:space="0" w:color="auto"/>
            <w:bottom w:val="none" w:sz="0" w:space="0" w:color="auto"/>
            <w:right w:val="none" w:sz="0" w:space="0" w:color="auto"/>
          </w:divBdr>
        </w:div>
        <w:div w:id="1781876552">
          <w:marLeft w:val="274"/>
          <w:marRight w:val="0"/>
          <w:marTop w:val="0"/>
          <w:marBottom w:val="0"/>
          <w:divBdr>
            <w:top w:val="none" w:sz="0" w:space="0" w:color="auto"/>
            <w:left w:val="none" w:sz="0" w:space="0" w:color="auto"/>
            <w:bottom w:val="none" w:sz="0" w:space="0" w:color="auto"/>
            <w:right w:val="none" w:sz="0" w:space="0" w:color="auto"/>
          </w:divBdr>
        </w:div>
        <w:div w:id="1582182088">
          <w:marLeft w:val="274"/>
          <w:marRight w:val="0"/>
          <w:marTop w:val="0"/>
          <w:marBottom w:val="0"/>
          <w:divBdr>
            <w:top w:val="none" w:sz="0" w:space="0" w:color="auto"/>
            <w:left w:val="none" w:sz="0" w:space="0" w:color="auto"/>
            <w:bottom w:val="none" w:sz="0" w:space="0" w:color="auto"/>
            <w:right w:val="none" w:sz="0" w:space="0" w:color="auto"/>
          </w:divBdr>
        </w:div>
        <w:div w:id="352921641">
          <w:marLeft w:val="274"/>
          <w:marRight w:val="0"/>
          <w:marTop w:val="0"/>
          <w:marBottom w:val="0"/>
          <w:divBdr>
            <w:top w:val="none" w:sz="0" w:space="0" w:color="auto"/>
            <w:left w:val="none" w:sz="0" w:space="0" w:color="auto"/>
            <w:bottom w:val="none" w:sz="0" w:space="0" w:color="auto"/>
            <w:right w:val="none" w:sz="0" w:space="0" w:color="auto"/>
          </w:divBdr>
        </w:div>
        <w:div w:id="1227569684">
          <w:marLeft w:val="274"/>
          <w:marRight w:val="0"/>
          <w:marTop w:val="0"/>
          <w:marBottom w:val="0"/>
          <w:divBdr>
            <w:top w:val="none" w:sz="0" w:space="0" w:color="auto"/>
            <w:left w:val="none" w:sz="0" w:space="0" w:color="auto"/>
            <w:bottom w:val="none" w:sz="0" w:space="0" w:color="auto"/>
            <w:right w:val="none" w:sz="0" w:space="0" w:color="auto"/>
          </w:divBdr>
        </w:div>
        <w:div w:id="1424884919">
          <w:marLeft w:val="274"/>
          <w:marRight w:val="0"/>
          <w:marTop w:val="0"/>
          <w:marBottom w:val="0"/>
          <w:divBdr>
            <w:top w:val="none" w:sz="0" w:space="0" w:color="auto"/>
            <w:left w:val="none" w:sz="0" w:space="0" w:color="auto"/>
            <w:bottom w:val="none" w:sz="0" w:space="0" w:color="auto"/>
            <w:right w:val="none" w:sz="0" w:space="0" w:color="auto"/>
          </w:divBdr>
        </w:div>
      </w:divsChild>
    </w:div>
    <w:div w:id="1005287442">
      <w:bodyDiv w:val="1"/>
      <w:marLeft w:val="0"/>
      <w:marRight w:val="0"/>
      <w:marTop w:val="0"/>
      <w:marBottom w:val="0"/>
      <w:divBdr>
        <w:top w:val="none" w:sz="0" w:space="0" w:color="auto"/>
        <w:left w:val="none" w:sz="0" w:space="0" w:color="auto"/>
        <w:bottom w:val="none" w:sz="0" w:space="0" w:color="auto"/>
        <w:right w:val="none" w:sz="0" w:space="0" w:color="auto"/>
      </w:divBdr>
    </w:div>
    <w:div w:id="1025061485">
      <w:bodyDiv w:val="1"/>
      <w:marLeft w:val="0"/>
      <w:marRight w:val="0"/>
      <w:marTop w:val="0"/>
      <w:marBottom w:val="0"/>
      <w:divBdr>
        <w:top w:val="none" w:sz="0" w:space="0" w:color="auto"/>
        <w:left w:val="none" w:sz="0" w:space="0" w:color="auto"/>
        <w:bottom w:val="none" w:sz="0" w:space="0" w:color="auto"/>
        <w:right w:val="none" w:sz="0" w:space="0" w:color="auto"/>
      </w:divBdr>
      <w:divsChild>
        <w:div w:id="1716469734">
          <w:marLeft w:val="0"/>
          <w:marRight w:val="0"/>
          <w:marTop w:val="0"/>
          <w:marBottom w:val="0"/>
          <w:divBdr>
            <w:top w:val="none" w:sz="0" w:space="0" w:color="auto"/>
            <w:left w:val="none" w:sz="0" w:space="0" w:color="auto"/>
            <w:bottom w:val="none" w:sz="0" w:space="0" w:color="auto"/>
            <w:right w:val="none" w:sz="0" w:space="0" w:color="auto"/>
          </w:divBdr>
        </w:div>
        <w:div w:id="2036299932">
          <w:marLeft w:val="0"/>
          <w:marRight w:val="0"/>
          <w:marTop w:val="0"/>
          <w:marBottom w:val="0"/>
          <w:divBdr>
            <w:top w:val="none" w:sz="0" w:space="0" w:color="auto"/>
            <w:left w:val="none" w:sz="0" w:space="0" w:color="auto"/>
            <w:bottom w:val="none" w:sz="0" w:space="0" w:color="auto"/>
            <w:right w:val="none" w:sz="0" w:space="0" w:color="auto"/>
          </w:divBdr>
        </w:div>
        <w:div w:id="123350963">
          <w:marLeft w:val="0"/>
          <w:marRight w:val="0"/>
          <w:marTop w:val="0"/>
          <w:marBottom w:val="0"/>
          <w:divBdr>
            <w:top w:val="none" w:sz="0" w:space="0" w:color="auto"/>
            <w:left w:val="none" w:sz="0" w:space="0" w:color="auto"/>
            <w:bottom w:val="none" w:sz="0" w:space="0" w:color="auto"/>
            <w:right w:val="none" w:sz="0" w:space="0" w:color="auto"/>
          </w:divBdr>
          <w:divsChild>
            <w:div w:id="1695494991">
              <w:marLeft w:val="-75"/>
              <w:marRight w:val="0"/>
              <w:marTop w:val="30"/>
              <w:marBottom w:val="30"/>
              <w:divBdr>
                <w:top w:val="none" w:sz="0" w:space="0" w:color="auto"/>
                <w:left w:val="none" w:sz="0" w:space="0" w:color="auto"/>
                <w:bottom w:val="none" w:sz="0" w:space="0" w:color="auto"/>
                <w:right w:val="none" w:sz="0" w:space="0" w:color="auto"/>
              </w:divBdr>
              <w:divsChild>
                <w:div w:id="92896721">
                  <w:marLeft w:val="0"/>
                  <w:marRight w:val="0"/>
                  <w:marTop w:val="0"/>
                  <w:marBottom w:val="0"/>
                  <w:divBdr>
                    <w:top w:val="none" w:sz="0" w:space="0" w:color="auto"/>
                    <w:left w:val="none" w:sz="0" w:space="0" w:color="auto"/>
                    <w:bottom w:val="none" w:sz="0" w:space="0" w:color="auto"/>
                    <w:right w:val="none" w:sz="0" w:space="0" w:color="auto"/>
                  </w:divBdr>
                  <w:divsChild>
                    <w:div w:id="586185183">
                      <w:marLeft w:val="0"/>
                      <w:marRight w:val="0"/>
                      <w:marTop w:val="0"/>
                      <w:marBottom w:val="0"/>
                      <w:divBdr>
                        <w:top w:val="none" w:sz="0" w:space="0" w:color="auto"/>
                        <w:left w:val="none" w:sz="0" w:space="0" w:color="auto"/>
                        <w:bottom w:val="none" w:sz="0" w:space="0" w:color="auto"/>
                        <w:right w:val="none" w:sz="0" w:space="0" w:color="auto"/>
                      </w:divBdr>
                    </w:div>
                    <w:div w:id="237640249">
                      <w:marLeft w:val="0"/>
                      <w:marRight w:val="0"/>
                      <w:marTop w:val="0"/>
                      <w:marBottom w:val="0"/>
                      <w:divBdr>
                        <w:top w:val="none" w:sz="0" w:space="0" w:color="auto"/>
                        <w:left w:val="none" w:sz="0" w:space="0" w:color="auto"/>
                        <w:bottom w:val="none" w:sz="0" w:space="0" w:color="auto"/>
                        <w:right w:val="none" w:sz="0" w:space="0" w:color="auto"/>
                      </w:divBdr>
                    </w:div>
                  </w:divsChild>
                </w:div>
                <w:div w:id="210775515">
                  <w:marLeft w:val="0"/>
                  <w:marRight w:val="0"/>
                  <w:marTop w:val="0"/>
                  <w:marBottom w:val="0"/>
                  <w:divBdr>
                    <w:top w:val="none" w:sz="0" w:space="0" w:color="auto"/>
                    <w:left w:val="none" w:sz="0" w:space="0" w:color="auto"/>
                    <w:bottom w:val="none" w:sz="0" w:space="0" w:color="auto"/>
                    <w:right w:val="none" w:sz="0" w:space="0" w:color="auto"/>
                  </w:divBdr>
                  <w:divsChild>
                    <w:div w:id="1478643611">
                      <w:marLeft w:val="0"/>
                      <w:marRight w:val="0"/>
                      <w:marTop w:val="0"/>
                      <w:marBottom w:val="0"/>
                      <w:divBdr>
                        <w:top w:val="none" w:sz="0" w:space="0" w:color="auto"/>
                        <w:left w:val="none" w:sz="0" w:space="0" w:color="auto"/>
                        <w:bottom w:val="none" w:sz="0" w:space="0" w:color="auto"/>
                        <w:right w:val="none" w:sz="0" w:space="0" w:color="auto"/>
                      </w:divBdr>
                    </w:div>
                  </w:divsChild>
                </w:div>
                <w:div w:id="1126892990">
                  <w:marLeft w:val="0"/>
                  <w:marRight w:val="0"/>
                  <w:marTop w:val="0"/>
                  <w:marBottom w:val="0"/>
                  <w:divBdr>
                    <w:top w:val="none" w:sz="0" w:space="0" w:color="auto"/>
                    <w:left w:val="none" w:sz="0" w:space="0" w:color="auto"/>
                    <w:bottom w:val="none" w:sz="0" w:space="0" w:color="auto"/>
                    <w:right w:val="none" w:sz="0" w:space="0" w:color="auto"/>
                  </w:divBdr>
                  <w:divsChild>
                    <w:div w:id="855771171">
                      <w:marLeft w:val="0"/>
                      <w:marRight w:val="0"/>
                      <w:marTop w:val="0"/>
                      <w:marBottom w:val="0"/>
                      <w:divBdr>
                        <w:top w:val="none" w:sz="0" w:space="0" w:color="auto"/>
                        <w:left w:val="none" w:sz="0" w:space="0" w:color="auto"/>
                        <w:bottom w:val="none" w:sz="0" w:space="0" w:color="auto"/>
                        <w:right w:val="none" w:sz="0" w:space="0" w:color="auto"/>
                      </w:divBdr>
                    </w:div>
                  </w:divsChild>
                </w:div>
                <w:div w:id="1863393734">
                  <w:marLeft w:val="0"/>
                  <w:marRight w:val="0"/>
                  <w:marTop w:val="0"/>
                  <w:marBottom w:val="0"/>
                  <w:divBdr>
                    <w:top w:val="none" w:sz="0" w:space="0" w:color="auto"/>
                    <w:left w:val="none" w:sz="0" w:space="0" w:color="auto"/>
                    <w:bottom w:val="none" w:sz="0" w:space="0" w:color="auto"/>
                    <w:right w:val="none" w:sz="0" w:space="0" w:color="auto"/>
                  </w:divBdr>
                  <w:divsChild>
                    <w:div w:id="1420716703">
                      <w:marLeft w:val="0"/>
                      <w:marRight w:val="0"/>
                      <w:marTop w:val="0"/>
                      <w:marBottom w:val="0"/>
                      <w:divBdr>
                        <w:top w:val="none" w:sz="0" w:space="0" w:color="auto"/>
                        <w:left w:val="none" w:sz="0" w:space="0" w:color="auto"/>
                        <w:bottom w:val="none" w:sz="0" w:space="0" w:color="auto"/>
                        <w:right w:val="none" w:sz="0" w:space="0" w:color="auto"/>
                      </w:divBdr>
                    </w:div>
                  </w:divsChild>
                </w:div>
                <w:div w:id="110561180">
                  <w:marLeft w:val="0"/>
                  <w:marRight w:val="0"/>
                  <w:marTop w:val="0"/>
                  <w:marBottom w:val="0"/>
                  <w:divBdr>
                    <w:top w:val="none" w:sz="0" w:space="0" w:color="auto"/>
                    <w:left w:val="none" w:sz="0" w:space="0" w:color="auto"/>
                    <w:bottom w:val="none" w:sz="0" w:space="0" w:color="auto"/>
                    <w:right w:val="none" w:sz="0" w:space="0" w:color="auto"/>
                  </w:divBdr>
                  <w:divsChild>
                    <w:div w:id="1126629590">
                      <w:marLeft w:val="0"/>
                      <w:marRight w:val="0"/>
                      <w:marTop w:val="0"/>
                      <w:marBottom w:val="0"/>
                      <w:divBdr>
                        <w:top w:val="none" w:sz="0" w:space="0" w:color="auto"/>
                        <w:left w:val="none" w:sz="0" w:space="0" w:color="auto"/>
                        <w:bottom w:val="none" w:sz="0" w:space="0" w:color="auto"/>
                        <w:right w:val="none" w:sz="0" w:space="0" w:color="auto"/>
                      </w:divBdr>
                    </w:div>
                    <w:div w:id="311718280">
                      <w:marLeft w:val="0"/>
                      <w:marRight w:val="0"/>
                      <w:marTop w:val="0"/>
                      <w:marBottom w:val="0"/>
                      <w:divBdr>
                        <w:top w:val="none" w:sz="0" w:space="0" w:color="auto"/>
                        <w:left w:val="none" w:sz="0" w:space="0" w:color="auto"/>
                        <w:bottom w:val="none" w:sz="0" w:space="0" w:color="auto"/>
                        <w:right w:val="none" w:sz="0" w:space="0" w:color="auto"/>
                      </w:divBdr>
                    </w:div>
                    <w:div w:id="406734950">
                      <w:marLeft w:val="0"/>
                      <w:marRight w:val="0"/>
                      <w:marTop w:val="0"/>
                      <w:marBottom w:val="0"/>
                      <w:divBdr>
                        <w:top w:val="none" w:sz="0" w:space="0" w:color="auto"/>
                        <w:left w:val="none" w:sz="0" w:space="0" w:color="auto"/>
                        <w:bottom w:val="none" w:sz="0" w:space="0" w:color="auto"/>
                        <w:right w:val="none" w:sz="0" w:space="0" w:color="auto"/>
                      </w:divBdr>
                    </w:div>
                  </w:divsChild>
                </w:div>
                <w:div w:id="1388382816">
                  <w:marLeft w:val="0"/>
                  <w:marRight w:val="0"/>
                  <w:marTop w:val="0"/>
                  <w:marBottom w:val="0"/>
                  <w:divBdr>
                    <w:top w:val="none" w:sz="0" w:space="0" w:color="auto"/>
                    <w:left w:val="none" w:sz="0" w:space="0" w:color="auto"/>
                    <w:bottom w:val="none" w:sz="0" w:space="0" w:color="auto"/>
                    <w:right w:val="none" w:sz="0" w:space="0" w:color="auto"/>
                  </w:divBdr>
                  <w:divsChild>
                    <w:div w:id="117190261">
                      <w:marLeft w:val="0"/>
                      <w:marRight w:val="0"/>
                      <w:marTop w:val="0"/>
                      <w:marBottom w:val="0"/>
                      <w:divBdr>
                        <w:top w:val="none" w:sz="0" w:space="0" w:color="auto"/>
                        <w:left w:val="none" w:sz="0" w:space="0" w:color="auto"/>
                        <w:bottom w:val="none" w:sz="0" w:space="0" w:color="auto"/>
                        <w:right w:val="none" w:sz="0" w:space="0" w:color="auto"/>
                      </w:divBdr>
                    </w:div>
                  </w:divsChild>
                </w:div>
                <w:div w:id="1429810304">
                  <w:marLeft w:val="0"/>
                  <w:marRight w:val="0"/>
                  <w:marTop w:val="0"/>
                  <w:marBottom w:val="0"/>
                  <w:divBdr>
                    <w:top w:val="none" w:sz="0" w:space="0" w:color="auto"/>
                    <w:left w:val="none" w:sz="0" w:space="0" w:color="auto"/>
                    <w:bottom w:val="none" w:sz="0" w:space="0" w:color="auto"/>
                    <w:right w:val="none" w:sz="0" w:space="0" w:color="auto"/>
                  </w:divBdr>
                  <w:divsChild>
                    <w:div w:id="2117867140">
                      <w:marLeft w:val="0"/>
                      <w:marRight w:val="0"/>
                      <w:marTop w:val="0"/>
                      <w:marBottom w:val="0"/>
                      <w:divBdr>
                        <w:top w:val="none" w:sz="0" w:space="0" w:color="auto"/>
                        <w:left w:val="none" w:sz="0" w:space="0" w:color="auto"/>
                        <w:bottom w:val="none" w:sz="0" w:space="0" w:color="auto"/>
                        <w:right w:val="none" w:sz="0" w:space="0" w:color="auto"/>
                      </w:divBdr>
                    </w:div>
                  </w:divsChild>
                </w:div>
                <w:div w:id="352415371">
                  <w:marLeft w:val="0"/>
                  <w:marRight w:val="0"/>
                  <w:marTop w:val="0"/>
                  <w:marBottom w:val="0"/>
                  <w:divBdr>
                    <w:top w:val="none" w:sz="0" w:space="0" w:color="auto"/>
                    <w:left w:val="none" w:sz="0" w:space="0" w:color="auto"/>
                    <w:bottom w:val="none" w:sz="0" w:space="0" w:color="auto"/>
                    <w:right w:val="none" w:sz="0" w:space="0" w:color="auto"/>
                  </w:divBdr>
                  <w:divsChild>
                    <w:div w:id="11775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67050">
          <w:marLeft w:val="0"/>
          <w:marRight w:val="0"/>
          <w:marTop w:val="0"/>
          <w:marBottom w:val="0"/>
          <w:divBdr>
            <w:top w:val="none" w:sz="0" w:space="0" w:color="auto"/>
            <w:left w:val="none" w:sz="0" w:space="0" w:color="auto"/>
            <w:bottom w:val="none" w:sz="0" w:space="0" w:color="auto"/>
            <w:right w:val="none" w:sz="0" w:space="0" w:color="auto"/>
          </w:divBdr>
        </w:div>
      </w:divsChild>
    </w:div>
    <w:div w:id="1049954773">
      <w:bodyDiv w:val="1"/>
      <w:marLeft w:val="0"/>
      <w:marRight w:val="0"/>
      <w:marTop w:val="0"/>
      <w:marBottom w:val="0"/>
      <w:divBdr>
        <w:top w:val="none" w:sz="0" w:space="0" w:color="auto"/>
        <w:left w:val="none" w:sz="0" w:space="0" w:color="auto"/>
        <w:bottom w:val="none" w:sz="0" w:space="0" w:color="auto"/>
        <w:right w:val="none" w:sz="0" w:space="0" w:color="auto"/>
      </w:divBdr>
    </w:div>
    <w:div w:id="1053650244">
      <w:bodyDiv w:val="1"/>
      <w:marLeft w:val="0"/>
      <w:marRight w:val="0"/>
      <w:marTop w:val="0"/>
      <w:marBottom w:val="0"/>
      <w:divBdr>
        <w:top w:val="none" w:sz="0" w:space="0" w:color="auto"/>
        <w:left w:val="none" w:sz="0" w:space="0" w:color="auto"/>
        <w:bottom w:val="none" w:sz="0" w:space="0" w:color="auto"/>
        <w:right w:val="none" w:sz="0" w:space="0" w:color="auto"/>
      </w:divBdr>
    </w:div>
    <w:div w:id="1061245324">
      <w:bodyDiv w:val="1"/>
      <w:marLeft w:val="0"/>
      <w:marRight w:val="0"/>
      <w:marTop w:val="0"/>
      <w:marBottom w:val="0"/>
      <w:divBdr>
        <w:top w:val="none" w:sz="0" w:space="0" w:color="auto"/>
        <w:left w:val="none" w:sz="0" w:space="0" w:color="auto"/>
        <w:bottom w:val="none" w:sz="0" w:space="0" w:color="auto"/>
        <w:right w:val="none" w:sz="0" w:space="0" w:color="auto"/>
      </w:divBdr>
    </w:div>
    <w:div w:id="1068768753">
      <w:bodyDiv w:val="1"/>
      <w:marLeft w:val="0"/>
      <w:marRight w:val="0"/>
      <w:marTop w:val="0"/>
      <w:marBottom w:val="0"/>
      <w:divBdr>
        <w:top w:val="none" w:sz="0" w:space="0" w:color="auto"/>
        <w:left w:val="none" w:sz="0" w:space="0" w:color="auto"/>
        <w:bottom w:val="none" w:sz="0" w:space="0" w:color="auto"/>
        <w:right w:val="none" w:sz="0" w:space="0" w:color="auto"/>
      </w:divBdr>
    </w:div>
    <w:div w:id="1075471997">
      <w:bodyDiv w:val="1"/>
      <w:marLeft w:val="0"/>
      <w:marRight w:val="0"/>
      <w:marTop w:val="0"/>
      <w:marBottom w:val="0"/>
      <w:divBdr>
        <w:top w:val="none" w:sz="0" w:space="0" w:color="auto"/>
        <w:left w:val="none" w:sz="0" w:space="0" w:color="auto"/>
        <w:bottom w:val="none" w:sz="0" w:space="0" w:color="auto"/>
        <w:right w:val="none" w:sz="0" w:space="0" w:color="auto"/>
      </w:divBdr>
      <w:divsChild>
        <w:div w:id="919489537">
          <w:marLeft w:val="274"/>
          <w:marRight w:val="0"/>
          <w:marTop w:val="0"/>
          <w:marBottom w:val="0"/>
          <w:divBdr>
            <w:top w:val="none" w:sz="0" w:space="0" w:color="auto"/>
            <w:left w:val="none" w:sz="0" w:space="0" w:color="auto"/>
            <w:bottom w:val="none" w:sz="0" w:space="0" w:color="auto"/>
            <w:right w:val="none" w:sz="0" w:space="0" w:color="auto"/>
          </w:divBdr>
        </w:div>
        <w:div w:id="1534151826">
          <w:marLeft w:val="274"/>
          <w:marRight w:val="0"/>
          <w:marTop w:val="0"/>
          <w:marBottom w:val="0"/>
          <w:divBdr>
            <w:top w:val="none" w:sz="0" w:space="0" w:color="auto"/>
            <w:left w:val="none" w:sz="0" w:space="0" w:color="auto"/>
            <w:bottom w:val="none" w:sz="0" w:space="0" w:color="auto"/>
            <w:right w:val="none" w:sz="0" w:space="0" w:color="auto"/>
          </w:divBdr>
        </w:div>
        <w:div w:id="313413634">
          <w:marLeft w:val="274"/>
          <w:marRight w:val="0"/>
          <w:marTop w:val="0"/>
          <w:marBottom w:val="0"/>
          <w:divBdr>
            <w:top w:val="none" w:sz="0" w:space="0" w:color="auto"/>
            <w:left w:val="none" w:sz="0" w:space="0" w:color="auto"/>
            <w:bottom w:val="none" w:sz="0" w:space="0" w:color="auto"/>
            <w:right w:val="none" w:sz="0" w:space="0" w:color="auto"/>
          </w:divBdr>
        </w:div>
        <w:div w:id="2087799971">
          <w:marLeft w:val="274"/>
          <w:marRight w:val="0"/>
          <w:marTop w:val="0"/>
          <w:marBottom w:val="0"/>
          <w:divBdr>
            <w:top w:val="none" w:sz="0" w:space="0" w:color="auto"/>
            <w:left w:val="none" w:sz="0" w:space="0" w:color="auto"/>
            <w:bottom w:val="none" w:sz="0" w:space="0" w:color="auto"/>
            <w:right w:val="none" w:sz="0" w:space="0" w:color="auto"/>
          </w:divBdr>
        </w:div>
        <w:div w:id="1170174962">
          <w:marLeft w:val="274"/>
          <w:marRight w:val="0"/>
          <w:marTop w:val="0"/>
          <w:marBottom w:val="0"/>
          <w:divBdr>
            <w:top w:val="none" w:sz="0" w:space="0" w:color="auto"/>
            <w:left w:val="none" w:sz="0" w:space="0" w:color="auto"/>
            <w:bottom w:val="none" w:sz="0" w:space="0" w:color="auto"/>
            <w:right w:val="none" w:sz="0" w:space="0" w:color="auto"/>
          </w:divBdr>
        </w:div>
      </w:divsChild>
    </w:div>
    <w:div w:id="1099717721">
      <w:bodyDiv w:val="1"/>
      <w:marLeft w:val="0"/>
      <w:marRight w:val="0"/>
      <w:marTop w:val="0"/>
      <w:marBottom w:val="0"/>
      <w:divBdr>
        <w:top w:val="none" w:sz="0" w:space="0" w:color="auto"/>
        <w:left w:val="none" w:sz="0" w:space="0" w:color="auto"/>
        <w:bottom w:val="none" w:sz="0" w:space="0" w:color="auto"/>
        <w:right w:val="none" w:sz="0" w:space="0" w:color="auto"/>
      </w:divBdr>
    </w:div>
    <w:div w:id="1113793720">
      <w:bodyDiv w:val="1"/>
      <w:marLeft w:val="0"/>
      <w:marRight w:val="0"/>
      <w:marTop w:val="0"/>
      <w:marBottom w:val="0"/>
      <w:divBdr>
        <w:top w:val="none" w:sz="0" w:space="0" w:color="auto"/>
        <w:left w:val="none" w:sz="0" w:space="0" w:color="auto"/>
        <w:bottom w:val="none" w:sz="0" w:space="0" w:color="auto"/>
        <w:right w:val="none" w:sz="0" w:space="0" w:color="auto"/>
      </w:divBdr>
    </w:div>
    <w:div w:id="1120610788">
      <w:bodyDiv w:val="1"/>
      <w:marLeft w:val="0"/>
      <w:marRight w:val="0"/>
      <w:marTop w:val="0"/>
      <w:marBottom w:val="0"/>
      <w:divBdr>
        <w:top w:val="none" w:sz="0" w:space="0" w:color="auto"/>
        <w:left w:val="none" w:sz="0" w:space="0" w:color="auto"/>
        <w:bottom w:val="none" w:sz="0" w:space="0" w:color="auto"/>
        <w:right w:val="none" w:sz="0" w:space="0" w:color="auto"/>
      </w:divBdr>
    </w:div>
    <w:div w:id="1122184799">
      <w:bodyDiv w:val="1"/>
      <w:marLeft w:val="0"/>
      <w:marRight w:val="0"/>
      <w:marTop w:val="0"/>
      <w:marBottom w:val="0"/>
      <w:divBdr>
        <w:top w:val="none" w:sz="0" w:space="0" w:color="auto"/>
        <w:left w:val="none" w:sz="0" w:space="0" w:color="auto"/>
        <w:bottom w:val="none" w:sz="0" w:space="0" w:color="auto"/>
        <w:right w:val="none" w:sz="0" w:space="0" w:color="auto"/>
      </w:divBdr>
    </w:div>
    <w:div w:id="1123960539">
      <w:bodyDiv w:val="1"/>
      <w:marLeft w:val="0"/>
      <w:marRight w:val="0"/>
      <w:marTop w:val="0"/>
      <w:marBottom w:val="0"/>
      <w:divBdr>
        <w:top w:val="none" w:sz="0" w:space="0" w:color="auto"/>
        <w:left w:val="none" w:sz="0" w:space="0" w:color="auto"/>
        <w:bottom w:val="none" w:sz="0" w:space="0" w:color="auto"/>
        <w:right w:val="none" w:sz="0" w:space="0" w:color="auto"/>
      </w:divBdr>
      <w:divsChild>
        <w:div w:id="1784688904">
          <w:marLeft w:val="274"/>
          <w:marRight w:val="0"/>
          <w:marTop w:val="0"/>
          <w:marBottom w:val="0"/>
          <w:divBdr>
            <w:top w:val="none" w:sz="0" w:space="0" w:color="auto"/>
            <w:left w:val="none" w:sz="0" w:space="0" w:color="auto"/>
            <w:bottom w:val="none" w:sz="0" w:space="0" w:color="auto"/>
            <w:right w:val="none" w:sz="0" w:space="0" w:color="auto"/>
          </w:divBdr>
        </w:div>
        <w:div w:id="211893704">
          <w:marLeft w:val="274"/>
          <w:marRight w:val="0"/>
          <w:marTop w:val="0"/>
          <w:marBottom w:val="0"/>
          <w:divBdr>
            <w:top w:val="none" w:sz="0" w:space="0" w:color="auto"/>
            <w:left w:val="none" w:sz="0" w:space="0" w:color="auto"/>
            <w:bottom w:val="none" w:sz="0" w:space="0" w:color="auto"/>
            <w:right w:val="none" w:sz="0" w:space="0" w:color="auto"/>
          </w:divBdr>
        </w:div>
        <w:div w:id="1214344677">
          <w:marLeft w:val="274"/>
          <w:marRight w:val="0"/>
          <w:marTop w:val="0"/>
          <w:marBottom w:val="0"/>
          <w:divBdr>
            <w:top w:val="none" w:sz="0" w:space="0" w:color="auto"/>
            <w:left w:val="none" w:sz="0" w:space="0" w:color="auto"/>
            <w:bottom w:val="none" w:sz="0" w:space="0" w:color="auto"/>
            <w:right w:val="none" w:sz="0" w:space="0" w:color="auto"/>
          </w:divBdr>
        </w:div>
        <w:div w:id="626859803">
          <w:marLeft w:val="274"/>
          <w:marRight w:val="0"/>
          <w:marTop w:val="0"/>
          <w:marBottom w:val="0"/>
          <w:divBdr>
            <w:top w:val="none" w:sz="0" w:space="0" w:color="auto"/>
            <w:left w:val="none" w:sz="0" w:space="0" w:color="auto"/>
            <w:bottom w:val="none" w:sz="0" w:space="0" w:color="auto"/>
            <w:right w:val="none" w:sz="0" w:space="0" w:color="auto"/>
          </w:divBdr>
        </w:div>
        <w:div w:id="1161002104">
          <w:marLeft w:val="274"/>
          <w:marRight w:val="0"/>
          <w:marTop w:val="0"/>
          <w:marBottom w:val="0"/>
          <w:divBdr>
            <w:top w:val="none" w:sz="0" w:space="0" w:color="auto"/>
            <w:left w:val="none" w:sz="0" w:space="0" w:color="auto"/>
            <w:bottom w:val="none" w:sz="0" w:space="0" w:color="auto"/>
            <w:right w:val="none" w:sz="0" w:space="0" w:color="auto"/>
          </w:divBdr>
        </w:div>
      </w:divsChild>
    </w:div>
    <w:div w:id="1127048769">
      <w:bodyDiv w:val="1"/>
      <w:marLeft w:val="0"/>
      <w:marRight w:val="0"/>
      <w:marTop w:val="0"/>
      <w:marBottom w:val="0"/>
      <w:divBdr>
        <w:top w:val="none" w:sz="0" w:space="0" w:color="auto"/>
        <w:left w:val="none" w:sz="0" w:space="0" w:color="auto"/>
        <w:bottom w:val="none" w:sz="0" w:space="0" w:color="auto"/>
        <w:right w:val="none" w:sz="0" w:space="0" w:color="auto"/>
      </w:divBdr>
    </w:div>
    <w:div w:id="1141652588">
      <w:bodyDiv w:val="1"/>
      <w:marLeft w:val="0"/>
      <w:marRight w:val="0"/>
      <w:marTop w:val="0"/>
      <w:marBottom w:val="0"/>
      <w:divBdr>
        <w:top w:val="none" w:sz="0" w:space="0" w:color="auto"/>
        <w:left w:val="none" w:sz="0" w:space="0" w:color="auto"/>
        <w:bottom w:val="none" w:sz="0" w:space="0" w:color="auto"/>
        <w:right w:val="none" w:sz="0" w:space="0" w:color="auto"/>
      </w:divBdr>
    </w:div>
    <w:div w:id="1162283238">
      <w:bodyDiv w:val="1"/>
      <w:marLeft w:val="0"/>
      <w:marRight w:val="0"/>
      <w:marTop w:val="0"/>
      <w:marBottom w:val="0"/>
      <w:divBdr>
        <w:top w:val="none" w:sz="0" w:space="0" w:color="auto"/>
        <w:left w:val="none" w:sz="0" w:space="0" w:color="auto"/>
        <w:bottom w:val="none" w:sz="0" w:space="0" w:color="auto"/>
        <w:right w:val="none" w:sz="0" w:space="0" w:color="auto"/>
      </w:divBdr>
    </w:div>
    <w:div w:id="1171067138">
      <w:bodyDiv w:val="1"/>
      <w:marLeft w:val="0"/>
      <w:marRight w:val="0"/>
      <w:marTop w:val="0"/>
      <w:marBottom w:val="0"/>
      <w:divBdr>
        <w:top w:val="none" w:sz="0" w:space="0" w:color="auto"/>
        <w:left w:val="none" w:sz="0" w:space="0" w:color="auto"/>
        <w:bottom w:val="none" w:sz="0" w:space="0" w:color="auto"/>
        <w:right w:val="none" w:sz="0" w:space="0" w:color="auto"/>
      </w:divBdr>
    </w:div>
    <w:div w:id="1177622932">
      <w:bodyDiv w:val="1"/>
      <w:marLeft w:val="0"/>
      <w:marRight w:val="0"/>
      <w:marTop w:val="0"/>
      <w:marBottom w:val="0"/>
      <w:divBdr>
        <w:top w:val="none" w:sz="0" w:space="0" w:color="auto"/>
        <w:left w:val="none" w:sz="0" w:space="0" w:color="auto"/>
        <w:bottom w:val="none" w:sz="0" w:space="0" w:color="auto"/>
        <w:right w:val="none" w:sz="0" w:space="0" w:color="auto"/>
      </w:divBdr>
      <w:divsChild>
        <w:div w:id="1111440063">
          <w:marLeft w:val="274"/>
          <w:marRight w:val="0"/>
          <w:marTop w:val="0"/>
          <w:marBottom w:val="0"/>
          <w:divBdr>
            <w:top w:val="none" w:sz="0" w:space="0" w:color="auto"/>
            <w:left w:val="none" w:sz="0" w:space="0" w:color="auto"/>
            <w:bottom w:val="none" w:sz="0" w:space="0" w:color="auto"/>
            <w:right w:val="none" w:sz="0" w:space="0" w:color="auto"/>
          </w:divBdr>
        </w:div>
        <w:div w:id="1809006179">
          <w:marLeft w:val="274"/>
          <w:marRight w:val="0"/>
          <w:marTop w:val="0"/>
          <w:marBottom w:val="0"/>
          <w:divBdr>
            <w:top w:val="none" w:sz="0" w:space="0" w:color="auto"/>
            <w:left w:val="none" w:sz="0" w:space="0" w:color="auto"/>
            <w:bottom w:val="none" w:sz="0" w:space="0" w:color="auto"/>
            <w:right w:val="none" w:sz="0" w:space="0" w:color="auto"/>
          </w:divBdr>
        </w:div>
        <w:div w:id="1885407316">
          <w:marLeft w:val="274"/>
          <w:marRight w:val="0"/>
          <w:marTop w:val="0"/>
          <w:marBottom w:val="0"/>
          <w:divBdr>
            <w:top w:val="none" w:sz="0" w:space="0" w:color="auto"/>
            <w:left w:val="none" w:sz="0" w:space="0" w:color="auto"/>
            <w:bottom w:val="none" w:sz="0" w:space="0" w:color="auto"/>
            <w:right w:val="none" w:sz="0" w:space="0" w:color="auto"/>
          </w:divBdr>
        </w:div>
        <w:div w:id="843202179">
          <w:marLeft w:val="274"/>
          <w:marRight w:val="0"/>
          <w:marTop w:val="0"/>
          <w:marBottom w:val="0"/>
          <w:divBdr>
            <w:top w:val="none" w:sz="0" w:space="0" w:color="auto"/>
            <w:left w:val="none" w:sz="0" w:space="0" w:color="auto"/>
            <w:bottom w:val="none" w:sz="0" w:space="0" w:color="auto"/>
            <w:right w:val="none" w:sz="0" w:space="0" w:color="auto"/>
          </w:divBdr>
        </w:div>
      </w:divsChild>
    </w:div>
    <w:div w:id="1187712777">
      <w:bodyDiv w:val="1"/>
      <w:marLeft w:val="0"/>
      <w:marRight w:val="0"/>
      <w:marTop w:val="0"/>
      <w:marBottom w:val="0"/>
      <w:divBdr>
        <w:top w:val="none" w:sz="0" w:space="0" w:color="auto"/>
        <w:left w:val="none" w:sz="0" w:space="0" w:color="auto"/>
        <w:bottom w:val="none" w:sz="0" w:space="0" w:color="auto"/>
        <w:right w:val="none" w:sz="0" w:space="0" w:color="auto"/>
      </w:divBdr>
      <w:divsChild>
        <w:div w:id="586890159">
          <w:marLeft w:val="0"/>
          <w:marRight w:val="0"/>
          <w:marTop w:val="0"/>
          <w:marBottom w:val="0"/>
          <w:divBdr>
            <w:top w:val="single" w:sz="6" w:space="0" w:color="000000"/>
            <w:left w:val="single" w:sz="6" w:space="0" w:color="000000"/>
            <w:bottom w:val="single" w:sz="6" w:space="0" w:color="000000"/>
            <w:right w:val="single" w:sz="6" w:space="0" w:color="000000"/>
          </w:divBdr>
          <w:divsChild>
            <w:div w:id="6613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7568">
      <w:bodyDiv w:val="1"/>
      <w:marLeft w:val="0"/>
      <w:marRight w:val="0"/>
      <w:marTop w:val="0"/>
      <w:marBottom w:val="0"/>
      <w:divBdr>
        <w:top w:val="none" w:sz="0" w:space="0" w:color="auto"/>
        <w:left w:val="none" w:sz="0" w:space="0" w:color="auto"/>
        <w:bottom w:val="none" w:sz="0" w:space="0" w:color="auto"/>
        <w:right w:val="none" w:sz="0" w:space="0" w:color="auto"/>
      </w:divBdr>
    </w:div>
    <w:div w:id="1201668909">
      <w:bodyDiv w:val="1"/>
      <w:marLeft w:val="0"/>
      <w:marRight w:val="0"/>
      <w:marTop w:val="0"/>
      <w:marBottom w:val="0"/>
      <w:divBdr>
        <w:top w:val="none" w:sz="0" w:space="0" w:color="auto"/>
        <w:left w:val="none" w:sz="0" w:space="0" w:color="auto"/>
        <w:bottom w:val="none" w:sz="0" w:space="0" w:color="auto"/>
        <w:right w:val="none" w:sz="0" w:space="0" w:color="auto"/>
      </w:divBdr>
    </w:div>
    <w:div w:id="1202011012">
      <w:bodyDiv w:val="1"/>
      <w:marLeft w:val="0"/>
      <w:marRight w:val="0"/>
      <w:marTop w:val="0"/>
      <w:marBottom w:val="0"/>
      <w:divBdr>
        <w:top w:val="none" w:sz="0" w:space="0" w:color="auto"/>
        <w:left w:val="none" w:sz="0" w:space="0" w:color="auto"/>
        <w:bottom w:val="none" w:sz="0" w:space="0" w:color="auto"/>
        <w:right w:val="none" w:sz="0" w:space="0" w:color="auto"/>
      </w:divBdr>
    </w:div>
    <w:div w:id="1203128395">
      <w:bodyDiv w:val="1"/>
      <w:marLeft w:val="0"/>
      <w:marRight w:val="0"/>
      <w:marTop w:val="0"/>
      <w:marBottom w:val="0"/>
      <w:divBdr>
        <w:top w:val="none" w:sz="0" w:space="0" w:color="auto"/>
        <w:left w:val="none" w:sz="0" w:space="0" w:color="auto"/>
        <w:bottom w:val="none" w:sz="0" w:space="0" w:color="auto"/>
        <w:right w:val="none" w:sz="0" w:space="0" w:color="auto"/>
      </w:divBdr>
      <w:divsChild>
        <w:div w:id="501287034">
          <w:marLeft w:val="274"/>
          <w:marRight w:val="0"/>
          <w:marTop w:val="0"/>
          <w:marBottom w:val="0"/>
          <w:divBdr>
            <w:top w:val="none" w:sz="0" w:space="0" w:color="auto"/>
            <w:left w:val="none" w:sz="0" w:space="0" w:color="auto"/>
            <w:bottom w:val="none" w:sz="0" w:space="0" w:color="auto"/>
            <w:right w:val="none" w:sz="0" w:space="0" w:color="auto"/>
          </w:divBdr>
        </w:div>
        <w:div w:id="136262660">
          <w:marLeft w:val="274"/>
          <w:marRight w:val="0"/>
          <w:marTop w:val="0"/>
          <w:marBottom w:val="0"/>
          <w:divBdr>
            <w:top w:val="none" w:sz="0" w:space="0" w:color="auto"/>
            <w:left w:val="none" w:sz="0" w:space="0" w:color="auto"/>
            <w:bottom w:val="none" w:sz="0" w:space="0" w:color="auto"/>
            <w:right w:val="none" w:sz="0" w:space="0" w:color="auto"/>
          </w:divBdr>
        </w:div>
        <w:div w:id="1125612648">
          <w:marLeft w:val="274"/>
          <w:marRight w:val="0"/>
          <w:marTop w:val="0"/>
          <w:marBottom w:val="0"/>
          <w:divBdr>
            <w:top w:val="none" w:sz="0" w:space="0" w:color="auto"/>
            <w:left w:val="none" w:sz="0" w:space="0" w:color="auto"/>
            <w:bottom w:val="none" w:sz="0" w:space="0" w:color="auto"/>
            <w:right w:val="none" w:sz="0" w:space="0" w:color="auto"/>
          </w:divBdr>
        </w:div>
      </w:divsChild>
    </w:div>
    <w:div w:id="1207257773">
      <w:bodyDiv w:val="1"/>
      <w:marLeft w:val="0"/>
      <w:marRight w:val="0"/>
      <w:marTop w:val="0"/>
      <w:marBottom w:val="0"/>
      <w:divBdr>
        <w:top w:val="none" w:sz="0" w:space="0" w:color="auto"/>
        <w:left w:val="none" w:sz="0" w:space="0" w:color="auto"/>
        <w:bottom w:val="none" w:sz="0" w:space="0" w:color="auto"/>
        <w:right w:val="none" w:sz="0" w:space="0" w:color="auto"/>
      </w:divBdr>
    </w:div>
    <w:div w:id="1208183249">
      <w:bodyDiv w:val="1"/>
      <w:marLeft w:val="0"/>
      <w:marRight w:val="0"/>
      <w:marTop w:val="0"/>
      <w:marBottom w:val="0"/>
      <w:divBdr>
        <w:top w:val="none" w:sz="0" w:space="0" w:color="auto"/>
        <w:left w:val="none" w:sz="0" w:space="0" w:color="auto"/>
        <w:bottom w:val="none" w:sz="0" w:space="0" w:color="auto"/>
        <w:right w:val="none" w:sz="0" w:space="0" w:color="auto"/>
      </w:divBdr>
    </w:div>
    <w:div w:id="1238326346">
      <w:bodyDiv w:val="1"/>
      <w:marLeft w:val="0"/>
      <w:marRight w:val="0"/>
      <w:marTop w:val="0"/>
      <w:marBottom w:val="0"/>
      <w:divBdr>
        <w:top w:val="none" w:sz="0" w:space="0" w:color="auto"/>
        <w:left w:val="none" w:sz="0" w:space="0" w:color="auto"/>
        <w:bottom w:val="none" w:sz="0" w:space="0" w:color="auto"/>
        <w:right w:val="none" w:sz="0" w:space="0" w:color="auto"/>
      </w:divBdr>
    </w:div>
    <w:div w:id="1247348280">
      <w:bodyDiv w:val="1"/>
      <w:marLeft w:val="0"/>
      <w:marRight w:val="0"/>
      <w:marTop w:val="0"/>
      <w:marBottom w:val="0"/>
      <w:divBdr>
        <w:top w:val="none" w:sz="0" w:space="0" w:color="auto"/>
        <w:left w:val="none" w:sz="0" w:space="0" w:color="auto"/>
        <w:bottom w:val="none" w:sz="0" w:space="0" w:color="auto"/>
        <w:right w:val="none" w:sz="0" w:space="0" w:color="auto"/>
      </w:divBdr>
      <w:divsChild>
        <w:div w:id="1108430305">
          <w:marLeft w:val="0"/>
          <w:marRight w:val="0"/>
          <w:marTop w:val="0"/>
          <w:marBottom w:val="0"/>
          <w:divBdr>
            <w:top w:val="none" w:sz="0" w:space="0" w:color="auto"/>
            <w:left w:val="none" w:sz="0" w:space="0" w:color="auto"/>
            <w:bottom w:val="none" w:sz="0" w:space="0" w:color="auto"/>
            <w:right w:val="none" w:sz="0" w:space="0" w:color="auto"/>
          </w:divBdr>
          <w:divsChild>
            <w:div w:id="1272937032">
              <w:marLeft w:val="0"/>
              <w:marRight w:val="0"/>
              <w:marTop w:val="0"/>
              <w:marBottom w:val="0"/>
              <w:divBdr>
                <w:top w:val="none" w:sz="0" w:space="0" w:color="auto"/>
                <w:left w:val="none" w:sz="0" w:space="0" w:color="auto"/>
                <w:bottom w:val="none" w:sz="0" w:space="0" w:color="auto"/>
                <w:right w:val="none" w:sz="0" w:space="0" w:color="auto"/>
              </w:divBdr>
              <w:divsChild>
                <w:div w:id="95197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5874">
      <w:bodyDiv w:val="1"/>
      <w:marLeft w:val="0"/>
      <w:marRight w:val="0"/>
      <w:marTop w:val="0"/>
      <w:marBottom w:val="0"/>
      <w:divBdr>
        <w:top w:val="none" w:sz="0" w:space="0" w:color="auto"/>
        <w:left w:val="none" w:sz="0" w:space="0" w:color="auto"/>
        <w:bottom w:val="none" w:sz="0" w:space="0" w:color="auto"/>
        <w:right w:val="none" w:sz="0" w:space="0" w:color="auto"/>
      </w:divBdr>
    </w:div>
    <w:div w:id="1263949949">
      <w:bodyDiv w:val="1"/>
      <w:marLeft w:val="0"/>
      <w:marRight w:val="0"/>
      <w:marTop w:val="0"/>
      <w:marBottom w:val="0"/>
      <w:divBdr>
        <w:top w:val="none" w:sz="0" w:space="0" w:color="auto"/>
        <w:left w:val="none" w:sz="0" w:space="0" w:color="auto"/>
        <w:bottom w:val="none" w:sz="0" w:space="0" w:color="auto"/>
        <w:right w:val="none" w:sz="0" w:space="0" w:color="auto"/>
      </w:divBdr>
      <w:divsChild>
        <w:div w:id="504590099">
          <w:marLeft w:val="274"/>
          <w:marRight w:val="0"/>
          <w:marTop w:val="0"/>
          <w:marBottom w:val="0"/>
          <w:divBdr>
            <w:top w:val="none" w:sz="0" w:space="0" w:color="auto"/>
            <w:left w:val="none" w:sz="0" w:space="0" w:color="auto"/>
            <w:bottom w:val="none" w:sz="0" w:space="0" w:color="auto"/>
            <w:right w:val="none" w:sz="0" w:space="0" w:color="auto"/>
          </w:divBdr>
        </w:div>
      </w:divsChild>
    </w:div>
    <w:div w:id="1278023704">
      <w:bodyDiv w:val="1"/>
      <w:marLeft w:val="0"/>
      <w:marRight w:val="0"/>
      <w:marTop w:val="0"/>
      <w:marBottom w:val="0"/>
      <w:divBdr>
        <w:top w:val="none" w:sz="0" w:space="0" w:color="auto"/>
        <w:left w:val="none" w:sz="0" w:space="0" w:color="auto"/>
        <w:bottom w:val="none" w:sz="0" w:space="0" w:color="auto"/>
        <w:right w:val="none" w:sz="0" w:space="0" w:color="auto"/>
      </w:divBdr>
    </w:div>
    <w:div w:id="1283997571">
      <w:bodyDiv w:val="1"/>
      <w:marLeft w:val="0"/>
      <w:marRight w:val="0"/>
      <w:marTop w:val="0"/>
      <w:marBottom w:val="0"/>
      <w:divBdr>
        <w:top w:val="none" w:sz="0" w:space="0" w:color="auto"/>
        <w:left w:val="none" w:sz="0" w:space="0" w:color="auto"/>
        <w:bottom w:val="none" w:sz="0" w:space="0" w:color="auto"/>
        <w:right w:val="none" w:sz="0" w:space="0" w:color="auto"/>
      </w:divBdr>
    </w:div>
    <w:div w:id="1295406912">
      <w:bodyDiv w:val="1"/>
      <w:marLeft w:val="0"/>
      <w:marRight w:val="0"/>
      <w:marTop w:val="0"/>
      <w:marBottom w:val="0"/>
      <w:divBdr>
        <w:top w:val="none" w:sz="0" w:space="0" w:color="auto"/>
        <w:left w:val="none" w:sz="0" w:space="0" w:color="auto"/>
        <w:bottom w:val="none" w:sz="0" w:space="0" w:color="auto"/>
        <w:right w:val="none" w:sz="0" w:space="0" w:color="auto"/>
      </w:divBdr>
      <w:divsChild>
        <w:div w:id="1154680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5730662">
              <w:marLeft w:val="0"/>
              <w:marRight w:val="0"/>
              <w:marTop w:val="0"/>
              <w:marBottom w:val="0"/>
              <w:divBdr>
                <w:top w:val="none" w:sz="0" w:space="0" w:color="auto"/>
                <w:left w:val="none" w:sz="0" w:space="0" w:color="auto"/>
                <w:bottom w:val="none" w:sz="0" w:space="0" w:color="auto"/>
                <w:right w:val="none" w:sz="0" w:space="0" w:color="auto"/>
              </w:divBdr>
              <w:divsChild>
                <w:div w:id="5520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96980">
      <w:bodyDiv w:val="1"/>
      <w:marLeft w:val="0"/>
      <w:marRight w:val="0"/>
      <w:marTop w:val="0"/>
      <w:marBottom w:val="0"/>
      <w:divBdr>
        <w:top w:val="none" w:sz="0" w:space="0" w:color="auto"/>
        <w:left w:val="none" w:sz="0" w:space="0" w:color="auto"/>
        <w:bottom w:val="none" w:sz="0" w:space="0" w:color="auto"/>
        <w:right w:val="none" w:sz="0" w:space="0" w:color="auto"/>
      </w:divBdr>
    </w:div>
    <w:div w:id="1342243215">
      <w:bodyDiv w:val="1"/>
      <w:marLeft w:val="0"/>
      <w:marRight w:val="0"/>
      <w:marTop w:val="0"/>
      <w:marBottom w:val="0"/>
      <w:divBdr>
        <w:top w:val="none" w:sz="0" w:space="0" w:color="auto"/>
        <w:left w:val="none" w:sz="0" w:space="0" w:color="auto"/>
        <w:bottom w:val="none" w:sz="0" w:space="0" w:color="auto"/>
        <w:right w:val="none" w:sz="0" w:space="0" w:color="auto"/>
      </w:divBdr>
    </w:div>
    <w:div w:id="1363897568">
      <w:bodyDiv w:val="1"/>
      <w:marLeft w:val="0"/>
      <w:marRight w:val="0"/>
      <w:marTop w:val="0"/>
      <w:marBottom w:val="0"/>
      <w:divBdr>
        <w:top w:val="none" w:sz="0" w:space="0" w:color="auto"/>
        <w:left w:val="none" w:sz="0" w:space="0" w:color="auto"/>
        <w:bottom w:val="none" w:sz="0" w:space="0" w:color="auto"/>
        <w:right w:val="none" w:sz="0" w:space="0" w:color="auto"/>
      </w:divBdr>
      <w:divsChild>
        <w:div w:id="928924809">
          <w:marLeft w:val="274"/>
          <w:marRight w:val="0"/>
          <w:marTop w:val="0"/>
          <w:marBottom w:val="0"/>
          <w:divBdr>
            <w:top w:val="none" w:sz="0" w:space="0" w:color="auto"/>
            <w:left w:val="none" w:sz="0" w:space="0" w:color="auto"/>
            <w:bottom w:val="none" w:sz="0" w:space="0" w:color="auto"/>
            <w:right w:val="none" w:sz="0" w:space="0" w:color="auto"/>
          </w:divBdr>
        </w:div>
        <w:div w:id="1030569309">
          <w:marLeft w:val="274"/>
          <w:marRight w:val="0"/>
          <w:marTop w:val="0"/>
          <w:marBottom w:val="0"/>
          <w:divBdr>
            <w:top w:val="none" w:sz="0" w:space="0" w:color="auto"/>
            <w:left w:val="none" w:sz="0" w:space="0" w:color="auto"/>
            <w:bottom w:val="none" w:sz="0" w:space="0" w:color="auto"/>
            <w:right w:val="none" w:sz="0" w:space="0" w:color="auto"/>
          </w:divBdr>
        </w:div>
        <w:div w:id="2027437435">
          <w:marLeft w:val="274"/>
          <w:marRight w:val="0"/>
          <w:marTop w:val="0"/>
          <w:marBottom w:val="0"/>
          <w:divBdr>
            <w:top w:val="none" w:sz="0" w:space="0" w:color="auto"/>
            <w:left w:val="none" w:sz="0" w:space="0" w:color="auto"/>
            <w:bottom w:val="none" w:sz="0" w:space="0" w:color="auto"/>
            <w:right w:val="none" w:sz="0" w:space="0" w:color="auto"/>
          </w:divBdr>
        </w:div>
        <w:div w:id="131480744">
          <w:marLeft w:val="274"/>
          <w:marRight w:val="0"/>
          <w:marTop w:val="0"/>
          <w:marBottom w:val="0"/>
          <w:divBdr>
            <w:top w:val="none" w:sz="0" w:space="0" w:color="auto"/>
            <w:left w:val="none" w:sz="0" w:space="0" w:color="auto"/>
            <w:bottom w:val="none" w:sz="0" w:space="0" w:color="auto"/>
            <w:right w:val="none" w:sz="0" w:space="0" w:color="auto"/>
          </w:divBdr>
        </w:div>
        <w:div w:id="1386640978">
          <w:marLeft w:val="274"/>
          <w:marRight w:val="0"/>
          <w:marTop w:val="0"/>
          <w:marBottom w:val="0"/>
          <w:divBdr>
            <w:top w:val="none" w:sz="0" w:space="0" w:color="auto"/>
            <w:left w:val="none" w:sz="0" w:space="0" w:color="auto"/>
            <w:bottom w:val="none" w:sz="0" w:space="0" w:color="auto"/>
            <w:right w:val="none" w:sz="0" w:space="0" w:color="auto"/>
          </w:divBdr>
        </w:div>
        <w:div w:id="545917721">
          <w:marLeft w:val="274"/>
          <w:marRight w:val="0"/>
          <w:marTop w:val="0"/>
          <w:marBottom w:val="0"/>
          <w:divBdr>
            <w:top w:val="none" w:sz="0" w:space="0" w:color="auto"/>
            <w:left w:val="none" w:sz="0" w:space="0" w:color="auto"/>
            <w:bottom w:val="none" w:sz="0" w:space="0" w:color="auto"/>
            <w:right w:val="none" w:sz="0" w:space="0" w:color="auto"/>
          </w:divBdr>
        </w:div>
        <w:div w:id="1271358506">
          <w:marLeft w:val="274"/>
          <w:marRight w:val="0"/>
          <w:marTop w:val="0"/>
          <w:marBottom w:val="0"/>
          <w:divBdr>
            <w:top w:val="none" w:sz="0" w:space="0" w:color="auto"/>
            <w:left w:val="none" w:sz="0" w:space="0" w:color="auto"/>
            <w:bottom w:val="none" w:sz="0" w:space="0" w:color="auto"/>
            <w:right w:val="none" w:sz="0" w:space="0" w:color="auto"/>
          </w:divBdr>
        </w:div>
        <w:div w:id="308287626">
          <w:marLeft w:val="274"/>
          <w:marRight w:val="0"/>
          <w:marTop w:val="0"/>
          <w:marBottom w:val="0"/>
          <w:divBdr>
            <w:top w:val="none" w:sz="0" w:space="0" w:color="auto"/>
            <w:left w:val="none" w:sz="0" w:space="0" w:color="auto"/>
            <w:bottom w:val="none" w:sz="0" w:space="0" w:color="auto"/>
            <w:right w:val="none" w:sz="0" w:space="0" w:color="auto"/>
          </w:divBdr>
        </w:div>
        <w:div w:id="979765922">
          <w:marLeft w:val="274"/>
          <w:marRight w:val="0"/>
          <w:marTop w:val="0"/>
          <w:marBottom w:val="0"/>
          <w:divBdr>
            <w:top w:val="none" w:sz="0" w:space="0" w:color="auto"/>
            <w:left w:val="none" w:sz="0" w:space="0" w:color="auto"/>
            <w:bottom w:val="none" w:sz="0" w:space="0" w:color="auto"/>
            <w:right w:val="none" w:sz="0" w:space="0" w:color="auto"/>
          </w:divBdr>
        </w:div>
        <w:div w:id="681475915">
          <w:marLeft w:val="274"/>
          <w:marRight w:val="0"/>
          <w:marTop w:val="0"/>
          <w:marBottom w:val="0"/>
          <w:divBdr>
            <w:top w:val="none" w:sz="0" w:space="0" w:color="auto"/>
            <w:left w:val="none" w:sz="0" w:space="0" w:color="auto"/>
            <w:bottom w:val="none" w:sz="0" w:space="0" w:color="auto"/>
            <w:right w:val="none" w:sz="0" w:space="0" w:color="auto"/>
          </w:divBdr>
        </w:div>
        <w:div w:id="865943123">
          <w:marLeft w:val="274"/>
          <w:marRight w:val="0"/>
          <w:marTop w:val="0"/>
          <w:marBottom w:val="0"/>
          <w:divBdr>
            <w:top w:val="none" w:sz="0" w:space="0" w:color="auto"/>
            <w:left w:val="none" w:sz="0" w:space="0" w:color="auto"/>
            <w:bottom w:val="none" w:sz="0" w:space="0" w:color="auto"/>
            <w:right w:val="none" w:sz="0" w:space="0" w:color="auto"/>
          </w:divBdr>
        </w:div>
        <w:div w:id="564951219">
          <w:marLeft w:val="274"/>
          <w:marRight w:val="0"/>
          <w:marTop w:val="0"/>
          <w:marBottom w:val="0"/>
          <w:divBdr>
            <w:top w:val="none" w:sz="0" w:space="0" w:color="auto"/>
            <w:left w:val="none" w:sz="0" w:space="0" w:color="auto"/>
            <w:bottom w:val="none" w:sz="0" w:space="0" w:color="auto"/>
            <w:right w:val="none" w:sz="0" w:space="0" w:color="auto"/>
          </w:divBdr>
        </w:div>
        <w:div w:id="885944502">
          <w:marLeft w:val="274"/>
          <w:marRight w:val="0"/>
          <w:marTop w:val="0"/>
          <w:marBottom w:val="0"/>
          <w:divBdr>
            <w:top w:val="none" w:sz="0" w:space="0" w:color="auto"/>
            <w:left w:val="none" w:sz="0" w:space="0" w:color="auto"/>
            <w:bottom w:val="none" w:sz="0" w:space="0" w:color="auto"/>
            <w:right w:val="none" w:sz="0" w:space="0" w:color="auto"/>
          </w:divBdr>
        </w:div>
        <w:div w:id="344326756">
          <w:marLeft w:val="274"/>
          <w:marRight w:val="0"/>
          <w:marTop w:val="0"/>
          <w:marBottom w:val="0"/>
          <w:divBdr>
            <w:top w:val="none" w:sz="0" w:space="0" w:color="auto"/>
            <w:left w:val="none" w:sz="0" w:space="0" w:color="auto"/>
            <w:bottom w:val="none" w:sz="0" w:space="0" w:color="auto"/>
            <w:right w:val="none" w:sz="0" w:space="0" w:color="auto"/>
          </w:divBdr>
        </w:div>
        <w:div w:id="1545944064">
          <w:marLeft w:val="274"/>
          <w:marRight w:val="0"/>
          <w:marTop w:val="0"/>
          <w:marBottom w:val="0"/>
          <w:divBdr>
            <w:top w:val="none" w:sz="0" w:space="0" w:color="auto"/>
            <w:left w:val="none" w:sz="0" w:space="0" w:color="auto"/>
            <w:bottom w:val="none" w:sz="0" w:space="0" w:color="auto"/>
            <w:right w:val="none" w:sz="0" w:space="0" w:color="auto"/>
          </w:divBdr>
        </w:div>
        <w:div w:id="1549797218">
          <w:marLeft w:val="274"/>
          <w:marRight w:val="0"/>
          <w:marTop w:val="0"/>
          <w:marBottom w:val="0"/>
          <w:divBdr>
            <w:top w:val="none" w:sz="0" w:space="0" w:color="auto"/>
            <w:left w:val="none" w:sz="0" w:space="0" w:color="auto"/>
            <w:bottom w:val="none" w:sz="0" w:space="0" w:color="auto"/>
            <w:right w:val="none" w:sz="0" w:space="0" w:color="auto"/>
          </w:divBdr>
        </w:div>
        <w:div w:id="1819347608">
          <w:marLeft w:val="274"/>
          <w:marRight w:val="0"/>
          <w:marTop w:val="0"/>
          <w:marBottom w:val="0"/>
          <w:divBdr>
            <w:top w:val="none" w:sz="0" w:space="0" w:color="auto"/>
            <w:left w:val="none" w:sz="0" w:space="0" w:color="auto"/>
            <w:bottom w:val="none" w:sz="0" w:space="0" w:color="auto"/>
            <w:right w:val="none" w:sz="0" w:space="0" w:color="auto"/>
          </w:divBdr>
        </w:div>
      </w:divsChild>
    </w:div>
    <w:div w:id="1364138946">
      <w:bodyDiv w:val="1"/>
      <w:marLeft w:val="0"/>
      <w:marRight w:val="0"/>
      <w:marTop w:val="0"/>
      <w:marBottom w:val="0"/>
      <w:divBdr>
        <w:top w:val="none" w:sz="0" w:space="0" w:color="auto"/>
        <w:left w:val="none" w:sz="0" w:space="0" w:color="auto"/>
        <w:bottom w:val="none" w:sz="0" w:space="0" w:color="auto"/>
        <w:right w:val="none" w:sz="0" w:space="0" w:color="auto"/>
      </w:divBdr>
    </w:div>
    <w:div w:id="1377192882">
      <w:bodyDiv w:val="1"/>
      <w:marLeft w:val="0"/>
      <w:marRight w:val="0"/>
      <w:marTop w:val="0"/>
      <w:marBottom w:val="0"/>
      <w:divBdr>
        <w:top w:val="none" w:sz="0" w:space="0" w:color="auto"/>
        <w:left w:val="none" w:sz="0" w:space="0" w:color="auto"/>
        <w:bottom w:val="none" w:sz="0" w:space="0" w:color="auto"/>
        <w:right w:val="none" w:sz="0" w:space="0" w:color="auto"/>
      </w:divBdr>
    </w:div>
    <w:div w:id="1384131984">
      <w:bodyDiv w:val="1"/>
      <w:marLeft w:val="0"/>
      <w:marRight w:val="0"/>
      <w:marTop w:val="0"/>
      <w:marBottom w:val="0"/>
      <w:divBdr>
        <w:top w:val="none" w:sz="0" w:space="0" w:color="auto"/>
        <w:left w:val="none" w:sz="0" w:space="0" w:color="auto"/>
        <w:bottom w:val="none" w:sz="0" w:space="0" w:color="auto"/>
        <w:right w:val="none" w:sz="0" w:space="0" w:color="auto"/>
      </w:divBdr>
    </w:div>
    <w:div w:id="1398279578">
      <w:bodyDiv w:val="1"/>
      <w:marLeft w:val="0"/>
      <w:marRight w:val="0"/>
      <w:marTop w:val="0"/>
      <w:marBottom w:val="0"/>
      <w:divBdr>
        <w:top w:val="none" w:sz="0" w:space="0" w:color="auto"/>
        <w:left w:val="none" w:sz="0" w:space="0" w:color="auto"/>
        <w:bottom w:val="none" w:sz="0" w:space="0" w:color="auto"/>
        <w:right w:val="none" w:sz="0" w:space="0" w:color="auto"/>
      </w:divBdr>
    </w:div>
    <w:div w:id="1400857713">
      <w:bodyDiv w:val="1"/>
      <w:marLeft w:val="0"/>
      <w:marRight w:val="0"/>
      <w:marTop w:val="0"/>
      <w:marBottom w:val="0"/>
      <w:divBdr>
        <w:top w:val="none" w:sz="0" w:space="0" w:color="auto"/>
        <w:left w:val="none" w:sz="0" w:space="0" w:color="auto"/>
        <w:bottom w:val="none" w:sz="0" w:space="0" w:color="auto"/>
        <w:right w:val="none" w:sz="0" w:space="0" w:color="auto"/>
      </w:divBdr>
      <w:divsChild>
        <w:div w:id="42291496">
          <w:marLeft w:val="0"/>
          <w:marRight w:val="0"/>
          <w:marTop w:val="0"/>
          <w:marBottom w:val="0"/>
          <w:divBdr>
            <w:top w:val="none" w:sz="0" w:space="0" w:color="auto"/>
            <w:left w:val="none" w:sz="0" w:space="0" w:color="auto"/>
            <w:bottom w:val="none" w:sz="0" w:space="0" w:color="auto"/>
            <w:right w:val="none" w:sz="0" w:space="0" w:color="auto"/>
          </w:divBdr>
        </w:div>
        <w:div w:id="343165398">
          <w:marLeft w:val="0"/>
          <w:marRight w:val="0"/>
          <w:marTop w:val="0"/>
          <w:marBottom w:val="0"/>
          <w:divBdr>
            <w:top w:val="none" w:sz="0" w:space="0" w:color="auto"/>
            <w:left w:val="none" w:sz="0" w:space="0" w:color="auto"/>
            <w:bottom w:val="none" w:sz="0" w:space="0" w:color="auto"/>
            <w:right w:val="none" w:sz="0" w:space="0" w:color="auto"/>
          </w:divBdr>
        </w:div>
        <w:div w:id="789974153">
          <w:marLeft w:val="0"/>
          <w:marRight w:val="0"/>
          <w:marTop w:val="0"/>
          <w:marBottom w:val="0"/>
          <w:divBdr>
            <w:top w:val="none" w:sz="0" w:space="0" w:color="auto"/>
            <w:left w:val="none" w:sz="0" w:space="0" w:color="auto"/>
            <w:bottom w:val="none" w:sz="0" w:space="0" w:color="auto"/>
            <w:right w:val="none" w:sz="0" w:space="0" w:color="auto"/>
          </w:divBdr>
        </w:div>
        <w:div w:id="1738741381">
          <w:marLeft w:val="0"/>
          <w:marRight w:val="0"/>
          <w:marTop w:val="0"/>
          <w:marBottom w:val="0"/>
          <w:divBdr>
            <w:top w:val="none" w:sz="0" w:space="0" w:color="auto"/>
            <w:left w:val="none" w:sz="0" w:space="0" w:color="auto"/>
            <w:bottom w:val="none" w:sz="0" w:space="0" w:color="auto"/>
            <w:right w:val="none" w:sz="0" w:space="0" w:color="auto"/>
          </w:divBdr>
        </w:div>
        <w:div w:id="161549112">
          <w:marLeft w:val="0"/>
          <w:marRight w:val="0"/>
          <w:marTop w:val="0"/>
          <w:marBottom w:val="0"/>
          <w:divBdr>
            <w:top w:val="none" w:sz="0" w:space="0" w:color="auto"/>
            <w:left w:val="none" w:sz="0" w:space="0" w:color="auto"/>
            <w:bottom w:val="none" w:sz="0" w:space="0" w:color="auto"/>
            <w:right w:val="none" w:sz="0" w:space="0" w:color="auto"/>
          </w:divBdr>
        </w:div>
        <w:div w:id="831338711">
          <w:marLeft w:val="0"/>
          <w:marRight w:val="0"/>
          <w:marTop w:val="0"/>
          <w:marBottom w:val="0"/>
          <w:divBdr>
            <w:top w:val="none" w:sz="0" w:space="0" w:color="auto"/>
            <w:left w:val="none" w:sz="0" w:space="0" w:color="auto"/>
            <w:bottom w:val="none" w:sz="0" w:space="0" w:color="auto"/>
            <w:right w:val="none" w:sz="0" w:space="0" w:color="auto"/>
          </w:divBdr>
          <w:divsChild>
            <w:div w:id="688994186">
              <w:marLeft w:val="-75"/>
              <w:marRight w:val="0"/>
              <w:marTop w:val="30"/>
              <w:marBottom w:val="30"/>
              <w:divBdr>
                <w:top w:val="none" w:sz="0" w:space="0" w:color="auto"/>
                <w:left w:val="none" w:sz="0" w:space="0" w:color="auto"/>
                <w:bottom w:val="none" w:sz="0" w:space="0" w:color="auto"/>
                <w:right w:val="none" w:sz="0" w:space="0" w:color="auto"/>
              </w:divBdr>
              <w:divsChild>
                <w:div w:id="1572081405">
                  <w:marLeft w:val="0"/>
                  <w:marRight w:val="0"/>
                  <w:marTop w:val="0"/>
                  <w:marBottom w:val="0"/>
                  <w:divBdr>
                    <w:top w:val="none" w:sz="0" w:space="0" w:color="auto"/>
                    <w:left w:val="none" w:sz="0" w:space="0" w:color="auto"/>
                    <w:bottom w:val="none" w:sz="0" w:space="0" w:color="auto"/>
                    <w:right w:val="none" w:sz="0" w:space="0" w:color="auto"/>
                  </w:divBdr>
                  <w:divsChild>
                    <w:div w:id="1979608895">
                      <w:marLeft w:val="0"/>
                      <w:marRight w:val="0"/>
                      <w:marTop w:val="0"/>
                      <w:marBottom w:val="0"/>
                      <w:divBdr>
                        <w:top w:val="none" w:sz="0" w:space="0" w:color="auto"/>
                        <w:left w:val="none" w:sz="0" w:space="0" w:color="auto"/>
                        <w:bottom w:val="none" w:sz="0" w:space="0" w:color="auto"/>
                        <w:right w:val="none" w:sz="0" w:space="0" w:color="auto"/>
                      </w:divBdr>
                    </w:div>
                  </w:divsChild>
                </w:div>
                <w:div w:id="2048948122">
                  <w:marLeft w:val="0"/>
                  <w:marRight w:val="0"/>
                  <w:marTop w:val="0"/>
                  <w:marBottom w:val="0"/>
                  <w:divBdr>
                    <w:top w:val="none" w:sz="0" w:space="0" w:color="auto"/>
                    <w:left w:val="none" w:sz="0" w:space="0" w:color="auto"/>
                    <w:bottom w:val="none" w:sz="0" w:space="0" w:color="auto"/>
                    <w:right w:val="none" w:sz="0" w:space="0" w:color="auto"/>
                  </w:divBdr>
                  <w:divsChild>
                    <w:div w:id="933785">
                      <w:marLeft w:val="0"/>
                      <w:marRight w:val="0"/>
                      <w:marTop w:val="0"/>
                      <w:marBottom w:val="0"/>
                      <w:divBdr>
                        <w:top w:val="none" w:sz="0" w:space="0" w:color="auto"/>
                        <w:left w:val="none" w:sz="0" w:space="0" w:color="auto"/>
                        <w:bottom w:val="none" w:sz="0" w:space="0" w:color="auto"/>
                        <w:right w:val="none" w:sz="0" w:space="0" w:color="auto"/>
                      </w:divBdr>
                    </w:div>
                  </w:divsChild>
                </w:div>
                <w:div w:id="195389788">
                  <w:marLeft w:val="0"/>
                  <w:marRight w:val="0"/>
                  <w:marTop w:val="0"/>
                  <w:marBottom w:val="0"/>
                  <w:divBdr>
                    <w:top w:val="none" w:sz="0" w:space="0" w:color="auto"/>
                    <w:left w:val="none" w:sz="0" w:space="0" w:color="auto"/>
                    <w:bottom w:val="none" w:sz="0" w:space="0" w:color="auto"/>
                    <w:right w:val="none" w:sz="0" w:space="0" w:color="auto"/>
                  </w:divBdr>
                  <w:divsChild>
                    <w:div w:id="124667806">
                      <w:marLeft w:val="0"/>
                      <w:marRight w:val="0"/>
                      <w:marTop w:val="0"/>
                      <w:marBottom w:val="0"/>
                      <w:divBdr>
                        <w:top w:val="none" w:sz="0" w:space="0" w:color="auto"/>
                        <w:left w:val="none" w:sz="0" w:space="0" w:color="auto"/>
                        <w:bottom w:val="none" w:sz="0" w:space="0" w:color="auto"/>
                        <w:right w:val="none" w:sz="0" w:space="0" w:color="auto"/>
                      </w:divBdr>
                    </w:div>
                  </w:divsChild>
                </w:div>
                <w:div w:id="1843398547">
                  <w:marLeft w:val="0"/>
                  <w:marRight w:val="0"/>
                  <w:marTop w:val="0"/>
                  <w:marBottom w:val="0"/>
                  <w:divBdr>
                    <w:top w:val="none" w:sz="0" w:space="0" w:color="auto"/>
                    <w:left w:val="none" w:sz="0" w:space="0" w:color="auto"/>
                    <w:bottom w:val="none" w:sz="0" w:space="0" w:color="auto"/>
                    <w:right w:val="none" w:sz="0" w:space="0" w:color="auto"/>
                  </w:divBdr>
                  <w:divsChild>
                    <w:div w:id="522597386">
                      <w:marLeft w:val="0"/>
                      <w:marRight w:val="0"/>
                      <w:marTop w:val="0"/>
                      <w:marBottom w:val="0"/>
                      <w:divBdr>
                        <w:top w:val="none" w:sz="0" w:space="0" w:color="auto"/>
                        <w:left w:val="none" w:sz="0" w:space="0" w:color="auto"/>
                        <w:bottom w:val="none" w:sz="0" w:space="0" w:color="auto"/>
                        <w:right w:val="none" w:sz="0" w:space="0" w:color="auto"/>
                      </w:divBdr>
                    </w:div>
                  </w:divsChild>
                </w:div>
                <w:div w:id="2105494019">
                  <w:marLeft w:val="0"/>
                  <w:marRight w:val="0"/>
                  <w:marTop w:val="0"/>
                  <w:marBottom w:val="0"/>
                  <w:divBdr>
                    <w:top w:val="none" w:sz="0" w:space="0" w:color="auto"/>
                    <w:left w:val="none" w:sz="0" w:space="0" w:color="auto"/>
                    <w:bottom w:val="none" w:sz="0" w:space="0" w:color="auto"/>
                    <w:right w:val="none" w:sz="0" w:space="0" w:color="auto"/>
                  </w:divBdr>
                  <w:divsChild>
                    <w:div w:id="421295696">
                      <w:marLeft w:val="0"/>
                      <w:marRight w:val="0"/>
                      <w:marTop w:val="0"/>
                      <w:marBottom w:val="0"/>
                      <w:divBdr>
                        <w:top w:val="none" w:sz="0" w:space="0" w:color="auto"/>
                        <w:left w:val="none" w:sz="0" w:space="0" w:color="auto"/>
                        <w:bottom w:val="none" w:sz="0" w:space="0" w:color="auto"/>
                        <w:right w:val="none" w:sz="0" w:space="0" w:color="auto"/>
                      </w:divBdr>
                    </w:div>
                  </w:divsChild>
                </w:div>
                <w:div w:id="1487627931">
                  <w:marLeft w:val="0"/>
                  <w:marRight w:val="0"/>
                  <w:marTop w:val="0"/>
                  <w:marBottom w:val="0"/>
                  <w:divBdr>
                    <w:top w:val="none" w:sz="0" w:space="0" w:color="auto"/>
                    <w:left w:val="none" w:sz="0" w:space="0" w:color="auto"/>
                    <w:bottom w:val="none" w:sz="0" w:space="0" w:color="auto"/>
                    <w:right w:val="none" w:sz="0" w:space="0" w:color="auto"/>
                  </w:divBdr>
                  <w:divsChild>
                    <w:div w:id="1849516084">
                      <w:marLeft w:val="0"/>
                      <w:marRight w:val="0"/>
                      <w:marTop w:val="0"/>
                      <w:marBottom w:val="0"/>
                      <w:divBdr>
                        <w:top w:val="none" w:sz="0" w:space="0" w:color="auto"/>
                        <w:left w:val="none" w:sz="0" w:space="0" w:color="auto"/>
                        <w:bottom w:val="none" w:sz="0" w:space="0" w:color="auto"/>
                        <w:right w:val="none" w:sz="0" w:space="0" w:color="auto"/>
                      </w:divBdr>
                    </w:div>
                  </w:divsChild>
                </w:div>
                <w:div w:id="1293903797">
                  <w:marLeft w:val="0"/>
                  <w:marRight w:val="0"/>
                  <w:marTop w:val="0"/>
                  <w:marBottom w:val="0"/>
                  <w:divBdr>
                    <w:top w:val="none" w:sz="0" w:space="0" w:color="auto"/>
                    <w:left w:val="none" w:sz="0" w:space="0" w:color="auto"/>
                    <w:bottom w:val="none" w:sz="0" w:space="0" w:color="auto"/>
                    <w:right w:val="none" w:sz="0" w:space="0" w:color="auto"/>
                  </w:divBdr>
                  <w:divsChild>
                    <w:div w:id="1587958285">
                      <w:marLeft w:val="0"/>
                      <w:marRight w:val="0"/>
                      <w:marTop w:val="0"/>
                      <w:marBottom w:val="0"/>
                      <w:divBdr>
                        <w:top w:val="none" w:sz="0" w:space="0" w:color="auto"/>
                        <w:left w:val="none" w:sz="0" w:space="0" w:color="auto"/>
                        <w:bottom w:val="none" w:sz="0" w:space="0" w:color="auto"/>
                        <w:right w:val="none" w:sz="0" w:space="0" w:color="auto"/>
                      </w:divBdr>
                    </w:div>
                  </w:divsChild>
                </w:div>
                <w:div w:id="859323121">
                  <w:marLeft w:val="0"/>
                  <w:marRight w:val="0"/>
                  <w:marTop w:val="0"/>
                  <w:marBottom w:val="0"/>
                  <w:divBdr>
                    <w:top w:val="none" w:sz="0" w:space="0" w:color="auto"/>
                    <w:left w:val="none" w:sz="0" w:space="0" w:color="auto"/>
                    <w:bottom w:val="none" w:sz="0" w:space="0" w:color="auto"/>
                    <w:right w:val="none" w:sz="0" w:space="0" w:color="auto"/>
                  </w:divBdr>
                  <w:divsChild>
                    <w:div w:id="515072985">
                      <w:marLeft w:val="0"/>
                      <w:marRight w:val="0"/>
                      <w:marTop w:val="0"/>
                      <w:marBottom w:val="0"/>
                      <w:divBdr>
                        <w:top w:val="none" w:sz="0" w:space="0" w:color="auto"/>
                        <w:left w:val="none" w:sz="0" w:space="0" w:color="auto"/>
                        <w:bottom w:val="none" w:sz="0" w:space="0" w:color="auto"/>
                        <w:right w:val="none" w:sz="0" w:space="0" w:color="auto"/>
                      </w:divBdr>
                    </w:div>
                  </w:divsChild>
                </w:div>
                <w:div w:id="1254359348">
                  <w:marLeft w:val="0"/>
                  <w:marRight w:val="0"/>
                  <w:marTop w:val="0"/>
                  <w:marBottom w:val="0"/>
                  <w:divBdr>
                    <w:top w:val="none" w:sz="0" w:space="0" w:color="auto"/>
                    <w:left w:val="none" w:sz="0" w:space="0" w:color="auto"/>
                    <w:bottom w:val="none" w:sz="0" w:space="0" w:color="auto"/>
                    <w:right w:val="none" w:sz="0" w:space="0" w:color="auto"/>
                  </w:divBdr>
                  <w:divsChild>
                    <w:div w:id="1173496850">
                      <w:marLeft w:val="0"/>
                      <w:marRight w:val="0"/>
                      <w:marTop w:val="0"/>
                      <w:marBottom w:val="0"/>
                      <w:divBdr>
                        <w:top w:val="none" w:sz="0" w:space="0" w:color="auto"/>
                        <w:left w:val="none" w:sz="0" w:space="0" w:color="auto"/>
                        <w:bottom w:val="none" w:sz="0" w:space="0" w:color="auto"/>
                        <w:right w:val="none" w:sz="0" w:space="0" w:color="auto"/>
                      </w:divBdr>
                    </w:div>
                  </w:divsChild>
                </w:div>
                <w:div w:id="1040790075">
                  <w:marLeft w:val="0"/>
                  <w:marRight w:val="0"/>
                  <w:marTop w:val="0"/>
                  <w:marBottom w:val="0"/>
                  <w:divBdr>
                    <w:top w:val="none" w:sz="0" w:space="0" w:color="auto"/>
                    <w:left w:val="none" w:sz="0" w:space="0" w:color="auto"/>
                    <w:bottom w:val="none" w:sz="0" w:space="0" w:color="auto"/>
                    <w:right w:val="none" w:sz="0" w:space="0" w:color="auto"/>
                  </w:divBdr>
                  <w:divsChild>
                    <w:div w:id="763452564">
                      <w:marLeft w:val="0"/>
                      <w:marRight w:val="0"/>
                      <w:marTop w:val="0"/>
                      <w:marBottom w:val="0"/>
                      <w:divBdr>
                        <w:top w:val="none" w:sz="0" w:space="0" w:color="auto"/>
                        <w:left w:val="none" w:sz="0" w:space="0" w:color="auto"/>
                        <w:bottom w:val="none" w:sz="0" w:space="0" w:color="auto"/>
                        <w:right w:val="none" w:sz="0" w:space="0" w:color="auto"/>
                      </w:divBdr>
                    </w:div>
                  </w:divsChild>
                </w:div>
                <w:div w:id="658583919">
                  <w:marLeft w:val="0"/>
                  <w:marRight w:val="0"/>
                  <w:marTop w:val="0"/>
                  <w:marBottom w:val="0"/>
                  <w:divBdr>
                    <w:top w:val="none" w:sz="0" w:space="0" w:color="auto"/>
                    <w:left w:val="none" w:sz="0" w:space="0" w:color="auto"/>
                    <w:bottom w:val="none" w:sz="0" w:space="0" w:color="auto"/>
                    <w:right w:val="none" w:sz="0" w:space="0" w:color="auto"/>
                  </w:divBdr>
                  <w:divsChild>
                    <w:div w:id="517232580">
                      <w:marLeft w:val="0"/>
                      <w:marRight w:val="0"/>
                      <w:marTop w:val="0"/>
                      <w:marBottom w:val="0"/>
                      <w:divBdr>
                        <w:top w:val="none" w:sz="0" w:space="0" w:color="auto"/>
                        <w:left w:val="none" w:sz="0" w:space="0" w:color="auto"/>
                        <w:bottom w:val="none" w:sz="0" w:space="0" w:color="auto"/>
                        <w:right w:val="none" w:sz="0" w:space="0" w:color="auto"/>
                      </w:divBdr>
                    </w:div>
                  </w:divsChild>
                </w:div>
                <w:div w:id="1281650794">
                  <w:marLeft w:val="0"/>
                  <w:marRight w:val="0"/>
                  <w:marTop w:val="0"/>
                  <w:marBottom w:val="0"/>
                  <w:divBdr>
                    <w:top w:val="none" w:sz="0" w:space="0" w:color="auto"/>
                    <w:left w:val="none" w:sz="0" w:space="0" w:color="auto"/>
                    <w:bottom w:val="none" w:sz="0" w:space="0" w:color="auto"/>
                    <w:right w:val="none" w:sz="0" w:space="0" w:color="auto"/>
                  </w:divBdr>
                  <w:divsChild>
                    <w:div w:id="281690665">
                      <w:marLeft w:val="0"/>
                      <w:marRight w:val="0"/>
                      <w:marTop w:val="0"/>
                      <w:marBottom w:val="0"/>
                      <w:divBdr>
                        <w:top w:val="none" w:sz="0" w:space="0" w:color="auto"/>
                        <w:left w:val="none" w:sz="0" w:space="0" w:color="auto"/>
                        <w:bottom w:val="none" w:sz="0" w:space="0" w:color="auto"/>
                        <w:right w:val="none" w:sz="0" w:space="0" w:color="auto"/>
                      </w:divBdr>
                    </w:div>
                  </w:divsChild>
                </w:div>
                <w:div w:id="1322931116">
                  <w:marLeft w:val="0"/>
                  <w:marRight w:val="0"/>
                  <w:marTop w:val="0"/>
                  <w:marBottom w:val="0"/>
                  <w:divBdr>
                    <w:top w:val="none" w:sz="0" w:space="0" w:color="auto"/>
                    <w:left w:val="none" w:sz="0" w:space="0" w:color="auto"/>
                    <w:bottom w:val="none" w:sz="0" w:space="0" w:color="auto"/>
                    <w:right w:val="none" w:sz="0" w:space="0" w:color="auto"/>
                  </w:divBdr>
                  <w:divsChild>
                    <w:div w:id="903949857">
                      <w:marLeft w:val="0"/>
                      <w:marRight w:val="0"/>
                      <w:marTop w:val="0"/>
                      <w:marBottom w:val="0"/>
                      <w:divBdr>
                        <w:top w:val="none" w:sz="0" w:space="0" w:color="auto"/>
                        <w:left w:val="none" w:sz="0" w:space="0" w:color="auto"/>
                        <w:bottom w:val="none" w:sz="0" w:space="0" w:color="auto"/>
                        <w:right w:val="none" w:sz="0" w:space="0" w:color="auto"/>
                      </w:divBdr>
                    </w:div>
                  </w:divsChild>
                </w:div>
                <w:div w:id="1803422734">
                  <w:marLeft w:val="0"/>
                  <w:marRight w:val="0"/>
                  <w:marTop w:val="0"/>
                  <w:marBottom w:val="0"/>
                  <w:divBdr>
                    <w:top w:val="none" w:sz="0" w:space="0" w:color="auto"/>
                    <w:left w:val="none" w:sz="0" w:space="0" w:color="auto"/>
                    <w:bottom w:val="none" w:sz="0" w:space="0" w:color="auto"/>
                    <w:right w:val="none" w:sz="0" w:space="0" w:color="auto"/>
                  </w:divBdr>
                  <w:divsChild>
                    <w:div w:id="197476112">
                      <w:marLeft w:val="0"/>
                      <w:marRight w:val="0"/>
                      <w:marTop w:val="0"/>
                      <w:marBottom w:val="0"/>
                      <w:divBdr>
                        <w:top w:val="none" w:sz="0" w:space="0" w:color="auto"/>
                        <w:left w:val="none" w:sz="0" w:space="0" w:color="auto"/>
                        <w:bottom w:val="none" w:sz="0" w:space="0" w:color="auto"/>
                        <w:right w:val="none" w:sz="0" w:space="0" w:color="auto"/>
                      </w:divBdr>
                    </w:div>
                  </w:divsChild>
                </w:div>
                <w:div w:id="1818184911">
                  <w:marLeft w:val="0"/>
                  <w:marRight w:val="0"/>
                  <w:marTop w:val="0"/>
                  <w:marBottom w:val="0"/>
                  <w:divBdr>
                    <w:top w:val="none" w:sz="0" w:space="0" w:color="auto"/>
                    <w:left w:val="none" w:sz="0" w:space="0" w:color="auto"/>
                    <w:bottom w:val="none" w:sz="0" w:space="0" w:color="auto"/>
                    <w:right w:val="none" w:sz="0" w:space="0" w:color="auto"/>
                  </w:divBdr>
                  <w:divsChild>
                    <w:div w:id="2063600450">
                      <w:marLeft w:val="0"/>
                      <w:marRight w:val="0"/>
                      <w:marTop w:val="0"/>
                      <w:marBottom w:val="0"/>
                      <w:divBdr>
                        <w:top w:val="none" w:sz="0" w:space="0" w:color="auto"/>
                        <w:left w:val="none" w:sz="0" w:space="0" w:color="auto"/>
                        <w:bottom w:val="none" w:sz="0" w:space="0" w:color="auto"/>
                        <w:right w:val="none" w:sz="0" w:space="0" w:color="auto"/>
                      </w:divBdr>
                    </w:div>
                  </w:divsChild>
                </w:div>
                <w:div w:id="891574053">
                  <w:marLeft w:val="0"/>
                  <w:marRight w:val="0"/>
                  <w:marTop w:val="0"/>
                  <w:marBottom w:val="0"/>
                  <w:divBdr>
                    <w:top w:val="none" w:sz="0" w:space="0" w:color="auto"/>
                    <w:left w:val="none" w:sz="0" w:space="0" w:color="auto"/>
                    <w:bottom w:val="none" w:sz="0" w:space="0" w:color="auto"/>
                    <w:right w:val="none" w:sz="0" w:space="0" w:color="auto"/>
                  </w:divBdr>
                  <w:divsChild>
                    <w:div w:id="873159317">
                      <w:marLeft w:val="0"/>
                      <w:marRight w:val="0"/>
                      <w:marTop w:val="0"/>
                      <w:marBottom w:val="0"/>
                      <w:divBdr>
                        <w:top w:val="none" w:sz="0" w:space="0" w:color="auto"/>
                        <w:left w:val="none" w:sz="0" w:space="0" w:color="auto"/>
                        <w:bottom w:val="none" w:sz="0" w:space="0" w:color="auto"/>
                        <w:right w:val="none" w:sz="0" w:space="0" w:color="auto"/>
                      </w:divBdr>
                    </w:div>
                  </w:divsChild>
                </w:div>
                <w:div w:id="1771195974">
                  <w:marLeft w:val="0"/>
                  <w:marRight w:val="0"/>
                  <w:marTop w:val="0"/>
                  <w:marBottom w:val="0"/>
                  <w:divBdr>
                    <w:top w:val="none" w:sz="0" w:space="0" w:color="auto"/>
                    <w:left w:val="none" w:sz="0" w:space="0" w:color="auto"/>
                    <w:bottom w:val="none" w:sz="0" w:space="0" w:color="auto"/>
                    <w:right w:val="none" w:sz="0" w:space="0" w:color="auto"/>
                  </w:divBdr>
                  <w:divsChild>
                    <w:div w:id="1443843173">
                      <w:marLeft w:val="0"/>
                      <w:marRight w:val="0"/>
                      <w:marTop w:val="0"/>
                      <w:marBottom w:val="0"/>
                      <w:divBdr>
                        <w:top w:val="none" w:sz="0" w:space="0" w:color="auto"/>
                        <w:left w:val="none" w:sz="0" w:space="0" w:color="auto"/>
                        <w:bottom w:val="none" w:sz="0" w:space="0" w:color="auto"/>
                        <w:right w:val="none" w:sz="0" w:space="0" w:color="auto"/>
                      </w:divBdr>
                    </w:div>
                  </w:divsChild>
                </w:div>
                <w:div w:id="1834178607">
                  <w:marLeft w:val="0"/>
                  <w:marRight w:val="0"/>
                  <w:marTop w:val="0"/>
                  <w:marBottom w:val="0"/>
                  <w:divBdr>
                    <w:top w:val="none" w:sz="0" w:space="0" w:color="auto"/>
                    <w:left w:val="none" w:sz="0" w:space="0" w:color="auto"/>
                    <w:bottom w:val="none" w:sz="0" w:space="0" w:color="auto"/>
                    <w:right w:val="none" w:sz="0" w:space="0" w:color="auto"/>
                  </w:divBdr>
                  <w:divsChild>
                    <w:div w:id="1915897263">
                      <w:marLeft w:val="0"/>
                      <w:marRight w:val="0"/>
                      <w:marTop w:val="0"/>
                      <w:marBottom w:val="0"/>
                      <w:divBdr>
                        <w:top w:val="none" w:sz="0" w:space="0" w:color="auto"/>
                        <w:left w:val="none" w:sz="0" w:space="0" w:color="auto"/>
                        <w:bottom w:val="none" w:sz="0" w:space="0" w:color="auto"/>
                        <w:right w:val="none" w:sz="0" w:space="0" w:color="auto"/>
                      </w:divBdr>
                    </w:div>
                  </w:divsChild>
                </w:div>
                <w:div w:id="1511989952">
                  <w:marLeft w:val="0"/>
                  <w:marRight w:val="0"/>
                  <w:marTop w:val="0"/>
                  <w:marBottom w:val="0"/>
                  <w:divBdr>
                    <w:top w:val="none" w:sz="0" w:space="0" w:color="auto"/>
                    <w:left w:val="none" w:sz="0" w:space="0" w:color="auto"/>
                    <w:bottom w:val="none" w:sz="0" w:space="0" w:color="auto"/>
                    <w:right w:val="none" w:sz="0" w:space="0" w:color="auto"/>
                  </w:divBdr>
                  <w:divsChild>
                    <w:div w:id="561645414">
                      <w:marLeft w:val="0"/>
                      <w:marRight w:val="0"/>
                      <w:marTop w:val="0"/>
                      <w:marBottom w:val="0"/>
                      <w:divBdr>
                        <w:top w:val="none" w:sz="0" w:space="0" w:color="auto"/>
                        <w:left w:val="none" w:sz="0" w:space="0" w:color="auto"/>
                        <w:bottom w:val="none" w:sz="0" w:space="0" w:color="auto"/>
                        <w:right w:val="none" w:sz="0" w:space="0" w:color="auto"/>
                      </w:divBdr>
                    </w:div>
                  </w:divsChild>
                </w:div>
                <w:div w:id="1539198060">
                  <w:marLeft w:val="0"/>
                  <w:marRight w:val="0"/>
                  <w:marTop w:val="0"/>
                  <w:marBottom w:val="0"/>
                  <w:divBdr>
                    <w:top w:val="none" w:sz="0" w:space="0" w:color="auto"/>
                    <w:left w:val="none" w:sz="0" w:space="0" w:color="auto"/>
                    <w:bottom w:val="none" w:sz="0" w:space="0" w:color="auto"/>
                    <w:right w:val="none" w:sz="0" w:space="0" w:color="auto"/>
                  </w:divBdr>
                  <w:divsChild>
                    <w:div w:id="813060444">
                      <w:marLeft w:val="0"/>
                      <w:marRight w:val="0"/>
                      <w:marTop w:val="0"/>
                      <w:marBottom w:val="0"/>
                      <w:divBdr>
                        <w:top w:val="none" w:sz="0" w:space="0" w:color="auto"/>
                        <w:left w:val="none" w:sz="0" w:space="0" w:color="auto"/>
                        <w:bottom w:val="none" w:sz="0" w:space="0" w:color="auto"/>
                        <w:right w:val="none" w:sz="0" w:space="0" w:color="auto"/>
                      </w:divBdr>
                    </w:div>
                  </w:divsChild>
                </w:div>
                <w:div w:id="52235264">
                  <w:marLeft w:val="0"/>
                  <w:marRight w:val="0"/>
                  <w:marTop w:val="0"/>
                  <w:marBottom w:val="0"/>
                  <w:divBdr>
                    <w:top w:val="none" w:sz="0" w:space="0" w:color="auto"/>
                    <w:left w:val="none" w:sz="0" w:space="0" w:color="auto"/>
                    <w:bottom w:val="none" w:sz="0" w:space="0" w:color="auto"/>
                    <w:right w:val="none" w:sz="0" w:space="0" w:color="auto"/>
                  </w:divBdr>
                  <w:divsChild>
                    <w:div w:id="1626503960">
                      <w:marLeft w:val="0"/>
                      <w:marRight w:val="0"/>
                      <w:marTop w:val="0"/>
                      <w:marBottom w:val="0"/>
                      <w:divBdr>
                        <w:top w:val="none" w:sz="0" w:space="0" w:color="auto"/>
                        <w:left w:val="none" w:sz="0" w:space="0" w:color="auto"/>
                        <w:bottom w:val="none" w:sz="0" w:space="0" w:color="auto"/>
                        <w:right w:val="none" w:sz="0" w:space="0" w:color="auto"/>
                      </w:divBdr>
                    </w:div>
                  </w:divsChild>
                </w:div>
                <w:div w:id="1886016716">
                  <w:marLeft w:val="0"/>
                  <w:marRight w:val="0"/>
                  <w:marTop w:val="0"/>
                  <w:marBottom w:val="0"/>
                  <w:divBdr>
                    <w:top w:val="none" w:sz="0" w:space="0" w:color="auto"/>
                    <w:left w:val="none" w:sz="0" w:space="0" w:color="auto"/>
                    <w:bottom w:val="none" w:sz="0" w:space="0" w:color="auto"/>
                    <w:right w:val="none" w:sz="0" w:space="0" w:color="auto"/>
                  </w:divBdr>
                  <w:divsChild>
                    <w:div w:id="1713071948">
                      <w:marLeft w:val="0"/>
                      <w:marRight w:val="0"/>
                      <w:marTop w:val="0"/>
                      <w:marBottom w:val="0"/>
                      <w:divBdr>
                        <w:top w:val="none" w:sz="0" w:space="0" w:color="auto"/>
                        <w:left w:val="none" w:sz="0" w:space="0" w:color="auto"/>
                        <w:bottom w:val="none" w:sz="0" w:space="0" w:color="auto"/>
                        <w:right w:val="none" w:sz="0" w:space="0" w:color="auto"/>
                      </w:divBdr>
                    </w:div>
                  </w:divsChild>
                </w:div>
                <w:div w:id="630787761">
                  <w:marLeft w:val="0"/>
                  <w:marRight w:val="0"/>
                  <w:marTop w:val="0"/>
                  <w:marBottom w:val="0"/>
                  <w:divBdr>
                    <w:top w:val="none" w:sz="0" w:space="0" w:color="auto"/>
                    <w:left w:val="none" w:sz="0" w:space="0" w:color="auto"/>
                    <w:bottom w:val="none" w:sz="0" w:space="0" w:color="auto"/>
                    <w:right w:val="none" w:sz="0" w:space="0" w:color="auto"/>
                  </w:divBdr>
                  <w:divsChild>
                    <w:div w:id="1051031571">
                      <w:marLeft w:val="0"/>
                      <w:marRight w:val="0"/>
                      <w:marTop w:val="0"/>
                      <w:marBottom w:val="0"/>
                      <w:divBdr>
                        <w:top w:val="none" w:sz="0" w:space="0" w:color="auto"/>
                        <w:left w:val="none" w:sz="0" w:space="0" w:color="auto"/>
                        <w:bottom w:val="none" w:sz="0" w:space="0" w:color="auto"/>
                        <w:right w:val="none" w:sz="0" w:space="0" w:color="auto"/>
                      </w:divBdr>
                    </w:div>
                  </w:divsChild>
                </w:div>
                <w:div w:id="1615478050">
                  <w:marLeft w:val="0"/>
                  <w:marRight w:val="0"/>
                  <w:marTop w:val="0"/>
                  <w:marBottom w:val="0"/>
                  <w:divBdr>
                    <w:top w:val="none" w:sz="0" w:space="0" w:color="auto"/>
                    <w:left w:val="none" w:sz="0" w:space="0" w:color="auto"/>
                    <w:bottom w:val="none" w:sz="0" w:space="0" w:color="auto"/>
                    <w:right w:val="none" w:sz="0" w:space="0" w:color="auto"/>
                  </w:divBdr>
                  <w:divsChild>
                    <w:div w:id="771899886">
                      <w:marLeft w:val="0"/>
                      <w:marRight w:val="0"/>
                      <w:marTop w:val="0"/>
                      <w:marBottom w:val="0"/>
                      <w:divBdr>
                        <w:top w:val="none" w:sz="0" w:space="0" w:color="auto"/>
                        <w:left w:val="none" w:sz="0" w:space="0" w:color="auto"/>
                        <w:bottom w:val="none" w:sz="0" w:space="0" w:color="auto"/>
                        <w:right w:val="none" w:sz="0" w:space="0" w:color="auto"/>
                      </w:divBdr>
                    </w:div>
                  </w:divsChild>
                </w:div>
                <w:div w:id="322248326">
                  <w:marLeft w:val="0"/>
                  <w:marRight w:val="0"/>
                  <w:marTop w:val="0"/>
                  <w:marBottom w:val="0"/>
                  <w:divBdr>
                    <w:top w:val="none" w:sz="0" w:space="0" w:color="auto"/>
                    <w:left w:val="none" w:sz="0" w:space="0" w:color="auto"/>
                    <w:bottom w:val="none" w:sz="0" w:space="0" w:color="auto"/>
                    <w:right w:val="none" w:sz="0" w:space="0" w:color="auto"/>
                  </w:divBdr>
                  <w:divsChild>
                    <w:div w:id="1476605739">
                      <w:marLeft w:val="0"/>
                      <w:marRight w:val="0"/>
                      <w:marTop w:val="0"/>
                      <w:marBottom w:val="0"/>
                      <w:divBdr>
                        <w:top w:val="none" w:sz="0" w:space="0" w:color="auto"/>
                        <w:left w:val="none" w:sz="0" w:space="0" w:color="auto"/>
                        <w:bottom w:val="none" w:sz="0" w:space="0" w:color="auto"/>
                        <w:right w:val="none" w:sz="0" w:space="0" w:color="auto"/>
                      </w:divBdr>
                    </w:div>
                  </w:divsChild>
                </w:div>
                <w:div w:id="834684827">
                  <w:marLeft w:val="0"/>
                  <w:marRight w:val="0"/>
                  <w:marTop w:val="0"/>
                  <w:marBottom w:val="0"/>
                  <w:divBdr>
                    <w:top w:val="none" w:sz="0" w:space="0" w:color="auto"/>
                    <w:left w:val="none" w:sz="0" w:space="0" w:color="auto"/>
                    <w:bottom w:val="none" w:sz="0" w:space="0" w:color="auto"/>
                    <w:right w:val="none" w:sz="0" w:space="0" w:color="auto"/>
                  </w:divBdr>
                  <w:divsChild>
                    <w:div w:id="2144695215">
                      <w:marLeft w:val="0"/>
                      <w:marRight w:val="0"/>
                      <w:marTop w:val="0"/>
                      <w:marBottom w:val="0"/>
                      <w:divBdr>
                        <w:top w:val="none" w:sz="0" w:space="0" w:color="auto"/>
                        <w:left w:val="none" w:sz="0" w:space="0" w:color="auto"/>
                        <w:bottom w:val="none" w:sz="0" w:space="0" w:color="auto"/>
                        <w:right w:val="none" w:sz="0" w:space="0" w:color="auto"/>
                      </w:divBdr>
                    </w:div>
                  </w:divsChild>
                </w:div>
                <w:div w:id="1275747518">
                  <w:marLeft w:val="0"/>
                  <w:marRight w:val="0"/>
                  <w:marTop w:val="0"/>
                  <w:marBottom w:val="0"/>
                  <w:divBdr>
                    <w:top w:val="none" w:sz="0" w:space="0" w:color="auto"/>
                    <w:left w:val="none" w:sz="0" w:space="0" w:color="auto"/>
                    <w:bottom w:val="none" w:sz="0" w:space="0" w:color="auto"/>
                    <w:right w:val="none" w:sz="0" w:space="0" w:color="auto"/>
                  </w:divBdr>
                  <w:divsChild>
                    <w:div w:id="809782750">
                      <w:marLeft w:val="0"/>
                      <w:marRight w:val="0"/>
                      <w:marTop w:val="0"/>
                      <w:marBottom w:val="0"/>
                      <w:divBdr>
                        <w:top w:val="none" w:sz="0" w:space="0" w:color="auto"/>
                        <w:left w:val="none" w:sz="0" w:space="0" w:color="auto"/>
                        <w:bottom w:val="none" w:sz="0" w:space="0" w:color="auto"/>
                        <w:right w:val="none" w:sz="0" w:space="0" w:color="auto"/>
                      </w:divBdr>
                    </w:div>
                  </w:divsChild>
                </w:div>
                <w:div w:id="1095050206">
                  <w:marLeft w:val="0"/>
                  <w:marRight w:val="0"/>
                  <w:marTop w:val="0"/>
                  <w:marBottom w:val="0"/>
                  <w:divBdr>
                    <w:top w:val="none" w:sz="0" w:space="0" w:color="auto"/>
                    <w:left w:val="none" w:sz="0" w:space="0" w:color="auto"/>
                    <w:bottom w:val="none" w:sz="0" w:space="0" w:color="auto"/>
                    <w:right w:val="none" w:sz="0" w:space="0" w:color="auto"/>
                  </w:divBdr>
                  <w:divsChild>
                    <w:div w:id="1972593959">
                      <w:marLeft w:val="0"/>
                      <w:marRight w:val="0"/>
                      <w:marTop w:val="0"/>
                      <w:marBottom w:val="0"/>
                      <w:divBdr>
                        <w:top w:val="none" w:sz="0" w:space="0" w:color="auto"/>
                        <w:left w:val="none" w:sz="0" w:space="0" w:color="auto"/>
                        <w:bottom w:val="none" w:sz="0" w:space="0" w:color="auto"/>
                        <w:right w:val="none" w:sz="0" w:space="0" w:color="auto"/>
                      </w:divBdr>
                    </w:div>
                  </w:divsChild>
                </w:div>
                <w:div w:id="1964925729">
                  <w:marLeft w:val="0"/>
                  <w:marRight w:val="0"/>
                  <w:marTop w:val="0"/>
                  <w:marBottom w:val="0"/>
                  <w:divBdr>
                    <w:top w:val="none" w:sz="0" w:space="0" w:color="auto"/>
                    <w:left w:val="none" w:sz="0" w:space="0" w:color="auto"/>
                    <w:bottom w:val="none" w:sz="0" w:space="0" w:color="auto"/>
                    <w:right w:val="none" w:sz="0" w:space="0" w:color="auto"/>
                  </w:divBdr>
                  <w:divsChild>
                    <w:div w:id="189147962">
                      <w:marLeft w:val="0"/>
                      <w:marRight w:val="0"/>
                      <w:marTop w:val="0"/>
                      <w:marBottom w:val="0"/>
                      <w:divBdr>
                        <w:top w:val="none" w:sz="0" w:space="0" w:color="auto"/>
                        <w:left w:val="none" w:sz="0" w:space="0" w:color="auto"/>
                        <w:bottom w:val="none" w:sz="0" w:space="0" w:color="auto"/>
                        <w:right w:val="none" w:sz="0" w:space="0" w:color="auto"/>
                      </w:divBdr>
                    </w:div>
                  </w:divsChild>
                </w:div>
                <w:div w:id="78990417">
                  <w:marLeft w:val="0"/>
                  <w:marRight w:val="0"/>
                  <w:marTop w:val="0"/>
                  <w:marBottom w:val="0"/>
                  <w:divBdr>
                    <w:top w:val="none" w:sz="0" w:space="0" w:color="auto"/>
                    <w:left w:val="none" w:sz="0" w:space="0" w:color="auto"/>
                    <w:bottom w:val="none" w:sz="0" w:space="0" w:color="auto"/>
                    <w:right w:val="none" w:sz="0" w:space="0" w:color="auto"/>
                  </w:divBdr>
                  <w:divsChild>
                    <w:div w:id="256598019">
                      <w:marLeft w:val="0"/>
                      <w:marRight w:val="0"/>
                      <w:marTop w:val="0"/>
                      <w:marBottom w:val="0"/>
                      <w:divBdr>
                        <w:top w:val="none" w:sz="0" w:space="0" w:color="auto"/>
                        <w:left w:val="none" w:sz="0" w:space="0" w:color="auto"/>
                        <w:bottom w:val="none" w:sz="0" w:space="0" w:color="auto"/>
                        <w:right w:val="none" w:sz="0" w:space="0" w:color="auto"/>
                      </w:divBdr>
                    </w:div>
                  </w:divsChild>
                </w:div>
                <w:div w:id="2081901425">
                  <w:marLeft w:val="0"/>
                  <w:marRight w:val="0"/>
                  <w:marTop w:val="0"/>
                  <w:marBottom w:val="0"/>
                  <w:divBdr>
                    <w:top w:val="none" w:sz="0" w:space="0" w:color="auto"/>
                    <w:left w:val="none" w:sz="0" w:space="0" w:color="auto"/>
                    <w:bottom w:val="none" w:sz="0" w:space="0" w:color="auto"/>
                    <w:right w:val="none" w:sz="0" w:space="0" w:color="auto"/>
                  </w:divBdr>
                  <w:divsChild>
                    <w:div w:id="1813987669">
                      <w:marLeft w:val="0"/>
                      <w:marRight w:val="0"/>
                      <w:marTop w:val="0"/>
                      <w:marBottom w:val="0"/>
                      <w:divBdr>
                        <w:top w:val="none" w:sz="0" w:space="0" w:color="auto"/>
                        <w:left w:val="none" w:sz="0" w:space="0" w:color="auto"/>
                        <w:bottom w:val="none" w:sz="0" w:space="0" w:color="auto"/>
                        <w:right w:val="none" w:sz="0" w:space="0" w:color="auto"/>
                      </w:divBdr>
                    </w:div>
                  </w:divsChild>
                </w:div>
                <w:div w:id="113908687">
                  <w:marLeft w:val="0"/>
                  <w:marRight w:val="0"/>
                  <w:marTop w:val="0"/>
                  <w:marBottom w:val="0"/>
                  <w:divBdr>
                    <w:top w:val="none" w:sz="0" w:space="0" w:color="auto"/>
                    <w:left w:val="none" w:sz="0" w:space="0" w:color="auto"/>
                    <w:bottom w:val="none" w:sz="0" w:space="0" w:color="auto"/>
                    <w:right w:val="none" w:sz="0" w:space="0" w:color="auto"/>
                  </w:divBdr>
                  <w:divsChild>
                    <w:div w:id="1459566963">
                      <w:marLeft w:val="0"/>
                      <w:marRight w:val="0"/>
                      <w:marTop w:val="0"/>
                      <w:marBottom w:val="0"/>
                      <w:divBdr>
                        <w:top w:val="none" w:sz="0" w:space="0" w:color="auto"/>
                        <w:left w:val="none" w:sz="0" w:space="0" w:color="auto"/>
                        <w:bottom w:val="none" w:sz="0" w:space="0" w:color="auto"/>
                        <w:right w:val="none" w:sz="0" w:space="0" w:color="auto"/>
                      </w:divBdr>
                    </w:div>
                  </w:divsChild>
                </w:div>
                <w:div w:id="900751380">
                  <w:marLeft w:val="0"/>
                  <w:marRight w:val="0"/>
                  <w:marTop w:val="0"/>
                  <w:marBottom w:val="0"/>
                  <w:divBdr>
                    <w:top w:val="none" w:sz="0" w:space="0" w:color="auto"/>
                    <w:left w:val="none" w:sz="0" w:space="0" w:color="auto"/>
                    <w:bottom w:val="none" w:sz="0" w:space="0" w:color="auto"/>
                    <w:right w:val="none" w:sz="0" w:space="0" w:color="auto"/>
                  </w:divBdr>
                  <w:divsChild>
                    <w:div w:id="1734542251">
                      <w:marLeft w:val="0"/>
                      <w:marRight w:val="0"/>
                      <w:marTop w:val="0"/>
                      <w:marBottom w:val="0"/>
                      <w:divBdr>
                        <w:top w:val="none" w:sz="0" w:space="0" w:color="auto"/>
                        <w:left w:val="none" w:sz="0" w:space="0" w:color="auto"/>
                        <w:bottom w:val="none" w:sz="0" w:space="0" w:color="auto"/>
                        <w:right w:val="none" w:sz="0" w:space="0" w:color="auto"/>
                      </w:divBdr>
                    </w:div>
                  </w:divsChild>
                </w:div>
                <w:div w:id="318733237">
                  <w:marLeft w:val="0"/>
                  <w:marRight w:val="0"/>
                  <w:marTop w:val="0"/>
                  <w:marBottom w:val="0"/>
                  <w:divBdr>
                    <w:top w:val="none" w:sz="0" w:space="0" w:color="auto"/>
                    <w:left w:val="none" w:sz="0" w:space="0" w:color="auto"/>
                    <w:bottom w:val="none" w:sz="0" w:space="0" w:color="auto"/>
                    <w:right w:val="none" w:sz="0" w:space="0" w:color="auto"/>
                  </w:divBdr>
                  <w:divsChild>
                    <w:div w:id="353188565">
                      <w:marLeft w:val="0"/>
                      <w:marRight w:val="0"/>
                      <w:marTop w:val="0"/>
                      <w:marBottom w:val="0"/>
                      <w:divBdr>
                        <w:top w:val="none" w:sz="0" w:space="0" w:color="auto"/>
                        <w:left w:val="none" w:sz="0" w:space="0" w:color="auto"/>
                        <w:bottom w:val="none" w:sz="0" w:space="0" w:color="auto"/>
                        <w:right w:val="none" w:sz="0" w:space="0" w:color="auto"/>
                      </w:divBdr>
                    </w:div>
                  </w:divsChild>
                </w:div>
                <w:div w:id="1373533319">
                  <w:marLeft w:val="0"/>
                  <w:marRight w:val="0"/>
                  <w:marTop w:val="0"/>
                  <w:marBottom w:val="0"/>
                  <w:divBdr>
                    <w:top w:val="none" w:sz="0" w:space="0" w:color="auto"/>
                    <w:left w:val="none" w:sz="0" w:space="0" w:color="auto"/>
                    <w:bottom w:val="none" w:sz="0" w:space="0" w:color="auto"/>
                    <w:right w:val="none" w:sz="0" w:space="0" w:color="auto"/>
                  </w:divBdr>
                  <w:divsChild>
                    <w:div w:id="1956398791">
                      <w:marLeft w:val="0"/>
                      <w:marRight w:val="0"/>
                      <w:marTop w:val="0"/>
                      <w:marBottom w:val="0"/>
                      <w:divBdr>
                        <w:top w:val="none" w:sz="0" w:space="0" w:color="auto"/>
                        <w:left w:val="none" w:sz="0" w:space="0" w:color="auto"/>
                        <w:bottom w:val="none" w:sz="0" w:space="0" w:color="auto"/>
                        <w:right w:val="none" w:sz="0" w:space="0" w:color="auto"/>
                      </w:divBdr>
                    </w:div>
                  </w:divsChild>
                </w:div>
                <w:div w:id="865605515">
                  <w:marLeft w:val="0"/>
                  <w:marRight w:val="0"/>
                  <w:marTop w:val="0"/>
                  <w:marBottom w:val="0"/>
                  <w:divBdr>
                    <w:top w:val="none" w:sz="0" w:space="0" w:color="auto"/>
                    <w:left w:val="none" w:sz="0" w:space="0" w:color="auto"/>
                    <w:bottom w:val="none" w:sz="0" w:space="0" w:color="auto"/>
                    <w:right w:val="none" w:sz="0" w:space="0" w:color="auto"/>
                  </w:divBdr>
                  <w:divsChild>
                    <w:div w:id="2103379770">
                      <w:marLeft w:val="0"/>
                      <w:marRight w:val="0"/>
                      <w:marTop w:val="0"/>
                      <w:marBottom w:val="0"/>
                      <w:divBdr>
                        <w:top w:val="none" w:sz="0" w:space="0" w:color="auto"/>
                        <w:left w:val="none" w:sz="0" w:space="0" w:color="auto"/>
                        <w:bottom w:val="none" w:sz="0" w:space="0" w:color="auto"/>
                        <w:right w:val="none" w:sz="0" w:space="0" w:color="auto"/>
                      </w:divBdr>
                    </w:div>
                  </w:divsChild>
                </w:div>
                <w:div w:id="1451360983">
                  <w:marLeft w:val="0"/>
                  <w:marRight w:val="0"/>
                  <w:marTop w:val="0"/>
                  <w:marBottom w:val="0"/>
                  <w:divBdr>
                    <w:top w:val="none" w:sz="0" w:space="0" w:color="auto"/>
                    <w:left w:val="none" w:sz="0" w:space="0" w:color="auto"/>
                    <w:bottom w:val="none" w:sz="0" w:space="0" w:color="auto"/>
                    <w:right w:val="none" w:sz="0" w:space="0" w:color="auto"/>
                  </w:divBdr>
                  <w:divsChild>
                    <w:div w:id="741222992">
                      <w:marLeft w:val="0"/>
                      <w:marRight w:val="0"/>
                      <w:marTop w:val="0"/>
                      <w:marBottom w:val="0"/>
                      <w:divBdr>
                        <w:top w:val="none" w:sz="0" w:space="0" w:color="auto"/>
                        <w:left w:val="none" w:sz="0" w:space="0" w:color="auto"/>
                        <w:bottom w:val="none" w:sz="0" w:space="0" w:color="auto"/>
                        <w:right w:val="none" w:sz="0" w:space="0" w:color="auto"/>
                      </w:divBdr>
                    </w:div>
                  </w:divsChild>
                </w:div>
                <w:div w:id="2057315229">
                  <w:marLeft w:val="0"/>
                  <w:marRight w:val="0"/>
                  <w:marTop w:val="0"/>
                  <w:marBottom w:val="0"/>
                  <w:divBdr>
                    <w:top w:val="none" w:sz="0" w:space="0" w:color="auto"/>
                    <w:left w:val="none" w:sz="0" w:space="0" w:color="auto"/>
                    <w:bottom w:val="none" w:sz="0" w:space="0" w:color="auto"/>
                    <w:right w:val="none" w:sz="0" w:space="0" w:color="auto"/>
                  </w:divBdr>
                  <w:divsChild>
                    <w:div w:id="131681272">
                      <w:marLeft w:val="0"/>
                      <w:marRight w:val="0"/>
                      <w:marTop w:val="0"/>
                      <w:marBottom w:val="0"/>
                      <w:divBdr>
                        <w:top w:val="none" w:sz="0" w:space="0" w:color="auto"/>
                        <w:left w:val="none" w:sz="0" w:space="0" w:color="auto"/>
                        <w:bottom w:val="none" w:sz="0" w:space="0" w:color="auto"/>
                        <w:right w:val="none" w:sz="0" w:space="0" w:color="auto"/>
                      </w:divBdr>
                    </w:div>
                  </w:divsChild>
                </w:div>
                <w:div w:id="214897501">
                  <w:marLeft w:val="0"/>
                  <w:marRight w:val="0"/>
                  <w:marTop w:val="0"/>
                  <w:marBottom w:val="0"/>
                  <w:divBdr>
                    <w:top w:val="none" w:sz="0" w:space="0" w:color="auto"/>
                    <w:left w:val="none" w:sz="0" w:space="0" w:color="auto"/>
                    <w:bottom w:val="none" w:sz="0" w:space="0" w:color="auto"/>
                    <w:right w:val="none" w:sz="0" w:space="0" w:color="auto"/>
                  </w:divBdr>
                  <w:divsChild>
                    <w:div w:id="1597405269">
                      <w:marLeft w:val="0"/>
                      <w:marRight w:val="0"/>
                      <w:marTop w:val="0"/>
                      <w:marBottom w:val="0"/>
                      <w:divBdr>
                        <w:top w:val="none" w:sz="0" w:space="0" w:color="auto"/>
                        <w:left w:val="none" w:sz="0" w:space="0" w:color="auto"/>
                        <w:bottom w:val="none" w:sz="0" w:space="0" w:color="auto"/>
                        <w:right w:val="none" w:sz="0" w:space="0" w:color="auto"/>
                      </w:divBdr>
                    </w:div>
                  </w:divsChild>
                </w:div>
                <w:div w:id="598485646">
                  <w:marLeft w:val="0"/>
                  <w:marRight w:val="0"/>
                  <w:marTop w:val="0"/>
                  <w:marBottom w:val="0"/>
                  <w:divBdr>
                    <w:top w:val="none" w:sz="0" w:space="0" w:color="auto"/>
                    <w:left w:val="none" w:sz="0" w:space="0" w:color="auto"/>
                    <w:bottom w:val="none" w:sz="0" w:space="0" w:color="auto"/>
                    <w:right w:val="none" w:sz="0" w:space="0" w:color="auto"/>
                  </w:divBdr>
                  <w:divsChild>
                    <w:div w:id="1613708663">
                      <w:marLeft w:val="0"/>
                      <w:marRight w:val="0"/>
                      <w:marTop w:val="0"/>
                      <w:marBottom w:val="0"/>
                      <w:divBdr>
                        <w:top w:val="none" w:sz="0" w:space="0" w:color="auto"/>
                        <w:left w:val="none" w:sz="0" w:space="0" w:color="auto"/>
                        <w:bottom w:val="none" w:sz="0" w:space="0" w:color="auto"/>
                        <w:right w:val="none" w:sz="0" w:space="0" w:color="auto"/>
                      </w:divBdr>
                    </w:div>
                  </w:divsChild>
                </w:div>
                <w:div w:id="1903638835">
                  <w:marLeft w:val="0"/>
                  <w:marRight w:val="0"/>
                  <w:marTop w:val="0"/>
                  <w:marBottom w:val="0"/>
                  <w:divBdr>
                    <w:top w:val="none" w:sz="0" w:space="0" w:color="auto"/>
                    <w:left w:val="none" w:sz="0" w:space="0" w:color="auto"/>
                    <w:bottom w:val="none" w:sz="0" w:space="0" w:color="auto"/>
                    <w:right w:val="none" w:sz="0" w:space="0" w:color="auto"/>
                  </w:divBdr>
                  <w:divsChild>
                    <w:div w:id="472865491">
                      <w:marLeft w:val="0"/>
                      <w:marRight w:val="0"/>
                      <w:marTop w:val="0"/>
                      <w:marBottom w:val="0"/>
                      <w:divBdr>
                        <w:top w:val="none" w:sz="0" w:space="0" w:color="auto"/>
                        <w:left w:val="none" w:sz="0" w:space="0" w:color="auto"/>
                        <w:bottom w:val="none" w:sz="0" w:space="0" w:color="auto"/>
                        <w:right w:val="none" w:sz="0" w:space="0" w:color="auto"/>
                      </w:divBdr>
                    </w:div>
                  </w:divsChild>
                </w:div>
                <w:div w:id="296112429">
                  <w:marLeft w:val="0"/>
                  <w:marRight w:val="0"/>
                  <w:marTop w:val="0"/>
                  <w:marBottom w:val="0"/>
                  <w:divBdr>
                    <w:top w:val="none" w:sz="0" w:space="0" w:color="auto"/>
                    <w:left w:val="none" w:sz="0" w:space="0" w:color="auto"/>
                    <w:bottom w:val="none" w:sz="0" w:space="0" w:color="auto"/>
                    <w:right w:val="none" w:sz="0" w:space="0" w:color="auto"/>
                  </w:divBdr>
                  <w:divsChild>
                    <w:div w:id="1762136883">
                      <w:marLeft w:val="0"/>
                      <w:marRight w:val="0"/>
                      <w:marTop w:val="0"/>
                      <w:marBottom w:val="0"/>
                      <w:divBdr>
                        <w:top w:val="none" w:sz="0" w:space="0" w:color="auto"/>
                        <w:left w:val="none" w:sz="0" w:space="0" w:color="auto"/>
                        <w:bottom w:val="none" w:sz="0" w:space="0" w:color="auto"/>
                        <w:right w:val="none" w:sz="0" w:space="0" w:color="auto"/>
                      </w:divBdr>
                    </w:div>
                  </w:divsChild>
                </w:div>
                <w:div w:id="985474945">
                  <w:marLeft w:val="0"/>
                  <w:marRight w:val="0"/>
                  <w:marTop w:val="0"/>
                  <w:marBottom w:val="0"/>
                  <w:divBdr>
                    <w:top w:val="none" w:sz="0" w:space="0" w:color="auto"/>
                    <w:left w:val="none" w:sz="0" w:space="0" w:color="auto"/>
                    <w:bottom w:val="none" w:sz="0" w:space="0" w:color="auto"/>
                    <w:right w:val="none" w:sz="0" w:space="0" w:color="auto"/>
                  </w:divBdr>
                  <w:divsChild>
                    <w:div w:id="961768774">
                      <w:marLeft w:val="0"/>
                      <w:marRight w:val="0"/>
                      <w:marTop w:val="0"/>
                      <w:marBottom w:val="0"/>
                      <w:divBdr>
                        <w:top w:val="none" w:sz="0" w:space="0" w:color="auto"/>
                        <w:left w:val="none" w:sz="0" w:space="0" w:color="auto"/>
                        <w:bottom w:val="none" w:sz="0" w:space="0" w:color="auto"/>
                        <w:right w:val="none" w:sz="0" w:space="0" w:color="auto"/>
                      </w:divBdr>
                    </w:div>
                  </w:divsChild>
                </w:div>
                <w:div w:id="147946650">
                  <w:marLeft w:val="0"/>
                  <w:marRight w:val="0"/>
                  <w:marTop w:val="0"/>
                  <w:marBottom w:val="0"/>
                  <w:divBdr>
                    <w:top w:val="none" w:sz="0" w:space="0" w:color="auto"/>
                    <w:left w:val="none" w:sz="0" w:space="0" w:color="auto"/>
                    <w:bottom w:val="none" w:sz="0" w:space="0" w:color="auto"/>
                    <w:right w:val="none" w:sz="0" w:space="0" w:color="auto"/>
                  </w:divBdr>
                  <w:divsChild>
                    <w:div w:id="267467430">
                      <w:marLeft w:val="0"/>
                      <w:marRight w:val="0"/>
                      <w:marTop w:val="0"/>
                      <w:marBottom w:val="0"/>
                      <w:divBdr>
                        <w:top w:val="none" w:sz="0" w:space="0" w:color="auto"/>
                        <w:left w:val="none" w:sz="0" w:space="0" w:color="auto"/>
                        <w:bottom w:val="none" w:sz="0" w:space="0" w:color="auto"/>
                        <w:right w:val="none" w:sz="0" w:space="0" w:color="auto"/>
                      </w:divBdr>
                    </w:div>
                  </w:divsChild>
                </w:div>
                <w:div w:id="1780560165">
                  <w:marLeft w:val="0"/>
                  <w:marRight w:val="0"/>
                  <w:marTop w:val="0"/>
                  <w:marBottom w:val="0"/>
                  <w:divBdr>
                    <w:top w:val="none" w:sz="0" w:space="0" w:color="auto"/>
                    <w:left w:val="none" w:sz="0" w:space="0" w:color="auto"/>
                    <w:bottom w:val="none" w:sz="0" w:space="0" w:color="auto"/>
                    <w:right w:val="none" w:sz="0" w:space="0" w:color="auto"/>
                  </w:divBdr>
                  <w:divsChild>
                    <w:div w:id="1512064848">
                      <w:marLeft w:val="0"/>
                      <w:marRight w:val="0"/>
                      <w:marTop w:val="0"/>
                      <w:marBottom w:val="0"/>
                      <w:divBdr>
                        <w:top w:val="none" w:sz="0" w:space="0" w:color="auto"/>
                        <w:left w:val="none" w:sz="0" w:space="0" w:color="auto"/>
                        <w:bottom w:val="none" w:sz="0" w:space="0" w:color="auto"/>
                        <w:right w:val="none" w:sz="0" w:space="0" w:color="auto"/>
                      </w:divBdr>
                    </w:div>
                  </w:divsChild>
                </w:div>
                <w:div w:id="309403997">
                  <w:marLeft w:val="0"/>
                  <w:marRight w:val="0"/>
                  <w:marTop w:val="0"/>
                  <w:marBottom w:val="0"/>
                  <w:divBdr>
                    <w:top w:val="none" w:sz="0" w:space="0" w:color="auto"/>
                    <w:left w:val="none" w:sz="0" w:space="0" w:color="auto"/>
                    <w:bottom w:val="none" w:sz="0" w:space="0" w:color="auto"/>
                    <w:right w:val="none" w:sz="0" w:space="0" w:color="auto"/>
                  </w:divBdr>
                  <w:divsChild>
                    <w:div w:id="1979921025">
                      <w:marLeft w:val="0"/>
                      <w:marRight w:val="0"/>
                      <w:marTop w:val="0"/>
                      <w:marBottom w:val="0"/>
                      <w:divBdr>
                        <w:top w:val="none" w:sz="0" w:space="0" w:color="auto"/>
                        <w:left w:val="none" w:sz="0" w:space="0" w:color="auto"/>
                        <w:bottom w:val="none" w:sz="0" w:space="0" w:color="auto"/>
                        <w:right w:val="none" w:sz="0" w:space="0" w:color="auto"/>
                      </w:divBdr>
                    </w:div>
                  </w:divsChild>
                </w:div>
                <w:div w:id="598177394">
                  <w:marLeft w:val="0"/>
                  <w:marRight w:val="0"/>
                  <w:marTop w:val="0"/>
                  <w:marBottom w:val="0"/>
                  <w:divBdr>
                    <w:top w:val="none" w:sz="0" w:space="0" w:color="auto"/>
                    <w:left w:val="none" w:sz="0" w:space="0" w:color="auto"/>
                    <w:bottom w:val="none" w:sz="0" w:space="0" w:color="auto"/>
                    <w:right w:val="none" w:sz="0" w:space="0" w:color="auto"/>
                  </w:divBdr>
                  <w:divsChild>
                    <w:div w:id="192768845">
                      <w:marLeft w:val="0"/>
                      <w:marRight w:val="0"/>
                      <w:marTop w:val="0"/>
                      <w:marBottom w:val="0"/>
                      <w:divBdr>
                        <w:top w:val="none" w:sz="0" w:space="0" w:color="auto"/>
                        <w:left w:val="none" w:sz="0" w:space="0" w:color="auto"/>
                        <w:bottom w:val="none" w:sz="0" w:space="0" w:color="auto"/>
                        <w:right w:val="none" w:sz="0" w:space="0" w:color="auto"/>
                      </w:divBdr>
                    </w:div>
                  </w:divsChild>
                </w:div>
                <w:div w:id="102767662">
                  <w:marLeft w:val="0"/>
                  <w:marRight w:val="0"/>
                  <w:marTop w:val="0"/>
                  <w:marBottom w:val="0"/>
                  <w:divBdr>
                    <w:top w:val="none" w:sz="0" w:space="0" w:color="auto"/>
                    <w:left w:val="none" w:sz="0" w:space="0" w:color="auto"/>
                    <w:bottom w:val="none" w:sz="0" w:space="0" w:color="auto"/>
                    <w:right w:val="none" w:sz="0" w:space="0" w:color="auto"/>
                  </w:divBdr>
                  <w:divsChild>
                    <w:div w:id="655573677">
                      <w:marLeft w:val="0"/>
                      <w:marRight w:val="0"/>
                      <w:marTop w:val="0"/>
                      <w:marBottom w:val="0"/>
                      <w:divBdr>
                        <w:top w:val="none" w:sz="0" w:space="0" w:color="auto"/>
                        <w:left w:val="none" w:sz="0" w:space="0" w:color="auto"/>
                        <w:bottom w:val="none" w:sz="0" w:space="0" w:color="auto"/>
                        <w:right w:val="none" w:sz="0" w:space="0" w:color="auto"/>
                      </w:divBdr>
                    </w:div>
                  </w:divsChild>
                </w:div>
                <w:div w:id="206380825">
                  <w:marLeft w:val="0"/>
                  <w:marRight w:val="0"/>
                  <w:marTop w:val="0"/>
                  <w:marBottom w:val="0"/>
                  <w:divBdr>
                    <w:top w:val="none" w:sz="0" w:space="0" w:color="auto"/>
                    <w:left w:val="none" w:sz="0" w:space="0" w:color="auto"/>
                    <w:bottom w:val="none" w:sz="0" w:space="0" w:color="auto"/>
                    <w:right w:val="none" w:sz="0" w:space="0" w:color="auto"/>
                  </w:divBdr>
                  <w:divsChild>
                    <w:div w:id="330914362">
                      <w:marLeft w:val="0"/>
                      <w:marRight w:val="0"/>
                      <w:marTop w:val="0"/>
                      <w:marBottom w:val="0"/>
                      <w:divBdr>
                        <w:top w:val="none" w:sz="0" w:space="0" w:color="auto"/>
                        <w:left w:val="none" w:sz="0" w:space="0" w:color="auto"/>
                        <w:bottom w:val="none" w:sz="0" w:space="0" w:color="auto"/>
                        <w:right w:val="none" w:sz="0" w:space="0" w:color="auto"/>
                      </w:divBdr>
                    </w:div>
                  </w:divsChild>
                </w:div>
                <w:div w:id="1972251438">
                  <w:marLeft w:val="0"/>
                  <w:marRight w:val="0"/>
                  <w:marTop w:val="0"/>
                  <w:marBottom w:val="0"/>
                  <w:divBdr>
                    <w:top w:val="none" w:sz="0" w:space="0" w:color="auto"/>
                    <w:left w:val="none" w:sz="0" w:space="0" w:color="auto"/>
                    <w:bottom w:val="none" w:sz="0" w:space="0" w:color="auto"/>
                    <w:right w:val="none" w:sz="0" w:space="0" w:color="auto"/>
                  </w:divBdr>
                  <w:divsChild>
                    <w:div w:id="502816000">
                      <w:marLeft w:val="0"/>
                      <w:marRight w:val="0"/>
                      <w:marTop w:val="0"/>
                      <w:marBottom w:val="0"/>
                      <w:divBdr>
                        <w:top w:val="none" w:sz="0" w:space="0" w:color="auto"/>
                        <w:left w:val="none" w:sz="0" w:space="0" w:color="auto"/>
                        <w:bottom w:val="none" w:sz="0" w:space="0" w:color="auto"/>
                        <w:right w:val="none" w:sz="0" w:space="0" w:color="auto"/>
                      </w:divBdr>
                    </w:div>
                  </w:divsChild>
                </w:div>
                <w:div w:id="1823544097">
                  <w:marLeft w:val="0"/>
                  <w:marRight w:val="0"/>
                  <w:marTop w:val="0"/>
                  <w:marBottom w:val="0"/>
                  <w:divBdr>
                    <w:top w:val="none" w:sz="0" w:space="0" w:color="auto"/>
                    <w:left w:val="none" w:sz="0" w:space="0" w:color="auto"/>
                    <w:bottom w:val="none" w:sz="0" w:space="0" w:color="auto"/>
                    <w:right w:val="none" w:sz="0" w:space="0" w:color="auto"/>
                  </w:divBdr>
                  <w:divsChild>
                    <w:div w:id="409279960">
                      <w:marLeft w:val="0"/>
                      <w:marRight w:val="0"/>
                      <w:marTop w:val="0"/>
                      <w:marBottom w:val="0"/>
                      <w:divBdr>
                        <w:top w:val="none" w:sz="0" w:space="0" w:color="auto"/>
                        <w:left w:val="none" w:sz="0" w:space="0" w:color="auto"/>
                        <w:bottom w:val="none" w:sz="0" w:space="0" w:color="auto"/>
                        <w:right w:val="none" w:sz="0" w:space="0" w:color="auto"/>
                      </w:divBdr>
                    </w:div>
                  </w:divsChild>
                </w:div>
                <w:div w:id="1876959483">
                  <w:marLeft w:val="0"/>
                  <w:marRight w:val="0"/>
                  <w:marTop w:val="0"/>
                  <w:marBottom w:val="0"/>
                  <w:divBdr>
                    <w:top w:val="none" w:sz="0" w:space="0" w:color="auto"/>
                    <w:left w:val="none" w:sz="0" w:space="0" w:color="auto"/>
                    <w:bottom w:val="none" w:sz="0" w:space="0" w:color="auto"/>
                    <w:right w:val="none" w:sz="0" w:space="0" w:color="auto"/>
                  </w:divBdr>
                  <w:divsChild>
                    <w:div w:id="1982268823">
                      <w:marLeft w:val="0"/>
                      <w:marRight w:val="0"/>
                      <w:marTop w:val="0"/>
                      <w:marBottom w:val="0"/>
                      <w:divBdr>
                        <w:top w:val="none" w:sz="0" w:space="0" w:color="auto"/>
                        <w:left w:val="none" w:sz="0" w:space="0" w:color="auto"/>
                        <w:bottom w:val="none" w:sz="0" w:space="0" w:color="auto"/>
                        <w:right w:val="none" w:sz="0" w:space="0" w:color="auto"/>
                      </w:divBdr>
                    </w:div>
                  </w:divsChild>
                </w:div>
                <w:div w:id="739640047">
                  <w:marLeft w:val="0"/>
                  <w:marRight w:val="0"/>
                  <w:marTop w:val="0"/>
                  <w:marBottom w:val="0"/>
                  <w:divBdr>
                    <w:top w:val="none" w:sz="0" w:space="0" w:color="auto"/>
                    <w:left w:val="none" w:sz="0" w:space="0" w:color="auto"/>
                    <w:bottom w:val="none" w:sz="0" w:space="0" w:color="auto"/>
                    <w:right w:val="none" w:sz="0" w:space="0" w:color="auto"/>
                  </w:divBdr>
                  <w:divsChild>
                    <w:div w:id="1609269074">
                      <w:marLeft w:val="0"/>
                      <w:marRight w:val="0"/>
                      <w:marTop w:val="0"/>
                      <w:marBottom w:val="0"/>
                      <w:divBdr>
                        <w:top w:val="none" w:sz="0" w:space="0" w:color="auto"/>
                        <w:left w:val="none" w:sz="0" w:space="0" w:color="auto"/>
                        <w:bottom w:val="none" w:sz="0" w:space="0" w:color="auto"/>
                        <w:right w:val="none" w:sz="0" w:space="0" w:color="auto"/>
                      </w:divBdr>
                    </w:div>
                  </w:divsChild>
                </w:div>
                <w:div w:id="2088377970">
                  <w:marLeft w:val="0"/>
                  <w:marRight w:val="0"/>
                  <w:marTop w:val="0"/>
                  <w:marBottom w:val="0"/>
                  <w:divBdr>
                    <w:top w:val="none" w:sz="0" w:space="0" w:color="auto"/>
                    <w:left w:val="none" w:sz="0" w:space="0" w:color="auto"/>
                    <w:bottom w:val="none" w:sz="0" w:space="0" w:color="auto"/>
                    <w:right w:val="none" w:sz="0" w:space="0" w:color="auto"/>
                  </w:divBdr>
                  <w:divsChild>
                    <w:div w:id="421683644">
                      <w:marLeft w:val="0"/>
                      <w:marRight w:val="0"/>
                      <w:marTop w:val="0"/>
                      <w:marBottom w:val="0"/>
                      <w:divBdr>
                        <w:top w:val="none" w:sz="0" w:space="0" w:color="auto"/>
                        <w:left w:val="none" w:sz="0" w:space="0" w:color="auto"/>
                        <w:bottom w:val="none" w:sz="0" w:space="0" w:color="auto"/>
                        <w:right w:val="none" w:sz="0" w:space="0" w:color="auto"/>
                      </w:divBdr>
                    </w:div>
                  </w:divsChild>
                </w:div>
                <w:div w:id="263003525">
                  <w:marLeft w:val="0"/>
                  <w:marRight w:val="0"/>
                  <w:marTop w:val="0"/>
                  <w:marBottom w:val="0"/>
                  <w:divBdr>
                    <w:top w:val="none" w:sz="0" w:space="0" w:color="auto"/>
                    <w:left w:val="none" w:sz="0" w:space="0" w:color="auto"/>
                    <w:bottom w:val="none" w:sz="0" w:space="0" w:color="auto"/>
                    <w:right w:val="none" w:sz="0" w:space="0" w:color="auto"/>
                  </w:divBdr>
                  <w:divsChild>
                    <w:div w:id="296766900">
                      <w:marLeft w:val="0"/>
                      <w:marRight w:val="0"/>
                      <w:marTop w:val="0"/>
                      <w:marBottom w:val="0"/>
                      <w:divBdr>
                        <w:top w:val="none" w:sz="0" w:space="0" w:color="auto"/>
                        <w:left w:val="none" w:sz="0" w:space="0" w:color="auto"/>
                        <w:bottom w:val="none" w:sz="0" w:space="0" w:color="auto"/>
                        <w:right w:val="none" w:sz="0" w:space="0" w:color="auto"/>
                      </w:divBdr>
                    </w:div>
                  </w:divsChild>
                </w:div>
                <w:div w:id="1906336966">
                  <w:marLeft w:val="0"/>
                  <w:marRight w:val="0"/>
                  <w:marTop w:val="0"/>
                  <w:marBottom w:val="0"/>
                  <w:divBdr>
                    <w:top w:val="none" w:sz="0" w:space="0" w:color="auto"/>
                    <w:left w:val="none" w:sz="0" w:space="0" w:color="auto"/>
                    <w:bottom w:val="none" w:sz="0" w:space="0" w:color="auto"/>
                    <w:right w:val="none" w:sz="0" w:space="0" w:color="auto"/>
                  </w:divBdr>
                  <w:divsChild>
                    <w:div w:id="170409941">
                      <w:marLeft w:val="0"/>
                      <w:marRight w:val="0"/>
                      <w:marTop w:val="0"/>
                      <w:marBottom w:val="0"/>
                      <w:divBdr>
                        <w:top w:val="none" w:sz="0" w:space="0" w:color="auto"/>
                        <w:left w:val="none" w:sz="0" w:space="0" w:color="auto"/>
                        <w:bottom w:val="none" w:sz="0" w:space="0" w:color="auto"/>
                        <w:right w:val="none" w:sz="0" w:space="0" w:color="auto"/>
                      </w:divBdr>
                    </w:div>
                  </w:divsChild>
                </w:div>
                <w:div w:id="801462465">
                  <w:marLeft w:val="0"/>
                  <w:marRight w:val="0"/>
                  <w:marTop w:val="0"/>
                  <w:marBottom w:val="0"/>
                  <w:divBdr>
                    <w:top w:val="none" w:sz="0" w:space="0" w:color="auto"/>
                    <w:left w:val="none" w:sz="0" w:space="0" w:color="auto"/>
                    <w:bottom w:val="none" w:sz="0" w:space="0" w:color="auto"/>
                    <w:right w:val="none" w:sz="0" w:space="0" w:color="auto"/>
                  </w:divBdr>
                  <w:divsChild>
                    <w:div w:id="438792191">
                      <w:marLeft w:val="0"/>
                      <w:marRight w:val="0"/>
                      <w:marTop w:val="0"/>
                      <w:marBottom w:val="0"/>
                      <w:divBdr>
                        <w:top w:val="none" w:sz="0" w:space="0" w:color="auto"/>
                        <w:left w:val="none" w:sz="0" w:space="0" w:color="auto"/>
                        <w:bottom w:val="none" w:sz="0" w:space="0" w:color="auto"/>
                        <w:right w:val="none" w:sz="0" w:space="0" w:color="auto"/>
                      </w:divBdr>
                    </w:div>
                  </w:divsChild>
                </w:div>
                <w:div w:id="1832484624">
                  <w:marLeft w:val="0"/>
                  <w:marRight w:val="0"/>
                  <w:marTop w:val="0"/>
                  <w:marBottom w:val="0"/>
                  <w:divBdr>
                    <w:top w:val="none" w:sz="0" w:space="0" w:color="auto"/>
                    <w:left w:val="none" w:sz="0" w:space="0" w:color="auto"/>
                    <w:bottom w:val="none" w:sz="0" w:space="0" w:color="auto"/>
                    <w:right w:val="none" w:sz="0" w:space="0" w:color="auto"/>
                  </w:divBdr>
                  <w:divsChild>
                    <w:div w:id="174925943">
                      <w:marLeft w:val="0"/>
                      <w:marRight w:val="0"/>
                      <w:marTop w:val="0"/>
                      <w:marBottom w:val="0"/>
                      <w:divBdr>
                        <w:top w:val="none" w:sz="0" w:space="0" w:color="auto"/>
                        <w:left w:val="none" w:sz="0" w:space="0" w:color="auto"/>
                        <w:bottom w:val="none" w:sz="0" w:space="0" w:color="auto"/>
                        <w:right w:val="none" w:sz="0" w:space="0" w:color="auto"/>
                      </w:divBdr>
                    </w:div>
                  </w:divsChild>
                </w:div>
                <w:div w:id="1129279498">
                  <w:marLeft w:val="0"/>
                  <w:marRight w:val="0"/>
                  <w:marTop w:val="0"/>
                  <w:marBottom w:val="0"/>
                  <w:divBdr>
                    <w:top w:val="none" w:sz="0" w:space="0" w:color="auto"/>
                    <w:left w:val="none" w:sz="0" w:space="0" w:color="auto"/>
                    <w:bottom w:val="none" w:sz="0" w:space="0" w:color="auto"/>
                    <w:right w:val="none" w:sz="0" w:space="0" w:color="auto"/>
                  </w:divBdr>
                  <w:divsChild>
                    <w:div w:id="1172792989">
                      <w:marLeft w:val="0"/>
                      <w:marRight w:val="0"/>
                      <w:marTop w:val="0"/>
                      <w:marBottom w:val="0"/>
                      <w:divBdr>
                        <w:top w:val="none" w:sz="0" w:space="0" w:color="auto"/>
                        <w:left w:val="none" w:sz="0" w:space="0" w:color="auto"/>
                        <w:bottom w:val="none" w:sz="0" w:space="0" w:color="auto"/>
                        <w:right w:val="none" w:sz="0" w:space="0" w:color="auto"/>
                      </w:divBdr>
                    </w:div>
                  </w:divsChild>
                </w:div>
                <w:div w:id="2107068507">
                  <w:marLeft w:val="0"/>
                  <w:marRight w:val="0"/>
                  <w:marTop w:val="0"/>
                  <w:marBottom w:val="0"/>
                  <w:divBdr>
                    <w:top w:val="none" w:sz="0" w:space="0" w:color="auto"/>
                    <w:left w:val="none" w:sz="0" w:space="0" w:color="auto"/>
                    <w:bottom w:val="none" w:sz="0" w:space="0" w:color="auto"/>
                    <w:right w:val="none" w:sz="0" w:space="0" w:color="auto"/>
                  </w:divBdr>
                  <w:divsChild>
                    <w:div w:id="1798209274">
                      <w:marLeft w:val="0"/>
                      <w:marRight w:val="0"/>
                      <w:marTop w:val="0"/>
                      <w:marBottom w:val="0"/>
                      <w:divBdr>
                        <w:top w:val="none" w:sz="0" w:space="0" w:color="auto"/>
                        <w:left w:val="none" w:sz="0" w:space="0" w:color="auto"/>
                        <w:bottom w:val="none" w:sz="0" w:space="0" w:color="auto"/>
                        <w:right w:val="none" w:sz="0" w:space="0" w:color="auto"/>
                      </w:divBdr>
                    </w:div>
                  </w:divsChild>
                </w:div>
                <w:div w:id="898830015">
                  <w:marLeft w:val="0"/>
                  <w:marRight w:val="0"/>
                  <w:marTop w:val="0"/>
                  <w:marBottom w:val="0"/>
                  <w:divBdr>
                    <w:top w:val="none" w:sz="0" w:space="0" w:color="auto"/>
                    <w:left w:val="none" w:sz="0" w:space="0" w:color="auto"/>
                    <w:bottom w:val="none" w:sz="0" w:space="0" w:color="auto"/>
                    <w:right w:val="none" w:sz="0" w:space="0" w:color="auto"/>
                  </w:divBdr>
                  <w:divsChild>
                    <w:div w:id="1598440828">
                      <w:marLeft w:val="0"/>
                      <w:marRight w:val="0"/>
                      <w:marTop w:val="0"/>
                      <w:marBottom w:val="0"/>
                      <w:divBdr>
                        <w:top w:val="none" w:sz="0" w:space="0" w:color="auto"/>
                        <w:left w:val="none" w:sz="0" w:space="0" w:color="auto"/>
                        <w:bottom w:val="none" w:sz="0" w:space="0" w:color="auto"/>
                        <w:right w:val="none" w:sz="0" w:space="0" w:color="auto"/>
                      </w:divBdr>
                    </w:div>
                  </w:divsChild>
                </w:div>
                <w:div w:id="1996641886">
                  <w:marLeft w:val="0"/>
                  <w:marRight w:val="0"/>
                  <w:marTop w:val="0"/>
                  <w:marBottom w:val="0"/>
                  <w:divBdr>
                    <w:top w:val="none" w:sz="0" w:space="0" w:color="auto"/>
                    <w:left w:val="none" w:sz="0" w:space="0" w:color="auto"/>
                    <w:bottom w:val="none" w:sz="0" w:space="0" w:color="auto"/>
                    <w:right w:val="none" w:sz="0" w:space="0" w:color="auto"/>
                  </w:divBdr>
                  <w:divsChild>
                    <w:div w:id="1414594593">
                      <w:marLeft w:val="0"/>
                      <w:marRight w:val="0"/>
                      <w:marTop w:val="0"/>
                      <w:marBottom w:val="0"/>
                      <w:divBdr>
                        <w:top w:val="none" w:sz="0" w:space="0" w:color="auto"/>
                        <w:left w:val="none" w:sz="0" w:space="0" w:color="auto"/>
                        <w:bottom w:val="none" w:sz="0" w:space="0" w:color="auto"/>
                        <w:right w:val="none" w:sz="0" w:space="0" w:color="auto"/>
                      </w:divBdr>
                    </w:div>
                  </w:divsChild>
                </w:div>
                <w:div w:id="814181496">
                  <w:marLeft w:val="0"/>
                  <w:marRight w:val="0"/>
                  <w:marTop w:val="0"/>
                  <w:marBottom w:val="0"/>
                  <w:divBdr>
                    <w:top w:val="none" w:sz="0" w:space="0" w:color="auto"/>
                    <w:left w:val="none" w:sz="0" w:space="0" w:color="auto"/>
                    <w:bottom w:val="none" w:sz="0" w:space="0" w:color="auto"/>
                    <w:right w:val="none" w:sz="0" w:space="0" w:color="auto"/>
                  </w:divBdr>
                  <w:divsChild>
                    <w:div w:id="1965572886">
                      <w:marLeft w:val="0"/>
                      <w:marRight w:val="0"/>
                      <w:marTop w:val="0"/>
                      <w:marBottom w:val="0"/>
                      <w:divBdr>
                        <w:top w:val="none" w:sz="0" w:space="0" w:color="auto"/>
                        <w:left w:val="none" w:sz="0" w:space="0" w:color="auto"/>
                        <w:bottom w:val="none" w:sz="0" w:space="0" w:color="auto"/>
                        <w:right w:val="none" w:sz="0" w:space="0" w:color="auto"/>
                      </w:divBdr>
                    </w:div>
                  </w:divsChild>
                </w:div>
                <w:div w:id="66080517">
                  <w:marLeft w:val="0"/>
                  <w:marRight w:val="0"/>
                  <w:marTop w:val="0"/>
                  <w:marBottom w:val="0"/>
                  <w:divBdr>
                    <w:top w:val="none" w:sz="0" w:space="0" w:color="auto"/>
                    <w:left w:val="none" w:sz="0" w:space="0" w:color="auto"/>
                    <w:bottom w:val="none" w:sz="0" w:space="0" w:color="auto"/>
                    <w:right w:val="none" w:sz="0" w:space="0" w:color="auto"/>
                  </w:divBdr>
                  <w:divsChild>
                    <w:div w:id="1759793988">
                      <w:marLeft w:val="0"/>
                      <w:marRight w:val="0"/>
                      <w:marTop w:val="0"/>
                      <w:marBottom w:val="0"/>
                      <w:divBdr>
                        <w:top w:val="none" w:sz="0" w:space="0" w:color="auto"/>
                        <w:left w:val="none" w:sz="0" w:space="0" w:color="auto"/>
                        <w:bottom w:val="none" w:sz="0" w:space="0" w:color="auto"/>
                        <w:right w:val="none" w:sz="0" w:space="0" w:color="auto"/>
                      </w:divBdr>
                    </w:div>
                  </w:divsChild>
                </w:div>
                <w:div w:id="885916322">
                  <w:marLeft w:val="0"/>
                  <w:marRight w:val="0"/>
                  <w:marTop w:val="0"/>
                  <w:marBottom w:val="0"/>
                  <w:divBdr>
                    <w:top w:val="none" w:sz="0" w:space="0" w:color="auto"/>
                    <w:left w:val="none" w:sz="0" w:space="0" w:color="auto"/>
                    <w:bottom w:val="none" w:sz="0" w:space="0" w:color="auto"/>
                    <w:right w:val="none" w:sz="0" w:space="0" w:color="auto"/>
                  </w:divBdr>
                  <w:divsChild>
                    <w:div w:id="158427982">
                      <w:marLeft w:val="0"/>
                      <w:marRight w:val="0"/>
                      <w:marTop w:val="0"/>
                      <w:marBottom w:val="0"/>
                      <w:divBdr>
                        <w:top w:val="none" w:sz="0" w:space="0" w:color="auto"/>
                        <w:left w:val="none" w:sz="0" w:space="0" w:color="auto"/>
                        <w:bottom w:val="none" w:sz="0" w:space="0" w:color="auto"/>
                        <w:right w:val="none" w:sz="0" w:space="0" w:color="auto"/>
                      </w:divBdr>
                    </w:div>
                  </w:divsChild>
                </w:div>
                <w:div w:id="798380642">
                  <w:marLeft w:val="0"/>
                  <w:marRight w:val="0"/>
                  <w:marTop w:val="0"/>
                  <w:marBottom w:val="0"/>
                  <w:divBdr>
                    <w:top w:val="none" w:sz="0" w:space="0" w:color="auto"/>
                    <w:left w:val="none" w:sz="0" w:space="0" w:color="auto"/>
                    <w:bottom w:val="none" w:sz="0" w:space="0" w:color="auto"/>
                    <w:right w:val="none" w:sz="0" w:space="0" w:color="auto"/>
                  </w:divBdr>
                  <w:divsChild>
                    <w:div w:id="374891241">
                      <w:marLeft w:val="0"/>
                      <w:marRight w:val="0"/>
                      <w:marTop w:val="0"/>
                      <w:marBottom w:val="0"/>
                      <w:divBdr>
                        <w:top w:val="none" w:sz="0" w:space="0" w:color="auto"/>
                        <w:left w:val="none" w:sz="0" w:space="0" w:color="auto"/>
                        <w:bottom w:val="none" w:sz="0" w:space="0" w:color="auto"/>
                        <w:right w:val="none" w:sz="0" w:space="0" w:color="auto"/>
                      </w:divBdr>
                    </w:div>
                  </w:divsChild>
                </w:div>
                <w:div w:id="1681006805">
                  <w:marLeft w:val="0"/>
                  <w:marRight w:val="0"/>
                  <w:marTop w:val="0"/>
                  <w:marBottom w:val="0"/>
                  <w:divBdr>
                    <w:top w:val="none" w:sz="0" w:space="0" w:color="auto"/>
                    <w:left w:val="none" w:sz="0" w:space="0" w:color="auto"/>
                    <w:bottom w:val="none" w:sz="0" w:space="0" w:color="auto"/>
                    <w:right w:val="none" w:sz="0" w:space="0" w:color="auto"/>
                  </w:divBdr>
                  <w:divsChild>
                    <w:div w:id="752824956">
                      <w:marLeft w:val="0"/>
                      <w:marRight w:val="0"/>
                      <w:marTop w:val="0"/>
                      <w:marBottom w:val="0"/>
                      <w:divBdr>
                        <w:top w:val="none" w:sz="0" w:space="0" w:color="auto"/>
                        <w:left w:val="none" w:sz="0" w:space="0" w:color="auto"/>
                        <w:bottom w:val="none" w:sz="0" w:space="0" w:color="auto"/>
                        <w:right w:val="none" w:sz="0" w:space="0" w:color="auto"/>
                      </w:divBdr>
                    </w:div>
                  </w:divsChild>
                </w:div>
                <w:div w:id="1236738725">
                  <w:marLeft w:val="0"/>
                  <w:marRight w:val="0"/>
                  <w:marTop w:val="0"/>
                  <w:marBottom w:val="0"/>
                  <w:divBdr>
                    <w:top w:val="none" w:sz="0" w:space="0" w:color="auto"/>
                    <w:left w:val="none" w:sz="0" w:space="0" w:color="auto"/>
                    <w:bottom w:val="none" w:sz="0" w:space="0" w:color="auto"/>
                    <w:right w:val="none" w:sz="0" w:space="0" w:color="auto"/>
                  </w:divBdr>
                  <w:divsChild>
                    <w:div w:id="221720958">
                      <w:marLeft w:val="0"/>
                      <w:marRight w:val="0"/>
                      <w:marTop w:val="0"/>
                      <w:marBottom w:val="0"/>
                      <w:divBdr>
                        <w:top w:val="none" w:sz="0" w:space="0" w:color="auto"/>
                        <w:left w:val="none" w:sz="0" w:space="0" w:color="auto"/>
                        <w:bottom w:val="none" w:sz="0" w:space="0" w:color="auto"/>
                        <w:right w:val="none" w:sz="0" w:space="0" w:color="auto"/>
                      </w:divBdr>
                    </w:div>
                  </w:divsChild>
                </w:div>
                <w:div w:id="1241595069">
                  <w:marLeft w:val="0"/>
                  <w:marRight w:val="0"/>
                  <w:marTop w:val="0"/>
                  <w:marBottom w:val="0"/>
                  <w:divBdr>
                    <w:top w:val="none" w:sz="0" w:space="0" w:color="auto"/>
                    <w:left w:val="none" w:sz="0" w:space="0" w:color="auto"/>
                    <w:bottom w:val="none" w:sz="0" w:space="0" w:color="auto"/>
                    <w:right w:val="none" w:sz="0" w:space="0" w:color="auto"/>
                  </w:divBdr>
                  <w:divsChild>
                    <w:div w:id="914364686">
                      <w:marLeft w:val="0"/>
                      <w:marRight w:val="0"/>
                      <w:marTop w:val="0"/>
                      <w:marBottom w:val="0"/>
                      <w:divBdr>
                        <w:top w:val="none" w:sz="0" w:space="0" w:color="auto"/>
                        <w:left w:val="none" w:sz="0" w:space="0" w:color="auto"/>
                        <w:bottom w:val="none" w:sz="0" w:space="0" w:color="auto"/>
                        <w:right w:val="none" w:sz="0" w:space="0" w:color="auto"/>
                      </w:divBdr>
                    </w:div>
                  </w:divsChild>
                </w:div>
                <w:div w:id="1085880691">
                  <w:marLeft w:val="0"/>
                  <w:marRight w:val="0"/>
                  <w:marTop w:val="0"/>
                  <w:marBottom w:val="0"/>
                  <w:divBdr>
                    <w:top w:val="none" w:sz="0" w:space="0" w:color="auto"/>
                    <w:left w:val="none" w:sz="0" w:space="0" w:color="auto"/>
                    <w:bottom w:val="none" w:sz="0" w:space="0" w:color="auto"/>
                    <w:right w:val="none" w:sz="0" w:space="0" w:color="auto"/>
                  </w:divBdr>
                  <w:divsChild>
                    <w:div w:id="1002009590">
                      <w:marLeft w:val="0"/>
                      <w:marRight w:val="0"/>
                      <w:marTop w:val="0"/>
                      <w:marBottom w:val="0"/>
                      <w:divBdr>
                        <w:top w:val="none" w:sz="0" w:space="0" w:color="auto"/>
                        <w:left w:val="none" w:sz="0" w:space="0" w:color="auto"/>
                        <w:bottom w:val="none" w:sz="0" w:space="0" w:color="auto"/>
                        <w:right w:val="none" w:sz="0" w:space="0" w:color="auto"/>
                      </w:divBdr>
                    </w:div>
                  </w:divsChild>
                </w:div>
                <w:div w:id="1615626065">
                  <w:marLeft w:val="0"/>
                  <w:marRight w:val="0"/>
                  <w:marTop w:val="0"/>
                  <w:marBottom w:val="0"/>
                  <w:divBdr>
                    <w:top w:val="none" w:sz="0" w:space="0" w:color="auto"/>
                    <w:left w:val="none" w:sz="0" w:space="0" w:color="auto"/>
                    <w:bottom w:val="none" w:sz="0" w:space="0" w:color="auto"/>
                    <w:right w:val="none" w:sz="0" w:space="0" w:color="auto"/>
                  </w:divBdr>
                  <w:divsChild>
                    <w:div w:id="10186475">
                      <w:marLeft w:val="0"/>
                      <w:marRight w:val="0"/>
                      <w:marTop w:val="0"/>
                      <w:marBottom w:val="0"/>
                      <w:divBdr>
                        <w:top w:val="none" w:sz="0" w:space="0" w:color="auto"/>
                        <w:left w:val="none" w:sz="0" w:space="0" w:color="auto"/>
                        <w:bottom w:val="none" w:sz="0" w:space="0" w:color="auto"/>
                        <w:right w:val="none" w:sz="0" w:space="0" w:color="auto"/>
                      </w:divBdr>
                    </w:div>
                  </w:divsChild>
                </w:div>
                <w:div w:id="313141561">
                  <w:marLeft w:val="0"/>
                  <w:marRight w:val="0"/>
                  <w:marTop w:val="0"/>
                  <w:marBottom w:val="0"/>
                  <w:divBdr>
                    <w:top w:val="none" w:sz="0" w:space="0" w:color="auto"/>
                    <w:left w:val="none" w:sz="0" w:space="0" w:color="auto"/>
                    <w:bottom w:val="none" w:sz="0" w:space="0" w:color="auto"/>
                    <w:right w:val="none" w:sz="0" w:space="0" w:color="auto"/>
                  </w:divBdr>
                  <w:divsChild>
                    <w:div w:id="16548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3745">
          <w:marLeft w:val="0"/>
          <w:marRight w:val="0"/>
          <w:marTop w:val="0"/>
          <w:marBottom w:val="0"/>
          <w:divBdr>
            <w:top w:val="none" w:sz="0" w:space="0" w:color="auto"/>
            <w:left w:val="none" w:sz="0" w:space="0" w:color="auto"/>
            <w:bottom w:val="none" w:sz="0" w:space="0" w:color="auto"/>
            <w:right w:val="none" w:sz="0" w:space="0" w:color="auto"/>
          </w:divBdr>
        </w:div>
      </w:divsChild>
    </w:div>
    <w:div w:id="1410543858">
      <w:bodyDiv w:val="1"/>
      <w:marLeft w:val="0"/>
      <w:marRight w:val="0"/>
      <w:marTop w:val="0"/>
      <w:marBottom w:val="0"/>
      <w:divBdr>
        <w:top w:val="none" w:sz="0" w:space="0" w:color="auto"/>
        <w:left w:val="none" w:sz="0" w:space="0" w:color="auto"/>
        <w:bottom w:val="none" w:sz="0" w:space="0" w:color="auto"/>
        <w:right w:val="none" w:sz="0" w:space="0" w:color="auto"/>
      </w:divBdr>
      <w:divsChild>
        <w:div w:id="1225144770">
          <w:marLeft w:val="274"/>
          <w:marRight w:val="0"/>
          <w:marTop w:val="0"/>
          <w:marBottom w:val="0"/>
          <w:divBdr>
            <w:top w:val="none" w:sz="0" w:space="0" w:color="auto"/>
            <w:left w:val="none" w:sz="0" w:space="0" w:color="auto"/>
            <w:bottom w:val="none" w:sz="0" w:space="0" w:color="auto"/>
            <w:right w:val="none" w:sz="0" w:space="0" w:color="auto"/>
          </w:divBdr>
        </w:div>
        <w:div w:id="1351681932">
          <w:marLeft w:val="274"/>
          <w:marRight w:val="0"/>
          <w:marTop w:val="0"/>
          <w:marBottom w:val="0"/>
          <w:divBdr>
            <w:top w:val="none" w:sz="0" w:space="0" w:color="auto"/>
            <w:left w:val="none" w:sz="0" w:space="0" w:color="auto"/>
            <w:bottom w:val="none" w:sz="0" w:space="0" w:color="auto"/>
            <w:right w:val="none" w:sz="0" w:space="0" w:color="auto"/>
          </w:divBdr>
        </w:div>
        <w:div w:id="248150894">
          <w:marLeft w:val="274"/>
          <w:marRight w:val="0"/>
          <w:marTop w:val="0"/>
          <w:marBottom w:val="0"/>
          <w:divBdr>
            <w:top w:val="none" w:sz="0" w:space="0" w:color="auto"/>
            <w:left w:val="none" w:sz="0" w:space="0" w:color="auto"/>
            <w:bottom w:val="none" w:sz="0" w:space="0" w:color="auto"/>
            <w:right w:val="none" w:sz="0" w:space="0" w:color="auto"/>
          </w:divBdr>
        </w:div>
        <w:div w:id="1430738949">
          <w:marLeft w:val="274"/>
          <w:marRight w:val="0"/>
          <w:marTop w:val="0"/>
          <w:marBottom w:val="0"/>
          <w:divBdr>
            <w:top w:val="none" w:sz="0" w:space="0" w:color="auto"/>
            <w:left w:val="none" w:sz="0" w:space="0" w:color="auto"/>
            <w:bottom w:val="none" w:sz="0" w:space="0" w:color="auto"/>
            <w:right w:val="none" w:sz="0" w:space="0" w:color="auto"/>
          </w:divBdr>
        </w:div>
      </w:divsChild>
    </w:div>
    <w:div w:id="1421098334">
      <w:bodyDiv w:val="1"/>
      <w:marLeft w:val="0"/>
      <w:marRight w:val="0"/>
      <w:marTop w:val="0"/>
      <w:marBottom w:val="0"/>
      <w:divBdr>
        <w:top w:val="none" w:sz="0" w:space="0" w:color="auto"/>
        <w:left w:val="none" w:sz="0" w:space="0" w:color="auto"/>
        <w:bottom w:val="none" w:sz="0" w:space="0" w:color="auto"/>
        <w:right w:val="none" w:sz="0" w:space="0" w:color="auto"/>
      </w:divBdr>
    </w:div>
    <w:div w:id="1424178830">
      <w:bodyDiv w:val="1"/>
      <w:marLeft w:val="0"/>
      <w:marRight w:val="0"/>
      <w:marTop w:val="0"/>
      <w:marBottom w:val="0"/>
      <w:divBdr>
        <w:top w:val="none" w:sz="0" w:space="0" w:color="auto"/>
        <w:left w:val="none" w:sz="0" w:space="0" w:color="auto"/>
        <w:bottom w:val="none" w:sz="0" w:space="0" w:color="auto"/>
        <w:right w:val="none" w:sz="0" w:space="0" w:color="auto"/>
      </w:divBdr>
    </w:div>
    <w:div w:id="1435519905">
      <w:bodyDiv w:val="1"/>
      <w:marLeft w:val="0"/>
      <w:marRight w:val="0"/>
      <w:marTop w:val="0"/>
      <w:marBottom w:val="0"/>
      <w:divBdr>
        <w:top w:val="none" w:sz="0" w:space="0" w:color="auto"/>
        <w:left w:val="none" w:sz="0" w:space="0" w:color="auto"/>
        <w:bottom w:val="none" w:sz="0" w:space="0" w:color="auto"/>
        <w:right w:val="none" w:sz="0" w:space="0" w:color="auto"/>
      </w:divBdr>
    </w:div>
    <w:div w:id="1438600060">
      <w:bodyDiv w:val="1"/>
      <w:marLeft w:val="0"/>
      <w:marRight w:val="0"/>
      <w:marTop w:val="0"/>
      <w:marBottom w:val="0"/>
      <w:divBdr>
        <w:top w:val="none" w:sz="0" w:space="0" w:color="auto"/>
        <w:left w:val="none" w:sz="0" w:space="0" w:color="auto"/>
        <w:bottom w:val="none" w:sz="0" w:space="0" w:color="auto"/>
        <w:right w:val="none" w:sz="0" w:space="0" w:color="auto"/>
      </w:divBdr>
    </w:div>
    <w:div w:id="1469276520">
      <w:bodyDiv w:val="1"/>
      <w:marLeft w:val="0"/>
      <w:marRight w:val="0"/>
      <w:marTop w:val="0"/>
      <w:marBottom w:val="0"/>
      <w:divBdr>
        <w:top w:val="none" w:sz="0" w:space="0" w:color="auto"/>
        <w:left w:val="none" w:sz="0" w:space="0" w:color="auto"/>
        <w:bottom w:val="none" w:sz="0" w:space="0" w:color="auto"/>
        <w:right w:val="none" w:sz="0" w:space="0" w:color="auto"/>
      </w:divBdr>
      <w:divsChild>
        <w:div w:id="1251043107">
          <w:marLeft w:val="274"/>
          <w:marRight w:val="0"/>
          <w:marTop w:val="0"/>
          <w:marBottom w:val="0"/>
          <w:divBdr>
            <w:top w:val="none" w:sz="0" w:space="0" w:color="auto"/>
            <w:left w:val="none" w:sz="0" w:space="0" w:color="auto"/>
            <w:bottom w:val="none" w:sz="0" w:space="0" w:color="auto"/>
            <w:right w:val="none" w:sz="0" w:space="0" w:color="auto"/>
          </w:divBdr>
        </w:div>
        <w:div w:id="2091005941">
          <w:marLeft w:val="274"/>
          <w:marRight w:val="0"/>
          <w:marTop w:val="0"/>
          <w:marBottom w:val="0"/>
          <w:divBdr>
            <w:top w:val="none" w:sz="0" w:space="0" w:color="auto"/>
            <w:left w:val="none" w:sz="0" w:space="0" w:color="auto"/>
            <w:bottom w:val="none" w:sz="0" w:space="0" w:color="auto"/>
            <w:right w:val="none" w:sz="0" w:space="0" w:color="auto"/>
          </w:divBdr>
        </w:div>
        <w:div w:id="375473656">
          <w:marLeft w:val="274"/>
          <w:marRight w:val="0"/>
          <w:marTop w:val="0"/>
          <w:marBottom w:val="0"/>
          <w:divBdr>
            <w:top w:val="none" w:sz="0" w:space="0" w:color="auto"/>
            <w:left w:val="none" w:sz="0" w:space="0" w:color="auto"/>
            <w:bottom w:val="none" w:sz="0" w:space="0" w:color="auto"/>
            <w:right w:val="none" w:sz="0" w:space="0" w:color="auto"/>
          </w:divBdr>
        </w:div>
        <w:div w:id="383480271">
          <w:marLeft w:val="274"/>
          <w:marRight w:val="0"/>
          <w:marTop w:val="0"/>
          <w:marBottom w:val="0"/>
          <w:divBdr>
            <w:top w:val="none" w:sz="0" w:space="0" w:color="auto"/>
            <w:left w:val="none" w:sz="0" w:space="0" w:color="auto"/>
            <w:bottom w:val="none" w:sz="0" w:space="0" w:color="auto"/>
            <w:right w:val="none" w:sz="0" w:space="0" w:color="auto"/>
          </w:divBdr>
        </w:div>
        <w:div w:id="318391328">
          <w:marLeft w:val="274"/>
          <w:marRight w:val="0"/>
          <w:marTop w:val="0"/>
          <w:marBottom w:val="0"/>
          <w:divBdr>
            <w:top w:val="none" w:sz="0" w:space="0" w:color="auto"/>
            <w:left w:val="none" w:sz="0" w:space="0" w:color="auto"/>
            <w:bottom w:val="none" w:sz="0" w:space="0" w:color="auto"/>
            <w:right w:val="none" w:sz="0" w:space="0" w:color="auto"/>
          </w:divBdr>
        </w:div>
        <w:div w:id="1930651132">
          <w:marLeft w:val="274"/>
          <w:marRight w:val="0"/>
          <w:marTop w:val="0"/>
          <w:marBottom w:val="0"/>
          <w:divBdr>
            <w:top w:val="none" w:sz="0" w:space="0" w:color="auto"/>
            <w:left w:val="none" w:sz="0" w:space="0" w:color="auto"/>
            <w:bottom w:val="none" w:sz="0" w:space="0" w:color="auto"/>
            <w:right w:val="none" w:sz="0" w:space="0" w:color="auto"/>
          </w:divBdr>
        </w:div>
        <w:div w:id="1647079906">
          <w:marLeft w:val="274"/>
          <w:marRight w:val="0"/>
          <w:marTop w:val="0"/>
          <w:marBottom w:val="0"/>
          <w:divBdr>
            <w:top w:val="none" w:sz="0" w:space="0" w:color="auto"/>
            <w:left w:val="none" w:sz="0" w:space="0" w:color="auto"/>
            <w:bottom w:val="none" w:sz="0" w:space="0" w:color="auto"/>
            <w:right w:val="none" w:sz="0" w:space="0" w:color="auto"/>
          </w:divBdr>
        </w:div>
        <w:div w:id="1470392897">
          <w:marLeft w:val="274"/>
          <w:marRight w:val="0"/>
          <w:marTop w:val="0"/>
          <w:marBottom w:val="0"/>
          <w:divBdr>
            <w:top w:val="none" w:sz="0" w:space="0" w:color="auto"/>
            <w:left w:val="none" w:sz="0" w:space="0" w:color="auto"/>
            <w:bottom w:val="none" w:sz="0" w:space="0" w:color="auto"/>
            <w:right w:val="none" w:sz="0" w:space="0" w:color="auto"/>
          </w:divBdr>
        </w:div>
        <w:div w:id="1512331850">
          <w:marLeft w:val="274"/>
          <w:marRight w:val="0"/>
          <w:marTop w:val="0"/>
          <w:marBottom w:val="0"/>
          <w:divBdr>
            <w:top w:val="none" w:sz="0" w:space="0" w:color="auto"/>
            <w:left w:val="none" w:sz="0" w:space="0" w:color="auto"/>
            <w:bottom w:val="none" w:sz="0" w:space="0" w:color="auto"/>
            <w:right w:val="none" w:sz="0" w:space="0" w:color="auto"/>
          </w:divBdr>
        </w:div>
        <w:div w:id="507331633">
          <w:marLeft w:val="274"/>
          <w:marRight w:val="0"/>
          <w:marTop w:val="0"/>
          <w:marBottom w:val="0"/>
          <w:divBdr>
            <w:top w:val="none" w:sz="0" w:space="0" w:color="auto"/>
            <w:left w:val="none" w:sz="0" w:space="0" w:color="auto"/>
            <w:bottom w:val="none" w:sz="0" w:space="0" w:color="auto"/>
            <w:right w:val="none" w:sz="0" w:space="0" w:color="auto"/>
          </w:divBdr>
        </w:div>
        <w:div w:id="2012024285">
          <w:marLeft w:val="274"/>
          <w:marRight w:val="0"/>
          <w:marTop w:val="0"/>
          <w:marBottom w:val="0"/>
          <w:divBdr>
            <w:top w:val="none" w:sz="0" w:space="0" w:color="auto"/>
            <w:left w:val="none" w:sz="0" w:space="0" w:color="auto"/>
            <w:bottom w:val="none" w:sz="0" w:space="0" w:color="auto"/>
            <w:right w:val="none" w:sz="0" w:space="0" w:color="auto"/>
          </w:divBdr>
        </w:div>
        <w:div w:id="996567149">
          <w:marLeft w:val="274"/>
          <w:marRight w:val="0"/>
          <w:marTop w:val="0"/>
          <w:marBottom w:val="0"/>
          <w:divBdr>
            <w:top w:val="none" w:sz="0" w:space="0" w:color="auto"/>
            <w:left w:val="none" w:sz="0" w:space="0" w:color="auto"/>
            <w:bottom w:val="none" w:sz="0" w:space="0" w:color="auto"/>
            <w:right w:val="none" w:sz="0" w:space="0" w:color="auto"/>
          </w:divBdr>
        </w:div>
        <w:div w:id="1155297968">
          <w:marLeft w:val="274"/>
          <w:marRight w:val="0"/>
          <w:marTop w:val="0"/>
          <w:marBottom w:val="0"/>
          <w:divBdr>
            <w:top w:val="none" w:sz="0" w:space="0" w:color="auto"/>
            <w:left w:val="none" w:sz="0" w:space="0" w:color="auto"/>
            <w:bottom w:val="none" w:sz="0" w:space="0" w:color="auto"/>
            <w:right w:val="none" w:sz="0" w:space="0" w:color="auto"/>
          </w:divBdr>
        </w:div>
        <w:div w:id="974990071">
          <w:marLeft w:val="274"/>
          <w:marRight w:val="0"/>
          <w:marTop w:val="0"/>
          <w:marBottom w:val="0"/>
          <w:divBdr>
            <w:top w:val="none" w:sz="0" w:space="0" w:color="auto"/>
            <w:left w:val="none" w:sz="0" w:space="0" w:color="auto"/>
            <w:bottom w:val="none" w:sz="0" w:space="0" w:color="auto"/>
            <w:right w:val="none" w:sz="0" w:space="0" w:color="auto"/>
          </w:divBdr>
        </w:div>
        <w:div w:id="728068888">
          <w:marLeft w:val="274"/>
          <w:marRight w:val="0"/>
          <w:marTop w:val="0"/>
          <w:marBottom w:val="0"/>
          <w:divBdr>
            <w:top w:val="none" w:sz="0" w:space="0" w:color="auto"/>
            <w:left w:val="none" w:sz="0" w:space="0" w:color="auto"/>
            <w:bottom w:val="none" w:sz="0" w:space="0" w:color="auto"/>
            <w:right w:val="none" w:sz="0" w:space="0" w:color="auto"/>
          </w:divBdr>
        </w:div>
        <w:div w:id="1669794499">
          <w:marLeft w:val="274"/>
          <w:marRight w:val="0"/>
          <w:marTop w:val="0"/>
          <w:marBottom w:val="0"/>
          <w:divBdr>
            <w:top w:val="none" w:sz="0" w:space="0" w:color="auto"/>
            <w:left w:val="none" w:sz="0" w:space="0" w:color="auto"/>
            <w:bottom w:val="none" w:sz="0" w:space="0" w:color="auto"/>
            <w:right w:val="none" w:sz="0" w:space="0" w:color="auto"/>
          </w:divBdr>
        </w:div>
        <w:div w:id="347490888">
          <w:marLeft w:val="274"/>
          <w:marRight w:val="0"/>
          <w:marTop w:val="0"/>
          <w:marBottom w:val="0"/>
          <w:divBdr>
            <w:top w:val="none" w:sz="0" w:space="0" w:color="auto"/>
            <w:left w:val="none" w:sz="0" w:space="0" w:color="auto"/>
            <w:bottom w:val="none" w:sz="0" w:space="0" w:color="auto"/>
            <w:right w:val="none" w:sz="0" w:space="0" w:color="auto"/>
          </w:divBdr>
        </w:div>
        <w:div w:id="201215229">
          <w:marLeft w:val="274"/>
          <w:marRight w:val="0"/>
          <w:marTop w:val="0"/>
          <w:marBottom w:val="0"/>
          <w:divBdr>
            <w:top w:val="none" w:sz="0" w:space="0" w:color="auto"/>
            <w:left w:val="none" w:sz="0" w:space="0" w:color="auto"/>
            <w:bottom w:val="none" w:sz="0" w:space="0" w:color="auto"/>
            <w:right w:val="none" w:sz="0" w:space="0" w:color="auto"/>
          </w:divBdr>
        </w:div>
        <w:div w:id="462388797">
          <w:marLeft w:val="274"/>
          <w:marRight w:val="0"/>
          <w:marTop w:val="0"/>
          <w:marBottom w:val="0"/>
          <w:divBdr>
            <w:top w:val="none" w:sz="0" w:space="0" w:color="auto"/>
            <w:left w:val="none" w:sz="0" w:space="0" w:color="auto"/>
            <w:bottom w:val="none" w:sz="0" w:space="0" w:color="auto"/>
            <w:right w:val="none" w:sz="0" w:space="0" w:color="auto"/>
          </w:divBdr>
        </w:div>
        <w:div w:id="1562017511">
          <w:marLeft w:val="274"/>
          <w:marRight w:val="0"/>
          <w:marTop w:val="0"/>
          <w:marBottom w:val="0"/>
          <w:divBdr>
            <w:top w:val="none" w:sz="0" w:space="0" w:color="auto"/>
            <w:left w:val="none" w:sz="0" w:space="0" w:color="auto"/>
            <w:bottom w:val="none" w:sz="0" w:space="0" w:color="auto"/>
            <w:right w:val="none" w:sz="0" w:space="0" w:color="auto"/>
          </w:divBdr>
        </w:div>
        <w:div w:id="773525226">
          <w:marLeft w:val="274"/>
          <w:marRight w:val="0"/>
          <w:marTop w:val="0"/>
          <w:marBottom w:val="0"/>
          <w:divBdr>
            <w:top w:val="none" w:sz="0" w:space="0" w:color="auto"/>
            <w:left w:val="none" w:sz="0" w:space="0" w:color="auto"/>
            <w:bottom w:val="none" w:sz="0" w:space="0" w:color="auto"/>
            <w:right w:val="none" w:sz="0" w:space="0" w:color="auto"/>
          </w:divBdr>
        </w:div>
        <w:div w:id="159397569">
          <w:marLeft w:val="274"/>
          <w:marRight w:val="0"/>
          <w:marTop w:val="0"/>
          <w:marBottom w:val="0"/>
          <w:divBdr>
            <w:top w:val="none" w:sz="0" w:space="0" w:color="auto"/>
            <w:left w:val="none" w:sz="0" w:space="0" w:color="auto"/>
            <w:bottom w:val="none" w:sz="0" w:space="0" w:color="auto"/>
            <w:right w:val="none" w:sz="0" w:space="0" w:color="auto"/>
          </w:divBdr>
        </w:div>
        <w:div w:id="956563494">
          <w:marLeft w:val="274"/>
          <w:marRight w:val="0"/>
          <w:marTop w:val="0"/>
          <w:marBottom w:val="0"/>
          <w:divBdr>
            <w:top w:val="none" w:sz="0" w:space="0" w:color="auto"/>
            <w:left w:val="none" w:sz="0" w:space="0" w:color="auto"/>
            <w:bottom w:val="none" w:sz="0" w:space="0" w:color="auto"/>
            <w:right w:val="none" w:sz="0" w:space="0" w:color="auto"/>
          </w:divBdr>
        </w:div>
        <w:div w:id="83571259">
          <w:marLeft w:val="274"/>
          <w:marRight w:val="0"/>
          <w:marTop w:val="0"/>
          <w:marBottom w:val="0"/>
          <w:divBdr>
            <w:top w:val="none" w:sz="0" w:space="0" w:color="auto"/>
            <w:left w:val="none" w:sz="0" w:space="0" w:color="auto"/>
            <w:bottom w:val="none" w:sz="0" w:space="0" w:color="auto"/>
            <w:right w:val="none" w:sz="0" w:space="0" w:color="auto"/>
          </w:divBdr>
        </w:div>
        <w:div w:id="1242327315">
          <w:marLeft w:val="274"/>
          <w:marRight w:val="0"/>
          <w:marTop w:val="0"/>
          <w:marBottom w:val="0"/>
          <w:divBdr>
            <w:top w:val="none" w:sz="0" w:space="0" w:color="auto"/>
            <w:left w:val="none" w:sz="0" w:space="0" w:color="auto"/>
            <w:bottom w:val="none" w:sz="0" w:space="0" w:color="auto"/>
            <w:right w:val="none" w:sz="0" w:space="0" w:color="auto"/>
          </w:divBdr>
        </w:div>
        <w:div w:id="575166538">
          <w:marLeft w:val="274"/>
          <w:marRight w:val="0"/>
          <w:marTop w:val="0"/>
          <w:marBottom w:val="0"/>
          <w:divBdr>
            <w:top w:val="none" w:sz="0" w:space="0" w:color="auto"/>
            <w:left w:val="none" w:sz="0" w:space="0" w:color="auto"/>
            <w:bottom w:val="none" w:sz="0" w:space="0" w:color="auto"/>
            <w:right w:val="none" w:sz="0" w:space="0" w:color="auto"/>
          </w:divBdr>
        </w:div>
        <w:div w:id="1836914187">
          <w:marLeft w:val="274"/>
          <w:marRight w:val="0"/>
          <w:marTop w:val="0"/>
          <w:marBottom w:val="0"/>
          <w:divBdr>
            <w:top w:val="none" w:sz="0" w:space="0" w:color="auto"/>
            <w:left w:val="none" w:sz="0" w:space="0" w:color="auto"/>
            <w:bottom w:val="none" w:sz="0" w:space="0" w:color="auto"/>
            <w:right w:val="none" w:sz="0" w:space="0" w:color="auto"/>
          </w:divBdr>
        </w:div>
        <w:div w:id="303201548">
          <w:marLeft w:val="274"/>
          <w:marRight w:val="0"/>
          <w:marTop w:val="0"/>
          <w:marBottom w:val="0"/>
          <w:divBdr>
            <w:top w:val="none" w:sz="0" w:space="0" w:color="auto"/>
            <w:left w:val="none" w:sz="0" w:space="0" w:color="auto"/>
            <w:bottom w:val="none" w:sz="0" w:space="0" w:color="auto"/>
            <w:right w:val="none" w:sz="0" w:space="0" w:color="auto"/>
          </w:divBdr>
        </w:div>
        <w:div w:id="564950419">
          <w:marLeft w:val="274"/>
          <w:marRight w:val="0"/>
          <w:marTop w:val="0"/>
          <w:marBottom w:val="0"/>
          <w:divBdr>
            <w:top w:val="none" w:sz="0" w:space="0" w:color="auto"/>
            <w:left w:val="none" w:sz="0" w:space="0" w:color="auto"/>
            <w:bottom w:val="none" w:sz="0" w:space="0" w:color="auto"/>
            <w:right w:val="none" w:sz="0" w:space="0" w:color="auto"/>
          </w:divBdr>
        </w:div>
        <w:div w:id="1596478656">
          <w:marLeft w:val="274"/>
          <w:marRight w:val="0"/>
          <w:marTop w:val="0"/>
          <w:marBottom w:val="0"/>
          <w:divBdr>
            <w:top w:val="none" w:sz="0" w:space="0" w:color="auto"/>
            <w:left w:val="none" w:sz="0" w:space="0" w:color="auto"/>
            <w:bottom w:val="none" w:sz="0" w:space="0" w:color="auto"/>
            <w:right w:val="none" w:sz="0" w:space="0" w:color="auto"/>
          </w:divBdr>
        </w:div>
        <w:div w:id="953026205">
          <w:marLeft w:val="274"/>
          <w:marRight w:val="0"/>
          <w:marTop w:val="0"/>
          <w:marBottom w:val="0"/>
          <w:divBdr>
            <w:top w:val="none" w:sz="0" w:space="0" w:color="auto"/>
            <w:left w:val="none" w:sz="0" w:space="0" w:color="auto"/>
            <w:bottom w:val="none" w:sz="0" w:space="0" w:color="auto"/>
            <w:right w:val="none" w:sz="0" w:space="0" w:color="auto"/>
          </w:divBdr>
        </w:div>
        <w:div w:id="79302535">
          <w:marLeft w:val="274"/>
          <w:marRight w:val="0"/>
          <w:marTop w:val="0"/>
          <w:marBottom w:val="0"/>
          <w:divBdr>
            <w:top w:val="none" w:sz="0" w:space="0" w:color="auto"/>
            <w:left w:val="none" w:sz="0" w:space="0" w:color="auto"/>
            <w:bottom w:val="none" w:sz="0" w:space="0" w:color="auto"/>
            <w:right w:val="none" w:sz="0" w:space="0" w:color="auto"/>
          </w:divBdr>
        </w:div>
        <w:div w:id="737477473">
          <w:marLeft w:val="274"/>
          <w:marRight w:val="0"/>
          <w:marTop w:val="0"/>
          <w:marBottom w:val="0"/>
          <w:divBdr>
            <w:top w:val="none" w:sz="0" w:space="0" w:color="auto"/>
            <w:left w:val="none" w:sz="0" w:space="0" w:color="auto"/>
            <w:bottom w:val="none" w:sz="0" w:space="0" w:color="auto"/>
            <w:right w:val="none" w:sz="0" w:space="0" w:color="auto"/>
          </w:divBdr>
        </w:div>
        <w:div w:id="751582470">
          <w:marLeft w:val="274"/>
          <w:marRight w:val="0"/>
          <w:marTop w:val="0"/>
          <w:marBottom w:val="0"/>
          <w:divBdr>
            <w:top w:val="none" w:sz="0" w:space="0" w:color="auto"/>
            <w:left w:val="none" w:sz="0" w:space="0" w:color="auto"/>
            <w:bottom w:val="none" w:sz="0" w:space="0" w:color="auto"/>
            <w:right w:val="none" w:sz="0" w:space="0" w:color="auto"/>
          </w:divBdr>
        </w:div>
        <w:div w:id="1525485929">
          <w:marLeft w:val="274"/>
          <w:marRight w:val="0"/>
          <w:marTop w:val="0"/>
          <w:marBottom w:val="0"/>
          <w:divBdr>
            <w:top w:val="none" w:sz="0" w:space="0" w:color="auto"/>
            <w:left w:val="none" w:sz="0" w:space="0" w:color="auto"/>
            <w:bottom w:val="none" w:sz="0" w:space="0" w:color="auto"/>
            <w:right w:val="none" w:sz="0" w:space="0" w:color="auto"/>
          </w:divBdr>
        </w:div>
        <w:div w:id="254243080">
          <w:marLeft w:val="274"/>
          <w:marRight w:val="0"/>
          <w:marTop w:val="0"/>
          <w:marBottom w:val="0"/>
          <w:divBdr>
            <w:top w:val="none" w:sz="0" w:space="0" w:color="auto"/>
            <w:left w:val="none" w:sz="0" w:space="0" w:color="auto"/>
            <w:bottom w:val="none" w:sz="0" w:space="0" w:color="auto"/>
            <w:right w:val="none" w:sz="0" w:space="0" w:color="auto"/>
          </w:divBdr>
        </w:div>
        <w:div w:id="284577">
          <w:marLeft w:val="274"/>
          <w:marRight w:val="0"/>
          <w:marTop w:val="0"/>
          <w:marBottom w:val="0"/>
          <w:divBdr>
            <w:top w:val="none" w:sz="0" w:space="0" w:color="auto"/>
            <w:left w:val="none" w:sz="0" w:space="0" w:color="auto"/>
            <w:bottom w:val="none" w:sz="0" w:space="0" w:color="auto"/>
            <w:right w:val="none" w:sz="0" w:space="0" w:color="auto"/>
          </w:divBdr>
        </w:div>
        <w:div w:id="727529491">
          <w:marLeft w:val="274"/>
          <w:marRight w:val="0"/>
          <w:marTop w:val="0"/>
          <w:marBottom w:val="0"/>
          <w:divBdr>
            <w:top w:val="none" w:sz="0" w:space="0" w:color="auto"/>
            <w:left w:val="none" w:sz="0" w:space="0" w:color="auto"/>
            <w:bottom w:val="none" w:sz="0" w:space="0" w:color="auto"/>
            <w:right w:val="none" w:sz="0" w:space="0" w:color="auto"/>
          </w:divBdr>
        </w:div>
        <w:div w:id="1501382957">
          <w:marLeft w:val="274"/>
          <w:marRight w:val="0"/>
          <w:marTop w:val="0"/>
          <w:marBottom w:val="0"/>
          <w:divBdr>
            <w:top w:val="none" w:sz="0" w:space="0" w:color="auto"/>
            <w:left w:val="none" w:sz="0" w:space="0" w:color="auto"/>
            <w:bottom w:val="none" w:sz="0" w:space="0" w:color="auto"/>
            <w:right w:val="none" w:sz="0" w:space="0" w:color="auto"/>
          </w:divBdr>
        </w:div>
        <w:div w:id="1770270491">
          <w:marLeft w:val="274"/>
          <w:marRight w:val="0"/>
          <w:marTop w:val="0"/>
          <w:marBottom w:val="0"/>
          <w:divBdr>
            <w:top w:val="none" w:sz="0" w:space="0" w:color="auto"/>
            <w:left w:val="none" w:sz="0" w:space="0" w:color="auto"/>
            <w:bottom w:val="none" w:sz="0" w:space="0" w:color="auto"/>
            <w:right w:val="none" w:sz="0" w:space="0" w:color="auto"/>
          </w:divBdr>
        </w:div>
        <w:div w:id="978727670">
          <w:marLeft w:val="274"/>
          <w:marRight w:val="0"/>
          <w:marTop w:val="0"/>
          <w:marBottom w:val="0"/>
          <w:divBdr>
            <w:top w:val="none" w:sz="0" w:space="0" w:color="auto"/>
            <w:left w:val="none" w:sz="0" w:space="0" w:color="auto"/>
            <w:bottom w:val="none" w:sz="0" w:space="0" w:color="auto"/>
            <w:right w:val="none" w:sz="0" w:space="0" w:color="auto"/>
          </w:divBdr>
        </w:div>
        <w:div w:id="1861696713">
          <w:marLeft w:val="274"/>
          <w:marRight w:val="0"/>
          <w:marTop w:val="0"/>
          <w:marBottom w:val="0"/>
          <w:divBdr>
            <w:top w:val="none" w:sz="0" w:space="0" w:color="auto"/>
            <w:left w:val="none" w:sz="0" w:space="0" w:color="auto"/>
            <w:bottom w:val="none" w:sz="0" w:space="0" w:color="auto"/>
            <w:right w:val="none" w:sz="0" w:space="0" w:color="auto"/>
          </w:divBdr>
        </w:div>
        <w:div w:id="1211191402">
          <w:marLeft w:val="274"/>
          <w:marRight w:val="0"/>
          <w:marTop w:val="0"/>
          <w:marBottom w:val="0"/>
          <w:divBdr>
            <w:top w:val="none" w:sz="0" w:space="0" w:color="auto"/>
            <w:left w:val="none" w:sz="0" w:space="0" w:color="auto"/>
            <w:bottom w:val="none" w:sz="0" w:space="0" w:color="auto"/>
            <w:right w:val="none" w:sz="0" w:space="0" w:color="auto"/>
          </w:divBdr>
        </w:div>
      </w:divsChild>
    </w:div>
    <w:div w:id="1493645478">
      <w:bodyDiv w:val="1"/>
      <w:marLeft w:val="0"/>
      <w:marRight w:val="0"/>
      <w:marTop w:val="0"/>
      <w:marBottom w:val="0"/>
      <w:divBdr>
        <w:top w:val="none" w:sz="0" w:space="0" w:color="auto"/>
        <w:left w:val="none" w:sz="0" w:space="0" w:color="auto"/>
        <w:bottom w:val="none" w:sz="0" w:space="0" w:color="auto"/>
        <w:right w:val="none" w:sz="0" w:space="0" w:color="auto"/>
      </w:divBdr>
    </w:div>
    <w:div w:id="1506478152">
      <w:bodyDiv w:val="1"/>
      <w:marLeft w:val="0"/>
      <w:marRight w:val="0"/>
      <w:marTop w:val="0"/>
      <w:marBottom w:val="0"/>
      <w:divBdr>
        <w:top w:val="none" w:sz="0" w:space="0" w:color="auto"/>
        <w:left w:val="none" w:sz="0" w:space="0" w:color="auto"/>
        <w:bottom w:val="none" w:sz="0" w:space="0" w:color="auto"/>
        <w:right w:val="none" w:sz="0" w:space="0" w:color="auto"/>
      </w:divBdr>
    </w:div>
    <w:div w:id="1508211814">
      <w:bodyDiv w:val="1"/>
      <w:marLeft w:val="0"/>
      <w:marRight w:val="0"/>
      <w:marTop w:val="0"/>
      <w:marBottom w:val="0"/>
      <w:divBdr>
        <w:top w:val="none" w:sz="0" w:space="0" w:color="auto"/>
        <w:left w:val="none" w:sz="0" w:space="0" w:color="auto"/>
        <w:bottom w:val="none" w:sz="0" w:space="0" w:color="auto"/>
        <w:right w:val="none" w:sz="0" w:space="0" w:color="auto"/>
      </w:divBdr>
      <w:divsChild>
        <w:div w:id="410279721">
          <w:marLeft w:val="0"/>
          <w:marRight w:val="0"/>
          <w:marTop w:val="0"/>
          <w:marBottom w:val="0"/>
          <w:divBdr>
            <w:top w:val="none" w:sz="0" w:space="0" w:color="auto"/>
            <w:left w:val="none" w:sz="0" w:space="0" w:color="auto"/>
            <w:bottom w:val="none" w:sz="0" w:space="0" w:color="auto"/>
            <w:right w:val="none" w:sz="0" w:space="0" w:color="auto"/>
          </w:divBdr>
        </w:div>
        <w:div w:id="1697461042">
          <w:marLeft w:val="0"/>
          <w:marRight w:val="0"/>
          <w:marTop w:val="0"/>
          <w:marBottom w:val="0"/>
          <w:divBdr>
            <w:top w:val="none" w:sz="0" w:space="0" w:color="auto"/>
            <w:left w:val="none" w:sz="0" w:space="0" w:color="auto"/>
            <w:bottom w:val="none" w:sz="0" w:space="0" w:color="auto"/>
            <w:right w:val="none" w:sz="0" w:space="0" w:color="auto"/>
          </w:divBdr>
          <w:divsChild>
            <w:div w:id="1012297385">
              <w:marLeft w:val="-75"/>
              <w:marRight w:val="0"/>
              <w:marTop w:val="30"/>
              <w:marBottom w:val="30"/>
              <w:divBdr>
                <w:top w:val="none" w:sz="0" w:space="0" w:color="auto"/>
                <w:left w:val="none" w:sz="0" w:space="0" w:color="auto"/>
                <w:bottom w:val="none" w:sz="0" w:space="0" w:color="auto"/>
                <w:right w:val="none" w:sz="0" w:space="0" w:color="auto"/>
              </w:divBdr>
              <w:divsChild>
                <w:div w:id="1265117863">
                  <w:marLeft w:val="0"/>
                  <w:marRight w:val="0"/>
                  <w:marTop w:val="0"/>
                  <w:marBottom w:val="0"/>
                  <w:divBdr>
                    <w:top w:val="none" w:sz="0" w:space="0" w:color="auto"/>
                    <w:left w:val="none" w:sz="0" w:space="0" w:color="auto"/>
                    <w:bottom w:val="none" w:sz="0" w:space="0" w:color="auto"/>
                    <w:right w:val="none" w:sz="0" w:space="0" w:color="auto"/>
                  </w:divBdr>
                  <w:divsChild>
                    <w:div w:id="1308970608">
                      <w:marLeft w:val="0"/>
                      <w:marRight w:val="0"/>
                      <w:marTop w:val="0"/>
                      <w:marBottom w:val="0"/>
                      <w:divBdr>
                        <w:top w:val="none" w:sz="0" w:space="0" w:color="auto"/>
                        <w:left w:val="none" w:sz="0" w:space="0" w:color="auto"/>
                        <w:bottom w:val="none" w:sz="0" w:space="0" w:color="auto"/>
                        <w:right w:val="none" w:sz="0" w:space="0" w:color="auto"/>
                      </w:divBdr>
                    </w:div>
                  </w:divsChild>
                </w:div>
                <w:div w:id="1349789764">
                  <w:marLeft w:val="0"/>
                  <w:marRight w:val="0"/>
                  <w:marTop w:val="0"/>
                  <w:marBottom w:val="0"/>
                  <w:divBdr>
                    <w:top w:val="none" w:sz="0" w:space="0" w:color="auto"/>
                    <w:left w:val="none" w:sz="0" w:space="0" w:color="auto"/>
                    <w:bottom w:val="none" w:sz="0" w:space="0" w:color="auto"/>
                    <w:right w:val="none" w:sz="0" w:space="0" w:color="auto"/>
                  </w:divBdr>
                  <w:divsChild>
                    <w:div w:id="1296327886">
                      <w:marLeft w:val="0"/>
                      <w:marRight w:val="0"/>
                      <w:marTop w:val="0"/>
                      <w:marBottom w:val="0"/>
                      <w:divBdr>
                        <w:top w:val="none" w:sz="0" w:space="0" w:color="auto"/>
                        <w:left w:val="none" w:sz="0" w:space="0" w:color="auto"/>
                        <w:bottom w:val="none" w:sz="0" w:space="0" w:color="auto"/>
                        <w:right w:val="none" w:sz="0" w:space="0" w:color="auto"/>
                      </w:divBdr>
                    </w:div>
                  </w:divsChild>
                </w:div>
                <w:div w:id="1169979646">
                  <w:marLeft w:val="0"/>
                  <w:marRight w:val="0"/>
                  <w:marTop w:val="0"/>
                  <w:marBottom w:val="0"/>
                  <w:divBdr>
                    <w:top w:val="none" w:sz="0" w:space="0" w:color="auto"/>
                    <w:left w:val="none" w:sz="0" w:space="0" w:color="auto"/>
                    <w:bottom w:val="none" w:sz="0" w:space="0" w:color="auto"/>
                    <w:right w:val="none" w:sz="0" w:space="0" w:color="auto"/>
                  </w:divBdr>
                  <w:divsChild>
                    <w:div w:id="1431393768">
                      <w:marLeft w:val="0"/>
                      <w:marRight w:val="0"/>
                      <w:marTop w:val="0"/>
                      <w:marBottom w:val="0"/>
                      <w:divBdr>
                        <w:top w:val="none" w:sz="0" w:space="0" w:color="auto"/>
                        <w:left w:val="none" w:sz="0" w:space="0" w:color="auto"/>
                        <w:bottom w:val="none" w:sz="0" w:space="0" w:color="auto"/>
                        <w:right w:val="none" w:sz="0" w:space="0" w:color="auto"/>
                      </w:divBdr>
                    </w:div>
                  </w:divsChild>
                </w:div>
                <w:div w:id="610205717">
                  <w:marLeft w:val="0"/>
                  <w:marRight w:val="0"/>
                  <w:marTop w:val="0"/>
                  <w:marBottom w:val="0"/>
                  <w:divBdr>
                    <w:top w:val="none" w:sz="0" w:space="0" w:color="auto"/>
                    <w:left w:val="none" w:sz="0" w:space="0" w:color="auto"/>
                    <w:bottom w:val="none" w:sz="0" w:space="0" w:color="auto"/>
                    <w:right w:val="none" w:sz="0" w:space="0" w:color="auto"/>
                  </w:divBdr>
                  <w:divsChild>
                    <w:div w:id="1269509568">
                      <w:marLeft w:val="0"/>
                      <w:marRight w:val="0"/>
                      <w:marTop w:val="0"/>
                      <w:marBottom w:val="0"/>
                      <w:divBdr>
                        <w:top w:val="none" w:sz="0" w:space="0" w:color="auto"/>
                        <w:left w:val="none" w:sz="0" w:space="0" w:color="auto"/>
                        <w:bottom w:val="none" w:sz="0" w:space="0" w:color="auto"/>
                        <w:right w:val="none" w:sz="0" w:space="0" w:color="auto"/>
                      </w:divBdr>
                    </w:div>
                  </w:divsChild>
                </w:div>
                <w:div w:id="1879732722">
                  <w:marLeft w:val="0"/>
                  <w:marRight w:val="0"/>
                  <w:marTop w:val="0"/>
                  <w:marBottom w:val="0"/>
                  <w:divBdr>
                    <w:top w:val="none" w:sz="0" w:space="0" w:color="auto"/>
                    <w:left w:val="none" w:sz="0" w:space="0" w:color="auto"/>
                    <w:bottom w:val="none" w:sz="0" w:space="0" w:color="auto"/>
                    <w:right w:val="none" w:sz="0" w:space="0" w:color="auto"/>
                  </w:divBdr>
                  <w:divsChild>
                    <w:div w:id="522020190">
                      <w:marLeft w:val="0"/>
                      <w:marRight w:val="0"/>
                      <w:marTop w:val="0"/>
                      <w:marBottom w:val="0"/>
                      <w:divBdr>
                        <w:top w:val="none" w:sz="0" w:space="0" w:color="auto"/>
                        <w:left w:val="none" w:sz="0" w:space="0" w:color="auto"/>
                        <w:bottom w:val="none" w:sz="0" w:space="0" w:color="auto"/>
                        <w:right w:val="none" w:sz="0" w:space="0" w:color="auto"/>
                      </w:divBdr>
                    </w:div>
                  </w:divsChild>
                </w:div>
                <w:div w:id="667556204">
                  <w:marLeft w:val="0"/>
                  <w:marRight w:val="0"/>
                  <w:marTop w:val="0"/>
                  <w:marBottom w:val="0"/>
                  <w:divBdr>
                    <w:top w:val="none" w:sz="0" w:space="0" w:color="auto"/>
                    <w:left w:val="none" w:sz="0" w:space="0" w:color="auto"/>
                    <w:bottom w:val="none" w:sz="0" w:space="0" w:color="auto"/>
                    <w:right w:val="none" w:sz="0" w:space="0" w:color="auto"/>
                  </w:divBdr>
                  <w:divsChild>
                    <w:div w:id="1824196396">
                      <w:marLeft w:val="0"/>
                      <w:marRight w:val="0"/>
                      <w:marTop w:val="0"/>
                      <w:marBottom w:val="0"/>
                      <w:divBdr>
                        <w:top w:val="none" w:sz="0" w:space="0" w:color="auto"/>
                        <w:left w:val="none" w:sz="0" w:space="0" w:color="auto"/>
                        <w:bottom w:val="none" w:sz="0" w:space="0" w:color="auto"/>
                        <w:right w:val="none" w:sz="0" w:space="0" w:color="auto"/>
                      </w:divBdr>
                    </w:div>
                  </w:divsChild>
                </w:div>
                <w:div w:id="2040279577">
                  <w:marLeft w:val="0"/>
                  <w:marRight w:val="0"/>
                  <w:marTop w:val="0"/>
                  <w:marBottom w:val="0"/>
                  <w:divBdr>
                    <w:top w:val="none" w:sz="0" w:space="0" w:color="auto"/>
                    <w:left w:val="none" w:sz="0" w:space="0" w:color="auto"/>
                    <w:bottom w:val="none" w:sz="0" w:space="0" w:color="auto"/>
                    <w:right w:val="none" w:sz="0" w:space="0" w:color="auto"/>
                  </w:divBdr>
                  <w:divsChild>
                    <w:div w:id="1294097648">
                      <w:marLeft w:val="0"/>
                      <w:marRight w:val="0"/>
                      <w:marTop w:val="0"/>
                      <w:marBottom w:val="0"/>
                      <w:divBdr>
                        <w:top w:val="none" w:sz="0" w:space="0" w:color="auto"/>
                        <w:left w:val="none" w:sz="0" w:space="0" w:color="auto"/>
                        <w:bottom w:val="none" w:sz="0" w:space="0" w:color="auto"/>
                        <w:right w:val="none" w:sz="0" w:space="0" w:color="auto"/>
                      </w:divBdr>
                    </w:div>
                  </w:divsChild>
                </w:div>
                <w:div w:id="1062098966">
                  <w:marLeft w:val="0"/>
                  <w:marRight w:val="0"/>
                  <w:marTop w:val="0"/>
                  <w:marBottom w:val="0"/>
                  <w:divBdr>
                    <w:top w:val="none" w:sz="0" w:space="0" w:color="auto"/>
                    <w:left w:val="none" w:sz="0" w:space="0" w:color="auto"/>
                    <w:bottom w:val="none" w:sz="0" w:space="0" w:color="auto"/>
                    <w:right w:val="none" w:sz="0" w:space="0" w:color="auto"/>
                  </w:divBdr>
                  <w:divsChild>
                    <w:div w:id="1879585554">
                      <w:marLeft w:val="0"/>
                      <w:marRight w:val="0"/>
                      <w:marTop w:val="0"/>
                      <w:marBottom w:val="0"/>
                      <w:divBdr>
                        <w:top w:val="none" w:sz="0" w:space="0" w:color="auto"/>
                        <w:left w:val="none" w:sz="0" w:space="0" w:color="auto"/>
                        <w:bottom w:val="none" w:sz="0" w:space="0" w:color="auto"/>
                        <w:right w:val="none" w:sz="0" w:space="0" w:color="auto"/>
                      </w:divBdr>
                    </w:div>
                  </w:divsChild>
                </w:div>
                <w:div w:id="79065042">
                  <w:marLeft w:val="0"/>
                  <w:marRight w:val="0"/>
                  <w:marTop w:val="0"/>
                  <w:marBottom w:val="0"/>
                  <w:divBdr>
                    <w:top w:val="none" w:sz="0" w:space="0" w:color="auto"/>
                    <w:left w:val="none" w:sz="0" w:space="0" w:color="auto"/>
                    <w:bottom w:val="none" w:sz="0" w:space="0" w:color="auto"/>
                    <w:right w:val="none" w:sz="0" w:space="0" w:color="auto"/>
                  </w:divBdr>
                  <w:divsChild>
                    <w:div w:id="2035493040">
                      <w:marLeft w:val="0"/>
                      <w:marRight w:val="0"/>
                      <w:marTop w:val="0"/>
                      <w:marBottom w:val="0"/>
                      <w:divBdr>
                        <w:top w:val="none" w:sz="0" w:space="0" w:color="auto"/>
                        <w:left w:val="none" w:sz="0" w:space="0" w:color="auto"/>
                        <w:bottom w:val="none" w:sz="0" w:space="0" w:color="auto"/>
                        <w:right w:val="none" w:sz="0" w:space="0" w:color="auto"/>
                      </w:divBdr>
                    </w:div>
                  </w:divsChild>
                </w:div>
                <w:div w:id="1648432856">
                  <w:marLeft w:val="0"/>
                  <w:marRight w:val="0"/>
                  <w:marTop w:val="0"/>
                  <w:marBottom w:val="0"/>
                  <w:divBdr>
                    <w:top w:val="none" w:sz="0" w:space="0" w:color="auto"/>
                    <w:left w:val="none" w:sz="0" w:space="0" w:color="auto"/>
                    <w:bottom w:val="none" w:sz="0" w:space="0" w:color="auto"/>
                    <w:right w:val="none" w:sz="0" w:space="0" w:color="auto"/>
                  </w:divBdr>
                  <w:divsChild>
                    <w:div w:id="51975846">
                      <w:marLeft w:val="0"/>
                      <w:marRight w:val="0"/>
                      <w:marTop w:val="0"/>
                      <w:marBottom w:val="0"/>
                      <w:divBdr>
                        <w:top w:val="none" w:sz="0" w:space="0" w:color="auto"/>
                        <w:left w:val="none" w:sz="0" w:space="0" w:color="auto"/>
                        <w:bottom w:val="none" w:sz="0" w:space="0" w:color="auto"/>
                        <w:right w:val="none" w:sz="0" w:space="0" w:color="auto"/>
                      </w:divBdr>
                    </w:div>
                  </w:divsChild>
                </w:div>
                <w:div w:id="1741323381">
                  <w:marLeft w:val="0"/>
                  <w:marRight w:val="0"/>
                  <w:marTop w:val="0"/>
                  <w:marBottom w:val="0"/>
                  <w:divBdr>
                    <w:top w:val="none" w:sz="0" w:space="0" w:color="auto"/>
                    <w:left w:val="none" w:sz="0" w:space="0" w:color="auto"/>
                    <w:bottom w:val="none" w:sz="0" w:space="0" w:color="auto"/>
                    <w:right w:val="none" w:sz="0" w:space="0" w:color="auto"/>
                  </w:divBdr>
                  <w:divsChild>
                    <w:div w:id="1996300306">
                      <w:marLeft w:val="0"/>
                      <w:marRight w:val="0"/>
                      <w:marTop w:val="0"/>
                      <w:marBottom w:val="0"/>
                      <w:divBdr>
                        <w:top w:val="none" w:sz="0" w:space="0" w:color="auto"/>
                        <w:left w:val="none" w:sz="0" w:space="0" w:color="auto"/>
                        <w:bottom w:val="none" w:sz="0" w:space="0" w:color="auto"/>
                        <w:right w:val="none" w:sz="0" w:space="0" w:color="auto"/>
                      </w:divBdr>
                    </w:div>
                  </w:divsChild>
                </w:div>
                <w:div w:id="640037425">
                  <w:marLeft w:val="0"/>
                  <w:marRight w:val="0"/>
                  <w:marTop w:val="0"/>
                  <w:marBottom w:val="0"/>
                  <w:divBdr>
                    <w:top w:val="none" w:sz="0" w:space="0" w:color="auto"/>
                    <w:left w:val="none" w:sz="0" w:space="0" w:color="auto"/>
                    <w:bottom w:val="none" w:sz="0" w:space="0" w:color="auto"/>
                    <w:right w:val="none" w:sz="0" w:space="0" w:color="auto"/>
                  </w:divBdr>
                  <w:divsChild>
                    <w:div w:id="1126197373">
                      <w:marLeft w:val="0"/>
                      <w:marRight w:val="0"/>
                      <w:marTop w:val="0"/>
                      <w:marBottom w:val="0"/>
                      <w:divBdr>
                        <w:top w:val="none" w:sz="0" w:space="0" w:color="auto"/>
                        <w:left w:val="none" w:sz="0" w:space="0" w:color="auto"/>
                        <w:bottom w:val="none" w:sz="0" w:space="0" w:color="auto"/>
                        <w:right w:val="none" w:sz="0" w:space="0" w:color="auto"/>
                      </w:divBdr>
                    </w:div>
                  </w:divsChild>
                </w:div>
                <w:div w:id="1780754278">
                  <w:marLeft w:val="0"/>
                  <w:marRight w:val="0"/>
                  <w:marTop w:val="0"/>
                  <w:marBottom w:val="0"/>
                  <w:divBdr>
                    <w:top w:val="none" w:sz="0" w:space="0" w:color="auto"/>
                    <w:left w:val="none" w:sz="0" w:space="0" w:color="auto"/>
                    <w:bottom w:val="none" w:sz="0" w:space="0" w:color="auto"/>
                    <w:right w:val="none" w:sz="0" w:space="0" w:color="auto"/>
                  </w:divBdr>
                  <w:divsChild>
                    <w:div w:id="277571741">
                      <w:marLeft w:val="0"/>
                      <w:marRight w:val="0"/>
                      <w:marTop w:val="0"/>
                      <w:marBottom w:val="0"/>
                      <w:divBdr>
                        <w:top w:val="none" w:sz="0" w:space="0" w:color="auto"/>
                        <w:left w:val="none" w:sz="0" w:space="0" w:color="auto"/>
                        <w:bottom w:val="none" w:sz="0" w:space="0" w:color="auto"/>
                        <w:right w:val="none" w:sz="0" w:space="0" w:color="auto"/>
                      </w:divBdr>
                    </w:div>
                  </w:divsChild>
                </w:div>
                <w:div w:id="1830095647">
                  <w:marLeft w:val="0"/>
                  <w:marRight w:val="0"/>
                  <w:marTop w:val="0"/>
                  <w:marBottom w:val="0"/>
                  <w:divBdr>
                    <w:top w:val="none" w:sz="0" w:space="0" w:color="auto"/>
                    <w:left w:val="none" w:sz="0" w:space="0" w:color="auto"/>
                    <w:bottom w:val="none" w:sz="0" w:space="0" w:color="auto"/>
                    <w:right w:val="none" w:sz="0" w:space="0" w:color="auto"/>
                  </w:divBdr>
                  <w:divsChild>
                    <w:div w:id="348072469">
                      <w:marLeft w:val="0"/>
                      <w:marRight w:val="0"/>
                      <w:marTop w:val="0"/>
                      <w:marBottom w:val="0"/>
                      <w:divBdr>
                        <w:top w:val="none" w:sz="0" w:space="0" w:color="auto"/>
                        <w:left w:val="none" w:sz="0" w:space="0" w:color="auto"/>
                        <w:bottom w:val="none" w:sz="0" w:space="0" w:color="auto"/>
                        <w:right w:val="none" w:sz="0" w:space="0" w:color="auto"/>
                      </w:divBdr>
                    </w:div>
                  </w:divsChild>
                </w:div>
                <w:div w:id="996957817">
                  <w:marLeft w:val="0"/>
                  <w:marRight w:val="0"/>
                  <w:marTop w:val="0"/>
                  <w:marBottom w:val="0"/>
                  <w:divBdr>
                    <w:top w:val="none" w:sz="0" w:space="0" w:color="auto"/>
                    <w:left w:val="none" w:sz="0" w:space="0" w:color="auto"/>
                    <w:bottom w:val="none" w:sz="0" w:space="0" w:color="auto"/>
                    <w:right w:val="none" w:sz="0" w:space="0" w:color="auto"/>
                  </w:divBdr>
                  <w:divsChild>
                    <w:div w:id="606277835">
                      <w:marLeft w:val="0"/>
                      <w:marRight w:val="0"/>
                      <w:marTop w:val="0"/>
                      <w:marBottom w:val="0"/>
                      <w:divBdr>
                        <w:top w:val="none" w:sz="0" w:space="0" w:color="auto"/>
                        <w:left w:val="none" w:sz="0" w:space="0" w:color="auto"/>
                        <w:bottom w:val="none" w:sz="0" w:space="0" w:color="auto"/>
                        <w:right w:val="none" w:sz="0" w:space="0" w:color="auto"/>
                      </w:divBdr>
                    </w:div>
                  </w:divsChild>
                </w:div>
                <w:div w:id="1646811921">
                  <w:marLeft w:val="0"/>
                  <w:marRight w:val="0"/>
                  <w:marTop w:val="0"/>
                  <w:marBottom w:val="0"/>
                  <w:divBdr>
                    <w:top w:val="none" w:sz="0" w:space="0" w:color="auto"/>
                    <w:left w:val="none" w:sz="0" w:space="0" w:color="auto"/>
                    <w:bottom w:val="none" w:sz="0" w:space="0" w:color="auto"/>
                    <w:right w:val="none" w:sz="0" w:space="0" w:color="auto"/>
                  </w:divBdr>
                  <w:divsChild>
                    <w:div w:id="1638487195">
                      <w:marLeft w:val="0"/>
                      <w:marRight w:val="0"/>
                      <w:marTop w:val="0"/>
                      <w:marBottom w:val="0"/>
                      <w:divBdr>
                        <w:top w:val="none" w:sz="0" w:space="0" w:color="auto"/>
                        <w:left w:val="none" w:sz="0" w:space="0" w:color="auto"/>
                        <w:bottom w:val="none" w:sz="0" w:space="0" w:color="auto"/>
                        <w:right w:val="none" w:sz="0" w:space="0" w:color="auto"/>
                      </w:divBdr>
                    </w:div>
                  </w:divsChild>
                </w:div>
                <w:div w:id="1794862397">
                  <w:marLeft w:val="0"/>
                  <w:marRight w:val="0"/>
                  <w:marTop w:val="0"/>
                  <w:marBottom w:val="0"/>
                  <w:divBdr>
                    <w:top w:val="none" w:sz="0" w:space="0" w:color="auto"/>
                    <w:left w:val="none" w:sz="0" w:space="0" w:color="auto"/>
                    <w:bottom w:val="none" w:sz="0" w:space="0" w:color="auto"/>
                    <w:right w:val="none" w:sz="0" w:space="0" w:color="auto"/>
                  </w:divBdr>
                  <w:divsChild>
                    <w:div w:id="1324746882">
                      <w:marLeft w:val="0"/>
                      <w:marRight w:val="0"/>
                      <w:marTop w:val="0"/>
                      <w:marBottom w:val="0"/>
                      <w:divBdr>
                        <w:top w:val="none" w:sz="0" w:space="0" w:color="auto"/>
                        <w:left w:val="none" w:sz="0" w:space="0" w:color="auto"/>
                        <w:bottom w:val="none" w:sz="0" w:space="0" w:color="auto"/>
                        <w:right w:val="none" w:sz="0" w:space="0" w:color="auto"/>
                      </w:divBdr>
                    </w:div>
                  </w:divsChild>
                </w:div>
                <w:div w:id="1457407728">
                  <w:marLeft w:val="0"/>
                  <w:marRight w:val="0"/>
                  <w:marTop w:val="0"/>
                  <w:marBottom w:val="0"/>
                  <w:divBdr>
                    <w:top w:val="none" w:sz="0" w:space="0" w:color="auto"/>
                    <w:left w:val="none" w:sz="0" w:space="0" w:color="auto"/>
                    <w:bottom w:val="none" w:sz="0" w:space="0" w:color="auto"/>
                    <w:right w:val="none" w:sz="0" w:space="0" w:color="auto"/>
                  </w:divBdr>
                  <w:divsChild>
                    <w:div w:id="1470245546">
                      <w:marLeft w:val="0"/>
                      <w:marRight w:val="0"/>
                      <w:marTop w:val="0"/>
                      <w:marBottom w:val="0"/>
                      <w:divBdr>
                        <w:top w:val="none" w:sz="0" w:space="0" w:color="auto"/>
                        <w:left w:val="none" w:sz="0" w:space="0" w:color="auto"/>
                        <w:bottom w:val="none" w:sz="0" w:space="0" w:color="auto"/>
                        <w:right w:val="none" w:sz="0" w:space="0" w:color="auto"/>
                      </w:divBdr>
                    </w:div>
                  </w:divsChild>
                </w:div>
                <w:div w:id="1002586203">
                  <w:marLeft w:val="0"/>
                  <w:marRight w:val="0"/>
                  <w:marTop w:val="0"/>
                  <w:marBottom w:val="0"/>
                  <w:divBdr>
                    <w:top w:val="none" w:sz="0" w:space="0" w:color="auto"/>
                    <w:left w:val="none" w:sz="0" w:space="0" w:color="auto"/>
                    <w:bottom w:val="none" w:sz="0" w:space="0" w:color="auto"/>
                    <w:right w:val="none" w:sz="0" w:space="0" w:color="auto"/>
                  </w:divBdr>
                  <w:divsChild>
                    <w:div w:id="2146657158">
                      <w:marLeft w:val="0"/>
                      <w:marRight w:val="0"/>
                      <w:marTop w:val="0"/>
                      <w:marBottom w:val="0"/>
                      <w:divBdr>
                        <w:top w:val="none" w:sz="0" w:space="0" w:color="auto"/>
                        <w:left w:val="none" w:sz="0" w:space="0" w:color="auto"/>
                        <w:bottom w:val="none" w:sz="0" w:space="0" w:color="auto"/>
                        <w:right w:val="none" w:sz="0" w:space="0" w:color="auto"/>
                      </w:divBdr>
                    </w:div>
                  </w:divsChild>
                </w:div>
                <w:div w:id="338699465">
                  <w:marLeft w:val="0"/>
                  <w:marRight w:val="0"/>
                  <w:marTop w:val="0"/>
                  <w:marBottom w:val="0"/>
                  <w:divBdr>
                    <w:top w:val="none" w:sz="0" w:space="0" w:color="auto"/>
                    <w:left w:val="none" w:sz="0" w:space="0" w:color="auto"/>
                    <w:bottom w:val="none" w:sz="0" w:space="0" w:color="auto"/>
                    <w:right w:val="none" w:sz="0" w:space="0" w:color="auto"/>
                  </w:divBdr>
                  <w:divsChild>
                    <w:div w:id="269515545">
                      <w:marLeft w:val="0"/>
                      <w:marRight w:val="0"/>
                      <w:marTop w:val="0"/>
                      <w:marBottom w:val="0"/>
                      <w:divBdr>
                        <w:top w:val="none" w:sz="0" w:space="0" w:color="auto"/>
                        <w:left w:val="none" w:sz="0" w:space="0" w:color="auto"/>
                        <w:bottom w:val="none" w:sz="0" w:space="0" w:color="auto"/>
                        <w:right w:val="none" w:sz="0" w:space="0" w:color="auto"/>
                      </w:divBdr>
                    </w:div>
                  </w:divsChild>
                </w:div>
                <w:div w:id="1002851320">
                  <w:marLeft w:val="0"/>
                  <w:marRight w:val="0"/>
                  <w:marTop w:val="0"/>
                  <w:marBottom w:val="0"/>
                  <w:divBdr>
                    <w:top w:val="none" w:sz="0" w:space="0" w:color="auto"/>
                    <w:left w:val="none" w:sz="0" w:space="0" w:color="auto"/>
                    <w:bottom w:val="none" w:sz="0" w:space="0" w:color="auto"/>
                    <w:right w:val="none" w:sz="0" w:space="0" w:color="auto"/>
                  </w:divBdr>
                  <w:divsChild>
                    <w:div w:id="1395473974">
                      <w:marLeft w:val="0"/>
                      <w:marRight w:val="0"/>
                      <w:marTop w:val="0"/>
                      <w:marBottom w:val="0"/>
                      <w:divBdr>
                        <w:top w:val="none" w:sz="0" w:space="0" w:color="auto"/>
                        <w:left w:val="none" w:sz="0" w:space="0" w:color="auto"/>
                        <w:bottom w:val="none" w:sz="0" w:space="0" w:color="auto"/>
                        <w:right w:val="none" w:sz="0" w:space="0" w:color="auto"/>
                      </w:divBdr>
                    </w:div>
                  </w:divsChild>
                </w:div>
                <w:div w:id="1773741118">
                  <w:marLeft w:val="0"/>
                  <w:marRight w:val="0"/>
                  <w:marTop w:val="0"/>
                  <w:marBottom w:val="0"/>
                  <w:divBdr>
                    <w:top w:val="none" w:sz="0" w:space="0" w:color="auto"/>
                    <w:left w:val="none" w:sz="0" w:space="0" w:color="auto"/>
                    <w:bottom w:val="none" w:sz="0" w:space="0" w:color="auto"/>
                    <w:right w:val="none" w:sz="0" w:space="0" w:color="auto"/>
                  </w:divBdr>
                  <w:divsChild>
                    <w:div w:id="283387309">
                      <w:marLeft w:val="0"/>
                      <w:marRight w:val="0"/>
                      <w:marTop w:val="0"/>
                      <w:marBottom w:val="0"/>
                      <w:divBdr>
                        <w:top w:val="none" w:sz="0" w:space="0" w:color="auto"/>
                        <w:left w:val="none" w:sz="0" w:space="0" w:color="auto"/>
                        <w:bottom w:val="none" w:sz="0" w:space="0" w:color="auto"/>
                        <w:right w:val="none" w:sz="0" w:space="0" w:color="auto"/>
                      </w:divBdr>
                    </w:div>
                  </w:divsChild>
                </w:div>
                <w:div w:id="253323695">
                  <w:marLeft w:val="0"/>
                  <w:marRight w:val="0"/>
                  <w:marTop w:val="0"/>
                  <w:marBottom w:val="0"/>
                  <w:divBdr>
                    <w:top w:val="none" w:sz="0" w:space="0" w:color="auto"/>
                    <w:left w:val="none" w:sz="0" w:space="0" w:color="auto"/>
                    <w:bottom w:val="none" w:sz="0" w:space="0" w:color="auto"/>
                    <w:right w:val="none" w:sz="0" w:space="0" w:color="auto"/>
                  </w:divBdr>
                  <w:divsChild>
                    <w:div w:id="1747336427">
                      <w:marLeft w:val="0"/>
                      <w:marRight w:val="0"/>
                      <w:marTop w:val="0"/>
                      <w:marBottom w:val="0"/>
                      <w:divBdr>
                        <w:top w:val="none" w:sz="0" w:space="0" w:color="auto"/>
                        <w:left w:val="none" w:sz="0" w:space="0" w:color="auto"/>
                        <w:bottom w:val="none" w:sz="0" w:space="0" w:color="auto"/>
                        <w:right w:val="none" w:sz="0" w:space="0" w:color="auto"/>
                      </w:divBdr>
                    </w:div>
                  </w:divsChild>
                </w:div>
                <w:div w:id="1226643290">
                  <w:marLeft w:val="0"/>
                  <w:marRight w:val="0"/>
                  <w:marTop w:val="0"/>
                  <w:marBottom w:val="0"/>
                  <w:divBdr>
                    <w:top w:val="none" w:sz="0" w:space="0" w:color="auto"/>
                    <w:left w:val="none" w:sz="0" w:space="0" w:color="auto"/>
                    <w:bottom w:val="none" w:sz="0" w:space="0" w:color="auto"/>
                    <w:right w:val="none" w:sz="0" w:space="0" w:color="auto"/>
                  </w:divBdr>
                  <w:divsChild>
                    <w:div w:id="75134723">
                      <w:marLeft w:val="0"/>
                      <w:marRight w:val="0"/>
                      <w:marTop w:val="0"/>
                      <w:marBottom w:val="0"/>
                      <w:divBdr>
                        <w:top w:val="none" w:sz="0" w:space="0" w:color="auto"/>
                        <w:left w:val="none" w:sz="0" w:space="0" w:color="auto"/>
                        <w:bottom w:val="none" w:sz="0" w:space="0" w:color="auto"/>
                        <w:right w:val="none" w:sz="0" w:space="0" w:color="auto"/>
                      </w:divBdr>
                    </w:div>
                  </w:divsChild>
                </w:div>
                <w:div w:id="1993488141">
                  <w:marLeft w:val="0"/>
                  <w:marRight w:val="0"/>
                  <w:marTop w:val="0"/>
                  <w:marBottom w:val="0"/>
                  <w:divBdr>
                    <w:top w:val="none" w:sz="0" w:space="0" w:color="auto"/>
                    <w:left w:val="none" w:sz="0" w:space="0" w:color="auto"/>
                    <w:bottom w:val="none" w:sz="0" w:space="0" w:color="auto"/>
                    <w:right w:val="none" w:sz="0" w:space="0" w:color="auto"/>
                  </w:divBdr>
                  <w:divsChild>
                    <w:div w:id="1722754167">
                      <w:marLeft w:val="0"/>
                      <w:marRight w:val="0"/>
                      <w:marTop w:val="0"/>
                      <w:marBottom w:val="0"/>
                      <w:divBdr>
                        <w:top w:val="none" w:sz="0" w:space="0" w:color="auto"/>
                        <w:left w:val="none" w:sz="0" w:space="0" w:color="auto"/>
                        <w:bottom w:val="none" w:sz="0" w:space="0" w:color="auto"/>
                        <w:right w:val="none" w:sz="0" w:space="0" w:color="auto"/>
                      </w:divBdr>
                    </w:div>
                  </w:divsChild>
                </w:div>
                <w:div w:id="213740620">
                  <w:marLeft w:val="0"/>
                  <w:marRight w:val="0"/>
                  <w:marTop w:val="0"/>
                  <w:marBottom w:val="0"/>
                  <w:divBdr>
                    <w:top w:val="none" w:sz="0" w:space="0" w:color="auto"/>
                    <w:left w:val="none" w:sz="0" w:space="0" w:color="auto"/>
                    <w:bottom w:val="none" w:sz="0" w:space="0" w:color="auto"/>
                    <w:right w:val="none" w:sz="0" w:space="0" w:color="auto"/>
                  </w:divBdr>
                  <w:divsChild>
                    <w:div w:id="231737889">
                      <w:marLeft w:val="0"/>
                      <w:marRight w:val="0"/>
                      <w:marTop w:val="0"/>
                      <w:marBottom w:val="0"/>
                      <w:divBdr>
                        <w:top w:val="none" w:sz="0" w:space="0" w:color="auto"/>
                        <w:left w:val="none" w:sz="0" w:space="0" w:color="auto"/>
                        <w:bottom w:val="none" w:sz="0" w:space="0" w:color="auto"/>
                        <w:right w:val="none" w:sz="0" w:space="0" w:color="auto"/>
                      </w:divBdr>
                    </w:div>
                  </w:divsChild>
                </w:div>
                <w:div w:id="906111492">
                  <w:marLeft w:val="0"/>
                  <w:marRight w:val="0"/>
                  <w:marTop w:val="0"/>
                  <w:marBottom w:val="0"/>
                  <w:divBdr>
                    <w:top w:val="none" w:sz="0" w:space="0" w:color="auto"/>
                    <w:left w:val="none" w:sz="0" w:space="0" w:color="auto"/>
                    <w:bottom w:val="none" w:sz="0" w:space="0" w:color="auto"/>
                    <w:right w:val="none" w:sz="0" w:space="0" w:color="auto"/>
                  </w:divBdr>
                  <w:divsChild>
                    <w:div w:id="1158960088">
                      <w:marLeft w:val="0"/>
                      <w:marRight w:val="0"/>
                      <w:marTop w:val="0"/>
                      <w:marBottom w:val="0"/>
                      <w:divBdr>
                        <w:top w:val="none" w:sz="0" w:space="0" w:color="auto"/>
                        <w:left w:val="none" w:sz="0" w:space="0" w:color="auto"/>
                        <w:bottom w:val="none" w:sz="0" w:space="0" w:color="auto"/>
                        <w:right w:val="none" w:sz="0" w:space="0" w:color="auto"/>
                      </w:divBdr>
                    </w:div>
                  </w:divsChild>
                </w:div>
                <w:div w:id="872183917">
                  <w:marLeft w:val="0"/>
                  <w:marRight w:val="0"/>
                  <w:marTop w:val="0"/>
                  <w:marBottom w:val="0"/>
                  <w:divBdr>
                    <w:top w:val="none" w:sz="0" w:space="0" w:color="auto"/>
                    <w:left w:val="none" w:sz="0" w:space="0" w:color="auto"/>
                    <w:bottom w:val="none" w:sz="0" w:space="0" w:color="auto"/>
                    <w:right w:val="none" w:sz="0" w:space="0" w:color="auto"/>
                  </w:divBdr>
                  <w:divsChild>
                    <w:div w:id="1606687997">
                      <w:marLeft w:val="0"/>
                      <w:marRight w:val="0"/>
                      <w:marTop w:val="0"/>
                      <w:marBottom w:val="0"/>
                      <w:divBdr>
                        <w:top w:val="none" w:sz="0" w:space="0" w:color="auto"/>
                        <w:left w:val="none" w:sz="0" w:space="0" w:color="auto"/>
                        <w:bottom w:val="none" w:sz="0" w:space="0" w:color="auto"/>
                        <w:right w:val="none" w:sz="0" w:space="0" w:color="auto"/>
                      </w:divBdr>
                    </w:div>
                  </w:divsChild>
                </w:div>
                <w:div w:id="1350451375">
                  <w:marLeft w:val="0"/>
                  <w:marRight w:val="0"/>
                  <w:marTop w:val="0"/>
                  <w:marBottom w:val="0"/>
                  <w:divBdr>
                    <w:top w:val="none" w:sz="0" w:space="0" w:color="auto"/>
                    <w:left w:val="none" w:sz="0" w:space="0" w:color="auto"/>
                    <w:bottom w:val="none" w:sz="0" w:space="0" w:color="auto"/>
                    <w:right w:val="none" w:sz="0" w:space="0" w:color="auto"/>
                  </w:divBdr>
                  <w:divsChild>
                    <w:div w:id="447814933">
                      <w:marLeft w:val="0"/>
                      <w:marRight w:val="0"/>
                      <w:marTop w:val="0"/>
                      <w:marBottom w:val="0"/>
                      <w:divBdr>
                        <w:top w:val="none" w:sz="0" w:space="0" w:color="auto"/>
                        <w:left w:val="none" w:sz="0" w:space="0" w:color="auto"/>
                        <w:bottom w:val="none" w:sz="0" w:space="0" w:color="auto"/>
                        <w:right w:val="none" w:sz="0" w:space="0" w:color="auto"/>
                      </w:divBdr>
                    </w:div>
                  </w:divsChild>
                </w:div>
                <w:div w:id="334184488">
                  <w:marLeft w:val="0"/>
                  <w:marRight w:val="0"/>
                  <w:marTop w:val="0"/>
                  <w:marBottom w:val="0"/>
                  <w:divBdr>
                    <w:top w:val="none" w:sz="0" w:space="0" w:color="auto"/>
                    <w:left w:val="none" w:sz="0" w:space="0" w:color="auto"/>
                    <w:bottom w:val="none" w:sz="0" w:space="0" w:color="auto"/>
                    <w:right w:val="none" w:sz="0" w:space="0" w:color="auto"/>
                  </w:divBdr>
                  <w:divsChild>
                    <w:div w:id="519011200">
                      <w:marLeft w:val="0"/>
                      <w:marRight w:val="0"/>
                      <w:marTop w:val="0"/>
                      <w:marBottom w:val="0"/>
                      <w:divBdr>
                        <w:top w:val="none" w:sz="0" w:space="0" w:color="auto"/>
                        <w:left w:val="none" w:sz="0" w:space="0" w:color="auto"/>
                        <w:bottom w:val="none" w:sz="0" w:space="0" w:color="auto"/>
                        <w:right w:val="none" w:sz="0" w:space="0" w:color="auto"/>
                      </w:divBdr>
                    </w:div>
                  </w:divsChild>
                </w:div>
                <w:div w:id="760420049">
                  <w:marLeft w:val="0"/>
                  <w:marRight w:val="0"/>
                  <w:marTop w:val="0"/>
                  <w:marBottom w:val="0"/>
                  <w:divBdr>
                    <w:top w:val="none" w:sz="0" w:space="0" w:color="auto"/>
                    <w:left w:val="none" w:sz="0" w:space="0" w:color="auto"/>
                    <w:bottom w:val="none" w:sz="0" w:space="0" w:color="auto"/>
                    <w:right w:val="none" w:sz="0" w:space="0" w:color="auto"/>
                  </w:divBdr>
                  <w:divsChild>
                    <w:div w:id="1253010684">
                      <w:marLeft w:val="0"/>
                      <w:marRight w:val="0"/>
                      <w:marTop w:val="0"/>
                      <w:marBottom w:val="0"/>
                      <w:divBdr>
                        <w:top w:val="none" w:sz="0" w:space="0" w:color="auto"/>
                        <w:left w:val="none" w:sz="0" w:space="0" w:color="auto"/>
                        <w:bottom w:val="none" w:sz="0" w:space="0" w:color="auto"/>
                        <w:right w:val="none" w:sz="0" w:space="0" w:color="auto"/>
                      </w:divBdr>
                    </w:div>
                  </w:divsChild>
                </w:div>
                <w:div w:id="510263831">
                  <w:marLeft w:val="0"/>
                  <w:marRight w:val="0"/>
                  <w:marTop w:val="0"/>
                  <w:marBottom w:val="0"/>
                  <w:divBdr>
                    <w:top w:val="none" w:sz="0" w:space="0" w:color="auto"/>
                    <w:left w:val="none" w:sz="0" w:space="0" w:color="auto"/>
                    <w:bottom w:val="none" w:sz="0" w:space="0" w:color="auto"/>
                    <w:right w:val="none" w:sz="0" w:space="0" w:color="auto"/>
                  </w:divBdr>
                  <w:divsChild>
                    <w:div w:id="1819953298">
                      <w:marLeft w:val="0"/>
                      <w:marRight w:val="0"/>
                      <w:marTop w:val="0"/>
                      <w:marBottom w:val="0"/>
                      <w:divBdr>
                        <w:top w:val="none" w:sz="0" w:space="0" w:color="auto"/>
                        <w:left w:val="none" w:sz="0" w:space="0" w:color="auto"/>
                        <w:bottom w:val="none" w:sz="0" w:space="0" w:color="auto"/>
                        <w:right w:val="none" w:sz="0" w:space="0" w:color="auto"/>
                      </w:divBdr>
                    </w:div>
                  </w:divsChild>
                </w:div>
                <w:div w:id="1157915428">
                  <w:marLeft w:val="0"/>
                  <w:marRight w:val="0"/>
                  <w:marTop w:val="0"/>
                  <w:marBottom w:val="0"/>
                  <w:divBdr>
                    <w:top w:val="none" w:sz="0" w:space="0" w:color="auto"/>
                    <w:left w:val="none" w:sz="0" w:space="0" w:color="auto"/>
                    <w:bottom w:val="none" w:sz="0" w:space="0" w:color="auto"/>
                    <w:right w:val="none" w:sz="0" w:space="0" w:color="auto"/>
                  </w:divBdr>
                  <w:divsChild>
                    <w:div w:id="947276150">
                      <w:marLeft w:val="0"/>
                      <w:marRight w:val="0"/>
                      <w:marTop w:val="0"/>
                      <w:marBottom w:val="0"/>
                      <w:divBdr>
                        <w:top w:val="none" w:sz="0" w:space="0" w:color="auto"/>
                        <w:left w:val="none" w:sz="0" w:space="0" w:color="auto"/>
                        <w:bottom w:val="none" w:sz="0" w:space="0" w:color="auto"/>
                        <w:right w:val="none" w:sz="0" w:space="0" w:color="auto"/>
                      </w:divBdr>
                    </w:div>
                  </w:divsChild>
                </w:div>
                <w:div w:id="1604726715">
                  <w:marLeft w:val="0"/>
                  <w:marRight w:val="0"/>
                  <w:marTop w:val="0"/>
                  <w:marBottom w:val="0"/>
                  <w:divBdr>
                    <w:top w:val="none" w:sz="0" w:space="0" w:color="auto"/>
                    <w:left w:val="none" w:sz="0" w:space="0" w:color="auto"/>
                    <w:bottom w:val="none" w:sz="0" w:space="0" w:color="auto"/>
                    <w:right w:val="none" w:sz="0" w:space="0" w:color="auto"/>
                  </w:divBdr>
                  <w:divsChild>
                    <w:div w:id="45882559">
                      <w:marLeft w:val="0"/>
                      <w:marRight w:val="0"/>
                      <w:marTop w:val="0"/>
                      <w:marBottom w:val="0"/>
                      <w:divBdr>
                        <w:top w:val="none" w:sz="0" w:space="0" w:color="auto"/>
                        <w:left w:val="none" w:sz="0" w:space="0" w:color="auto"/>
                        <w:bottom w:val="none" w:sz="0" w:space="0" w:color="auto"/>
                        <w:right w:val="none" w:sz="0" w:space="0" w:color="auto"/>
                      </w:divBdr>
                    </w:div>
                  </w:divsChild>
                </w:div>
                <w:div w:id="228879418">
                  <w:marLeft w:val="0"/>
                  <w:marRight w:val="0"/>
                  <w:marTop w:val="0"/>
                  <w:marBottom w:val="0"/>
                  <w:divBdr>
                    <w:top w:val="none" w:sz="0" w:space="0" w:color="auto"/>
                    <w:left w:val="none" w:sz="0" w:space="0" w:color="auto"/>
                    <w:bottom w:val="none" w:sz="0" w:space="0" w:color="auto"/>
                    <w:right w:val="none" w:sz="0" w:space="0" w:color="auto"/>
                  </w:divBdr>
                  <w:divsChild>
                    <w:div w:id="477115599">
                      <w:marLeft w:val="0"/>
                      <w:marRight w:val="0"/>
                      <w:marTop w:val="0"/>
                      <w:marBottom w:val="0"/>
                      <w:divBdr>
                        <w:top w:val="none" w:sz="0" w:space="0" w:color="auto"/>
                        <w:left w:val="none" w:sz="0" w:space="0" w:color="auto"/>
                        <w:bottom w:val="none" w:sz="0" w:space="0" w:color="auto"/>
                        <w:right w:val="none" w:sz="0" w:space="0" w:color="auto"/>
                      </w:divBdr>
                    </w:div>
                  </w:divsChild>
                </w:div>
                <w:div w:id="1720663914">
                  <w:marLeft w:val="0"/>
                  <w:marRight w:val="0"/>
                  <w:marTop w:val="0"/>
                  <w:marBottom w:val="0"/>
                  <w:divBdr>
                    <w:top w:val="none" w:sz="0" w:space="0" w:color="auto"/>
                    <w:left w:val="none" w:sz="0" w:space="0" w:color="auto"/>
                    <w:bottom w:val="none" w:sz="0" w:space="0" w:color="auto"/>
                    <w:right w:val="none" w:sz="0" w:space="0" w:color="auto"/>
                  </w:divBdr>
                  <w:divsChild>
                    <w:div w:id="48235092">
                      <w:marLeft w:val="0"/>
                      <w:marRight w:val="0"/>
                      <w:marTop w:val="0"/>
                      <w:marBottom w:val="0"/>
                      <w:divBdr>
                        <w:top w:val="none" w:sz="0" w:space="0" w:color="auto"/>
                        <w:left w:val="none" w:sz="0" w:space="0" w:color="auto"/>
                        <w:bottom w:val="none" w:sz="0" w:space="0" w:color="auto"/>
                        <w:right w:val="none" w:sz="0" w:space="0" w:color="auto"/>
                      </w:divBdr>
                    </w:div>
                  </w:divsChild>
                </w:div>
                <w:div w:id="1836804146">
                  <w:marLeft w:val="0"/>
                  <w:marRight w:val="0"/>
                  <w:marTop w:val="0"/>
                  <w:marBottom w:val="0"/>
                  <w:divBdr>
                    <w:top w:val="none" w:sz="0" w:space="0" w:color="auto"/>
                    <w:left w:val="none" w:sz="0" w:space="0" w:color="auto"/>
                    <w:bottom w:val="none" w:sz="0" w:space="0" w:color="auto"/>
                    <w:right w:val="none" w:sz="0" w:space="0" w:color="auto"/>
                  </w:divBdr>
                  <w:divsChild>
                    <w:div w:id="1771465385">
                      <w:marLeft w:val="0"/>
                      <w:marRight w:val="0"/>
                      <w:marTop w:val="0"/>
                      <w:marBottom w:val="0"/>
                      <w:divBdr>
                        <w:top w:val="none" w:sz="0" w:space="0" w:color="auto"/>
                        <w:left w:val="none" w:sz="0" w:space="0" w:color="auto"/>
                        <w:bottom w:val="none" w:sz="0" w:space="0" w:color="auto"/>
                        <w:right w:val="none" w:sz="0" w:space="0" w:color="auto"/>
                      </w:divBdr>
                    </w:div>
                  </w:divsChild>
                </w:div>
                <w:div w:id="1901594904">
                  <w:marLeft w:val="0"/>
                  <w:marRight w:val="0"/>
                  <w:marTop w:val="0"/>
                  <w:marBottom w:val="0"/>
                  <w:divBdr>
                    <w:top w:val="none" w:sz="0" w:space="0" w:color="auto"/>
                    <w:left w:val="none" w:sz="0" w:space="0" w:color="auto"/>
                    <w:bottom w:val="none" w:sz="0" w:space="0" w:color="auto"/>
                    <w:right w:val="none" w:sz="0" w:space="0" w:color="auto"/>
                  </w:divBdr>
                  <w:divsChild>
                    <w:div w:id="1964386576">
                      <w:marLeft w:val="0"/>
                      <w:marRight w:val="0"/>
                      <w:marTop w:val="0"/>
                      <w:marBottom w:val="0"/>
                      <w:divBdr>
                        <w:top w:val="none" w:sz="0" w:space="0" w:color="auto"/>
                        <w:left w:val="none" w:sz="0" w:space="0" w:color="auto"/>
                        <w:bottom w:val="none" w:sz="0" w:space="0" w:color="auto"/>
                        <w:right w:val="none" w:sz="0" w:space="0" w:color="auto"/>
                      </w:divBdr>
                    </w:div>
                  </w:divsChild>
                </w:div>
                <w:div w:id="1474718766">
                  <w:marLeft w:val="0"/>
                  <w:marRight w:val="0"/>
                  <w:marTop w:val="0"/>
                  <w:marBottom w:val="0"/>
                  <w:divBdr>
                    <w:top w:val="none" w:sz="0" w:space="0" w:color="auto"/>
                    <w:left w:val="none" w:sz="0" w:space="0" w:color="auto"/>
                    <w:bottom w:val="none" w:sz="0" w:space="0" w:color="auto"/>
                    <w:right w:val="none" w:sz="0" w:space="0" w:color="auto"/>
                  </w:divBdr>
                  <w:divsChild>
                    <w:div w:id="1514344011">
                      <w:marLeft w:val="0"/>
                      <w:marRight w:val="0"/>
                      <w:marTop w:val="0"/>
                      <w:marBottom w:val="0"/>
                      <w:divBdr>
                        <w:top w:val="none" w:sz="0" w:space="0" w:color="auto"/>
                        <w:left w:val="none" w:sz="0" w:space="0" w:color="auto"/>
                        <w:bottom w:val="none" w:sz="0" w:space="0" w:color="auto"/>
                        <w:right w:val="none" w:sz="0" w:space="0" w:color="auto"/>
                      </w:divBdr>
                    </w:div>
                  </w:divsChild>
                </w:div>
                <w:div w:id="1588074553">
                  <w:marLeft w:val="0"/>
                  <w:marRight w:val="0"/>
                  <w:marTop w:val="0"/>
                  <w:marBottom w:val="0"/>
                  <w:divBdr>
                    <w:top w:val="none" w:sz="0" w:space="0" w:color="auto"/>
                    <w:left w:val="none" w:sz="0" w:space="0" w:color="auto"/>
                    <w:bottom w:val="none" w:sz="0" w:space="0" w:color="auto"/>
                    <w:right w:val="none" w:sz="0" w:space="0" w:color="auto"/>
                  </w:divBdr>
                  <w:divsChild>
                    <w:div w:id="1423916889">
                      <w:marLeft w:val="0"/>
                      <w:marRight w:val="0"/>
                      <w:marTop w:val="0"/>
                      <w:marBottom w:val="0"/>
                      <w:divBdr>
                        <w:top w:val="none" w:sz="0" w:space="0" w:color="auto"/>
                        <w:left w:val="none" w:sz="0" w:space="0" w:color="auto"/>
                        <w:bottom w:val="none" w:sz="0" w:space="0" w:color="auto"/>
                        <w:right w:val="none" w:sz="0" w:space="0" w:color="auto"/>
                      </w:divBdr>
                    </w:div>
                  </w:divsChild>
                </w:div>
                <w:div w:id="1797915294">
                  <w:marLeft w:val="0"/>
                  <w:marRight w:val="0"/>
                  <w:marTop w:val="0"/>
                  <w:marBottom w:val="0"/>
                  <w:divBdr>
                    <w:top w:val="none" w:sz="0" w:space="0" w:color="auto"/>
                    <w:left w:val="none" w:sz="0" w:space="0" w:color="auto"/>
                    <w:bottom w:val="none" w:sz="0" w:space="0" w:color="auto"/>
                    <w:right w:val="none" w:sz="0" w:space="0" w:color="auto"/>
                  </w:divBdr>
                  <w:divsChild>
                    <w:div w:id="1073774110">
                      <w:marLeft w:val="0"/>
                      <w:marRight w:val="0"/>
                      <w:marTop w:val="0"/>
                      <w:marBottom w:val="0"/>
                      <w:divBdr>
                        <w:top w:val="none" w:sz="0" w:space="0" w:color="auto"/>
                        <w:left w:val="none" w:sz="0" w:space="0" w:color="auto"/>
                        <w:bottom w:val="none" w:sz="0" w:space="0" w:color="auto"/>
                        <w:right w:val="none" w:sz="0" w:space="0" w:color="auto"/>
                      </w:divBdr>
                    </w:div>
                  </w:divsChild>
                </w:div>
                <w:div w:id="500782827">
                  <w:marLeft w:val="0"/>
                  <w:marRight w:val="0"/>
                  <w:marTop w:val="0"/>
                  <w:marBottom w:val="0"/>
                  <w:divBdr>
                    <w:top w:val="none" w:sz="0" w:space="0" w:color="auto"/>
                    <w:left w:val="none" w:sz="0" w:space="0" w:color="auto"/>
                    <w:bottom w:val="none" w:sz="0" w:space="0" w:color="auto"/>
                    <w:right w:val="none" w:sz="0" w:space="0" w:color="auto"/>
                  </w:divBdr>
                  <w:divsChild>
                    <w:div w:id="2122188714">
                      <w:marLeft w:val="0"/>
                      <w:marRight w:val="0"/>
                      <w:marTop w:val="0"/>
                      <w:marBottom w:val="0"/>
                      <w:divBdr>
                        <w:top w:val="none" w:sz="0" w:space="0" w:color="auto"/>
                        <w:left w:val="none" w:sz="0" w:space="0" w:color="auto"/>
                        <w:bottom w:val="none" w:sz="0" w:space="0" w:color="auto"/>
                        <w:right w:val="none" w:sz="0" w:space="0" w:color="auto"/>
                      </w:divBdr>
                    </w:div>
                  </w:divsChild>
                </w:div>
                <w:div w:id="762997700">
                  <w:marLeft w:val="0"/>
                  <w:marRight w:val="0"/>
                  <w:marTop w:val="0"/>
                  <w:marBottom w:val="0"/>
                  <w:divBdr>
                    <w:top w:val="none" w:sz="0" w:space="0" w:color="auto"/>
                    <w:left w:val="none" w:sz="0" w:space="0" w:color="auto"/>
                    <w:bottom w:val="none" w:sz="0" w:space="0" w:color="auto"/>
                    <w:right w:val="none" w:sz="0" w:space="0" w:color="auto"/>
                  </w:divBdr>
                  <w:divsChild>
                    <w:div w:id="591669879">
                      <w:marLeft w:val="0"/>
                      <w:marRight w:val="0"/>
                      <w:marTop w:val="0"/>
                      <w:marBottom w:val="0"/>
                      <w:divBdr>
                        <w:top w:val="none" w:sz="0" w:space="0" w:color="auto"/>
                        <w:left w:val="none" w:sz="0" w:space="0" w:color="auto"/>
                        <w:bottom w:val="none" w:sz="0" w:space="0" w:color="auto"/>
                        <w:right w:val="none" w:sz="0" w:space="0" w:color="auto"/>
                      </w:divBdr>
                    </w:div>
                  </w:divsChild>
                </w:div>
                <w:div w:id="1850212732">
                  <w:marLeft w:val="0"/>
                  <w:marRight w:val="0"/>
                  <w:marTop w:val="0"/>
                  <w:marBottom w:val="0"/>
                  <w:divBdr>
                    <w:top w:val="none" w:sz="0" w:space="0" w:color="auto"/>
                    <w:left w:val="none" w:sz="0" w:space="0" w:color="auto"/>
                    <w:bottom w:val="none" w:sz="0" w:space="0" w:color="auto"/>
                    <w:right w:val="none" w:sz="0" w:space="0" w:color="auto"/>
                  </w:divBdr>
                  <w:divsChild>
                    <w:div w:id="1790078523">
                      <w:marLeft w:val="0"/>
                      <w:marRight w:val="0"/>
                      <w:marTop w:val="0"/>
                      <w:marBottom w:val="0"/>
                      <w:divBdr>
                        <w:top w:val="none" w:sz="0" w:space="0" w:color="auto"/>
                        <w:left w:val="none" w:sz="0" w:space="0" w:color="auto"/>
                        <w:bottom w:val="none" w:sz="0" w:space="0" w:color="auto"/>
                        <w:right w:val="none" w:sz="0" w:space="0" w:color="auto"/>
                      </w:divBdr>
                    </w:div>
                  </w:divsChild>
                </w:div>
                <w:div w:id="694575424">
                  <w:marLeft w:val="0"/>
                  <w:marRight w:val="0"/>
                  <w:marTop w:val="0"/>
                  <w:marBottom w:val="0"/>
                  <w:divBdr>
                    <w:top w:val="none" w:sz="0" w:space="0" w:color="auto"/>
                    <w:left w:val="none" w:sz="0" w:space="0" w:color="auto"/>
                    <w:bottom w:val="none" w:sz="0" w:space="0" w:color="auto"/>
                    <w:right w:val="none" w:sz="0" w:space="0" w:color="auto"/>
                  </w:divBdr>
                  <w:divsChild>
                    <w:div w:id="1973753064">
                      <w:marLeft w:val="0"/>
                      <w:marRight w:val="0"/>
                      <w:marTop w:val="0"/>
                      <w:marBottom w:val="0"/>
                      <w:divBdr>
                        <w:top w:val="none" w:sz="0" w:space="0" w:color="auto"/>
                        <w:left w:val="none" w:sz="0" w:space="0" w:color="auto"/>
                        <w:bottom w:val="none" w:sz="0" w:space="0" w:color="auto"/>
                        <w:right w:val="none" w:sz="0" w:space="0" w:color="auto"/>
                      </w:divBdr>
                    </w:div>
                  </w:divsChild>
                </w:div>
                <w:div w:id="1547570924">
                  <w:marLeft w:val="0"/>
                  <w:marRight w:val="0"/>
                  <w:marTop w:val="0"/>
                  <w:marBottom w:val="0"/>
                  <w:divBdr>
                    <w:top w:val="none" w:sz="0" w:space="0" w:color="auto"/>
                    <w:left w:val="none" w:sz="0" w:space="0" w:color="auto"/>
                    <w:bottom w:val="none" w:sz="0" w:space="0" w:color="auto"/>
                    <w:right w:val="none" w:sz="0" w:space="0" w:color="auto"/>
                  </w:divBdr>
                  <w:divsChild>
                    <w:div w:id="1903178861">
                      <w:marLeft w:val="0"/>
                      <w:marRight w:val="0"/>
                      <w:marTop w:val="0"/>
                      <w:marBottom w:val="0"/>
                      <w:divBdr>
                        <w:top w:val="none" w:sz="0" w:space="0" w:color="auto"/>
                        <w:left w:val="none" w:sz="0" w:space="0" w:color="auto"/>
                        <w:bottom w:val="none" w:sz="0" w:space="0" w:color="auto"/>
                        <w:right w:val="none" w:sz="0" w:space="0" w:color="auto"/>
                      </w:divBdr>
                    </w:div>
                  </w:divsChild>
                </w:div>
                <w:div w:id="165445430">
                  <w:marLeft w:val="0"/>
                  <w:marRight w:val="0"/>
                  <w:marTop w:val="0"/>
                  <w:marBottom w:val="0"/>
                  <w:divBdr>
                    <w:top w:val="none" w:sz="0" w:space="0" w:color="auto"/>
                    <w:left w:val="none" w:sz="0" w:space="0" w:color="auto"/>
                    <w:bottom w:val="none" w:sz="0" w:space="0" w:color="auto"/>
                    <w:right w:val="none" w:sz="0" w:space="0" w:color="auto"/>
                  </w:divBdr>
                  <w:divsChild>
                    <w:div w:id="259534364">
                      <w:marLeft w:val="0"/>
                      <w:marRight w:val="0"/>
                      <w:marTop w:val="0"/>
                      <w:marBottom w:val="0"/>
                      <w:divBdr>
                        <w:top w:val="none" w:sz="0" w:space="0" w:color="auto"/>
                        <w:left w:val="none" w:sz="0" w:space="0" w:color="auto"/>
                        <w:bottom w:val="none" w:sz="0" w:space="0" w:color="auto"/>
                        <w:right w:val="none" w:sz="0" w:space="0" w:color="auto"/>
                      </w:divBdr>
                    </w:div>
                  </w:divsChild>
                </w:div>
                <w:div w:id="437675927">
                  <w:marLeft w:val="0"/>
                  <w:marRight w:val="0"/>
                  <w:marTop w:val="0"/>
                  <w:marBottom w:val="0"/>
                  <w:divBdr>
                    <w:top w:val="none" w:sz="0" w:space="0" w:color="auto"/>
                    <w:left w:val="none" w:sz="0" w:space="0" w:color="auto"/>
                    <w:bottom w:val="none" w:sz="0" w:space="0" w:color="auto"/>
                    <w:right w:val="none" w:sz="0" w:space="0" w:color="auto"/>
                  </w:divBdr>
                  <w:divsChild>
                    <w:div w:id="1682732891">
                      <w:marLeft w:val="0"/>
                      <w:marRight w:val="0"/>
                      <w:marTop w:val="0"/>
                      <w:marBottom w:val="0"/>
                      <w:divBdr>
                        <w:top w:val="none" w:sz="0" w:space="0" w:color="auto"/>
                        <w:left w:val="none" w:sz="0" w:space="0" w:color="auto"/>
                        <w:bottom w:val="none" w:sz="0" w:space="0" w:color="auto"/>
                        <w:right w:val="none" w:sz="0" w:space="0" w:color="auto"/>
                      </w:divBdr>
                    </w:div>
                  </w:divsChild>
                </w:div>
                <w:div w:id="1045758788">
                  <w:marLeft w:val="0"/>
                  <w:marRight w:val="0"/>
                  <w:marTop w:val="0"/>
                  <w:marBottom w:val="0"/>
                  <w:divBdr>
                    <w:top w:val="none" w:sz="0" w:space="0" w:color="auto"/>
                    <w:left w:val="none" w:sz="0" w:space="0" w:color="auto"/>
                    <w:bottom w:val="none" w:sz="0" w:space="0" w:color="auto"/>
                    <w:right w:val="none" w:sz="0" w:space="0" w:color="auto"/>
                  </w:divBdr>
                  <w:divsChild>
                    <w:div w:id="640428263">
                      <w:marLeft w:val="0"/>
                      <w:marRight w:val="0"/>
                      <w:marTop w:val="0"/>
                      <w:marBottom w:val="0"/>
                      <w:divBdr>
                        <w:top w:val="none" w:sz="0" w:space="0" w:color="auto"/>
                        <w:left w:val="none" w:sz="0" w:space="0" w:color="auto"/>
                        <w:bottom w:val="none" w:sz="0" w:space="0" w:color="auto"/>
                        <w:right w:val="none" w:sz="0" w:space="0" w:color="auto"/>
                      </w:divBdr>
                    </w:div>
                  </w:divsChild>
                </w:div>
                <w:div w:id="1268466665">
                  <w:marLeft w:val="0"/>
                  <w:marRight w:val="0"/>
                  <w:marTop w:val="0"/>
                  <w:marBottom w:val="0"/>
                  <w:divBdr>
                    <w:top w:val="none" w:sz="0" w:space="0" w:color="auto"/>
                    <w:left w:val="none" w:sz="0" w:space="0" w:color="auto"/>
                    <w:bottom w:val="none" w:sz="0" w:space="0" w:color="auto"/>
                    <w:right w:val="none" w:sz="0" w:space="0" w:color="auto"/>
                  </w:divBdr>
                  <w:divsChild>
                    <w:div w:id="1241675362">
                      <w:marLeft w:val="0"/>
                      <w:marRight w:val="0"/>
                      <w:marTop w:val="0"/>
                      <w:marBottom w:val="0"/>
                      <w:divBdr>
                        <w:top w:val="none" w:sz="0" w:space="0" w:color="auto"/>
                        <w:left w:val="none" w:sz="0" w:space="0" w:color="auto"/>
                        <w:bottom w:val="none" w:sz="0" w:space="0" w:color="auto"/>
                        <w:right w:val="none" w:sz="0" w:space="0" w:color="auto"/>
                      </w:divBdr>
                    </w:div>
                  </w:divsChild>
                </w:div>
                <w:div w:id="1022584649">
                  <w:marLeft w:val="0"/>
                  <w:marRight w:val="0"/>
                  <w:marTop w:val="0"/>
                  <w:marBottom w:val="0"/>
                  <w:divBdr>
                    <w:top w:val="none" w:sz="0" w:space="0" w:color="auto"/>
                    <w:left w:val="none" w:sz="0" w:space="0" w:color="auto"/>
                    <w:bottom w:val="none" w:sz="0" w:space="0" w:color="auto"/>
                    <w:right w:val="none" w:sz="0" w:space="0" w:color="auto"/>
                  </w:divBdr>
                  <w:divsChild>
                    <w:div w:id="1405645620">
                      <w:marLeft w:val="0"/>
                      <w:marRight w:val="0"/>
                      <w:marTop w:val="0"/>
                      <w:marBottom w:val="0"/>
                      <w:divBdr>
                        <w:top w:val="none" w:sz="0" w:space="0" w:color="auto"/>
                        <w:left w:val="none" w:sz="0" w:space="0" w:color="auto"/>
                        <w:bottom w:val="none" w:sz="0" w:space="0" w:color="auto"/>
                        <w:right w:val="none" w:sz="0" w:space="0" w:color="auto"/>
                      </w:divBdr>
                    </w:div>
                  </w:divsChild>
                </w:div>
                <w:div w:id="218516585">
                  <w:marLeft w:val="0"/>
                  <w:marRight w:val="0"/>
                  <w:marTop w:val="0"/>
                  <w:marBottom w:val="0"/>
                  <w:divBdr>
                    <w:top w:val="none" w:sz="0" w:space="0" w:color="auto"/>
                    <w:left w:val="none" w:sz="0" w:space="0" w:color="auto"/>
                    <w:bottom w:val="none" w:sz="0" w:space="0" w:color="auto"/>
                    <w:right w:val="none" w:sz="0" w:space="0" w:color="auto"/>
                  </w:divBdr>
                  <w:divsChild>
                    <w:div w:id="1906334800">
                      <w:marLeft w:val="0"/>
                      <w:marRight w:val="0"/>
                      <w:marTop w:val="0"/>
                      <w:marBottom w:val="0"/>
                      <w:divBdr>
                        <w:top w:val="none" w:sz="0" w:space="0" w:color="auto"/>
                        <w:left w:val="none" w:sz="0" w:space="0" w:color="auto"/>
                        <w:bottom w:val="none" w:sz="0" w:space="0" w:color="auto"/>
                        <w:right w:val="none" w:sz="0" w:space="0" w:color="auto"/>
                      </w:divBdr>
                    </w:div>
                  </w:divsChild>
                </w:div>
                <w:div w:id="1022124769">
                  <w:marLeft w:val="0"/>
                  <w:marRight w:val="0"/>
                  <w:marTop w:val="0"/>
                  <w:marBottom w:val="0"/>
                  <w:divBdr>
                    <w:top w:val="none" w:sz="0" w:space="0" w:color="auto"/>
                    <w:left w:val="none" w:sz="0" w:space="0" w:color="auto"/>
                    <w:bottom w:val="none" w:sz="0" w:space="0" w:color="auto"/>
                    <w:right w:val="none" w:sz="0" w:space="0" w:color="auto"/>
                  </w:divBdr>
                  <w:divsChild>
                    <w:div w:id="138883254">
                      <w:marLeft w:val="0"/>
                      <w:marRight w:val="0"/>
                      <w:marTop w:val="0"/>
                      <w:marBottom w:val="0"/>
                      <w:divBdr>
                        <w:top w:val="none" w:sz="0" w:space="0" w:color="auto"/>
                        <w:left w:val="none" w:sz="0" w:space="0" w:color="auto"/>
                        <w:bottom w:val="none" w:sz="0" w:space="0" w:color="auto"/>
                        <w:right w:val="none" w:sz="0" w:space="0" w:color="auto"/>
                      </w:divBdr>
                    </w:div>
                  </w:divsChild>
                </w:div>
                <w:div w:id="1417748991">
                  <w:marLeft w:val="0"/>
                  <w:marRight w:val="0"/>
                  <w:marTop w:val="0"/>
                  <w:marBottom w:val="0"/>
                  <w:divBdr>
                    <w:top w:val="none" w:sz="0" w:space="0" w:color="auto"/>
                    <w:left w:val="none" w:sz="0" w:space="0" w:color="auto"/>
                    <w:bottom w:val="none" w:sz="0" w:space="0" w:color="auto"/>
                    <w:right w:val="none" w:sz="0" w:space="0" w:color="auto"/>
                  </w:divBdr>
                  <w:divsChild>
                    <w:div w:id="2045598285">
                      <w:marLeft w:val="0"/>
                      <w:marRight w:val="0"/>
                      <w:marTop w:val="0"/>
                      <w:marBottom w:val="0"/>
                      <w:divBdr>
                        <w:top w:val="none" w:sz="0" w:space="0" w:color="auto"/>
                        <w:left w:val="none" w:sz="0" w:space="0" w:color="auto"/>
                        <w:bottom w:val="none" w:sz="0" w:space="0" w:color="auto"/>
                        <w:right w:val="none" w:sz="0" w:space="0" w:color="auto"/>
                      </w:divBdr>
                    </w:div>
                  </w:divsChild>
                </w:div>
                <w:div w:id="1955480138">
                  <w:marLeft w:val="0"/>
                  <w:marRight w:val="0"/>
                  <w:marTop w:val="0"/>
                  <w:marBottom w:val="0"/>
                  <w:divBdr>
                    <w:top w:val="none" w:sz="0" w:space="0" w:color="auto"/>
                    <w:left w:val="none" w:sz="0" w:space="0" w:color="auto"/>
                    <w:bottom w:val="none" w:sz="0" w:space="0" w:color="auto"/>
                    <w:right w:val="none" w:sz="0" w:space="0" w:color="auto"/>
                  </w:divBdr>
                  <w:divsChild>
                    <w:div w:id="1034772073">
                      <w:marLeft w:val="0"/>
                      <w:marRight w:val="0"/>
                      <w:marTop w:val="0"/>
                      <w:marBottom w:val="0"/>
                      <w:divBdr>
                        <w:top w:val="none" w:sz="0" w:space="0" w:color="auto"/>
                        <w:left w:val="none" w:sz="0" w:space="0" w:color="auto"/>
                        <w:bottom w:val="none" w:sz="0" w:space="0" w:color="auto"/>
                        <w:right w:val="none" w:sz="0" w:space="0" w:color="auto"/>
                      </w:divBdr>
                    </w:div>
                  </w:divsChild>
                </w:div>
                <w:div w:id="316762709">
                  <w:marLeft w:val="0"/>
                  <w:marRight w:val="0"/>
                  <w:marTop w:val="0"/>
                  <w:marBottom w:val="0"/>
                  <w:divBdr>
                    <w:top w:val="none" w:sz="0" w:space="0" w:color="auto"/>
                    <w:left w:val="none" w:sz="0" w:space="0" w:color="auto"/>
                    <w:bottom w:val="none" w:sz="0" w:space="0" w:color="auto"/>
                    <w:right w:val="none" w:sz="0" w:space="0" w:color="auto"/>
                  </w:divBdr>
                  <w:divsChild>
                    <w:div w:id="789009524">
                      <w:marLeft w:val="0"/>
                      <w:marRight w:val="0"/>
                      <w:marTop w:val="0"/>
                      <w:marBottom w:val="0"/>
                      <w:divBdr>
                        <w:top w:val="none" w:sz="0" w:space="0" w:color="auto"/>
                        <w:left w:val="none" w:sz="0" w:space="0" w:color="auto"/>
                        <w:bottom w:val="none" w:sz="0" w:space="0" w:color="auto"/>
                        <w:right w:val="none" w:sz="0" w:space="0" w:color="auto"/>
                      </w:divBdr>
                    </w:div>
                  </w:divsChild>
                </w:div>
                <w:div w:id="1005286397">
                  <w:marLeft w:val="0"/>
                  <w:marRight w:val="0"/>
                  <w:marTop w:val="0"/>
                  <w:marBottom w:val="0"/>
                  <w:divBdr>
                    <w:top w:val="none" w:sz="0" w:space="0" w:color="auto"/>
                    <w:left w:val="none" w:sz="0" w:space="0" w:color="auto"/>
                    <w:bottom w:val="none" w:sz="0" w:space="0" w:color="auto"/>
                    <w:right w:val="none" w:sz="0" w:space="0" w:color="auto"/>
                  </w:divBdr>
                  <w:divsChild>
                    <w:div w:id="1796214159">
                      <w:marLeft w:val="0"/>
                      <w:marRight w:val="0"/>
                      <w:marTop w:val="0"/>
                      <w:marBottom w:val="0"/>
                      <w:divBdr>
                        <w:top w:val="none" w:sz="0" w:space="0" w:color="auto"/>
                        <w:left w:val="none" w:sz="0" w:space="0" w:color="auto"/>
                        <w:bottom w:val="none" w:sz="0" w:space="0" w:color="auto"/>
                        <w:right w:val="none" w:sz="0" w:space="0" w:color="auto"/>
                      </w:divBdr>
                    </w:div>
                  </w:divsChild>
                </w:div>
                <w:div w:id="497697114">
                  <w:marLeft w:val="0"/>
                  <w:marRight w:val="0"/>
                  <w:marTop w:val="0"/>
                  <w:marBottom w:val="0"/>
                  <w:divBdr>
                    <w:top w:val="none" w:sz="0" w:space="0" w:color="auto"/>
                    <w:left w:val="none" w:sz="0" w:space="0" w:color="auto"/>
                    <w:bottom w:val="none" w:sz="0" w:space="0" w:color="auto"/>
                    <w:right w:val="none" w:sz="0" w:space="0" w:color="auto"/>
                  </w:divBdr>
                  <w:divsChild>
                    <w:div w:id="1250240145">
                      <w:marLeft w:val="0"/>
                      <w:marRight w:val="0"/>
                      <w:marTop w:val="0"/>
                      <w:marBottom w:val="0"/>
                      <w:divBdr>
                        <w:top w:val="none" w:sz="0" w:space="0" w:color="auto"/>
                        <w:left w:val="none" w:sz="0" w:space="0" w:color="auto"/>
                        <w:bottom w:val="none" w:sz="0" w:space="0" w:color="auto"/>
                        <w:right w:val="none" w:sz="0" w:space="0" w:color="auto"/>
                      </w:divBdr>
                    </w:div>
                  </w:divsChild>
                </w:div>
                <w:div w:id="1725906366">
                  <w:marLeft w:val="0"/>
                  <w:marRight w:val="0"/>
                  <w:marTop w:val="0"/>
                  <w:marBottom w:val="0"/>
                  <w:divBdr>
                    <w:top w:val="none" w:sz="0" w:space="0" w:color="auto"/>
                    <w:left w:val="none" w:sz="0" w:space="0" w:color="auto"/>
                    <w:bottom w:val="none" w:sz="0" w:space="0" w:color="auto"/>
                    <w:right w:val="none" w:sz="0" w:space="0" w:color="auto"/>
                  </w:divBdr>
                  <w:divsChild>
                    <w:div w:id="809908164">
                      <w:marLeft w:val="0"/>
                      <w:marRight w:val="0"/>
                      <w:marTop w:val="0"/>
                      <w:marBottom w:val="0"/>
                      <w:divBdr>
                        <w:top w:val="none" w:sz="0" w:space="0" w:color="auto"/>
                        <w:left w:val="none" w:sz="0" w:space="0" w:color="auto"/>
                        <w:bottom w:val="none" w:sz="0" w:space="0" w:color="auto"/>
                        <w:right w:val="none" w:sz="0" w:space="0" w:color="auto"/>
                      </w:divBdr>
                    </w:div>
                  </w:divsChild>
                </w:div>
                <w:div w:id="1845779447">
                  <w:marLeft w:val="0"/>
                  <w:marRight w:val="0"/>
                  <w:marTop w:val="0"/>
                  <w:marBottom w:val="0"/>
                  <w:divBdr>
                    <w:top w:val="none" w:sz="0" w:space="0" w:color="auto"/>
                    <w:left w:val="none" w:sz="0" w:space="0" w:color="auto"/>
                    <w:bottom w:val="none" w:sz="0" w:space="0" w:color="auto"/>
                    <w:right w:val="none" w:sz="0" w:space="0" w:color="auto"/>
                  </w:divBdr>
                  <w:divsChild>
                    <w:div w:id="1331833471">
                      <w:marLeft w:val="0"/>
                      <w:marRight w:val="0"/>
                      <w:marTop w:val="0"/>
                      <w:marBottom w:val="0"/>
                      <w:divBdr>
                        <w:top w:val="none" w:sz="0" w:space="0" w:color="auto"/>
                        <w:left w:val="none" w:sz="0" w:space="0" w:color="auto"/>
                        <w:bottom w:val="none" w:sz="0" w:space="0" w:color="auto"/>
                        <w:right w:val="none" w:sz="0" w:space="0" w:color="auto"/>
                      </w:divBdr>
                    </w:div>
                  </w:divsChild>
                </w:div>
                <w:div w:id="2117289195">
                  <w:marLeft w:val="0"/>
                  <w:marRight w:val="0"/>
                  <w:marTop w:val="0"/>
                  <w:marBottom w:val="0"/>
                  <w:divBdr>
                    <w:top w:val="none" w:sz="0" w:space="0" w:color="auto"/>
                    <w:left w:val="none" w:sz="0" w:space="0" w:color="auto"/>
                    <w:bottom w:val="none" w:sz="0" w:space="0" w:color="auto"/>
                    <w:right w:val="none" w:sz="0" w:space="0" w:color="auto"/>
                  </w:divBdr>
                  <w:divsChild>
                    <w:div w:id="615675725">
                      <w:marLeft w:val="0"/>
                      <w:marRight w:val="0"/>
                      <w:marTop w:val="0"/>
                      <w:marBottom w:val="0"/>
                      <w:divBdr>
                        <w:top w:val="none" w:sz="0" w:space="0" w:color="auto"/>
                        <w:left w:val="none" w:sz="0" w:space="0" w:color="auto"/>
                        <w:bottom w:val="none" w:sz="0" w:space="0" w:color="auto"/>
                        <w:right w:val="none" w:sz="0" w:space="0" w:color="auto"/>
                      </w:divBdr>
                    </w:div>
                  </w:divsChild>
                </w:div>
                <w:div w:id="1287082342">
                  <w:marLeft w:val="0"/>
                  <w:marRight w:val="0"/>
                  <w:marTop w:val="0"/>
                  <w:marBottom w:val="0"/>
                  <w:divBdr>
                    <w:top w:val="none" w:sz="0" w:space="0" w:color="auto"/>
                    <w:left w:val="none" w:sz="0" w:space="0" w:color="auto"/>
                    <w:bottom w:val="none" w:sz="0" w:space="0" w:color="auto"/>
                    <w:right w:val="none" w:sz="0" w:space="0" w:color="auto"/>
                  </w:divBdr>
                  <w:divsChild>
                    <w:div w:id="75326663">
                      <w:marLeft w:val="0"/>
                      <w:marRight w:val="0"/>
                      <w:marTop w:val="0"/>
                      <w:marBottom w:val="0"/>
                      <w:divBdr>
                        <w:top w:val="none" w:sz="0" w:space="0" w:color="auto"/>
                        <w:left w:val="none" w:sz="0" w:space="0" w:color="auto"/>
                        <w:bottom w:val="none" w:sz="0" w:space="0" w:color="auto"/>
                        <w:right w:val="none" w:sz="0" w:space="0" w:color="auto"/>
                      </w:divBdr>
                    </w:div>
                  </w:divsChild>
                </w:div>
                <w:div w:id="876628229">
                  <w:marLeft w:val="0"/>
                  <w:marRight w:val="0"/>
                  <w:marTop w:val="0"/>
                  <w:marBottom w:val="0"/>
                  <w:divBdr>
                    <w:top w:val="none" w:sz="0" w:space="0" w:color="auto"/>
                    <w:left w:val="none" w:sz="0" w:space="0" w:color="auto"/>
                    <w:bottom w:val="none" w:sz="0" w:space="0" w:color="auto"/>
                    <w:right w:val="none" w:sz="0" w:space="0" w:color="auto"/>
                  </w:divBdr>
                  <w:divsChild>
                    <w:div w:id="16354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98229">
          <w:marLeft w:val="0"/>
          <w:marRight w:val="0"/>
          <w:marTop w:val="0"/>
          <w:marBottom w:val="0"/>
          <w:divBdr>
            <w:top w:val="none" w:sz="0" w:space="0" w:color="auto"/>
            <w:left w:val="none" w:sz="0" w:space="0" w:color="auto"/>
            <w:bottom w:val="none" w:sz="0" w:space="0" w:color="auto"/>
            <w:right w:val="none" w:sz="0" w:space="0" w:color="auto"/>
          </w:divBdr>
        </w:div>
      </w:divsChild>
    </w:div>
    <w:div w:id="1511137831">
      <w:bodyDiv w:val="1"/>
      <w:marLeft w:val="0"/>
      <w:marRight w:val="0"/>
      <w:marTop w:val="0"/>
      <w:marBottom w:val="0"/>
      <w:divBdr>
        <w:top w:val="none" w:sz="0" w:space="0" w:color="auto"/>
        <w:left w:val="none" w:sz="0" w:space="0" w:color="auto"/>
        <w:bottom w:val="none" w:sz="0" w:space="0" w:color="auto"/>
        <w:right w:val="none" w:sz="0" w:space="0" w:color="auto"/>
      </w:divBdr>
    </w:div>
    <w:div w:id="1563171671">
      <w:bodyDiv w:val="1"/>
      <w:marLeft w:val="0"/>
      <w:marRight w:val="0"/>
      <w:marTop w:val="0"/>
      <w:marBottom w:val="0"/>
      <w:divBdr>
        <w:top w:val="none" w:sz="0" w:space="0" w:color="auto"/>
        <w:left w:val="none" w:sz="0" w:space="0" w:color="auto"/>
        <w:bottom w:val="none" w:sz="0" w:space="0" w:color="auto"/>
        <w:right w:val="none" w:sz="0" w:space="0" w:color="auto"/>
      </w:divBdr>
      <w:divsChild>
        <w:div w:id="924001587">
          <w:marLeft w:val="0"/>
          <w:marRight w:val="0"/>
          <w:marTop w:val="0"/>
          <w:marBottom w:val="0"/>
          <w:divBdr>
            <w:top w:val="none" w:sz="0" w:space="0" w:color="auto"/>
            <w:left w:val="none" w:sz="0" w:space="0" w:color="auto"/>
            <w:bottom w:val="none" w:sz="0" w:space="0" w:color="auto"/>
            <w:right w:val="none" w:sz="0" w:space="0" w:color="auto"/>
          </w:divBdr>
        </w:div>
        <w:div w:id="810751770">
          <w:marLeft w:val="0"/>
          <w:marRight w:val="0"/>
          <w:marTop w:val="0"/>
          <w:marBottom w:val="0"/>
          <w:divBdr>
            <w:top w:val="none" w:sz="0" w:space="0" w:color="auto"/>
            <w:left w:val="none" w:sz="0" w:space="0" w:color="auto"/>
            <w:bottom w:val="none" w:sz="0" w:space="0" w:color="auto"/>
            <w:right w:val="none" w:sz="0" w:space="0" w:color="auto"/>
          </w:divBdr>
        </w:div>
        <w:div w:id="1645963132">
          <w:marLeft w:val="0"/>
          <w:marRight w:val="0"/>
          <w:marTop w:val="0"/>
          <w:marBottom w:val="0"/>
          <w:divBdr>
            <w:top w:val="none" w:sz="0" w:space="0" w:color="auto"/>
            <w:left w:val="none" w:sz="0" w:space="0" w:color="auto"/>
            <w:bottom w:val="none" w:sz="0" w:space="0" w:color="auto"/>
            <w:right w:val="none" w:sz="0" w:space="0" w:color="auto"/>
          </w:divBdr>
        </w:div>
        <w:div w:id="368381440">
          <w:marLeft w:val="0"/>
          <w:marRight w:val="0"/>
          <w:marTop w:val="0"/>
          <w:marBottom w:val="0"/>
          <w:divBdr>
            <w:top w:val="none" w:sz="0" w:space="0" w:color="auto"/>
            <w:left w:val="none" w:sz="0" w:space="0" w:color="auto"/>
            <w:bottom w:val="none" w:sz="0" w:space="0" w:color="auto"/>
            <w:right w:val="none" w:sz="0" w:space="0" w:color="auto"/>
          </w:divBdr>
        </w:div>
        <w:div w:id="1667124051">
          <w:marLeft w:val="0"/>
          <w:marRight w:val="0"/>
          <w:marTop w:val="0"/>
          <w:marBottom w:val="0"/>
          <w:divBdr>
            <w:top w:val="none" w:sz="0" w:space="0" w:color="auto"/>
            <w:left w:val="none" w:sz="0" w:space="0" w:color="auto"/>
            <w:bottom w:val="none" w:sz="0" w:space="0" w:color="auto"/>
            <w:right w:val="none" w:sz="0" w:space="0" w:color="auto"/>
          </w:divBdr>
          <w:divsChild>
            <w:div w:id="1341080737">
              <w:marLeft w:val="-75"/>
              <w:marRight w:val="0"/>
              <w:marTop w:val="30"/>
              <w:marBottom w:val="30"/>
              <w:divBdr>
                <w:top w:val="none" w:sz="0" w:space="0" w:color="auto"/>
                <w:left w:val="none" w:sz="0" w:space="0" w:color="auto"/>
                <w:bottom w:val="none" w:sz="0" w:space="0" w:color="auto"/>
                <w:right w:val="none" w:sz="0" w:space="0" w:color="auto"/>
              </w:divBdr>
              <w:divsChild>
                <w:div w:id="967933239">
                  <w:marLeft w:val="0"/>
                  <w:marRight w:val="0"/>
                  <w:marTop w:val="0"/>
                  <w:marBottom w:val="0"/>
                  <w:divBdr>
                    <w:top w:val="none" w:sz="0" w:space="0" w:color="auto"/>
                    <w:left w:val="none" w:sz="0" w:space="0" w:color="auto"/>
                    <w:bottom w:val="none" w:sz="0" w:space="0" w:color="auto"/>
                    <w:right w:val="none" w:sz="0" w:space="0" w:color="auto"/>
                  </w:divBdr>
                  <w:divsChild>
                    <w:div w:id="781343411">
                      <w:marLeft w:val="0"/>
                      <w:marRight w:val="0"/>
                      <w:marTop w:val="0"/>
                      <w:marBottom w:val="0"/>
                      <w:divBdr>
                        <w:top w:val="none" w:sz="0" w:space="0" w:color="auto"/>
                        <w:left w:val="none" w:sz="0" w:space="0" w:color="auto"/>
                        <w:bottom w:val="none" w:sz="0" w:space="0" w:color="auto"/>
                        <w:right w:val="none" w:sz="0" w:space="0" w:color="auto"/>
                      </w:divBdr>
                    </w:div>
                  </w:divsChild>
                </w:div>
                <w:div w:id="144855878">
                  <w:marLeft w:val="0"/>
                  <w:marRight w:val="0"/>
                  <w:marTop w:val="0"/>
                  <w:marBottom w:val="0"/>
                  <w:divBdr>
                    <w:top w:val="none" w:sz="0" w:space="0" w:color="auto"/>
                    <w:left w:val="none" w:sz="0" w:space="0" w:color="auto"/>
                    <w:bottom w:val="none" w:sz="0" w:space="0" w:color="auto"/>
                    <w:right w:val="none" w:sz="0" w:space="0" w:color="auto"/>
                  </w:divBdr>
                  <w:divsChild>
                    <w:div w:id="1196622882">
                      <w:marLeft w:val="0"/>
                      <w:marRight w:val="0"/>
                      <w:marTop w:val="0"/>
                      <w:marBottom w:val="0"/>
                      <w:divBdr>
                        <w:top w:val="none" w:sz="0" w:space="0" w:color="auto"/>
                        <w:left w:val="none" w:sz="0" w:space="0" w:color="auto"/>
                        <w:bottom w:val="none" w:sz="0" w:space="0" w:color="auto"/>
                        <w:right w:val="none" w:sz="0" w:space="0" w:color="auto"/>
                      </w:divBdr>
                    </w:div>
                  </w:divsChild>
                </w:div>
                <w:div w:id="690644658">
                  <w:marLeft w:val="0"/>
                  <w:marRight w:val="0"/>
                  <w:marTop w:val="0"/>
                  <w:marBottom w:val="0"/>
                  <w:divBdr>
                    <w:top w:val="none" w:sz="0" w:space="0" w:color="auto"/>
                    <w:left w:val="none" w:sz="0" w:space="0" w:color="auto"/>
                    <w:bottom w:val="none" w:sz="0" w:space="0" w:color="auto"/>
                    <w:right w:val="none" w:sz="0" w:space="0" w:color="auto"/>
                  </w:divBdr>
                  <w:divsChild>
                    <w:div w:id="1052969258">
                      <w:marLeft w:val="0"/>
                      <w:marRight w:val="0"/>
                      <w:marTop w:val="0"/>
                      <w:marBottom w:val="0"/>
                      <w:divBdr>
                        <w:top w:val="none" w:sz="0" w:space="0" w:color="auto"/>
                        <w:left w:val="none" w:sz="0" w:space="0" w:color="auto"/>
                        <w:bottom w:val="none" w:sz="0" w:space="0" w:color="auto"/>
                        <w:right w:val="none" w:sz="0" w:space="0" w:color="auto"/>
                      </w:divBdr>
                    </w:div>
                  </w:divsChild>
                </w:div>
                <w:div w:id="1563369663">
                  <w:marLeft w:val="0"/>
                  <w:marRight w:val="0"/>
                  <w:marTop w:val="0"/>
                  <w:marBottom w:val="0"/>
                  <w:divBdr>
                    <w:top w:val="none" w:sz="0" w:space="0" w:color="auto"/>
                    <w:left w:val="none" w:sz="0" w:space="0" w:color="auto"/>
                    <w:bottom w:val="none" w:sz="0" w:space="0" w:color="auto"/>
                    <w:right w:val="none" w:sz="0" w:space="0" w:color="auto"/>
                  </w:divBdr>
                  <w:divsChild>
                    <w:div w:id="1809397022">
                      <w:marLeft w:val="0"/>
                      <w:marRight w:val="0"/>
                      <w:marTop w:val="0"/>
                      <w:marBottom w:val="0"/>
                      <w:divBdr>
                        <w:top w:val="none" w:sz="0" w:space="0" w:color="auto"/>
                        <w:left w:val="none" w:sz="0" w:space="0" w:color="auto"/>
                        <w:bottom w:val="none" w:sz="0" w:space="0" w:color="auto"/>
                        <w:right w:val="none" w:sz="0" w:space="0" w:color="auto"/>
                      </w:divBdr>
                    </w:div>
                  </w:divsChild>
                </w:div>
                <w:div w:id="505902029">
                  <w:marLeft w:val="0"/>
                  <w:marRight w:val="0"/>
                  <w:marTop w:val="0"/>
                  <w:marBottom w:val="0"/>
                  <w:divBdr>
                    <w:top w:val="none" w:sz="0" w:space="0" w:color="auto"/>
                    <w:left w:val="none" w:sz="0" w:space="0" w:color="auto"/>
                    <w:bottom w:val="none" w:sz="0" w:space="0" w:color="auto"/>
                    <w:right w:val="none" w:sz="0" w:space="0" w:color="auto"/>
                  </w:divBdr>
                  <w:divsChild>
                    <w:div w:id="1588660642">
                      <w:marLeft w:val="0"/>
                      <w:marRight w:val="0"/>
                      <w:marTop w:val="0"/>
                      <w:marBottom w:val="0"/>
                      <w:divBdr>
                        <w:top w:val="none" w:sz="0" w:space="0" w:color="auto"/>
                        <w:left w:val="none" w:sz="0" w:space="0" w:color="auto"/>
                        <w:bottom w:val="none" w:sz="0" w:space="0" w:color="auto"/>
                        <w:right w:val="none" w:sz="0" w:space="0" w:color="auto"/>
                      </w:divBdr>
                    </w:div>
                  </w:divsChild>
                </w:div>
                <w:div w:id="1129935508">
                  <w:marLeft w:val="0"/>
                  <w:marRight w:val="0"/>
                  <w:marTop w:val="0"/>
                  <w:marBottom w:val="0"/>
                  <w:divBdr>
                    <w:top w:val="none" w:sz="0" w:space="0" w:color="auto"/>
                    <w:left w:val="none" w:sz="0" w:space="0" w:color="auto"/>
                    <w:bottom w:val="none" w:sz="0" w:space="0" w:color="auto"/>
                    <w:right w:val="none" w:sz="0" w:space="0" w:color="auto"/>
                  </w:divBdr>
                  <w:divsChild>
                    <w:div w:id="539173752">
                      <w:marLeft w:val="0"/>
                      <w:marRight w:val="0"/>
                      <w:marTop w:val="0"/>
                      <w:marBottom w:val="0"/>
                      <w:divBdr>
                        <w:top w:val="none" w:sz="0" w:space="0" w:color="auto"/>
                        <w:left w:val="none" w:sz="0" w:space="0" w:color="auto"/>
                        <w:bottom w:val="none" w:sz="0" w:space="0" w:color="auto"/>
                        <w:right w:val="none" w:sz="0" w:space="0" w:color="auto"/>
                      </w:divBdr>
                    </w:div>
                  </w:divsChild>
                </w:div>
                <w:div w:id="2137601282">
                  <w:marLeft w:val="0"/>
                  <w:marRight w:val="0"/>
                  <w:marTop w:val="0"/>
                  <w:marBottom w:val="0"/>
                  <w:divBdr>
                    <w:top w:val="none" w:sz="0" w:space="0" w:color="auto"/>
                    <w:left w:val="none" w:sz="0" w:space="0" w:color="auto"/>
                    <w:bottom w:val="none" w:sz="0" w:space="0" w:color="auto"/>
                    <w:right w:val="none" w:sz="0" w:space="0" w:color="auto"/>
                  </w:divBdr>
                  <w:divsChild>
                    <w:div w:id="1375739626">
                      <w:marLeft w:val="0"/>
                      <w:marRight w:val="0"/>
                      <w:marTop w:val="0"/>
                      <w:marBottom w:val="0"/>
                      <w:divBdr>
                        <w:top w:val="none" w:sz="0" w:space="0" w:color="auto"/>
                        <w:left w:val="none" w:sz="0" w:space="0" w:color="auto"/>
                        <w:bottom w:val="none" w:sz="0" w:space="0" w:color="auto"/>
                        <w:right w:val="none" w:sz="0" w:space="0" w:color="auto"/>
                      </w:divBdr>
                    </w:div>
                  </w:divsChild>
                </w:div>
                <w:div w:id="174535930">
                  <w:marLeft w:val="0"/>
                  <w:marRight w:val="0"/>
                  <w:marTop w:val="0"/>
                  <w:marBottom w:val="0"/>
                  <w:divBdr>
                    <w:top w:val="none" w:sz="0" w:space="0" w:color="auto"/>
                    <w:left w:val="none" w:sz="0" w:space="0" w:color="auto"/>
                    <w:bottom w:val="none" w:sz="0" w:space="0" w:color="auto"/>
                    <w:right w:val="none" w:sz="0" w:space="0" w:color="auto"/>
                  </w:divBdr>
                  <w:divsChild>
                    <w:div w:id="519047753">
                      <w:marLeft w:val="0"/>
                      <w:marRight w:val="0"/>
                      <w:marTop w:val="0"/>
                      <w:marBottom w:val="0"/>
                      <w:divBdr>
                        <w:top w:val="none" w:sz="0" w:space="0" w:color="auto"/>
                        <w:left w:val="none" w:sz="0" w:space="0" w:color="auto"/>
                        <w:bottom w:val="none" w:sz="0" w:space="0" w:color="auto"/>
                        <w:right w:val="none" w:sz="0" w:space="0" w:color="auto"/>
                      </w:divBdr>
                    </w:div>
                  </w:divsChild>
                </w:div>
                <w:div w:id="365910141">
                  <w:marLeft w:val="0"/>
                  <w:marRight w:val="0"/>
                  <w:marTop w:val="0"/>
                  <w:marBottom w:val="0"/>
                  <w:divBdr>
                    <w:top w:val="none" w:sz="0" w:space="0" w:color="auto"/>
                    <w:left w:val="none" w:sz="0" w:space="0" w:color="auto"/>
                    <w:bottom w:val="none" w:sz="0" w:space="0" w:color="auto"/>
                    <w:right w:val="none" w:sz="0" w:space="0" w:color="auto"/>
                  </w:divBdr>
                  <w:divsChild>
                    <w:div w:id="1730373773">
                      <w:marLeft w:val="0"/>
                      <w:marRight w:val="0"/>
                      <w:marTop w:val="0"/>
                      <w:marBottom w:val="0"/>
                      <w:divBdr>
                        <w:top w:val="none" w:sz="0" w:space="0" w:color="auto"/>
                        <w:left w:val="none" w:sz="0" w:space="0" w:color="auto"/>
                        <w:bottom w:val="none" w:sz="0" w:space="0" w:color="auto"/>
                        <w:right w:val="none" w:sz="0" w:space="0" w:color="auto"/>
                      </w:divBdr>
                    </w:div>
                  </w:divsChild>
                </w:div>
                <w:div w:id="201599111">
                  <w:marLeft w:val="0"/>
                  <w:marRight w:val="0"/>
                  <w:marTop w:val="0"/>
                  <w:marBottom w:val="0"/>
                  <w:divBdr>
                    <w:top w:val="none" w:sz="0" w:space="0" w:color="auto"/>
                    <w:left w:val="none" w:sz="0" w:space="0" w:color="auto"/>
                    <w:bottom w:val="none" w:sz="0" w:space="0" w:color="auto"/>
                    <w:right w:val="none" w:sz="0" w:space="0" w:color="auto"/>
                  </w:divBdr>
                  <w:divsChild>
                    <w:div w:id="1525054837">
                      <w:marLeft w:val="0"/>
                      <w:marRight w:val="0"/>
                      <w:marTop w:val="0"/>
                      <w:marBottom w:val="0"/>
                      <w:divBdr>
                        <w:top w:val="none" w:sz="0" w:space="0" w:color="auto"/>
                        <w:left w:val="none" w:sz="0" w:space="0" w:color="auto"/>
                        <w:bottom w:val="none" w:sz="0" w:space="0" w:color="auto"/>
                        <w:right w:val="none" w:sz="0" w:space="0" w:color="auto"/>
                      </w:divBdr>
                    </w:div>
                  </w:divsChild>
                </w:div>
                <w:div w:id="561410954">
                  <w:marLeft w:val="0"/>
                  <w:marRight w:val="0"/>
                  <w:marTop w:val="0"/>
                  <w:marBottom w:val="0"/>
                  <w:divBdr>
                    <w:top w:val="none" w:sz="0" w:space="0" w:color="auto"/>
                    <w:left w:val="none" w:sz="0" w:space="0" w:color="auto"/>
                    <w:bottom w:val="none" w:sz="0" w:space="0" w:color="auto"/>
                    <w:right w:val="none" w:sz="0" w:space="0" w:color="auto"/>
                  </w:divBdr>
                  <w:divsChild>
                    <w:div w:id="1559053921">
                      <w:marLeft w:val="0"/>
                      <w:marRight w:val="0"/>
                      <w:marTop w:val="0"/>
                      <w:marBottom w:val="0"/>
                      <w:divBdr>
                        <w:top w:val="none" w:sz="0" w:space="0" w:color="auto"/>
                        <w:left w:val="none" w:sz="0" w:space="0" w:color="auto"/>
                        <w:bottom w:val="none" w:sz="0" w:space="0" w:color="auto"/>
                        <w:right w:val="none" w:sz="0" w:space="0" w:color="auto"/>
                      </w:divBdr>
                    </w:div>
                  </w:divsChild>
                </w:div>
                <w:div w:id="214782230">
                  <w:marLeft w:val="0"/>
                  <w:marRight w:val="0"/>
                  <w:marTop w:val="0"/>
                  <w:marBottom w:val="0"/>
                  <w:divBdr>
                    <w:top w:val="none" w:sz="0" w:space="0" w:color="auto"/>
                    <w:left w:val="none" w:sz="0" w:space="0" w:color="auto"/>
                    <w:bottom w:val="none" w:sz="0" w:space="0" w:color="auto"/>
                    <w:right w:val="none" w:sz="0" w:space="0" w:color="auto"/>
                  </w:divBdr>
                  <w:divsChild>
                    <w:div w:id="248662805">
                      <w:marLeft w:val="0"/>
                      <w:marRight w:val="0"/>
                      <w:marTop w:val="0"/>
                      <w:marBottom w:val="0"/>
                      <w:divBdr>
                        <w:top w:val="none" w:sz="0" w:space="0" w:color="auto"/>
                        <w:left w:val="none" w:sz="0" w:space="0" w:color="auto"/>
                        <w:bottom w:val="none" w:sz="0" w:space="0" w:color="auto"/>
                        <w:right w:val="none" w:sz="0" w:space="0" w:color="auto"/>
                      </w:divBdr>
                    </w:div>
                  </w:divsChild>
                </w:div>
                <w:div w:id="773012135">
                  <w:marLeft w:val="0"/>
                  <w:marRight w:val="0"/>
                  <w:marTop w:val="0"/>
                  <w:marBottom w:val="0"/>
                  <w:divBdr>
                    <w:top w:val="none" w:sz="0" w:space="0" w:color="auto"/>
                    <w:left w:val="none" w:sz="0" w:space="0" w:color="auto"/>
                    <w:bottom w:val="none" w:sz="0" w:space="0" w:color="auto"/>
                    <w:right w:val="none" w:sz="0" w:space="0" w:color="auto"/>
                  </w:divBdr>
                  <w:divsChild>
                    <w:div w:id="1480463392">
                      <w:marLeft w:val="0"/>
                      <w:marRight w:val="0"/>
                      <w:marTop w:val="0"/>
                      <w:marBottom w:val="0"/>
                      <w:divBdr>
                        <w:top w:val="none" w:sz="0" w:space="0" w:color="auto"/>
                        <w:left w:val="none" w:sz="0" w:space="0" w:color="auto"/>
                        <w:bottom w:val="none" w:sz="0" w:space="0" w:color="auto"/>
                        <w:right w:val="none" w:sz="0" w:space="0" w:color="auto"/>
                      </w:divBdr>
                    </w:div>
                  </w:divsChild>
                </w:div>
                <w:div w:id="983970603">
                  <w:marLeft w:val="0"/>
                  <w:marRight w:val="0"/>
                  <w:marTop w:val="0"/>
                  <w:marBottom w:val="0"/>
                  <w:divBdr>
                    <w:top w:val="none" w:sz="0" w:space="0" w:color="auto"/>
                    <w:left w:val="none" w:sz="0" w:space="0" w:color="auto"/>
                    <w:bottom w:val="none" w:sz="0" w:space="0" w:color="auto"/>
                    <w:right w:val="none" w:sz="0" w:space="0" w:color="auto"/>
                  </w:divBdr>
                  <w:divsChild>
                    <w:div w:id="1106190243">
                      <w:marLeft w:val="0"/>
                      <w:marRight w:val="0"/>
                      <w:marTop w:val="0"/>
                      <w:marBottom w:val="0"/>
                      <w:divBdr>
                        <w:top w:val="none" w:sz="0" w:space="0" w:color="auto"/>
                        <w:left w:val="none" w:sz="0" w:space="0" w:color="auto"/>
                        <w:bottom w:val="none" w:sz="0" w:space="0" w:color="auto"/>
                        <w:right w:val="none" w:sz="0" w:space="0" w:color="auto"/>
                      </w:divBdr>
                    </w:div>
                  </w:divsChild>
                </w:div>
                <w:div w:id="1375613786">
                  <w:marLeft w:val="0"/>
                  <w:marRight w:val="0"/>
                  <w:marTop w:val="0"/>
                  <w:marBottom w:val="0"/>
                  <w:divBdr>
                    <w:top w:val="none" w:sz="0" w:space="0" w:color="auto"/>
                    <w:left w:val="none" w:sz="0" w:space="0" w:color="auto"/>
                    <w:bottom w:val="none" w:sz="0" w:space="0" w:color="auto"/>
                    <w:right w:val="none" w:sz="0" w:space="0" w:color="auto"/>
                  </w:divBdr>
                  <w:divsChild>
                    <w:div w:id="278998201">
                      <w:marLeft w:val="0"/>
                      <w:marRight w:val="0"/>
                      <w:marTop w:val="0"/>
                      <w:marBottom w:val="0"/>
                      <w:divBdr>
                        <w:top w:val="none" w:sz="0" w:space="0" w:color="auto"/>
                        <w:left w:val="none" w:sz="0" w:space="0" w:color="auto"/>
                        <w:bottom w:val="none" w:sz="0" w:space="0" w:color="auto"/>
                        <w:right w:val="none" w:sz="0" w:space="0" w:color="auto"/>
                      </w:divBdr>
                    </w:div>
                  </w:divsChild>
                </w:div>
                <w:div w:id="2034106644">
                  <w:marLeft w:val="0"/>
                  <w:marRight w:val="0"/>
                  <w:marTop w:val="0"/>
                  <w:marBottom w:val="0"/>
                  <w:divBdr>
                    <w:top w:val="none" w:sz="0" w:space="0" w:color="auto"/>
                    <w:left w:val="none" w:sz="0" w:space="0" w:color="auto"/>
                    <w:bottom w:val="none" w:sz="0" w:space="0" w:color="auto"/>
                    <w:right w:val="none" w:sz="0" w:space="0" w:color="auto"/>
                  </w:divBdr>
                  <w:divsChild>
                    <w:div w:id="631667544">
                      <w:marLeft w:val="0"/>
                      <w:marRight w:val="0"/>
                      <w:marTop w:val="0"/>
                      <w:marBottom w:val="0"/>
                      <w:divBdr>
                        <w:top w:val="none" w:sz="0" w:space="0" w:color="auto"/>
                        <w:left w:val="none" w:sz="0" w:space="0" w:color="auto"/>
                        <w:bottom w:val="none" w:sz="0" w:space="0" w:color="auto"/>
                        <w:right w:val="none" w:sz="0" w:space="0" w:color="auto"/>
                      </w:divBdr>
                    </w:div>
                  </w:divsChild>
                </w:div>
                <w:div w:id="84812821">
                  <w:marLeft w:val="0"/>
                  <w:marRight w:val="0"/>
                  <w:marTop w:val="0"/>
                  <w:marBottom w:val="0"/>
                  <w:divBdr>
                    <w:top w:val="none" w:sz="0" w:space="0" w:color="auto"/>
                    <w:left w:val="none" w:sz="0" w:space="0" w:color="auto"/>
                    <w:bottom w:val="none" w:sz="0" w:space="0" w:color="auto"/>
                    <w:right w:val="none" w:sz="0" w:space="0" w:color="auto"/>
                  </w:divBdr>
                  <w:divsChild>
                    <w:div w:id="1987971923">
                      <w:marLeft w:val="0"/>
                      <w:marRight w:val="0"/>
                      <w:marTop w:val="0"/>
                      <w:marBottom w:val="0"/>
                      <w:divBdr>
                        <w:top w:val="none" w:sz="0" w:space="0" w:color="auto"/>
                        <w:left w:val="none" w:sz="0" w:space="0" w:color="auto"/>
                        <w:bottom w:val="none" w:sz="0" w:space="0" w:color="auto"/>
                        <w:right w:val="none" w:sz="0" w:space="0" w:color="auto"/>
                      </w:divBdr>
                    </w:div>
                  </w:divsChild>
                </w:div>
                <w:div w:id="408119787">
                  <w:marLeft w:val="0"/>
                  <w:marRight w:val="0"/>
                  <w:marTop w:val="0"/>
                  <w:marBottom w:val="0"/>
                  <w:divBdr>
                    <w:top w:val="none" w:sz="0" w:space="0" w:color="auto"/>
                    <w:left w:val="none" w:sz="0" w:space="0" w:color="auto"/>
                    <w:bottom w:val="none" w:sz="0" w:space="0" w:color="auto"/>
                    <w:right w:val="none" w:sz="0" w:space="0" w:color="auto"/>
                  </w:divBdr>
                  <w:divsChild>
                    <w:div w:id="1312828530">
                      <w:marLeft w:val="0"/>
                      <w:marRight w:val="0"/>
                      <w:marTop w:val="0"/>
                      <w:marBottom w:val="0"/>
                      <w:divBdr>
                        <w:top w:val="none" w:sz="0" w:space="0" w:color="auto"/>
                        <w:left w:val="none" w:sz="0" w:space="0" w:color="auto"/>
                        <w:bottom w:val="none" w:sz="0" w:space="0" w:color="auto"/>
                        <w:right w:val="none" w:sz="0" w:space="0" w:color="auto"/>
                      </w:divBdr>
                    </w:div>
                  </w:divsChild>
                </w:div>
                <w:div w:id="1245338464">
                  <w:marLeft w:val="0"/>
                  <w:marRight w:val="0"/>
                  <w:marTop w:val="0"/>
                  <w:marBottom w:val="0"/>
                  <w:divBdr>
                    <w:top w:val="none" w:sz="0" w:space="0" w:color="auto"/>
                    <w:left w:val="none" w:sz="0" w:space="0" w:color="auto"/>
                    <w:bottom w:val="none" w:sz="0" w:space="0" w:color="auto"/>
                    <w:right w:val="none" w:sz="0" w:space="0" w:color="auto"/>
                  </w:divBdr>
                  <w:divsChild>
                    <w:div w:id="83188414">
                      <w:marLeft w:val="0"/>
                      <w:marRight w:val="0"/>
                      <w:marTop w:val="0"/>
                      <w:marBottom w:val="0"/>
                      <w:divBdr>
                        <w:top w:val="none" w:sz="0" w:space="0" w:color="auto"/>
                        <w:left w:val="none" w:sz="0" w:space="0" w:color="auto"/>
                        <w:bottom w:val="none" w:sz="0" w:space="0" w:color="auto"/>
                        <w:right w:val="none" w:sz="0" w:space="0" w:color="auto"/>
                      </w:divBdr>
                    </w:div>
                  </w:divsChild>
                </w:div>
                <w:div w:id="421688549">
                  <w:marLeft w:val="0"/>
                  <w:marRight w:val="0"/>
                  <w:marTop w:val="0"/>
                  <w:marBottom w:val="0"/>
                  <w:divBdr>
                    <w:top w:val="none" w:sz="0" w:space="0" w:color="auto"/>
                    <w:left w:val="none" w:sz="0" w:space="0" w:color="auto"/>
                    <w:bottom w:val="none" w:sz="0" w:space="0" w:color="auto"/>
                    <w:right w:val="none" w:sz="0" w:space="0" w:color="auto"/>
                  </w:divBdr>
                  <w:divsChild>
                    <w:div w:id="5990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3305">
          <w:marLeft w:val="0"/>
          <w:marRight w:val="0"/>
          <w:marTop w:val="0"/>
          <w:marBottom w:val="0"/>
          <w:divBdr>
            <w:top w:val="none" w:sz="0" w:space="0" w:color="auto"/>
            <w:left w:val="none" w:sz="0" w:space="0" w:color="auto"/>
            <w:bottom w:val="none" w:sz="0" w:space="0" w:color="auto"/>
            <w:right w:val="none" w:sz="0" w:space="0" w:color="auto"/>
          </w:divBdr>
        </w:div>
      </w:divsChild>
    </w:div>
    <w:div w:id="1568568533">
      <w:bodyDiv w:val="1"/>
      <w:marLeft w:val="0"/>
      <w:marRight w:val="0"/>
      <w:marTop w:val="0"/>
      <w:marBottom w:val="0"/>
      <w:divBdr>
        <w:top w:val="none" w:sz="0" w:space="0" w:color="auto"/>
        <w:left w:val="none" w:sz="0" w:space="0" w:color="auto"/>
        <w:bottom w:val="none" w:sz="0" w:space="0" w:color="auto"/>
        <w:right w:val="none" w:sz="0" w:space="0" w:color="auto"/>
      </w:divBdr>
      <w:divsChild>
        <w:div w:id="912131388">
          <w:marLeft w:val="274"/>
          <w:marRight w:val="0"/>
          <w:marTop w:val="0"/>
          <w:marBottom w:val="0"/>
          <w:divBdr>
            <w:top w:val="none" w:sz="0" w:space="0" w:color="auto"/>
            <w:left w:val="none" w:sz="0" w:space="0" w:color="auto"/>
            <w:bottom w:val="none" w:sz="0" w:space="0" w:color="auto"/>
            <w:right w:val="none" w:sz="0" w:space="0" w:color="auto"/>
          </w:divBdr>
        </w:div>
      </w:divsChild>
    </w:div>
    <w:div w:id="1569027624">
      <w:bodyDiv w:val="1"/>
      <w:marLeft w:val="0"/>
      <w:marRight w:val="0"/>
      <w:marTop w:val="0"/>
      <w:marBottom w:val="0"/>
      <w:divBdr>
        <w:top w:val="none" w:sz="0" w:space="0" w:color="auto"/>
        <w:left w:val="none" w:sz="0" w:space="0" w:color="auto"/>
        <w:bottom w:val="none" w:sz="0" w:space="0" w:color="auto"/>
        <w:right w:val="none" w:sz="0" w:space="0" w:color="auto"/>
      </w:divBdr>
      <w:divsChild>
        <w:div w:id="16472930">
          <w:marLeft w:val="274"/>
          <w:marRight w:val="0"/>
          <w:marTop w:val="0"/>
          <w:marBottom w:val="0"/>
          <w:divBdr>
            <w:top w:val="none" w:sz="0" w:space="0" w:color="auto"/>
            <w:left w:val="none" w:sz="0" w:space="0" w:color="auto"/>
            <w:bottom w:val="none" w:sz="0" w:space="0" w:color="auto"/>
            <w:right w:val="none" w:sz="0" w:space="0" w:color="auto"/>
          </w:divBdr>
        </w:div>
      </w:divsChild>
    </w:div>
    <w:div w:id="1576551186">
      <w:bodyDiv w:val="1"/>
      <w:marLeft w:val="0"/>
      <w:marRight w:val="0"/>
      <w:marTop w:val="0"/>
      <w:marBottom w:val="0"/>
      <w:divBdr>
        <w:top w:val="none" w:sz="0" w:space="0" w:color="auto"/>
        <w:left w:val="none" w:sz="0" w:space="0" w:color="auto"/>
        <w:bottom w:val="none" w:sz="0" w:space="0" w:color="auto"/>
        <w:right w:val="none" w:sz="0" w:space="0" w:color="auto"/>
      </w:divBdr>
    </w:div>
    <w:div w:id="1609042596">
      <w:bodyDiv w:val="1"/>
      <w:marLeft w:val="0"/>
      <w:marRight w:val="0"/>
      <w:marTop w:val="0"/>
      <w:marBottom w:val="0"/>
      <w:divBdr>
        <w:top w:val="none" w:sz="0" w:space="0" w:color="auto"/>
        <w:left w:val="none" w:sz="0" w:space="0" w:color="auto"/>
        <w:bottom w:val="none" w:sz="0" w:space="0" w:color="auto"/>
        <w:right w:val="none" w:sz="0" w:space="0" w:color="auto"/>
      </w:divBdr>
      <w:divsChild>
        <w:div w:id="958999316">
          <w:marLeft w:val="274"/>
          <w:marRight w:val="0"/>
          <w:marTop w:val="0"/>
          <w:marBottom w:val="0"/>
          <w:divBdr>
            <w:top w:val="none" w:sz="0" w:space="0" w:color="auto"/>
            <w:left w:val="none" w:sz="0" w:space="0" w:color="auto"/>
            <w:bottom w:val="none" w:sz="0" w:space="0" w:color="auto"/>
            <w:right w:val="none" w:sz="0" w:space="0" w:color="auto"/>
          </w:divBdr>
        </w:div>
        <w:div w:id="383994413">
          <w:marLeft w:val="274"/>
          <w:marRight w:val="0"/>
          <w:marTop w:val="0"/>
          <w:marBottom w:val="0"/>
          <w:divBdr>
            <w:top w:val="none" w:sz="0" w:space="0" w:color="auto"/>
            <w:left w:val="none" w:sz="0" w:space="0" w:color="auto"/>
            <w:bottom w:val="none" w:sz="0" w:space="0" w:color="auto"/>
            <w:right w:val="none" w:sz="0" w:space="0" w:color="auto"/>
          </w:divBdr>
        </w:div>
        <w:div w:id="1350571726">
          <w:marLeft w:val="274"/>
          <w:marRight w:val="0"/>
          <w:marTop w:val="0"/>
          <w:marBottom w:val="0"/>
          <w:divBdr>
            <w:top w:val="none" w:sz="0" w:space="0" w:color="auto"/>
            <w:left w:val="none" w:sz="0" w:space="0" w:color="auto"/>
            <w:bottom w:val="none" w:sz="0" w:space="0" w:color="auto"/>
            <w:right w:val="none" w:sz="0" w:space="0" w:color="auto"/>
          </w:divBdr>
        </w:div>
        <w:div w:id="1723481869">
          <w:marLeft w:val="274"/>
          <w:marRight w:val="0"/>
          <w:marTop w:val="0"/>
          <w:marBottom w:val="0"/>
          <w:divBdr>
            <w:top w:val="none" w:sz="0" w:space="0" w:color="auto"/>
            <w:left w:val="none" w:sz="0" w:space="0" w:color="auto"/>
            <w:bottom w:val="none" w:sz="0" w:space="0" w:color="auto"/>
            <w:right w:val="none" w:sz="0" w:space="0" w:color="auto"/>
          </w:divBdr>
        </w:div>
        <w:div w:id="1608343216">
          <w:marLeft w:val="274"/>
          <w:marRight w:val="0"/>
          <w:marTop w:val="0"/>
          <w:marBottom w:val="0"/>
          <w:divBdr>
            <w:top w:val="none" w:sz="0" w:space="0" w:color="auto"/>
            <w:left w:val="none" w:sz="0" w:space="0" w:color="auto"/>
            <w:bottom w:val="none" w:sz="0" w:space="0" w:color="auto"/>
            <w:right w:val="none" w:sz="0" w:space="0" w:color="auto"/>
          </w:divBdr>
        </w:div>
        <w:div w:id="1681807518">
          <w:marLeft w:val="274"/>
          <w:marRight w:val="0"/>
          <w:marTop w:val="0"/>
          <w:marBottom w:val="0"/>
          <w:divBdr>
            <w:top w:val="none" w:sz="0" w:space="0" w:color="auto"/>
            <w:left w:val="none" w:sz="0" w:space="0" w:color="auto"/>
            <w:bottom w:val="none" w:sz="0" w:space="0" w:color="auto"/>
            <w:right w:val="none" w:sz="0" w:space="0" w:color="auto"/>
          </w:divBdr>
        </w:div>
        <w:div w:id="826625747">
          <w:marLeft w:val="274"/>
          <w:marRight w:val="0"/>
          <w:marTop w:val="0"/>
          <w:marBottom w:val="0"/>
          <w:divBdr>
            <w:top w:val="none" w:sz="0" w:space="0" w:color="auto"/>
            <w:left w:val="none" w:sz="0" w:space="0" w:color="auto"/>
            <w:bottom w:val="none" w:sz="0" w:space="0" w:color="auto"/>
            <w:right w:val="none" w:sz="0" w:space="0" w:color="auto"/>
          </w:divBdr>
        </w:div>
        <w:div w:id="1706100170">
          <w:marLeft w:val="274"/>
          <w:marRight w:val="0"/>
          <w:marTop w:val="0"/>
          <w:marBottom w:val="0"/>
          <w:divBdr>
            <w:top w:val="none" w:sz="0" w:space="0" w:color="auto"/>
            <w:left w:val="none" w:sz="0" w:space="0" w:color="auto"/>
            <w:bottom w:val="none" w:sz="0" w:space="0" w:color="auto"/>
            <w:right w:val="none" w:sz="0" w:space="0" w:color="auto"/>
          </w:divBdr>
        </w:div>
        <w:div w:id="1892494111">
          <w:marLeft w:val="274"/>
          <w:marRight w:val="0"/>
          <w:marTop w:val="0"/>
          <w:marBottom w:val="0"/>
          <w:divBdr>
            <w:top w:val="none" w:sz="0" w:space="0" w:color="auto"/>
            <w:left w:val="none" w:sz="0" w:space="0" w:color="auto"/>
            <w:bottom w:val="none" w:sz="0" w:space="0" w:color="auto"/>
            <w:right w:val="none" w:sz="0" w:space="0" w:color="auto"/>
          </w:divBdr>
        </w:div>
        <w:div w:id="1706130089">
          <w:marLeft w:val="274"/>
          <w:marRight w:val="0"/>
          <w:marTop w:val="0"/>
          <w:marBottom w:val="0"/>
          <w:divBdr>
            <w:top w:val="none" w:sz="0" w:space="0" w:color="auto"/>
            <w:left w:val="none" w:sz="0" w:space="0" w:color="auto"/>
            <w:bottom w:val="none" w:sz="0" w:space="0" w:color="auto"/>
            <w:right w:val="none" w:sz="0" w:space="0" w:color="auto"/>
          </w:divBdr>
        </w:div>
        <w:div w:id="1278682406">
          <w:marLeft w:val="274"/>
          <w:marRight w:val="0"/>
          <w:marTop w:val="0"/>
          <w:marBottom w:val="0"/>
          <w:divBdr>
            <w:top w:val="none" w:sz="0" w:space="0" w:color="auto"/>
            <w:left w:val="none" w:sz="0" w:space="0" w:color="auto"/>
            <w:bottom w:val="none" w:sz="0" w:space="0" w:color="auto"/>
            <w:right w:val="none" w:sz="0" w:space="0" w:color="auto"/>
          </w:divBdr>
        </w:div>
      </w:divsChild>
    </w:div>
    <w:div w:id="1620256216">
      <w:bodyDiv w:val="1"/>
      <w:marLeft w:val="0"/>
      <w:marRight w:val="0"/>
      <w:marTop w:val="0"/>
      <w:marBottom w:val="0"/>
      <w:divBdr>
        <w:top w:val="none" w:sz="0" w:space="0" w:color="auto"/>
        <w:left w:val="none" w:sz="0" w:space="0" w:color="auto"/>
        <w:bottom w:val="none" w:sz="0" w:space="0" w:color="auto"/>
        <w:right w:val="none" w:sz="0" w:space="0" w:color="auto"/>
      </w:divBdr>
    </w:div>
    <w:div w:id="1623003088">
      <w:bodyDiv w:val="1"/>
      <w:marLeft w:val="0"/>
      <w:marRight w:val="0"/>
      <w:marTop w:val="0"/>
      <w:marBottom w:val="0"/>
      <w:divBdr>
        <w:top w:val="none" w:sz="0" w:space="0" w:color="auto"/>
        <w:left w:val="none" w:sz="0" w:space="0" w:color="auto"/>
        <w:bottom w:val="none" w:sz="0" w:space="0" w:color="auto"/>
        <w:right w:val="none" w:sz="0" w:space="0" w:color="auto"/>
      </w:divBdr>
    </w:div>
    <w:div w:id="1625497128">
      <w:bodyDiv w:val="1"/>
      <w:marLeft w:val="0"/>
      <w:marRight w:val="0"/>
      <w:marTop w:val="0"/>
      <w:marBottom w:val="0"/>
      <w:divBdr>
        <w:top w:val="none" w:sz="0" w:space="0" w:color="auto"/>
        <w:left w:val="none" w:sz="0" w:space="0" w:color="auto"/>
        <w:bottom w:val="none" w:sz="0" w:space="0" w:color="auto"/>
        <w:right w:val="none" w:sz="0" w:space="0" w:color="auto"/>
      </w:divBdr>
    </w:div>
    <w:div w:id="1626736627">
      <w:bodyDiv w:val="1"/>
      <w:marLeft w:val="0"/>
      <w:marRight w:val="0"/>
      <w:marTop w:val="0"/>
      <w:marBottom w:val="0"/>
      <w:divBdr>
        <w:top w:val="none" w:sz="0" w:space="0" w:color="auto"/>
        <w:left w:val="none" w:sz="0" w:space="0" w:color="auto"/>
        <w:bottom w:val="none" w:sz="0" w:space="0" w:color="auto"/>
        <w:right w:val="none" w:sz="0" w:space="0" w:color="auto"/>
      </w:divBdr>
      <w:divsChild>
        <w:div w:id="1190265099">
          <w:marLeft w:val="274"/>
          <w:marRight w:val="0"/>
          <w:marTop w:val="0"/>
          <w:marBottom w:val="0"/>
          <w:divBdr>
            <w:top w:val="none" w:sz="0" w:space="0" w:color="auto"/>
            <w:left w:val="none" w:sz="0" w:space="0" w:color="auto"/>
            <w:bottom w:val="none" w:sz="0" w:space="0" w:color="auto"/>
            <w:right w:val="none" w:sz="0" w:space="0" w:color="auto"/>
          </w:divBdr>
        </w:div>
        <w:div w:id="985159429">
          <w:marLeft w:val="274"/>
          <w:marRight w:val="0"/>
          <w:marTop w:val="0"/>
          <w:marBottom w:val="0"/>
          <w:divBdr>
            <w:top w:val="none" w:sz="0" w:space="0" w:color="auto"/>
            <w:left w:val="none" w:sz="0" w:space="0" w:color="auto"/>
            <w:bottom w:val="none" w:sz="0" w:space="0" w:color="auto"/>
            <w:right w:val="none" w:sz="0" w:space="0" w:color="auto"/>
          </w:divBdr>
        </w:div>
        <w:div w:id="1539390281">
          <w:marLeft w:val="274"/>
          <w:marRight w:val="0"/>
          <w:marTop w:val="0"/>
          <w:marBottom w:val="0"/>
          <w:divBdr>
            <w:top w:val="none" w:sz="0" w:space="0" w:color="auto"/>
            <w:left w:val="none" w:sz="0" w:space="0" w:color="auto"/>
            <w:bottom w:val="none" w:sz="0" w:space="0" w:color="auto"/>
            <w:right w:val="none" w:sz="0" w:space="0" w:color="auto"/>
          </w:divBdr>
        </w:div>
        <w:div w:id="861866557">
          <w:marLeft w:val="274"/>
          <w:marRight w:val="0"/>
          <w:marTop w:val="0"/>
          <w:marBottom w:val="0"/>
          <w:divBdr>
            <w:top w:val="none" w:sz="0" w:space="0" w:color="auto"/>
            <w:left w:val="none" w:sz="0" w:space="0" w:color="auto"/>
            <w:bottom w:val="none" w:sz="0" w:space="0" w:color="auto"/>
            <w:right w:val="none" w:sz="0" w:space="0" w:color="auto"/>
          </w:divBdr>
        </w:div>
        <w:div w:id="214583337">
          <w:marLeft w:val="274"/>
          <w:marRight w:val="0"/>
          <w:marTop w:val="0"/>
          <w:marBottom w:val="0"/>
          <w:divBdr>
            <w:top w:val="none" w:sz="0" w:space="0" w:color="auto"/>
            <w:left w:val="none" w:sz="0" w:space="0" w:color="auto"/>
            <w:bottom w:val="none" w:sz="0" w:space="0" w:color="auto"/>
            <w:right w:val="none" w:sz="0" w:space="0" w:color="auto"/>
          </w:divBdr>
        </w:div>
      </w:divsChild>
    </w:div>
    <w:div w:id="1642886999">
      <w:bodyDiv w:val="1"/>
      <w:marLeft w:val="0"/>
      <w:marRight w:val="0"/>
      <w:marTop w:val="0"/>
      <w:marBottom w:val="0"/>
      <w:divBdr>
        <w:top w:val="none" w:sz="0" w:space="0" w:color="auto"/>
        <w:left w:val="none" w:sz="0" w:space="0" w:color="auto"/>
        <w:bottom w:val="none" w:sz="0" w:space="0" w:color="auto"/>
        <w:right w:val="none" w:sz="0" w:space="0" w:color="auto"/>
      </w:divBdr>
      <w:divsChild>
        <w:div w:id="494692143">
          <w:marLeft w:val="0"/>
          <w:marRight w:val="0"/>
          <w:marTop w:val="0"/>
          <w:marBottom w:val="0"/>
          <w:divBdr>
            <w:top w:val="none" w:sz="0" w:space="0" w:color="auto"/>
            <w:left w:val="none" w:sz="0" w:space="0" w:color="auto"/>
            <w:bottom w:val="none" w:sz="0" w:space="0" w:color="auto"/>
            <w:right w:val="none" w:sz="0" w:space="0" w:color="auto"/>
          </w:divBdr>
        </w:div>
        <w:div w:id="696391428">
          <w:marLeft w:val="0"/>
          <w:marRight w:val="0"/>
          <w:marTop w:val="0"/>
          <w:marBottom w:val="0"/>
          <w:divBdr>
            <w:top w:val="none" w:sz="0" w:space="0" w:color="auto"/>
            <w:left w:val="none" w:sz="0" w:space="0" w:color="auto"/>
            <w:bottom w:val="none" w:sz="0" w:space="0" w:color="auto"/>
            <w:right w:val="none" w:sz="0" w:space="0" w:color="auto"/>
          </w:divBdr>
        </w:div>
        <w:div w:id="148836193">
          <w:marLeft w:val="0"/>
          <w:marRight w:val="0"/>
          <w:marTop w:val="0"/>
          <w:marBottom w:val="0"/>
          <w:divBdr>
            <w:top w:val="none" w:sz="0" w:space="0" w:color="auto"/>
            <w:left w:val="none" w:sz="0" w:space="0" w:color="auto"/>
            <w:bottom w:val="none" w:sz="0" w:space="0" w:color="auto"/>
            <w:right w:val="none" w:sz="0" w:space="0" w:color="auto"/>
          </w:divBdr>
        </w:div>
        <w:div w:id="1374695685">
          <w:marLeft w:val="0"/>
          <w:marRight w:val="0"/>
          <w:marTop w:val="0"/>
          <w:marBottom w:val="0"/>
          <w:divBdr>
            <w:top w:val="none" w:sz="0" w:space="0" w:color="auto"/>
            <w:left w:val="none" w:sz="0" w:space="0" w:color="auto"/>
            <w:bottom w:val="none" w:sz="0" w:space="0" w:color="auto"/>
            <w:right w:val="none" w:sz="0" w:space="0" w:color="auto"/>
          </w:divBdr>
          <w:divsChild>
            <w:div w:id="355235013">
              <w:marLeft w:val="-75"/>
              <w:marRight w:val="0"/>
              <w:marTop w:val="30"/>
              <w:marBottom w:val="30"/>
              <w:divBdr>
                <w:top w:val="none" w:sz="0" w:space="0" w:color="auto"/>
                <w:left w:val="none" w:sz="0" w:space="0" w:color="auto"/>
                <w:bottom w:val="none" w:sz="0" w:space="0" w:color="auto"/>
                <w:right w:val="none" w:sz="0" w:space="0" w:color="auto"/>
              </w:divBdr>
              <w:divsChild>
                <w:div w:id="1755975281">
                  <w:marLeft w:val="0"/>
                  <w:marRight w:val="0"/>
                  <w:marTop w:val="0"/>
                  <w:marBottom w:val="0"/>
                  <w:divBdr>
                    <w:top w:val="none" w:sz="0" w:space="0" w:color="auto"/>
                    <w:left w:val="none" w:sz="0" w:space="0" w:color="auto"/>
                    <w:bottom w:val="none" w:sz="0" w:space="0" w:color="auto"/>
                    <w:right w:val="none" w:sz="0" w:space="0" w:color="auto"/>
                  </w:divBdr>
                  <w:divsChild>
                    <w:div w:id="216287947">
                      <w:marLeft w:val="0"/>
                      <w:marRight w:val="0"/>
                      <w:marTop w:val="0"/>
                      <w:marBottom w:val="0"/>
                      <w:divBdr>
                        <w:top w:val="none" w:sz="0" w:space="0" w:color="auto"/>
                        <w:left w:val="none" w:sz="0" w:space="0" w:color="auto"/>
                        <w:bottom w:val="none" w:sz="0" w:space="0" w:color="auto"/>
                        <w:right w:val="none" w:sz="0" w:space="0" w:color="auto"/>
                      </w:divBdr>
                    </w:div>
                  </w:divsChild>
                </w:div>
                <w:div w:id="1884902255">
                  <w:marLeft w:val="0"/>
                  <w:marRight w:val="0"/>
                  <w:marTop w:val="0"/>
                  <w:marBottom w:val="0"/>
                  <w:divBdr>
                    <w:top w:val="none" w:sz="0" w:space="0" w:color="auto"/>
                    <w:left w:val="none" w:sz="0" w:space="0" w:color="auto"/>
                    <w:bottom w:val="none" w:sz="0" w:space="0" w:color="auto"/>
                    <w:right w:val="none" w:sz="0" w:space="0" w:color="auto"/>
                  </w:divBdr>
                  <w:divsChild>
                    <w:div w:id="177353865">
                      <w:marLeft w:val="0"/>
                      <w:marRight w:val="0"/>
                      <w:marTop w:val="0"/>
                      <w:marBottom w:val="0"/>
                      <w:divBdr>
                        <w:top w:val="none" w:sz="0" w:space="0" w:color="auto"/>
                        <w:left w:val="none" w:sz="0" w:space="0" w:color="auto"/>
                        <w:bottom w:val="none" w:sz="0" w:space="0" w:color="auto"/>
                        <w:right w:val="none" w:sz="0" w:space="0" w:color="auto"/>
                      </w:divBdr>
                    </w:div>
                  </w:divsChild>
                </w:div>
                <w:div w:id="334694569">
                  <w:marLeft w:val="0"/>
                  <w:marRight w:val="0"/>
                  <w:marTop w:val="0"/>
                  <w:marBottom w:val="0"/>
                  <w:divBdr>
                    <w:top w:val="none" w:sz="0" w:space="0" w:color="auto"/>
                    <w:left w:val="none" w:sz="0" w:space="0" w:color="auto"/>
                    <w:bottom w:val="none" w:sz="0" w:space="0" w:color="auto"/>
                    <w:right w:val="none" w:sz="0" w:space="0" w:color="auto"/>
                  </w:divBdr>
                  <w:divsChild>
                    <w:div w:id="1611282743">
                      <w:marLeft w:val="0"/>
                      <w:marRight w:val="0"/>
                      <w:marTop w:val="0"/>
                      <w:marBottom w:val="0"/>
                      <w:divBdr>
                        <w:top w:val="none" w:sz="0" w:space="0" w:color="auto"/>
                        <w:left w:val="none" w:sz="0" w:space="0" w:color="auto"/>
                        <w:bottom w:val="none" w:sz="0" w:space="0" w:color="auto"/>
                        <w:right w:val="none" w:sz="0" w:space="0" w:color="auto"/>
                      </w:divBdr>
                    </w:div>
                  </w:divsChild>
                </w:div>
                <w:div w:id="414398861">
                  <w:marLeft w:val="0"/>
                  <w:marRight w:val="0"/>
                  <w:marTop w:val="0"/>
                  <w:marBottom w:val="0"/>
                  <w:divBdr>
                    <w:top w:val="none" w:sz="0" w:space="0" w:color="auto"/>
                    <w:left w:val="none" w:sz="0" w:space="0" w:color="auto"/>
                    <w:bottom w:val="none" w:sz="0" w:space="0" w:color="auto"/>
                    <w:right w:val="none" w:sz="0" w:space="0" w:color="auto"/>
                  </w:divBdr>
                  <w:divsChild>
                    <w:div w:id="1260604582">
                      <w:marLeft w:val="0"/>
                      <w:marRight w:val="0"/>
                      <w:marTop w:val="0"/>
                      <w:marBottom w:val="0"/>
                      <w:divBdr>
                        <w:top w:val="none" w:sz="0" w:space="0" w:color="auto"/>
                        <w:left w:val="none" w:sz="0" w:space="0" w:color="auto"/>
                        <w:bottom w:val="none" w:sz="0" w:space="0" w:color="auto"/>
                        <w:right w:val="none" w:sz="0" w:space="0" w:color="auto"/>
                      </w:divBdr>
                    </w:div>
                  </w:divsChild>
                </w:div>
                <w:div w:id="2055691117">
                  <w:marLeft w:val="0"/>
                  <w:marRight w:val="0"/>
                  <w:marTop w:val="0"/>
                  <w:marBottom w:val="0"/>
                  <w:divBdr>
                    <w:top w:val="none" w:sz="0" w:space="0" w:color="auto"/>
                    <w:left w:val="none" w:sz="0" w:space="0" w:color="auto"/>
                    <w:bottom w:val="none" w:sz="0" w:space="0" w:color="auto"/>
                    <w:right w:val="none" w:sz="0" w:space="0" w:color="auto"/>
                  </w:divBdr>
                  <w:divsChild>
                    <w:div w:id="1735855815">
                      <w:marLeft w:val="0"/>
                      <w:marRight w:val="0"/>
                      <w:marTop w:val="0"/>
                      <w:marBottom w:val="0"/>
                      <w:divBdr>
                        <w:top w:val="none" w:sz="0" w:space="0" w:color="auto"/>
                        <w:left w:val="none" w:sz="0" w:space="0" w:color="auto"/>
                        <w:bottom w:val="none" w:sz="0" w:space="0" w:color="auto"/>
                        <w:right w:val="none" w:sz="0" w:space="0" w:color="auto"/>
                      </w:divBdr>
                    </w:div>
                  </w:divsChild>
                </w:div>
                <w:div w:id="1798714364">
                  <w:marLeft w:val="0"/>
                  <w:marRight w:val="0"/>
                  <w:marTop w:val="0"/>
                  <w:marBottom w:val="0"/>
                  <w:divBdr>
                    <w:top w:val="none" w:sz="0" w:space="0" w:color="auto"/>
                    <w:left w:val="none" w:sz="0" w:space="0" w:color="auto"/>
                    <w:bottom w:val="none" w:sz="0" w:space="0" w:color="auto"/>
                    <w:right w:val="none" w:sz="0" w:space="0" w:color="auto"/>
                  </w:divBdr>
                  <w:divsChild>
                    <w:div w:id="74405506">
                      <w:marLeft w:val="0"/>
                      <w:marRight w:val="0"/>
                      <w:marTop w:val="0"/>
                      <w:marBottom w:val="0"/>
                      <w:divBdr>
                        <w:top w:val="none" w:sz="0" w:space="0" w:color="auto"/>
                        <w:left w:val="none" w:sz="0" w:space="0" w:color="auto"/>
                        <w:bottom w:val="none" w:sz="0" w:space="0" w:color="auto"/>
                        <w:right w:val="none" w:sz="0" w:space="0" w:color="auto"/>
                      </w:divBdr>
                    </w:div>
                  </w:divsChild>
                </w:div>
                <w:div w:id="1828551392">
                  <w:marLeft w:val="0"/>
                  <w:marRight w:val="0"/>
                  <w:marTop w:val="0"/>
                  <w:marBottom w:val="0"/>
                  <w:divBdr>
                    <w:top w:val="none" w:sz="0" w:space="0" w:color="auto"/>
                    <w:left w:val="none" w:sz="0" w:space="0" w:color="auto"/>
                    <w:bottom w:val="none" w:sz="0" w:space="0" w:color="auto"/>
                    <w:right w:val="none" w:sz="0" w:space="0" w:color="auto"/>
                  </w:divBdr>
                  <w:divsChild>
                    <w:div w:id="1383017731">
                      <w:marLeft w:val="0"/>
                      <w:marRight w:val="0"/>
                      <w:marTop w:val="0"/>
                      <w:marBottom w:val="0"/>
                      <w:divBdr>
                        <w:top w:val="none" w:sz="0" w:space="0" w:color="auto"/>
                        <w:left w:val="none" w:sz="0" w:space="0" w:color="auto"/>
                        <w:bottom w:val="none" w:sz="0" w:space="0" w:color="auto"/>
                        <w:right w:val="none" w:sz="0" w:space="0" w:color="auto"/>
                      </w:divBdr>
                    </w:div>
                  </w:divsChild>
                </w:div>
                <w:div w:id="86007047">
                  <w:marLeft w:val="0"/>
                  <w:marRight w:val="0"/>
                  <w:marTop w:val="0"/>
                  <w:marBottom w:val="0"/>
                  <w:divBdr>
                    <w:top w:val="none" w:sz="0" w:space="0" w:color="auto"/>
                    <w:left w:val="none" w:sz="0" w:space="0" w:color="auto"/>
                    <w:bottom w:val="none" w:sz="0" w:space="0" w:color="auto"/>
                    <w:right w:val="none" w:sz="0" w:space="0" w:color="auto"/>
                  </w:divBdr>
                  <w:divsChild>
                    <w:div w:id="258150121">
                      <w:marLeft w:val="0"/>
                      <w:marRight w:val="0"/>
                      <w:marTop w:val="0"/>
                      <w:marBottom w:val="0"/>
                      <w:divBdr>
                        <w:top w:val="none" w:sz="0" w:space="0" w:color="auto"/>
                        <w:left w:val="none" w:sz="0" w:space="0" w:color="auto"/>
                        <w:bottom w:val="none" w:sz="0" w:space="0" w:color="auto"/>
                        <w:right w:val="none" w:sz="0" w:space="0" w:color="auto"/>
                      </w:divBdr>
                    </w:div>
                  </w:divsChild>
                </w:div>
                <w:div w:id="2095201592">
                  <w:marLeft w:val="0"/>
                  <w:marRight w:val="0"/>
                  <w:marTop w:val="0"/>
                  <w:marBottom w:val="0"/>
                  <w:divBdr>
                    <w:top w:val="none" w:sz="0" w:space="0" w:color="auto"/>
                    <w:left w:val="none" w:sz="0" w:space="0" w:color="auto"/>
                    <w:bottom w:val="none" w:sz="0" w:space="0" w:color="auto"/>
                    <w:right w:val="none" w:sz="0" w:space="0" w:color="auto"/>
                  </w:divBdr>
                  <w:divsChild>
                    <w:div w:id="1797792850">
                      <w:marLeft w:val="0"/>
                      <w:marRight w:val="0"/>
                      <w:marTop w:val="0"/>
                      <w:marBottom w:val="0"/>
                      <w:divBdr>
                        <w:top w:val="none" w:sz="0" w:space="0" w:color="auto"/>
                        <w:left w:val="none" w:sz="0" w:space="0" w:color="auto"/>
                        <w:bottom w:val="none" w:sz="0" w:space="0" w:color="auto"/>
                        <w:right w:val="none" w:sz="0" w:space="0" w:color="auto"/>
                      </w:divBdr>
                    </w:div>
                  </w:divsChild>
                </w:div>
                <w:div w:id="1731079894">
                  <w:marLeft w:val="0"/>
                  <w:marRight w:val="0"/>
                  <w:marTop w:val="0"/>
                  <w:marBottom w:val="0"/>
                  <w:divBdr>
                    <w:top w:val="none" w:sz="0" w:space="0" w:color="auto"/>
                    <w:left w:val="none" w:sz="0" w:space="0" w:color="auto"/>
                    <w:bottom w:val="none" w:sz="0" w:space="0" w:color="auto"/>
                    <w:right w:val="none" w:sz="0" w:space="0" w:color="auto"/>
                  </w:divBdr>
                  <w:divsChild>
                    <w:div w:id="796877954">
                      <w:marLeft w:val="0"/>
                      <w:marRight w:val="0"/>
                      <w:marTop w:val="0"/>
                      <w:marBottom w:val="0"/>
                      <w:divBdr>
                        <w:top w:val="none" w:sz="0" w:space="0" w:color="auto"/>
                        <w:left w:val="none" w:sz="0" w:space="0" w:color="auto"/>
                        <w:bottom w:val="none" w:sz="0" w:space="0" w:color="auto"/>
                        <w:right w:val="none" w:sz="0" w:space="0" w:color="auto"/>
                      </w:divBdr>
                    </w:div>
                  </w:divsChild>
                </w:div>
                <w:div w:id="890653456">
                  <w:marLeft w:val="0"/>
                  <w:marRight w:val="0"/>
                  <w:marTop w:val="0"/>
                  <w:marBottom w:val="0"/>
                  <w:divBdr>
                    <w:top w:val="none" w:sz="0" w:space="0" w:color="auto"/>
                    <w:left w:val="none" w:sz="0" w:space="0" w:color="auto"/>
                    <w:bottom w:val="none" w:sz="0" w:space="0" w:color="auto"/>
                    <w:right w:val="none" w:sz="0" w:space="0" w:color="auto"/>
                  </w:divBdr>
                  <w:divsChild>
                    <w:div w:id="1827621097">
                      <w:marLeft w:val="0"/>
                      <w:marRight w:val="0"/>
                      <w:marTop w:val="0"/>
                      <w:marBottom w:val="0"/>
                      <w:divBdr>
                        <w:top w:val="none" w:sz="0" w:space="0" w:color="auto"/>
                        <w:left w:val="none" w:sz="0" w:space="0" w:color="auto"/>
                        <w:bottom w:val="none" w:sz="0" w:space="0" w:color="auto"/>
                        <w:right w:val="none" w:sz="0" w:space="0" w:color="auto"/>
                      </w:divBdr>
                    </w:div>
                  </w:divsChild>
                </w:div>
                <w:div w:id="1478106525">
                  <w:marLeft w:val="0"/>
                  <w:marRight w:val="0"/>
                  <w:marTop w:val="0"/>
                  <w:marBottom w:val="0"/>
                  <w:divBdr>
                    <w:top w:val="none" w:sz="0" w:space="0" w:color="auto"/>
                    <w:left w:val="none" w:sz="0" w:space="0" w:color="auto"/>
                    <w:bottom w:val="none" w:sz="0" w:space="0" w:color="auto"/>
                    <w:right w:val="none" w:sz="0" w:space="0" w:color="auto"/>
                  </w:divBdr>
                  <w:divsChild>
                    <w:div w:id="1041905453">
                      <w:marLeft w:val="0"/>
                      <w:marRight w:val="0"/>
                      <w:marTop w:val="0"/>
                      <w:marBottom w:val="0"/>
                      <w:divBdr>
                        <w:top w:val="none" w:sz="0" w:space="0" w:color="auto"/>
                        <w:left w:val="none" w:sz="0" w:space="0" w:color="auto"/>
                        <w:bottom w:val="none" w:sz="0" w:space="0" w:color="auto"/>
                        <w:right w:val="none" w:sz="0" w:space="0" w:color="auto"/>
                      </w:divBdr>
                    </w:div>
                  </w:divsChild>
                </w:div>
                <w:div w:id="1359962962">
                  <w:marLeft w:val="0"/>
                  <w:marRight w:val="0"/>
                  <w:marTop w:val="0"/>
                  <w:marBottom w:val="0"/>
                  <w:divBdr>
                    <w:top w:val="none" w:sz="0" w:space="0" w:color="auto"/>
                    <w:left w:val="none" w:sz="0" w:space="0" w:color="auto"/>
                    <w:bottom w:val="none" w:sz="0" w:space="0" w:color="auto"/>
                    <w:right w:val="none" w:sz="0" w:space="0" w:color="auto"/>
                  </w:divBdr>
                  <w:divsChild>
                    <w:div w:id="529412872">
                      <w:marLeft w:val="0"/>
                      <w:marRight w:val="0"/>
                      <w:marTop w:val="0"/>
                      <w:marBottom w:val="0"/>
                      <w:divBdr>
                        <w:top w:val="none" w:sz="0" w:space="0" w:color="auto"/>
                        <w:left w:val="none" w:sz="0" w:space="0" w:color="auto"/>
                        <w:bottom w:val="none" w:sz="0" w:space="0" w:color="auto"/>
                        <w:right w:val="none" w:sz="0" w:space="0" w:color="auto"/>
                      </w:divBdr>
                    </w:div>
                  </w:divsChild>
                </w:div>
                <w:div w:id="1428502584">
                  <w:marLeft w:val="0"/>
                  <w:marRight w:val="0"/>
                  <w:marTop w:val="0"/>
                  <w:marBottom w:val="0"/>
                  <w:divBdr>
                    <w:top w:val="none" w:sz="0" w:space="0" w:color="auto"/>
                    <w:left w:val="none" w:sz="0" w:space="0" w:color="auto"/>
                    <w:bottom w:val="none" w:sz="0" w:space="0" w:color="auto"/>
                    <w:right w:val="none" w:sz="0" w:space="0" w:color="auto"/>
                  </w:divBdr>
                  <w:divsChild>
                    <w:div w:id="1801072725">
                      <w:marLeft w:val="0"/>
                      <w:marRight w:val="0"/>
                      <w:marTop w:val="0"/>
                      <w:marBottom w:val="0"/>
                      <w:divBdr>
                        <w:top w:val="none" w:sz="0" w:space="0" w:color="auto"/>
                        <w:left w:val="none" w:sz="0" w:space="0" w:color="auto"/>
                        <w:bottom w:val="none" w:sz="0" w:space="0" w:color="auto"/>
                        <w:right w:val="none" w:sz="0" w:space="0" w:color="auto"/>
                      </w:divBdr>
                    </w:div>
                  </w:divsChild>
                </w:div>
                <w:div w:id="2002392157">
                  <w:marLeft w:val="0"/>
                  <w:marRight w:val="0"/>
                  <w:marTop w:val="0"/>
                  <w:marBottom w:val="0"/>
                  <w:divBdr>
                    <w:top w:val="none" w:sz="0" w:space="0" w:color="auto"/>
                    <w:left w:val="none" w:sz="0" w:space="0" w:color="auto"/>
                    <w:bottom w:val="none" w:sz="0" w:space="0" w:color="auto"/>
                    <w:right w:val="none" w:sz="0" w:space="0" w:color="auto"/>
                  </w:divBdr>
                  <w:divsChild>
                    <w:div w:id="1709722269">
                      <w:marLeft w:val="0"/>
                      <w:marRight w:val="0"/>
                      <w:marTop w:val="0"/>
                      <w:marBottom w:val="0"/>
                      <w:divBdr>
                        <w:top w:val="none" w:sz="0" w:space="0" w:color="auto"/>
                        <w:left w:val="none" w:sz="0" w:space="0" w:color="auto"/>
                        <w:bottom w:val="none" w:sz="0" w:space="0" w:color="auto"/>
                        <w:right w:val="none" w:sz="0" w:space="0" w:color="auto"/>
                      </w:divBdr>
                    </w:div>
                  </w:divsChild>
                </w:div>
                <w:div w:id="1219781615">
                  <w:marLeft w:val="0"/>
                  <w:marRight w:val="0"/>
                  <w:marTop w:val="0"/>
                  <w:marBottom w:val="0"/>
                  <w:divBdr>
                    <w:top w:val="none" w:sz="0" w:space="0" w:color="auto"/>
                    <w:left w:val="none" w:sz="0" w:space="0" w:color="auto"/>
                    <w:bottom w:val="none" w:sz="0" w:space="0" w:color="auto"/>
                    <w:right w:val="none" w:sz="0" w:space="0" w:color="auto"/>
                  </w:divBdr>
                  <w:divsChild>
                    <w:div w:id="1261790090">
                      <w:marLeft w:val="0"/>
                      <w:marRight w:val="0"/>
                      <w:marTop w:val="0"/>
                      <w:marBottom w:val="0"/>
                      <w:divBdr>
                        <w:top w:val="none" w:sz="0" w:space="0" w:color="auto"/>
                        <w:left w:val="none" w:sz="0" w:space="0" w:color="auto"/>
                        <w:bottom w:val="none" w:sz="0" w:space="0" w:color="auto"/>
                        <w:right w:val="none" w:sz="0" w:space="0" w:color="auto"/>
                      </w:divBdr>
                    </w:div>
                  </w:divsChild>
                </w:div>
                <w:div w:id="2110881473">
                  <w:marLeft w:val="0"/>
                  <w:marRight w:val="0"/>
                  <w:marTop w:val="0"/>
                  <w:marBottom w:val="0"/>
                  <w:divBdr>
                    <w:top w:val="none" w:sz="0" w:space="0" w:color="auto"/>
                    <w:left w:val="none" w:sz="0" w:space="0" w:color="auto"/>
                    <w:bottom w:val="none" w:sz="0" w:space="0" w:color="auto"/>
                    <w:right w:val="none" w:sz="0" w:space="0" w:color="auto"/>
                  </w:divBdr>
                  <w:divsChild>
                    <w:div w:id="1942107243">
                      <w:marLeft w:val="0"/>
                      <w:marRight w:val="0"/>
                      <w:marTop w:val="0"/>
                      <w:marBottom w:val="0"/>
                      <w:divBdr>
                        <w:top w:val="none" w:sz="0" w:space="0" w:color="auto"/>
                        <w:left w:val="none" w:sz="0" w:space="0" w:color="auto"/>
                        <w:bottom w:val="none" w:sz="0" w:space="0" w:color="auto"/>
                        <w:right w:val="none" w:sz="0" w:space="0" w:color="auto"/>
                      </w:divBdr>
                    </w:div>
                  </w:divsChild>
                </w:div>
                <w:div w:id="2122529590">
                  <w:marLeft w:val="0"/>
                  <w:marRight w:val="0"/>
                  <w:marTop w:val="0"/>
                  <w:marBottom w:val="0"/>
                  <w:divBdr>
                    <w:top w:val="none" w:sz="0" w:space="0" w:color="auto"/>
                    <w:left w:val="none" w:sz="0" w:space="0" w:color="auto"/>
                    <w:bottom w:val="none" w:sz="0" w:space="0" w:color="auto"/>
                    <w:right w:val="none" w:sz="0" w:space="0" w:color="auto"/>
                  </w:divBdr>
                  <w:divsChild>
                    <w:div w:id="1570073434">
                      <w:marLeft w:val="0"/>
                      <w:marRight w:val="0"/>
                      <w:marTop w:val="0"/>
                      <w:marBottom w:val="0"/>
                      <w:divBdr>
                        <w:top w:val="none" w:sz="0" w:space="0" w:color="auto"/>
                        <w:left w:val="none" w:sz="0" w:space="0" w:color="auto"/>
                        <w:bottom w:val="none" w:sz="0" w:space="0" w:color="auto"/>
                        <w:right w:val="none" w:sz="0" w:space="0" w:color="auto"/>
                      </w:divBdr>
                    </w:div>
                  </w:divsChild>
                </w:div>
                <w:div w:id="718020728">
                  <w:marLeft w:val="0"/>
                  <w:marRight w:val="0"/>
                  <w:marTop w:val="0"/>
                  <w:marBottom w:val="0"/>
                  <w:divBdr>
                    <w:top w:val="none" w:sz="0" w:space="0" w:color="auto"/>
                    <w:left w:val="none" w:sz="0" w:space="0" w:color="auto"/>
                    <w:bottom w:val="none" w:sz="0" w:space="0" w:color="auto"/>
                    <w:right w:val="none" w:sz="0" w:space="0" w:color="auto"/>
                  </w:divBdr>
                  <w:divsChild>
                    <w:div w:id="670376476">
                      <w:marLeft w:val="0"/>
                      <w:marRight w:val="0"/>
                      <w:marTop w:val="0"/>
                      <w:marBottom w:val="0"/>
                      <w:divBdr>
                        <w:top w:val="none" w:sz="0" w:space="0" w:color="auto"/>
                        <w:left w:val="none" w:sz="0" w:space="0" w:color="auto"/>
                        <w:bottom w:val="none" w:sz="0" w:space="0" w:color="auto"/>
                        <w:right w:val="none" w:sz="0" w:space="0" w:color="auto"/>
                      </w:divBdr>
                    </w:div>
                  </w:divsChild>
                </w:div>
                <w:div w:id="882792534">
                  <w:marLeft w:val="0"/>
                  <w:marRight w:val="0"/>
                  <w:marTop w:val="0"/>
                  <w:marBottom w:val="0"/>
                  <w:divBdr>
                    <w:top w:val="none" w:sz="0" w:space="0" w:color="auto"/>
                    <w:left w:val="none" w:sz="0" w:space="0" w:color="auto"/>
                    <w:bottom w:val="none" w:sz="0" w:space="0" w:color="auto"/>
                    <w:right w:val="none" w:sz="0" w:space="0" w:color="auto"/>
                  </w:divBdr>
                  <w:divsChild>
                    <w:div w:id="825825496">
                      <w:marLeft w:val="0"/>
                      <w:marRight w:val="0"/>
                      <w:marTop w:val="0"/>
                      <w:marBottom w:val="0"/>
                      <w:divBdr>
                        <w:top w:val="none" w:sz="0" w:space="0" w:color="auto"/>
                        <w:left w:val="none" w:sz="0" w:space="0" w:color="auto"/>
                        <w:bottom w:val="none" w:sz="0" w:space="0" w:color="auto"/>
                        <w:right w:val="none" w:sz="0" w:space="0" w:color="auto"/>
                      </w:divBdr>
                    </w:div>
                  </w:divsChild>
                </w:div>
                <w:div w:id="1539778434">
                  <w:marLeft w:val="0"/>
                  <w:marRight w:val="0"/>
                  <w:marTop w:val="0"/>
                  <w:marBottom w:val="0"/>
                  <w:divBdr>
                    <w:top w:val="none" w:sz="0" w:space="0" w:color="auto"/>
                    <w:left w:val="none" w:sz="0" w:space="0" w:color="auto"/>
                    <w:bottom w:val="none" w:sz="0" w:space="0" w:color="auto"/>
                    <w:right w:val="none" w:sz="0" w:space="0" w:color="auto"/>
                  </w:divBdr>
                  <w:divsChild>
                    <w:div w:id="2096589136">
                      <w:marLeft w:val="0"/>
                      <w:marRight w:val="0"/>
                      <w:marTop w:val="0"/>
                      <w:marBottom w:val="0"/>
                      <w:divBdr>
                        <w:top w:val="none" w:sz="0" w:space="0" w:color="auto"/>
                        <w:left w:val="none" w:sz="0" w:space="0" w:color="auto"/>
                        <w:bottom w:val="none" w:sz="0" w:space="0" w:color="auto"/>
                        <w:right w:val="none" w:sz="0" w:space="0" w:color="auto"/>
                      </w:divBdr>
                    </w:div>
                  </w:divsChild>
                </w:div>
                <w:div w:id="1279222436">
                  <w:marLeft w:val="0"/>
                  <w:marRight w:val="0"/>
                  <w:marTop w:val="0"/>
                  <w:marBottom w:val="0"/>
                  <w:divBdr>
                    <w:top w:val="none" w:sz="0" w:space="0" w:color="auto"/>
                    <w:left w:val="none" w:sz="0" w:space="0" w:color="auto"/>
                    <w:bottom w:val="none" w:sz="0" w:space="0" w:color="auto"/>
                    <w:right w:val="none" w:sz="0" w:space="0" w:color="auto"/>
                  </w:divBdr>
                  <w:divsChild>
                    <w:div w:id="681783501">
                      <w:marLeft w:val="0"/>
                      <w:marRight w:val="0"/>
                      <w:marTop w:val="0"/>
                      <w:marBottom w:val="0"/>
                      <w:divBdr>
                        <w:top w:val="none" w:sz="0" w:space="0" w:color="auto"/>
                        <w:left w:val="none" w:sz="0" w:space="0" w:color="auto"/>
                        <w:bottom w:val="none" w:sz="0" w:space="0" w:color="auto"/>
                        <w:right w:val="none" w:sz="0" w:space="0" w:color="auto"/>
                      </w:divBdr>
                    </w:div>
                  </w:divsChild>
                </w:div>
                <w:div w:id="118574784">
                  <w:marLeft w:val="0"/>
                  <w:marRight w:val="0"/>
                  <w:marTop w:val="0"/>
                  <w:marBottom w:val="0"/>
                  <w:divBdr>
                    <w:top w:val="none" w:sz="0" w:space="0" w:color="auto"/>
                    <w:left w:val="none" w:sz="0" w:space="0" w:color="auto"/>
                    <w:bottom w:val="none" w:sz="0" w:space="0" w:color="auto"/>
                    <w:right w:val="none" w:sz="0" w:space="0" w:color="auto"/>
                  </w:divBdr>
                  <w:divsChild>
                    <w:div w:id="1266230858">
                      <w:marLeft w:val="0"/>
                      <w:marRight w:val="0"/>
                      <w:marTop w:val="0"/>
                      <w:marBottom w:val="0"/>
                      <w:divBdr>
                        <w:top w:val="none" w:sz="0" w:space="0" w:color="auto"/>
                        <w:left w:val="none" w:sz="0" w:space="0" w:color="auto"/>
                        <w:bottom w:val="none" w:sz="0" w:space="0" w:color="auto"/>
                        <w:right w:val="none" w:sz="0" w:space="0" w:color="auto"/>
                      </w:divBdr>
                    </w:div>
                  </w:divsChild>
                </w:div>
                <w:div w:id="330791148">
                  <w:marLeft w:val="0"/>
                  <w:marRight w:val="0"/>
                  <w:marTop w:val="0"/>
                  <w:marBottom w:val="0"/>
                  <w:divBdr>
                    <w:top w:val="none" w:sz="0" w:space="0" w:color="auto"/>
                    <w:left w:val="none" w:sz="0" w:space="0" w:color="auto"/>
                    <w:bottom w:val="none" w:sz="0" w:space="0" w:color="auto"/>
                    <w:right w:val="none" w:sz="0" w:space="0" w:color="auto"/>
                  </w:divBdr>
                  <w:divsChild>
                    <w:div w:id="1184590843">
                      <w:marLeft w:val="0"/>
                      <w:marRight w:val="0"/>
                      <w:marTop w:val="0"/>
                      <w:marBottom w:val="0"/>
                      <w:divBdr>
                        <w:top w:val="none" w:sz="0" w:space="0" w:color="auto"/>
                        <w:left w:val="none" w:sz="0" w:space="0" w:color="auto"/>
                        <w:bottom w:val="none" w:sz="0" w:space="0" w:color="auto"/>
                        <w:right w:val="none" w:sz="0" w:space="0" w:color="auto"/>
                      </w:divBdr>
                    </w:div>
                  </w:divsChild>
                </w:div>
                <w:div w:id="514392866">
                  <w:marLeft w:val="0"/>
                  <w:marRight w:val="0"/>
                  <w:marTop w:val="0"/>
                  <w:marBottom w:val="0"/>
                  <w:divBdr>
                    <w:top w:val="none" w:sz="0" w:space="0" w:color="auto"/>
                    <w:left w:val="none" w:sz="0" w:space="0" w:color="auto"/>
                    <w:bottom w:val="none" w:sz="0" w:space="0" w:color="auto"/>
                    <w:right w:val="none" w:sz="0" w:space="0" w:color="auto"/>
                  </w:divBdr>
                  <w:divsChild>
                    <w:div w:id="614597189">
                      <w:marLeft w:val="0"/>
                      <w:marRight w:val="0"/>
                      <w:marTop w:val="0"/>
                      <w:marBottom w:val="0"/>
                      <w:divBdr>
                        <w:top w:val="none" w:sz="0" w:space="0" w:color="auto"/>
                        <w:left w:val="none" w:sz="0" w:space="0" w:color="auto"/>
                        <w:bottom w:val="none" w:sz="0" w:space="0" w:color="auto"/>
                        <w:right w:val="none" w:sz="0" w:space="0" w:color="auto"/>
                      </w:divBdr>
                    </w:div>
                  </w:divsChild>
                </w:div>
                <w:div w:id="1524317118">
                  <w:marLeft w:val="0"/>
                  <w:marRight w:val="0"/>
                  <w:marTop w:val="0"/>
                  <w:marBottom w:val="0"/>
                  <w:divBdr>
                    <w:top w:val="none" w:sz="0" w:space="0" w:color="auto"/>
                    <w:left w:val="none" w:sz="0" w:space="0" w:color="auto"/>
                    <w:bottom w:val="none" w:sz="0" w:space="0" w:color="auto"/>
                    <w:right w:val="none" w:sz="0" w:space="0" w:color="auto"/>
                  </w:divBdr>
                  <w:divsChild>
                    <w:div w:id="1049501170">
                      <w:marLeft w:val="0"/>
                      <w:marRight w:val="0"/>
                      <w:marTop w:val="0"/>
                      <w:marBottom w:val="0"/>
                      <w:divBdr>
                        <w:top w:val="none" w:sz="0" w:space="0" w:color="auto"/>
                        <w:left w:val="none" w:sz="0" w:space="0" w:color="auto"/>
                        <w:bottom w:val="none" w:sz="0" w:space="0" w:color="auto"/>
                        <w:right w:val="none" w:sz="0" w:space="0" w:color="auto"/>
                      </w:divBdr>
                    </w:div>
                  </w:divsChild>
                </w:div>
                <w:div w:id="1693917554">
                  <w:marLeft w:val="0"/>
                  <w:marRight w:val="0"/>
                  <w:marTop w:val="0"/>
                  <w:marBottom w:val="0"/>
                  <w:divBdr>
                    <w:top w:val="none" w:sz="0" w:space="0" w:color="auto"/>
                    <w:left w:val="none" w:sz="0" w:space="0" w:color="auto"/>
                    <w:bottom w:val="none" w:sz="0" w:space="0" w:color="auto"/>
                    <w:right w:val="none" w:sz="0" w:space="0" w:color="auto"/>
                  </w:divBdr>
                  <w:divsChild>
                    <w:div w:id="19527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42973">
          <w:marLeft w:val="0"/>
          <w:marRight w:val="0"/>
          <w:marTop w:val="0"/>
          <w:marBottom w:val="0"/>
          <w:divBdr>
            <w:top w:val="none" w:sz="0" w:space="0" w:color="auto"/>
            <w:left w:val="none" w:sz="0" w:space="0" w:color="auto"/>
            <w:bottom w:val="none" w:sz="0" w:space="0" w:color="auto"/>
            <w:right w:val="none" w:sz="0" w:space="0" w:color="auto"/>
          </w:divBdr>
        </w:div>
        <w:div w:id="2072842424">
          <w:marLeft w:val="0"/>
          <w:marRight w:val="0"/>
          <w:marTop w:val="0"/>
          <w:marBottom w:val="0"/>
          <w:divBdr>
            <w:top w:val="none" w:sz="0" w:space="0" w:color="auto"/>
            <w:left w:val="none" w:sz="0" w:space="0" w:color="auto"/>
            <w:bottom w:val="none" w:sz="0" w:space="0" w:color="auto"/>
            <w:right w:val="none" w:sz="0" w:space="0" w:color="auto"/>
          </w:divBdr>
        </w:div>
        <w:div w:id="1875071331">
          <w:marLeft w:val="0"/>
          <w:marRight w:val="0"/>
          <w:marTop w:val="0"/>
          <w:marBottom w:val="0"/>
          <w:divBdr>
            <w:top w:val="none" w:sz="0" w:space="0" w:color="auto"/>
            <w:left w:val="none" w:sz="0" w:space="0" w:color="auto"/>
            <w:bottom w:val="none" w:sz="0" w:space="0" w:color="auto"/>
            <w:right w:val="none" w:sz="0" w:space="0" w:color="auto"/>
          </w:divBdr>
        </w:div>
      </w:divsChild>
    </w:div>
    <w:div w:id="1650137784">
      <w:bodyDiv w:val="1"/>
      <w:marLeft w:val="0"/>
      <w:marRight w:val="0"/>
      <w:marTop w:val="0"/>
      <w:marBottom w:val="0"/>
      <w:divBdr>
        <w:top w:val="none" w:sz="0" w:space="0" w:color="auto"/>
        <w:left w:val="none" w:sz="0" w:space="0" w:color="auto"/>
        <w:bottom w:val="none" w:sz="0" w:space="0" w:color="auto"/>
        <w:right w:val="none" w:sz="0" w:space="0" w:color="auto"/>
      </w:divBdr>
      <w:divsChild>
        <w:div w:id="416826440">
          <w:marLeft w:val="0"/>
          <w:marRight w:val="0"/>
          <w:marTop w:val="0"/>
          <w:marBottom w:val="0"/>
          <w:divBdr>
            <w:top w:val="none" w:sz="0" w:space="0" w:color="auto"/>
            <w:left w:val="none" w:sz="0" w:space="0" w:color="auto"/>
            <w:bottom w:val="none" w:sz="0" w:space="0" w:color="auto"/>
            <w:right w:val="none" w:sz="0" w:space="0" w:color="auto"/>
          </w:divBdr>
        </w:div>
        <w:div w:id="418598246">
          <w:marLeft w:val="0"/>
          <w:marRight w:val="0"/>
          <w:marTop w:val="0"/>
          <w:marBottom w:val="0"/>
          <w:divBdr>
            <w:top w:val="none" w:sz="0" w:space="0" w:color="auto"/>
            <w:left w:val="none" w:sz="0" w:space="0" w:color="auto"/>
            <w:bottom w:val="none" w:sz="0" w:space="0" w:color="auto"/>
            <w:right w:val="none" w:sz="0" w:space="0" w:color="auto"/>
          </w:divBdr>
        </w:div>
        <w:div w:id="1678189601">
          <w:marLeft w:val="0"/>
          <w:marRight w:val="0"/>
          <w:marTop w:val="0"/>
          <w:marBottom w:val="0"/>
          <w:divBdr>
            <w:top w:val="none" w:sz="0" w:space="0" w:color="auto"/>
            <w:left w:val="none" w:sz="0" w:space="0" w:color="auto"/>
            <w:bottom w:val="none" w:sz="0" w:space="0" w:color="auto"/>
            <w:right w:val="none" w:sz="0" w:space="0" w:color="auto"/>
          </w:divBdr>
        </w:div>
        <w:div w:id="200703352">
          <w:marLeft w:val="0"/>
          <w:marRight w:val="0"/>
          <w:marTop w:val="0"/>
          <w:marBottom w:val="0"/>
          <w:divBdr>
            <w:top w:val="none" w:sz="0" w:space="0" w:color="auto"/>
            <w:left w:val="none" w:sz="0" w:space="0" w:color="auto"/>
            <w:bottom w:val="none" w:sz="0" w:space="0" w:color="auto"/>
            <w:right w:val="none" w:sz="0" w:space="0" w:color="auto"/>
          </w:divBdr>
        </w:div>
        <w:div w:id="435714867">
          <w:marLeft w:val="0"/>
          <w:marRight w:val="0"/>
          <w:marTop w:val="0"/>
          <w:marBottom w:val="0"/>
          <w:divBdr>
            <w:top w:val="none" w:sz="0" w:space="0" w:color="auto"/>
            <w:left w:val="none" w:sz="0" w:space="0" w:color="auto"/>
            <w:bottom w:val="none" w:sz="0" w:space="0" w:color="auto"/>
            <w:right w:val="none" w:sz="0" w:space="0" w:color="auto"/>
          </w:divBdr>
        </w:div>
        <w:div w:id="707147805">
          <w:marLeft w:val="0"/>
          <w:marRight w:val="0"/>
          <w:marTop w:val="0"/>
          <w:marBottom w:val="0"/>
          <w:divBdr>
            <w:top w:val="none" w:sz="0" w:space="0" w:color="auto"/>
            <w:left w:val="none" w:sz="0" w:space="0" w:color="auto"/>
            <w:bottom w:val="none" w:sz="0" w:space="0" w:color="auto"/>
            <w:right w:val="none" w:sz="0" w:space="0" w:color="auto"/>
          </w:divBdr>
          <w:divsChild>
            <w:div w:id="1850752239">
              <w:marLeft w:val="-75"/>
              <w:marRight w:val="0"/>
              <w:marTop w:val="30"/>
              <w:marBottom w:val="30"/>
              <w:divBdr>
                <w:top w:val="none" w:sz="0" w:space="0" w:color="auto"/>
                <w:left w:val="none" w:sz="0" w:space="0" w:color="auto"/>
                <w:bottom w:val="none" w:sz="0" w:space="0" w:color="auto"/>
                <w:right w:val="none" w:sz="0" w:space="0" w:color="auto"/>
              </w:divBdr>
              <w:divsChild>
                <w:div w:id="164102562">
                  <w:marLeft w:val="0"/>
                  <w:marRight w:val="0"/>
                  <w:marTop w:val="0"/>
                  <w:marBottom w:val="0"/>
                  <w:divBdr>
                    <w:top w:val="none" w:sz="0" w:space="0" w:color="auto"/>
                    <w:left w:val="none" w:sz="0" w:space="0" w:color="auto"/>
                    <w:bottom w:val="none" w:sz="0" w:space="0" w:color="auto"/>
                    <w:right w:val="none" w:sz="0" w:space="0" w:color="auto"/>
                  </w:divBdr>
                  <w:divsChild>
                    <w:div w:id="2027752432">
                      <w:marLeft w:val="0"/>
                      <w:marRight w:val="0"/>
                      <w:marTop w:val="0"/>
                      <w:marBottom w:val="0"/>
                      <w:divBdr>
                        <w:top w:val="none" w:sz="0" w:space="0" w:color="auto"/>
                        <w:left w:val="none" w:sz="0" w:space="0" w:color="auto"/>
                        <w:bottom w:val="none" w:sz="0" w:space="0" w:color="auto"/>
                        <w:right w:val="none" w:sz="0" w:space="0" w:color="auto"/>
                      </w:divBdr>
                    </w:div>
                  </w:divsChild>
                </w:div>
                <w:div w:id="363601735">
                  <w:marLeft w:val="0"/>
                  <w:marRight w:val="0"/>
                  <w:marTop w:val="0"/>
                  <w:marBottom w:val="0"/>
                  <w:divBdr>
                    <w:top w:val="none" w:sz="0" w:space="0" w:color="auto"/>
                    <w:left w:val="none" w:sz="0" w:space="0" w:color="auto"/>
                    <w:bottom w:val="none" w:sz="0" w:space="0" w:color="auto"/>
                    <w:right w:val="none" w:sz="0" w:space="0" w:color="auto"/>
                  </w:divBdr>
                  <w:divsChild>
                    <w:div w:id="860120642">
                      <w:marLeft w:val="0"/>
                      <w:marRight w:val="0"/>
                      <w:marTop w:val="0"/>
                      <w:marBottom w:val="0"/>
                      <w:divBdr>
                        <w:top w:val="none" w:sz="0" w:space="0" w:color="auto"/>
                        <w:left w:val="none" w:sz="0" w:space="0" w:color="auto"/>
                        <w:bottom w:val="none" w:sz="0" w:space="0" w:color="auto"/>
                        <w:right w:val="none" w:sz="0" w:space="0" w:color="auto"/>
                      </w:divBdr>
                    </w:div>
                  </w:divsChild>
                </w:div>
                <w:div w:id="1583639742">
                  <w:marLeft w:val="0"/>
                  <w:marRight w:val="0"/>
                  <w:marTop w:val="0"/>
                  <w:marBottom w:val="0"/>
                  <w:divBdr>
                    <w:top w:val="none" w:sz="0" w:space="0" w:color="auto"/>
                    <w:left w:val="none" w:sz="0" w:space="0" w:color="auto"/>
                    <w:bottom w:val="none" w:sz="0" w:space="0" w:color="auto"/>
                    <w:right w:val="none" w:sz="0" w:space="0" w:color="auto"/>
                  </w:divBdr>
                  <w:divsChild>
                    <w:div w:id="1859657289">
                      <w:marLeft w:val="0"/>
                      <w:marRight w:val="0"/>
                      <w:marTop w:val="0"/>
                      <w:marBottom w:val="0"/>
                      <w:divBdr>
                        <w:top w:val="none" w:sz="0" w:space="0" w:color="auto"/>
                        <w:left w:val="none" w:sz="0" w:space="0" w:color="auto"/>
                        <w:bottom w:val="none" w:sz="0" w:space="0" w:color="auto"/>
                        <w:right w:val="none" w:sz="0" w:space="0" w:color="auto"/>
                      </w:divBdr>
                    </w:div>
                  </w:divsChild>
                </w:div>
                <w:div w:id="446657954">
                  <w:marLeft w:val="0"/>
                  <w:marRight w:val="0"/>
                  <w:marTop w:val="0"/>
                  <w:marBottom w:val="0"/>
                  <w:divBdr>
                    <w:top w:val="none" w:sz="0" w:space="0" w:color="auto"/>
                    <w:left w:val="none" w:sz="0" w:space="0" w:color="auto"/>
                    <w:bottom w:val="none" w:sz="0" w:space="0" w:color="auto"/>
                    <w:right w:val="none" w:sz="0" w:space="0" w:color="auto"/>
                  </w:divBdr>
                  <w:divsChild>
                    <w:div w:id="1741707027">
                      <w:marLeft w:val="0"/>
                      <w:marRight w:val="0"/>
                      <w:marTop w:val="0"/>
                      <w:marBottom w:val="0"/>
                      <w:divBdr>
                        <w:top w:val="none" w:sz="0" w:space="0" w:color="auto"/>
                        <w:left w:val="none" w:sz="0" w:space="0" w:color="auto"/>
                        <w:bottom w:val="none" w:sz="0" w:space="0" w:color="auto"/>
                        <w:right w:val="none" w:sz="0" w:space="0" w:color="auto"/>
                      </w:divBdr>
                    </w:div>
                  </w:divsChild>
                </w:div>
                <w:div w:id="720984942">
                  <w:marLeft w:val="0"/>
                  <w:marRight w:val="0"/>
                  <w:marTop w:val="0"/>
                  <w:marBottom w:val="0"/>
                  <w:divBdr>
                    <w:top w:val="none" w:sz="0" w:space="0" w:color="auto"/>
                    <w:left w:val="none" w:sz="0" w:space="0" w:color="auto"/>
                    <w:bottom w:val="none" w:sz="0" w:space="0" w:color="auto"/>
                    <w:right w:val="none" w:sz="0" w:space="0" w:color="auto"/>
                  </w:divBdr>
                  <w:divsChild>
                    <w:div w:id="1983002632">
                      <w:marLeft w:val="0"/>
                      <w:marRight w:val="0"/>
                      <w:marTop w:val="0"/>
                      <w:marBottom w:val="0"/>
                      <w:divBdr>
                        <w:top w:val="none" w:sz="0" w:space="0" w:color="auto"/>
                        <w:left w:val="none" w:sz="0" w:space="0" w:color="auto"/>
                        <w:bottom w:val="none" w:sz="0" w:space="0" w:color="auto"/>
                        <w:right w:val="none" w:sz="0" w:space="0" w:color="auto"/>
                      </w:divBdr>
                    </w:div>
                  </w:divsChild>
                </w:div>
                <w:div w:id="1664236378">
                  <w:marLeft w:val="0"/>
                  <w:marRight w:val="0"/>
                  <w:marTop w:val="0"/>
                  <w:marBottom w:val="0"/>
                  <w:divBdr>
                    <w:top w:val="none" w:sz="0" w:space="0" w:color="auto"/>
                    <w:left w:val="none" w:sz="0" w:space="0" w:color="auto"/>
                    <w:bottom w:val="none" w:sz="0" w:space="0" w:color="auto"/>
                    <w:right w:val="none" w:sz="0" w:space="0" w:color="auto"/>
                  </w:divBdr>
                  <w:divsChild>
                    <w:div w:id="714161509">
                      <w:marLeft w:val="0"/>
                      <w:marRight w:val="0"/>
                      <w:marTop w:val="0"/>
                      <w:marBottom w:val="0"/>
                      <w:divBdr>
                        <w:top w:val="none" w:sz="0" w:space="0" w:color="auto"/>
                        <w:left w:val="none" w:sz="0" w:space="0" w:color="auto"/>
                        <w:bottom w:val="none" w:sz="0" w:space="0" w:color="auto"/>
                        <w:right w:val="none" w:sz="0" w:space="0" w:color="auto"/>
                      </w:divBdr>
                    </w:div>
                  </w:divsChild>
                </w:div>
                <w:div w:id="410782523">
                  <w:marLeft w:val="0"/>
                  <w:marRight w:val="0"/>
                  <w:marTop w:val="0"/>
                  <w:marBottom w:val="0"/>
                  <w:divBdr>
                    <w:top w:val="none" w:sz="0" w:space="0" w:color="auto"/>
                    <w:left w:val="none" w:sz="0" w:space="0" w:color="auto"/>
                    <w:bottom w:val="none" w:sz="0" w:space="0" w:color="auto"/>
                    <w:right w:val="none" w:sz="0" w:space="0" w:color="auto"/>
                  </w:divBdr>
                  <w:divsChild>
                    <w:div w:id="194192757">
                      <w:marLeft w:val="0"/>
                      <w:marRight w:val="0"/>
                      <w:marTop w:val="0"/>
                      <w:marBottom w:val="0"/>
                      <w:divBdr>
                        <w:top w:val="none" w:sz="0" w:space="0" w:color="auto"/>
                        <w:left w:val="none" w:sz="0" w:space="0" w:color="auto"/>
                        <w:bottom w:val="none" w:sz="0" w:space="0" w:color="auto"/>
                        <w:right w:val="none" w:sz="0" w:space="0" w:color="auto"/>
                      </w:divBdr>
                    </w:div>
                  </w:divsChild>
                </w:div>
                <w:div w:id="2107189127">
                  <w:marLeft w:val="0"/>
                  <w:marRight w:val="0"/>
                  <w:marTop w:val="0"/>
                  <w:marBottom w:val="0"/>
                  <w:divBdr>
                    <w:top w:val="none" w:sz="0" w:space="0" w:color="auto"/>
                    <w:left w:val="none" w:sz="0" w:space="0" w:color="auto"/>
                    <w:bottom w:val="none" w:sz="0" w:space="0" w:color="auto"/>
                    <w:right w:val="none" w:sz="0" w:space="0" w:color="auto"/>
                  </w:divBdr>
                  <w:divsChild>
                    <w:div w:id="1537697075">
                      <w:marLeft w:val="0"/>
                      <w:marRight w:val="0"/>
                      <w:marTop w:val="0"/>
                      <w:marBottom w:val="0"/>
                      <w:divBdr>
                        <w:top w:val="none" w:sz="0" w:space="0" w:color="auto"/>
                        <w:left w:val="none" w:sz="0" w:space="0" w:color="auto"/>
                        <w:bottom w:val="none" w:sz="0" w:space="0" w:color="auto"/>
                        <w:right w:val="none" w:sz="0" w:space="0" w:color="auto"/>
                      </w:divBdr>
                    </w:div>
                  </w:divsChild>
                </w:div>
                <w:div w:id="1136604752">
                  <w:marLeft w:val="0"/>
                  <w:marRight w:val="0"/>
                  <w:marTop w:val="0"/>
                  <w:marBottom w:val="0"/>
                  <w:divBdr>
                    <w:top w:val="none" w:sz="0" w:space="0" w:color="auto"/>
                    <w:left w:val="none" w:sz="0" w:space="0" w:color="auto"/>
                    <w:bottom w:val="none" w:sz="0" w:space="0" w:color="auto"/>
                    <w:right w:val="none" w:sz="0" w:space="0" w:color="auto"/>
                  </w:divBdr>
                  <w:divsChild>
                    <w:div w:id="1969970371">
                      <w:marLeft w:val="0"/>
                      <w:marRight w:val="0"/>
                      <w:marTop w:val="0"/>
                      <w:marBottom w:val="0"/>
                      <w:divBdr>
                        <w:top w:val="none" w:sz="0" w:space="0" w:color="auto"/>
                        <w:left w:val="none" w:sz="0" w:space="0" w:color="auto"/>
                        <w:bottom w:val="none" w:sz="0" w:space="0" w:color="auto"/>
                        <w:right w:val="none" w:sz="0" w:space="0" w:color="auto"/>
                      </w:divBdr>
                    </w:div>
                  </w:divsChild>
                </w:div>
                <w:div w:id="956178744">
                  <w:marLeft w:val="0"/>
                  <w:marRight w:val="0"/>
                  <w:marTop w:val="0"/>
                  <w:marBottom w:val="0"/>
                  <w:divBdr>
                    <w:top w:val="none" w:sz="0" w:space="0" w:color="auto"/>
                    <w:left w:val="none" w:sz="0" w:space="0" w:color="auto"/>
                    <w:bottom w:val="none" w:sz="0" w:space="0" w:color="auto"/>
                    <w:right w:val="none" w:sz="0" w:space="0" w:color="auto"/>
                  </w:divBdr>
                  <w:divsChild>
                    <w:div w:id="1002052865">
                      <w:marLeft w:val="0"/>
                      <w:marRight w:val="0"/>
                      <w:marTop w:val="0"/>
                      <w:marBottom w:val="0"/>
                      <w:divBdr>
                        <w:top w:val="none" w:sz="0" w:space="0" w:color="auto"/>
                        <w:left w:val="none" w:sz="0" w:space="0" w:color="auto"/>
                        <w:bottom w:val="none" w:sz="0" w:space="0" w:color="auto"/>
                        <w:right w:val="none" w:sz="0" w:space="0" w:color="auto"/>
                      </w:divBdr>
                    </w:div>
                  </w:divsChild>
                </w:div>
                <w:div w:id="144856344">
                  <w:marLeft w:val="0"/>
                  <w:marRight w:val="0"/>
                  <w:marTop w:val="0"/>
                  <w:marBottom w:val="0"/>
                  <w:divBdr>
                    <w:top w:val="none" w:sz="0" w:space="0" w:color="auto"/>
                    <w:left w:val="none" w:sz="0" w:space="0" w:color="auto"/>
                    <w:bottom w:val="none" w:sz="0" w:space="0" w:color="auto"/>
                    <w:right w:val="none" w:sz="0" w:space="0" w:color="auto"/>
                  </w:divBdr>
                  <w:divsChild>
                    <w:div w:id="1737510761">
                      <w:marLeft w:val="0"/>
                      <w:marRight w:val="0"/>
                      <w:marTop w:val="0"/>
                      <w:marBottom w:val="0"/>
                      <w:divBdr>
                        <w:top w:val="none" w:sz="0" w:space="0" w:color="auto"/>
                        <w:left w:val="none" w:sz="0" w:space="0" w:color="auto"/>
                        <w:bottom w:val="none" w:sz="0" w:space="0" w:color="auto"/>
                        <w:right w:val="none" w:sz="0" w:space="0" w:color="auto"/>
                      </w:divBdr>
                    </w:div>
                  </w:divsChild>
                </w:div>
                <w:div w:id="488210012">
                  <w:marLeft w:val="0"/>
                  <w:marRight w:val="0"/>
                  <w:marTop w:val="0"/>
                  <w:marBottom w:val="0"/>
                  <w:divBdr>
                    <w:top w:val="none" w:sz="0" w:space="0" w:color="auto"/>
                    <w:left w:val="none" w:sz="0" w:space="0" w:color="auto"/>
                    <w:bottom w:val="none" w:sz="0" w:space="0" w:color="auto"/>
                    <w:right w:val="none" w:sz="0" w:space="0" w:color="auto"/>
                  </w:divBdr>
                  <w:divsChild>
                    <w:div w:id="514150590">
                      <w:marLeft w:val="0"/>
                      <w:marRight w:val="0"/>
                      <w:marTop w:val="0"/>
                      <w:marBottom w:val="0"/>
                      <w:divBdr>
                        <w:top w:val="none" w:sz="0" w:space="0" w:color="auto"/>
                        <w:left w:val="none" w:sz="0" w:space="0" w:color="auto"/>
                        <w:bottom w:val="none" w:sz="0" w:space="0" w:color="auto"/>
                        <w:right w:val="none" w:sz="0" w:space="0" w:color="auto"/>
                      </w:divBdr>
                    </w:div>
                  </w:divsChild>
                </w:div>
                <w:div w:id="1177184718">
                  <w:marLeft w:val="0"/>
                  <w:marRight w:val="0"/>
                  <w:marTop w:val="0"/>
                  <w:marBottom w:val="0"/>
                  <w:divBdr>
                    <w:top w:val="none" w:sz="0" w:space="0" w:color="auto"/>
                    <w:left w:val="none" w:sz="0" w:space="0" w:color="auto"/>
                    <w:bottom w:val="none" w:sz="0" w:space="0" w:color="auto"/>
                    <w:right w:val="none" w:sz="0" w:space="0" w:color="auto"/>
                  </w:divBdr>
                  <w:divsChild>
                    <w:div w:id="883444836">
                      <w:marLeft w:val="0"/>
                      <w:marRight w:val="0"/>
                      <w:marTop w:val="0"/>
                      <w:marBottom w:val="0"/>
                      <w:divBdr>
                        <w:top w:val="none" w:sz="0" w:space="0" w:color="auto"/>
                        <w:left w:val="none" w:sz="0" w:space="0" w:color="auto"/>
                        <w:bottom w:val="none" w:sz="0" w:space="0" w:color="auto"/>
                        <w:right w:val="none" w:sz="0" w:space="0" w:color="auto"/>
                      </w:divBdr>
                    </w:div>
                  </w:divsChild>
                </w:div>
                <w:div w:id="462962504">
                  <w:marLeft w:val="0"/>
                  <w:marRight w:val="0"/>
                  <w:marTop w:val="0"/>
                  <w:marBottom w:val="0"/>
                  <w:divBdr>
                    <w:top w:val="none" w:sz="0" w:space="0" w:color="auto"/>
                    <w:left w:val="none" w:sz="0" w:space="0" w:color="auto"/>
                    <w:bottom w:val="none" w:sz="0" w:space="0" w:color="auto"/>
                    <w:right w:val="none" w:sz="0" w:space="0" w:color="auto"/>
                  </w:divBdr>
                  <w:divsChild>
                    <w:div w:id="813718725">
                      <w:marLeft w:val="0"/>
                      <w:marRight w:val="0"/>
                      <w:marTop w:val="0"/>
                      <w:marBottom w:val="0"/>
                      <w:divBdr>
                        <w:top w:val="none" w:sz="0" w:space="0" w:color="auto"/>
                        <w:left w:val="none" w:sz="0" w:space="0" w:color="auto"/>
                        <w:bottom w:val="none" w:sz="0" w:space="0" w:color="auto"/>
                        <w:right w:val="none" w:sz="0" w:space="0" w:color="auto"/>
                      </w:divBdr>
                    </w:div>
                  </w:divsChild>
                </w:div>
                <w:div w:id="210194547">
                  <w:marLeft w:val="0"/>
                  <w:marRight w:val="0"/>
                  <w:marTop w:val="0"/>
                  <w:marBottom w:val="0"/>
                  <w:divBdr>
                    <w:top w:val="none" w:sz="0" w:space="0" w:color="auto"/>
                    <w:left w:val="none" w:sz="0" w:space="0" w:color="auto"/>
                    <w:bottom w:val="none" w:sz="0" w:space="0" w:color="auto"/>
                    <w:right w:val="none" w:sz="0" w:space="0" w:color="auto"/>
                  </w:divBdr>
                  <w:divsChild>
                    <w:div w:id="1302419939">
                      <w:marLeft w:val="0"/>
                      <w:marRight w:val="0"/>
                      <w:marTop w:val="0"/>
                      <w:marBottom w:val="0"/>
                      <w:divBdr>
                        <w:top w:val="none" w:sz="0" w:space="0" w:color="auto"/>
                        <w:left w:val="none" w:sz="0" w:space="0" w:color="auto"/>
                        <w:bottom w:val="none" w:sz="0" w:space="0" w:color="auto"/>
                        <w:right w:val="none" w:sz="0" w:space="0" w:color="auto"/>
                      </w:divBdr>
                    </w:div>
                  </w:divsChild>
                </w:div>
                <w:div w:id="413623406">
                  <w:marLeft w:val="0"/>
                  <w:marRight w:val="0"/>
                  <w:marTop w:val="0"/>
                  <w:marBottom w:val="0"/>
                  <w:divBdr>
                    <w:top w:val="none" w:sz="0" w:space="0" w:color="auto"/>
                    <w:left w:val="none" w:sz="0" w:space="0" w:color="auto"/>
                    <w:bottom w:val="none" w:sz="0" w:space="0" w:color="auto"/>
                    <w:right w:val="none" w:sz="0" w:space="0" w:color="auto"/>
                  </w:divBdr>
                  <w:divsChild>
                    <w:div w:id="1518537159">
                      <w:marLeft w:val="0"/>
                      <w:marRight w:val="0"/>
                      <w:marTop w:val="0"/>
                      <w:marBottom w:val="0"/>
                      <w:divBdr>
                        <w:top w:val="none" w:sz="0" w:space="0" w:color="auto"/>
                        <w:left w:val="none" w:sz="0" w:space="0" w:color="auto"/>
                        <w:bottom w:val="none" w:sz="0" w:space="0" w:color="auto"/>
                        <w:right w:val="none" w:sz="0" w:space="0" w:color="auto"/>
                      </w:divBdr>
                    </w:div>
                  </w:divsChild>
                </w:div>
                <w:div w:id="1779131964">
                  <w:marLeft w:val="0"/>
                  <w:marRight w:val="0"/>
                  <w:marTop w:val="0"/>
                  <w:marBottom w:val="0"/>
                  <w:divBdr>
                    <w:top w:val="none" w:sz="0" w:space="0" w:color="auto"/>
                    <w:left w:val="none" w:sz="0" w:space="0" w:color="auto"/>
                    <w:bottom w:val="none" w:sz="0" w:space="0" w:color="auto"/>
                    <w:right w:val="none" w:sz="0" w:space="0" w:color="auto"/>
                  </w:divBdr>
                  <w:divsChild>
                    <w:div w:id="51467596">
                      <w:marLeft w:val="0"/>
                      <w:marRight w:val="0"/>
                      <w:marTop w:val="0"/>
                      <w:marBottom w:val="0"/>
                      <w:divBdr>
                        <w:top w:val="none" w:sz="0" w:space="0" w:color="auto"/>
                        <w:left w:val="none" w:sz="0" w:space="0" w:color="auto"/>
                        <w:bottom w:val="none" w:sz="0" w:space="0" w:color="auto"/>
                        <w:right w:val="none" w:sz="0" w:space="0" w:color="auto"/>
                      </w:divBdr>
                    </w:div>
                  </w:divsChild>
                </w:div>
                <w:div w:id="230623528">
                  <w:marLeft w:val="0"/>
                  <w:marRight w:val="0"/>
                  <w:marTop w:val="0"/>
                  <w:marBottom w:val="0"/>
                  <w:divBdr>
                    <w:top w:val="none" w:sz="0" w:space="0" w:color="auto"/>
                    <w:left w:val="none" w:sz="0" w:space="0" w:color="auto"/>
                    <w:bottom w:val="none" w:sz="0" w:space="0" w:color="auto"/>
                    <w:right w:val="none" w:sz="0" w:space="0" w:color="auto"/>
                  </w:divBdr>
                  <w:divsChild>
                    <w:div w:id="1005087755">
                      <w:marLeft w:val="0"/>
                      <w:marRight w:val="0"/>
                      <w:marTop w:val="0"/>
                      <w:marBottom w:val="0"/>
                      <w:divBdr>
                        <w:top w:val="none" w:sz="0" w:space="0" w:color="auto"/>
                        <w:left w:val="none" w:sz="0" w:space="0" w:color="auto"/>
                        <w:bottom w:val="none" w:sz="0" w:space="0" w:color="auto"/>
                        <w:right w:val="none" w:sz="0" w:space="0" w:color="auto"/>
                      </w:divBdr>
                    </w:div>
                  </w:divsChild>
                </w:div>
                <w:div w:id="12652370">
                  <w:marLeft w:val="0"/>
                  <w:marRight w:val="0"/>
                  <w:marTop w:val="0"/>
                  <w:marBottom w:val="0"/>
                  <w:divBdr>
                    <w:top w:val="none" w:sz="0" w:space="0" w:color="auto"/>
                    <w:left w:val="none" w:sz="0" w:space="0" w:color="auto"/>
                    <w:bottom w:val="none" w:sz="0" w:space="0" w:color="auto"/>
                    <w:right w:val="none" w:sz="0" w:space="0" w:color="auto"/>
                  </w:divBdr>
                  <w:divsChild>
                    <w:div w:id="1429808007">
                      <w:marLeft w:val="0"/>
                      <w:marRight w:val="0"/>
                      <w:marTop w:val="0"/>
                      <w:marBottom w:val="0"/>
                      <w:divBdr>
                        <w:top w:val="none" w:sz="0" w:space="0" w:color="auto"/>
                        <w:left w:val="none" w:sz="0" w:space="0" w:color="auto"/>
                        <w:bottom w:val="none" w:sz="0" w:space="0" w:color="auto"/>
                        <w:right w:val="none" w:sz="0" w:space="0" w:color="auto"/>
                      </w:divBdr>
                    </w:div>
                  </w:divsChild>
                </w:div>
                <w:div w:id="346177919">
                  <w:marLeft w:val="0"/>
                  <w:marRight w:val="0"/>
                  <w:marTop w:val="0"/>
                  <w:marBottom w:val="0"/>
                  <w:divBdr>
                    <w:top w:val="none" w:sz="0" w:space="0" w:color="auto"/>
                    <w:left w:val="none" w:sz="0" w:space="0" w:color="auto"/>
                    <w:bottom w:val="none" w:sz="0" w:space="0" w:color="auto"/>
                    <w:right w:val="none" w:sz="0" w:space="0" w:color="auto"/>
                  </w:divBdr>
                  <w:divsChild>
                    <w:div w:id="1016881906">
                      <w:marLeft w:val="0"/>
                      <w:marRight w:val="0"/>
                      <w:marTop w:val="0"/>
                      <w:marBottom w:val="0"/>
                      <w:divBdr>
                        <w:top w:val="none" w:sz="0" w:space="0" w:color="auto"/>
                        <w:left w:val="none" w:sz="0" w:space="0" w:color="auto"/>
                        <w:bottom w:val="none" w:sz="0" w:space="0" w:color="auto"/>
                        <w:right w:val="none" w:sz="0" w:space="0" w:color="auto"/>
                      </w:divBdr>
                    </w:div>
                  </w:divsChild>
                </w:div>
                <w:div w:id="1367635932">
                  <w:marLeft w:val="0"/>
                  <w:marRight w:val="0"/>
                  <w:marTop w:val="0"/>
                  <w:marBottom w:val="0"/>
                  <w:divBdr>
                    <w:top w:val="none" w:sz="0" w:space="0" w:color="auto"/>
                    <w:left w:val="none" w:sz="0" w:space="0" w:color="auto"/>
                    <w:bottom w:val="none" w:sz="0" w:space="0" w:color="auto"/>
                    <w:right w:val="none" w:sz="0" w:space="0" w:color="auto"/>
                  </w:divBdr>
                  <w:divsChild>
                    <w:div w:id="929855528">
                      <w:marLeft w:val="0"/>
                      <w:marRight w:val="0"/>
                      <w:marTop w:val="0"/>
                      <w:marBottom w:val="0"/>
                      <w:divBdr>
                        <w:top w:val="none" w:sz="0" w:space="0" w:color="auto"/>
                        <w:left w:val="none" w:sz="0" w:space="0" w:color="auto"/>
                        <w:bottom w:val="none" w:sz="0" w:space="0" w:color="auto"/>
                        <w:right w:val="none" w:sz="0" w:space="0" w:color="auto"/>
                      </w:divBdr>
                    </w:div>
                  </w:divsChild>
                </w:div>
                <w:div w:id="493841645">
                  <w:marLeft w:val="0"/>
                  <w:marRight w:val="0"/>
                  <w:marTop w:val="0"/>
                  <w:marBottom w:val="0"/>
                  <w:divBdr>
                    <w:top w:val="none" w:sz="0" w:space="0" w:color="auto"/>
                    <w:left w:val="none" w:sz="0" w:space="0" w:color="auto"/>
                    <w:bottom w:val="none" w:sz="0" w:space="0" w:color="auto"/>
                    <w:right w:val="none" w:sz="0" w:space="0" w:color="auto"/>
                  </w:divBdr>
                  <w:divsChild>
                    <w:div w:id="1908563435">
                      <w:marLeft w:val="0"/>
                      <w:marRight w:val="0"/>
                      <w:marTop w:val="0"/>
                      <w:marBottom w:val="0"/>
                      <w:divBdr>
                        <w:top w:val="none" w:sz="0" w:space="0" w:color="auto"/>
                        <w:left w:val="none" w:sz="0" w:space="0" w:color="auto"/>
                        <w:bottom w:val="none" w:sz="0" w:space="0" w:color="auto"/>
                        <w:right w:val="none" w:sz="0" w:space="0" w:color="auto"/>
                      </w:divBdr>
                    </w:div>
                  </w:divsChild>
                </w:div>
                <w:div w:id="406348624">
                  <w:marLeft w:val="0"/>
                  <w:marRight w:val="0"/>
                  <w:marTop w:val="0"/>
                  <w:marBottom w:val="0"/>
                  <w:divBdr>
                    <w:top w:val="none" w:sz="0" w:space="0" w:color="auto"/>
                    <w:left w:val="none" w:sz="0" w:space="0" w:color="auto"/>
                    <w:bottom w:val="none" w:sz="0" w:space="0" w:color="auto"/>
                    <w:right w:val="none" w:sz="0" w:space="0" w:color="auto"/>
                  </w:divBdr>
                  <w:divsChild>
                    <w:div w:id="1845046406">
                      <w:marLeft w:val="0"/>
                      <w:marRight w:val="0"/>
                      <w:marTop w:val="0"/>
                      <w:marBottom w:val="0"/>
                      <w:divBdr>
                        <w:top w:val="none" w:sz="0" w:space="0" w:color="auto"/>
                        <w:left w:val="none" w:sz="0" w:space="0" w:color="auto"/>
                        <w:bottom w:val="none" w:sz="0" w:space="0" w:color="auto"/>
                        <w:right w:val="none" w:sz="0" w:space="0" w:color="auto"/>
                      </w:divBdr>
                    </w:div>
                  </w:divsChild>
                </w:div>
                <w:div w:id="1660184977">
                  <w:marLeft w:val="0"/>
                  <w:marRight w:val="0"/>
                  <w:marTop w:val="0"/>
                  <w:marBottom w:val="0"/>
                  <w:divBdr>
                    <w:top w:val="none" w:sz="0" w:space="0" w:color="auto"/>
                    <w:left w:val="none" w:sz="0" w:space="0" w:color="auto"/>
                    <w:bottom w:val="none" w:sz="0" w:space="0" w:color="auto"/>
                    <w:right w:val="none" w:sz="0" w:space="0" w:color="auto"/>
                  </w:divBdr>
                  <w:divsChild>
                    <w:div w:id="403841329">
                      <w:marLeft w:val="0"/>
                      <w:marRight w:val="0"/>
                      <w:marTop w:val="0"/>
                      <w:marBottom w:val="0"/>
                      <w:divBdr>
                        <w:top w:val="none" w:sz="0" w:space="0" w:color="auto"/>
                        <w:left w:val="none" w:sz="0" w:space="0" w:color="auto"/>
                        <w:bottom w:val="none" w:sz="0" w:space="0" w:color="auto"/>
                        <w:right w:val="none" w:sz="0" w:space="0" w:color="auto"/>
                      </w:divBdr>
                    </w:div>
                  </w:divsChild>
                </w:div>
                <w:div w:id="640843043">
                  <w:marLeft w:val="0"/>
                  <w:marRight w:val="0"/>
                  <w:marTop w:val="0"/>
                  <w:marBottom w:val="0"/>
                  <w:divBdr>
                    <w:top w:val="none" w:sz="0" w:space="0" w:color="auto"/>
                    <w:left w:val="none" w:sz="0" w:space="0" w:color="auto"/>
                    <w:bottom w:val="none" w:sz="0" w:space="0" w:color="auto"/>
                    <w:right w:val="none" w:sz="0" w:space="0" w:color="auto"/>
                  </w:divBdr>
                  <w:divsChild>
                    <w:div w:id="2049526380">
                      <w:marLeft w:val="0"/>
                      <w:marRight w:val="0"/>
                      <w:marTop w:val="0"/>
                      <w:marBottom w:val="0"/>
                      <w:divBdr>
                        <w:top w:val="none" w:sz="0" w:space="0" w:color="auto"/>
                        <w:left w:val="none" w:sz="0" w:space="0" w:color="auto"/>
                        <w:bottom w:val="none" w:sz="0" w:space="0" w:color="auto"/>
                        <w:right w:val="none" w:sz="0" w:space="0" w:color="auto"/>
                      </w:divBdr>
                    </w:div>
                  </w:divsChild>
                </w:div>
                <w:div w:id="1248616042">
                  <w:marLeft w:val="0"/>
                  <w:marRight w:val="0"/>
                  <w:marTop w:val="0"/>
                  <w:marBottom w:val="0"/>
                  <w:divBdr>
                    <w:top w:val="none" w:sz="0" w:space="0" w:color="auto"/>
                    <w:left w:val="none" w:sz="0" w:space="0" w:color="auto"/>
                    <w:bottom w:val="none" w:sz="0" w:space="0" w:color="auto"/>
                    <w:right w:val="none" w:sz="0" w:space="0" w:color="auto"/>
                  </w:divBdr>
                  <w:divsChild>
                    <w:div w:id="1572691106">
                      <w:marLeft w:val="0"/>
                      <w:marRight w:val="0"/>
                      <w:marTop w:val="0"/>
                      <w:marBottom w:val="0"/>
                      <w:divBdr>
                        <w:top w:val="none" w:sz="0" w:space="0" w:color="auto"/>
                        <w:left w:val="none" w:sz="0" w:space="0" w:color="auto"/>
                        <w:bottom w:val="none" w:sz="0" w:space="0" w:color="auto"/>
                        <w:right w:val="none" w:sz="0" w:space="0" w:color="auto"/>
                      </w:divBdr>
                    </w:div>
                  </w:divsChild>
                </w:div>
                <w:div w:id="1233128037">
                  <w:marLeft w:val="0"/>
                  <w:marRight w:val="0"/>
                  <w:marTop w:val="0"/>
                  <w:marBottom w:val="0"/>
                  <w:divBdr>
                    <w:top w:val="none" w:sz="0" w:space="0" w:color="auto"/>
                    <w:left w:val="none" w:sz="0" w:space="0" w:color="auto"/>
                    <w:bottom w:val="none" w:sz="0" w:space="0" w:color="auto"/>
                    <w:right w:val="none" w:sz="0" w:space="0" w:color="auto"/>
                  </w:divBdr>
                  <w:divsChild>
                    <w:div w:id="818151462">
                      <w:marLeft w:val="0"/>
                      <w:marRight w:val="0"/>
                      <w:marTop w:val="0"/>
                      <w:marBottom w:val="0"/>
                      <w:divBdr>
                        <w:top w:val="none" w:sz="0" w:space="0" w:color="auto"/>
                        <w:left w:val="none" w:sz="0" w:space="0" w:color="auto"/>
                        <w:bottom w:val="none" w:sz="0" w:space="0" w:color="auto"/>
                        <w:right w:val="none" w:sz="0" w:space="0" w:color="auto"/>
                      </w:divBdr>
                    </w:div>
                  </w:divsChild>
                </w:div>
                <w:div w:id="2049330748">
                  <w:marLeft w:val="0"/>
                  <w:marRight w:val="0"/>
                  <w:marTop w:val="0"/>
                  <w:marBottom w:val="0"/>
                  <w:divBdr>
                    <w:top w:val="none" w:sz="0" w:space="0" w:color="auto"/>
                    <w:left w:val="none" w:sz="0" w:space="0" w:color="auto"/>
                    <w:bottom w:val="none" w:sz="0" w:space="0" w:color="auto"/>
                    <w:right w:val="none" w:sz="0" w:space="0" w:color="auto"/>
                  </w:divBdr>
                  <w:divsChild>
                    <w:div w:id="1075661405">
                      <w:marLeft w:val="0"/>
                      <w:marRight w:val="0"/>
                      <w:marTop w:val="0"/>
                      <w:marBottom w:val="0"/>
                      <w:divBdr>
                        <w:top w:val="none" w:sz="0" w:space="0" w:color="auto"/>
                        <w:left w:val="none" w:sz="0" w:space="0" w:color="auto"/>
                        <w:bottom w:val="none" w:sz="0" w:space="0" w:color="auto"/>
                        <w:right w:val="none" w:sz="0" w:space="0" w:color="auto"/>
                      </w:divBdr>
                    </w:div>
                  </w:divsChild>
                </w:div>
                <w:div w:id="1320579647">
                  <w:marLeft w:val="0"/>
                  <w:marRight w:val="0"/>
                  <w:marTop w:val="0"/>
                  <w:marBottom w:val="0"/>
                  <w:divBdr>
                    <w:top w:val="none" w:sz="0" w:space="0" w:color="auto"/>
                    <w:left w:val="none" w:sz="0" w:space="0" w:color="auto"/>
                    <w:bottom w:val="none" w:sz="0" w:space="0" w:color="auto"/>
                    <w:right w:val="none" w:sz="0" w:space="0" w:color="auto"/>
                  </w:divBdr>
                  <w:divsChild>
                    <w:div w:id="2126193278">
                      <w:marLeft w:val="0"/>
                      <w:marRight w:val="0"/>
                      <w:marTop w:val="0"/>
                      <w:marBottom w:val="0"/>
                      <w:divBdr>
                        <w:top w:val="none" w:sz="0" w:space="0" w:color="auto"/>
                        <w:left w:val="none" w:sz="0" w:space="0" w:color="auto"/>
                        <w:bottom w:val="none" w:sz="0" w:space="0" w:color="auto"/>
                        <w:right w:val="none" w:sz="0" w:space="0" w:color="auto"/>
                      </w:divBdr>
                    </w:div>
                  </w:divsChild>
                </w:div>
                <w:div w:id="162357474">
                  <w:marLeft w:val="0"/>
                  <w:marRight w:val="0"/>
                  <w:marTop w:val="0"/>
                  <w:marBottom w:val="0"/>
                  <w:divBdr>
                    <w:top w:val="none" w:sz="0" w:space="0" w:color="auto"/>
                    <w:left w:val="none" w:sz="0" w:space="0" w:color="auto"/>
                    <w:bottom w:val="none" w:sz="0" w:space="0" w:color="auto"/>
                    <w:right w:val="none" w:sz="0" w:space="0" w:color="auto"/>
                  </w:divBdr>
                  <w:divsChild>
                    <w:div w:id="54621896">
                      <w:marLeft w:val="0"/>
                      <w:marRight w:val="0"/>
                      <w:marTop w:val="0"/>
                      <w:marBottom w:val="0"/>
                      <w:divBdr>
                        <w:top w:val="none" w:sz="0" w:space="0" w:color="auto"/>
                        <w:left w:val="none" w:sz="0" w:space="0" w:color="auto"/>
                        <w:bottom w:val="none" w:sz="0" w:space="0" w:color="auto"/>
                        <w:right w:val="none" w:sz="0" w:space="0" w:color="auto"/>
                      </w:divBdr>
                    </w:div>
                  </w:divsChild>
                </w:div>
                <w:div w:id="2031373700">
                  <w:marLeft w:val="0"/>
                  <w:marRight w:val="0"/>
                  <w:marTop w:val="0"/>
                  <w:marBottom w:val="0"/>
                  <w:divBdr>
                    <w:top w:val="none" w:sz="0" w:space="0" w:color="auto"/>
                    <w:left w:val="none" w:sz="0" w:space="0" w:color="auto"/>
                    <w:bottom w:val="none" w:sz="0" w:space="0" w:color="auto"/>
                    <w:right w:val="none" w:sz="0" w:space="0" w:color="auto"/>
                  </w:divBdr>
                  <w:divsChild>
                    <w:div w:id="1798864718">
                      <w:marLeft w:val="0"/>
                      <w:marRight w:val="0"/>
                      <w:marTop w:val="0"/>
                      <w:marBottom w:val="0"/>
                      <w:divBdr>
                        <w:top w:val="none" w:sz="0" w:space="0" w:color="auto"/>
                        <w:left w:val="none" w:sz="0" w:space="0" w:color="auto"/>
                        <w:bottom w:val="none" w:sz="0" w:space="0" w:color="auto"/>
                        <w:right w:val="none" w:sz="0" w:space="0" w:color="auto"/>
                      </w:divBdr>
                    </w:div>
                  </w:divsChild>
                </w:div>
                <w:div w:id="699428277">
                  <w:marLeft w:val="0"/>
                  <w:marRight w:val="0"/>
                  <w:marTop w:val="0"/>
                  <w:marBottom w:val="0"/>
                  <w:divBdr>
                    <w:top w:val="none" w:sz="0" w:space="0" w:color="auto"/>
                    <w:left w:val="none" w:sz="0" w:space="0" w:color="auto"/>
                    <w:bottom w:val="none" w:sz="0" w:space="0" w:color="auto"/>
                    <w:right w:val="none" w:sz="0" w:space="0" w:color="auto"/>
                  </w:divBdr>
                  <w:divsChild>
                    <w:div w:id="1714423269">
                      <w:marLeft w:val="0"/>
                      <w:marRight w:val="0"/>
                      <w:marTop w:val="0"/>
                      <w:marBottom w:val="0"/>
                      <w:divBdr>
                        <w:top w:val="none" w:sz="0" w:space="0" w:color="auto"/>
                        <w:left w:val="none" w:sz="0" w:space="0" w:color="auto"/>
                        <w:bottom w:val="none" w:sz="0" w:space="0" w:color="auto"/>
                        <w:right w:val="none" w:sz="0" w:space="0" w:color="auto"/>
                      </w:divBdr>
                    </w:div>
                  </w:divsChild>
                </w:div>
                <w:div w:id="764570401">
                  <w:marLeft w:val="0"/>
                  <w:marRight w:val="0"/>
                  <w:marTop w:val="0"/>
                  <w:marBottom w:val="0"/>
                  <w:divBdr>
                    <w:top w:val="none" w:sz="0" w:space="0" w:color="auto"/>
                    <w:left w:val="none" w:sz="0" w:space="0" w:color="auto"/>
                    <w:bottom w:val="none" w:sz="0" w:space="0" w:color="auto"/>
                    <w:right w:val="none" w:sz="0" w:space="0" w:color="auto"/>
                  </w:divBdr>
                  <w:divsChild>
                    <w:div w:id="1778023350">
                      <w:marLeft w:val="0"/>
                      <w:marRight w:val="0"/>
                      <w:marTop w:val="0"/>
                      <w:marBottom w:val="0"/>
                      <w:divBdr>
                        <w:top w:val="none" w:sz="0" w:space="0" w:color="auto"/>
                        <w:left w:val="none" w:sz="0" w:space="0" w:color="auto"/>
                        <w:bottom w:val="none" w:sz="0" w:space="0" w:color="auto"/>
                        <w:right w:val="none" w:sz="0" w:space="0" w:color="auto"/>
                      </w:divBdr>
                    </w:div>
                  </w:divsChild>
                </w:div>
                <w:div w:id="1678003228">
                  <w:marLeft w:val="0"/>
                  <w:marRight w:val="0"/>
                  <w:marTop w:val="0"/>
                  <w:marBottom w:val="0"/>
                  <w:divBdr>
                    <w:top w:val="none" w:sz="0" w:space="0" w:color="auto"/>
                    <w:left w:val="none" w:sz="0" w:space="0" w:color="auto"/>
                    <w:bottom w:val="none" w:sz="0" w:space="0" w:color="auto"/>
                    <w:right w:val="none" w:sz="0" w:space="0" w:color="auto"/>
                  </w:divBdr>
                  <w:divsChild>
                    <w:div w:id="1928076249">
                      <w:marLeft w:val="0"/>
                      <w:marRight w:val="0"/>
                      <w:marTop w:val="0"/>
                      <w:marBottom w:val="0"/>
                      <w:divBdr>
                        <w:top w:val="none" w:sz="0" w:space="0" w:color="auto"/>
                        <w:left w:val="none" w:sz="0" w:space="0" w:color="auto"/>
                        <w:bottom w:val="none" w:sz="0" w:space="0" w:color="auto"/>
                        <w:right w:val="none" w:sz="0" w:space="0" w:color="auto"/>
                      </w:divBdr>
                    </w:div>
                  </w:divsChild>
                </w:div>
                <w:div w:id="1489054467">
                  <w:marLeft w:val="0"/>
                  <w:marRight w:val="0"/>
                  <w:marTop w:val="0"/>
                  <w:marBottom w:val="0"/>
                  <w:divBdr>
                    <w:top w:val="none" w:sz="0" w:space="0" w:color="auto"/>
                    <w:left w:val="none" w:sz="0" w:space="0" w:color="auto"/>
                    <w:bottom w:val="none" w:sz="0" w:space="0" w:color="auto"/>
                    <w:right w:val="none" w:sz="0" w:space="0" w:color="auto"/>
                  </w:divBdr>
                  <w:divsChild>
                    <w:div w:id="1630282206">
                      <w:marLeft w:val="0"/>
                      <w:marRight w:val="0"/>
                      <w:marTop w:val="0"/>
                      <w:marBottom w:val="0"/>
                      <w:divBdr>
                        <w:top w:val="none" w:sz="0" w:space="0" w:color="auto"/>
                        <w:left w:val="none" w:sz="0" w:space="0" w:color="auto"/>
                        <w:bottom w:val="none" w:sz="0" w:space="0" w:color="auto"/>
                        <w:right w:val="none" w:sz="0" w:space="0" w:color="auto"/>
                      </w:divBdr>
                    </w:div>
                  </w:divsChild>
                </w:div>
                <w:div w:id="45616065">
                  <w:marLeft w:val="0"/>
                  <w:marRight w:val="0"/>
                  <w:marTop w:val="0"/>
                  <w:marBottom w:val="0"/>
                  <w:divBdr>
                    <w:top w:val="none" w:sz="0" w:space="0" w:color="auto"/>
                    <w:left w:val="none" w:sz="0" w:space="0" w:color="auto"/>
                    <w:bottom w:val="none" w:sz="0" w:space="0" w:color="auto"/>
                    <w:right w:val="none" w:sz="0" w:space="0" w:color="auto"/>
                  </w:divBdr>
                  <w:divsChild>
                    <w:div w:id="689993389">
                      <w:marLeft w:val="0"/>
                      <w:marRight w:val="0"/>
                      <w:marTop w:val="0"/>
                      <w:marBottom w:val="0"/>
                      <w:divBdr>
                        <w:top w:val="none" w:sz="0" w:space="0" w:color="auto"/>
                        <w:left w:val="none" w:sz="0" w:space="0" w:color="auto"/>
                        <w:bottom w:val="none" w:sz="0" w:space="0" w:color="auto"/>
                        <w:right w:val="none" w:sz="0" w:space="0" w:color="auto"/>
                      </w:divBdr>
                    </w:div>
                  </w:divsChild>
                </w:div>
                <w:div w:id="883322711">
                  <w:marLeft w:val="0"/>
                  <w:marRight w:val="0"/>
                  <w:marTop w:val="0"/>
                  <w:marBottom w:val="0"/>
                  <w:divBdr>
                    <w:top w:val="none" w:sz="0" w:space="0" w:color="auto"/>
                    <w:left w:val="none" w:sz="0" w:space="0" w:color="auto"/>
                    <w:bottom w:val="none" w:sz="0" w:space="0" w:color="auto"/>
                    <w:right w:val="none" w:sz="0" w:space="0" w:color="auto"/>
                  </w:divBdr>
                  <w:divsChild>
                    <w:div w:id="1675766371">
                      <w:marLeft w:val="0"/>
                      <w:marRight w:val="0"/>
                      <w:marTop w:val="0"/>
                      <w:marBottom w:val="0"/>
                      <w:divBdr>
                        <w:top w:val="none" w:sz="0" w:space="0" w:color="auto"/>
                        <w:left w:val="none" w:sz="0" w:space="0" w:color="auto"/>
                        <w:bottom w:val="none" w:sz="0" w:space="0" w:color="auto"/>
                        <w:right w:val="none" w:sz="0" w:space="0" w:color="auto"/>
                      </w:divBdr>
                    </w:div>
                  </w:divsChild>
                </w:div>
                <w:div w:id="807090073">
                  <w:marLeft w:val="0"/>
                  <w:marRight w:val="0"/>
                  <w:marTop w:val="0"/>
                  <w:marBottom w:val="0"/>
                  <w:divBdr>
                    <w:top w:val="none" w:sz="0" w:space="0" w:color="auto"/>
                    <w:left w:val="none" w:sz="0" w:space="0" w:color="auto"/>
                    <w:bottom w:val="none" w:sz="0" w:space="0" w:color="auto"/>
                    <w:right w:val="none" w:sz="0" w:space="0" w:color="auto"/>
                  </w:divBdr>
                  <w:divsChild>
                    <w:div w:id="135224931">
                      <w:marLeft w:val="0"/>
                      <w:marRight w:val="0"/>
                      <w:marTop w:val="0"/>
                      <w:marBottom w:val="0"/>
                      <w:divBdr>
                        <w:top w:val="none" w:sz="0" w:space="0" w:color="auto"/>
                        <w:left w:val="none" w:sz="0" w:space="0" w:color="auto"/>
                        <w:bottom w:val="none" w:sz="0" w:space="0" w:color="auto"/>
                        <w:right w:val="none" w:sz="0" w:space="0" w:color="auto"/>
                      </w:divBdr>
                    </w:div>
                  </w:divsChild>
                </w:div>
                <w:div w:id="855466933">
                  <w:marLeft w:val="0"/>
                  <w:marRight w:val="0"/>
                  <w:marTop w:val="0"/>
                  <w:marBottom w:val="0"/>
                  <w:divBdr>
                    <w:top w:val="none" w:sz="0" w:space="0" w:color="auto"/>
                    <w:left w:val="none" w:sz="0" w:space="0" w:color="auto"/>
                    <w:bottom w:val="none" w:sz="0" w:space="0" w:color="auto"/>
                    <w:right w:val="none" w:sz="0" w:space="0" w:color="auto"/>
                  </w:divBdr>
                  <w:divsChild>
                    <w:div w:id="26874182">
                      <w:marLeft w:val="0"/>
                      <w:marRight w:val="0"/>
                      <w:marTop w:val="0"/>
                      <w:marBottom w:val="0"/>
                      <w:divBdr>
                        <w:top w:val="none" w:sz="0" w:space="0" w:color="auto"/>
                        <w:left w:val="none" w:sz="0" w:space="0" w:color="auto"/>
                        <w:bottom w:val="none" w:sz="0" w:space="0" w:color="auto"/>
                        <w:right w:val="none" w:sz="0" w:space="0" w:color="auto"/>
                      </w:divBdr>
                    </w:div>
                  </w:divsChild>
                </w:div>
                <w:div w:id="1113986334">
                  <w:marLeft w:val="0"/>
                  <w:marRight w:val="0"/>
                  <w:marTop w:val="0"/>
                  <w:marBottom w:val="0"/>
                  <w:divBdr>
                    <w:top w:val="none" w:sz="0" w:space="0" w:color="auto"/>
                    <w:left w:val="none" w:sz="0" w:space="0" w:color="auto"/>
                    <w:bottom w:val="none" w:sz="0" w:space="0" w:color="auto"/>
                    <w:right w:val="none" w:sz="0" w:space="0" w:color="auto"/>
                  </w:divBdr>
                  <w:divsChild>
                    <w:div w:id="1171144960">
                      <w:marLeft w:val="0"/>
                      <w:marRight w:val="0"/>
                      <w:marTop w:val="0"/>
                      <w:marBottom w:val="0"/>
                      <w:divBdr>
                        <w:top w:val="none" w:sz="0" w:space="0" w:color="auto"/>
                        <w:left w:val="none" w:sz="0" w:space="0" w:color="auto"/>
                        <w:bottom w:val="none" w:sz="0" w:space="0" w:color="auto"/>
                        <w:right w:val="none" w:sz="0" w:space="0" w:color="auto"/>
                      </w:divBdr>
                    </w:div>
                  </w:divsChild>
                </w:div>
                <w:div w:id="211771634">
                  <w:marLeft w:val="0"/>
                  <w:marRight w:val="0"/>
                  <w:marTop w:val="0"/>
                  <w:marBottom w:val="0"/>
                  <w:divBdr>
                    <w:top w:val="none" w:sz="0" w:space="0" w:color="auto"/>
                    <w:left w:val="none" w:sz="0" w:space="0" w:color="auto"/>
                    <w:bottom w:val="none" w:sz="0" w:space="0" w:color="auto"/>
                    <w:right w:val="none" w:sz="0" w:space="0" w:color="auto"/>
                  </w:divBdr>
                  <w:divsChild>
                    <w:div w:id="1054154614">
                      <w:marLeft w:val="0"/>
                      <w:marRight w:val="0"/>
                      <w:marTop w:val="0"/>
                      <w:marBottom w:val="0"/>
                      <w:divBdr>
                        <w:top w:val="none" w:sz="0" w:space="0" w:color="auto"/>
                        <w:left w:val="none" w:sz="0" w:space="0" w:color="auto"/>
                        <w:bottom w:val="none" w:sz="0" w:space="0" w:color="auto"/>
                        <w:right w:val="none" w:sz="0" w:space="0" w:color="auto"/>
                      </w:divBdr>
                    </w:div>
                  </w:divsChild>
                </w:div>
                <w:div w:id="449477830">
                  <w:marLeft w:val="0"/>
                  <w:marRight w:val="0"/>
                  <w:marTop w:val="0"/>
                  <w:marBottom w:val="0"/>
                  <w:divBdr>
                    <w:top w:val="none" w:sz="0" w:space="0" w:color="auto"/>
                    <w:left w:val="none" w:sz="0" w:space="0" w:color="auto"/>
                    <w:bottom w:val="none" w:sz="0" w:space="0" w:color="auto"/>
                    <w:right w:val="none" w:sz="0" w:space="0" w:color="auto"/>
                  </w:divBdr>
                  <w:divsChild>
                    <w:div w:id="1325162703">
                      <w:marLeft w:val="0"/>
                      <w:marRight w:val="0"/>
                      <w:marTop w:val="0"/>
                      <w:marBottom w:val="0"/>
                      <w:divBdr>
                        <w:top w:val="none" w:sz="0" w:space="0" w:color="auto"/>
                        <w:left w:val="none" w:sz="0" w:space="0" w:color="auto"/>
                        <w:bottom w:val="none" w:sz="0" w:space="0" w:color="auto"/>
                        <w:right w:val="none" w:sz="0" w:space="0" w:color="auto"/>
                      </w:divBdr>
                    </w:div>
                  </w:divsChild>
                </w:div>
                <w:div w:id="873662182">
                  <w:marLeft w:val="0"/>
                  <w:marRight w:val="0"/>
                  <w:marTop w:val="0"/>
                  <w:marBottom w:val="0"/>
                  <w:divBdr>
                    <w:top w:val="none" w:sz="0" w:space="0" w:color="auto"/>
                    <w:left w:val="none" w:sz="0" w:space="0" w:color="auto"/>
                    <w:bottom w:val="none" w:sz="0" w:space="0" w:color="auto"/>
                    <w:right w:val="none" w:sz="0" w:space="0" w:color="auto"/>
                  </w:divBdr>
                  <w:divsChild>
                    <w:div w:id="1662925346">
                      <w:marLeft w:val="0"/>
                      <w:marRight w:val="0"/>
                      <w:marTop w:val="0"/>
                      <w:marBottom w:val="0"/>
                      <w:divBdr>
                        <w:top w:val="none" w:sz="0" w:space="0" w:color="auto"/>
                        <w:left w:val="none" w:sz="0" w:space="0" w:color="auto"/>
                        <w:bottom w:val="none" w:sz="0" w:space="0" w:color="auto"/>
                        <w:right w:val="none" w:sz="0" w:space="0" w:color="auto"/>
                      </w:divBdr>
                    </w:div>
                  </w:divsChild>
                </w:div>
                <w:div w:id="583300834">
                  <w:marLeft w:val="0"/>
                  <w:marRight w:val="0"/>
                  <w:marTop w:val="0"/>
                  <w:marBottom w:val="0"/>
                  <w:divBdr>
                    <w:top w:val="none" w:sz="0" w:space="0" w:color="auto"/>
                    <w:left w:val="none" w:sz="0" w:space="0" w:color="auto"/>
                    <w:bottom w:val="none" w:sz="0" w:space="0" w:color="auto"/>
                    <w:right w:val="none" w:sz="0" w:space="0" w:color="auto"/>
                  </w:divBdr>
                  <w:divsChild>
                    <w:div w:id="852841899">
                      <w:marLeft w:val="0"/>
                      <w:marRight w:val="0"/>
                      <w:marTop w:val="0"/>
                      <w:marBottom w:val="0"/>
                      <w:divBdr>
                        <w:top w:val="none" w:sz="0" w:space="0" w:color="auto"/>
                        <w:left w:val="none" w:sz="0" w:space="0" w:color="auto"/>
                        <w:bottom w:val="none" w:sz="0" w:space="0" w:color="auto"/>
                        <w:right w:val="none" w:sz="0" w:space="0" w:color="auto"/>
                      </w:divBdr>
                    </w:div>
                  </w:divsChild>
                </w:div>
                <w:div w:id="150681003">
                  <w:marLeft w:val="0"/>
                  <w:marRight w:val="0"/>
                  <w:marTop w:val="0"/>
                  <w:marBottom w:val="0"/>
                  <w:divBdr>
                    <w:top w:val="none" w:sz="0" w:space="0" w:color="auto"/>
                    <w:left w:val="none" w:sz="0" w:space="0" w:color="auto"/>
                    <w:bottom w:val="none" w:sz="0" w:space="0" w:color="auto"/>
                    <w:right w:val="none" w:sz="0" w:space="0" w:color="auto"/>
                  </w:divBdr>
                  <w:divsChild>
                    <w:div w:id="191242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2037">
          <w:marLeft w:val="0"/>
          <w:marRight w:val="0"/>
          <w:marTop w:val="0"/>
          <w:marBottom w:val="0"/>
          <w:divBdr>
            <w:top w:val="none" w:sz="0" w:space="0" w:color="auto"/>
            <w:left w:val="none" w:sz="0" w:space="0" w:color="auto"/>
            <w:bottom w:val="none" w:sz="0" w:space="0" w:color="auto"/>
            <w:right w:val="none" w:sz="0" w:space="0" w:color="auto"/>
          </w:divBdr>
        </w:div>
      </w:divsChild>
    </w:div>
    <w:div w:id="1655068238">
      <w:bodyDiv w:val="1"/>
      <w:marLeft w:val="0"/>
      <w:marRight w:val="0"/>
      <w:marTop w:val="0"/>
      <w:marBottom w:val="0"/>
      <w:divBdr>
        <w:top w:val="none" w:sz="0" w:space="0" w:color="auto"/>
        <w:left w:val="none" w:sz="0" w:space="0" w:color="auto"/>
        <w:bottom w:val="none" w:sz="0" w:space="0" w:color="auto"/>
        <w:right w:val="none" w:sz="0" w:space="0" w:color="auto"/>
      </w:divBdr>
    </w:div>
    <w:div w:id="1658611129">
      <w:bodyDiv w:val="1"/>
      <w:marLeft w:val="0"/>
      <w:marRight w:val="0"/>
      <w:marTop w:val="0"/>
      <w:marBottom w:val="0"/>
      <w:divBdr>
        <w:top w:val="none" w:sz="0" w:space="0" w:color="auto"/>
        <w:left w:val="none" w:sz="0" w:space="0" w:color="auto"/>
        <w:bottom w:val="none" w:sz="0" w:space="0" w:color="auto"/>
        <w:right w:val="none" w:sz="0" w:space="0" w:color="auto"/>
      </w:divBdr>
    </w:div>
    <w:div w:id="1707365622">
      <w:bodyDiv w:val="1"/>
      <w:marLeft w:val="0"/>
      <w:marRight w:val="0"/>
      <w:marTop w:val="0"/>
      <w:marBottom w:val="0"/>
      <w:divBdr>
        <w:top w:val="none" w:sz="0" w:space="0" w:color="auto"/>
        <w:left w:val="none" w:sz="0" w:space="0" w:color="auto"/>
        <w:bottom w:val="none" w:sz="0" w:space="0" w:color="auto"/>
        <w:right w:val="none" w:sz="0" w:space="0" w:color="auto"/>
      </w:divBdr>
      <w:divsChild>
        <w:div w:id="970861493">
          <w:marLeft w:val="274"/>
          <w:marRight w:val="0"/>
          <w:marTop w:val="0"/>
          <w:marBottom w:val="0"/>
          <w:divBdr>
            <w:top w:val="none" w:sz="0" w:space="0" w:color="auto"/>
            <w:left w:val="none" w:sz="0" w:space="0" w:color="auto"/>
            <w:bottom w:val="none" w:sz="0" w:space="0" w:color="auto"/>
            <w:right w:val="none" w:sz="0" w:space="0" w:color="auto"/>
          </w:divBdr>
        </w:div>
      </w:divsChild>
    </w:div>
    <w:div w:id="1719695546">
      <w:bodyDiv w:val="1"/>
      <w:marLeft w:val="0"/>
      <w:marRight w:val="0"/>
      <w:marTop w:val="0"/>
      <w:marBottom w:val="0"/>
      <w:divBdr>
        <w:top w:val="none" w:sz="0" w:space="0" w:color="auto"/>
        <w:left w:val="none" w:sz="0" w:space="0" w:color="auto"/>
        <w:bottom w:val="none" w:sz="0" w:space="0" w:color="auto"/>
        <w:right w:val="none" w:sz="0" w:space="0" w:color="auto"/>
      </w:divBdr>
    </w:div>
    <w:div w:id="1722095133">
      <w:bodyDiv w:val="1"/>
      <w:marLeft w:val="0"/>
      <w:marRight w:val="0"/>
      <w:marTop w:val="0"/>
      <w:marBottom w:val="0"/>
      <w:divBdr>
        <w:top w:val="none" w:sz="0" w:space="0" w:color="auto"/>
        <w:left w:val="none" w:sz="0" w:space="0" w:color="auto"/>
        <w:bottom w:val="none" w:sz="0" w:space="0" w:color="auto"/>
        <w:right w:val="none" w:sz="0" w:space="0" w:color="auto"/>
      </w:divBdr>
      <w:divsChild>
        <w:div w:id="799373875">
          <w:marLeft w:val="274"/>
          <w:marRight w:val="0"/>
          <w:marTop w:val="0"/>
          <w:marBottom w:val="0"/>
          <w:divBdr>
            <w:top w:val="none" w:sz="0" w:space="0" w:color="auto"/>
            <w:left w:val="none" w:sz="0" w:space="0" w:color="auto"/>
            <w:bottom w:val="none" w:sz="0" w:space="0" w:color="auto"/>
            <w:right w:val="none" w:sz="0" w:space="0" w:color="auto"/>
          </w:divBdr>
        </w:div>
        <w:div w:id="786387303">
          <w:marLeft w:val="274"/>
          <w:marRight w:val="0"/>
          <w:marTop w:val="0"/>
          <w:marBottom w:val="0"/>
          <w:divBdr>
            <w:top w:val="none" w:sz="0" w:space="0" w:color="auto"/>
            <w:left w:val="none" w:sz="0" w:space="0" w:color="auto"/>
            <w:bottom w:val="none" w:sz="0" w:space="0" w:color="auto"/>
            <w:right w:val="none" w:sz="0" w:space="0" w:color="auto"/>
          </w:divBdr>
        </w:div>
        <w:div w:id="358554940">
          <w:marLeft w:val="274"/>
          <w:marRight w:val="0"/>
          <w:marTop w:val="0"/>
          <w:marBottom w:val="0"/>
          <w:divBdr>
            <w:top w:val="none" w:sz="0" w:space="0" w:color="auto"/>
            <w:left w:val="none" w:sz="0" w:space="0" w:color="auto"/>
            <w:bottom w:val="none" w:sz="0" w:space="0" w:color="auto"/>
            <w:right w:val="none" w:sz="0" w:space="0" w:color="auto"/>
          </w:divBdr>
        </w:div>
        <w:div w:id="928124241">
          <w:marLeft w:val="274"/>
          <w:marRight w:val="0"/>
          <w:marTop w:val="0"/>
          <w:marBottom w:val="0"/>
          <w:divBdr>
            <w:top w:val="none" w:sz="0" w:space="0" w:color="auto"/>
            <w:left w:val="none" w:sz="0" w:space="0" w:color="auto"/>
            <w:bottom w:val="none" w:sz="0" w:space="0" w:color="auto"/>
            <w:right w:val="none" w:sz="0" w:space="0" w:color="auto"/>
          </w:divBdr>
        </w:div>
      </w:divsChild>
    </w:div>
    <w:div w:id="1745299174">
      <w:bodyDiv w:val="1"/>
      <w:marLeft w:val="0"/>
      <w:marRight w:val="0"/>
      <w:marTop w:val="0"/>
      <w:marBottom w:val="0"/>
      <w:divBdr>
        <w:top w:val="none" w:sz="0" w:space="0" w:color="auto"/>
        <w:left w:val="none" w:sz="0" w:space="0" w:color="auto"/>
        <w:bottom w:val="none" w:sz="0" w:space="0" w:color="auto"/>
        <w:right w:val="none" w:sz="0" w:space="0" w:color="auto"/>
      </w:divBdr>
      <w:divsChild>
        <w:div w:id="2075464512">
          <w:marLeft w:val="0"/>
          <w:marRight w:val="0"/>
          <w:marTop w:val="0"/>
          <w:marBottom w:val="0"/>
          <w:divBdr>
            <w:top w:val="none" w:sz="0" w:space="0" w:color="auto"/>
            <w:left w:val="none" w:sz="0" w:space="0" w:color="auto"/>
            <w:bottom w:val="none" w:sz="0" w:space="0" w:color="auto"/>
            <w:right w:val="none" w:sz="0" w:space="0" w:color="auto"/>
          </w:divBdr>
          <w:divsChild>
            <w:div w:id="1326087490">
              <w:marLeft w:val="0"/>
              <w:marRight w:val="0"/>
              <w:marTop w:val="0"/>
              <w:marBottom w:val="0"/>
              <w:divBdr>
                <w:top w:val="none" w:sz="0" w:space="0" w:color="auto"/>
                <w:left w:val="none" w:sz="0" w:space="0" w:color="auto"/>
                <w:bottom w:val="none" w:sz="0" w:space="0" w:color="auto"/>
                <w:right w:val="none" w:sz="0" w:space="0" w:color="auto"/>
              </w:divBdr>
            </w:div>
          </w:divsChild>
        </w:div>
        <w:div w:id="195630786">
          <w:marLeft w:val="0"/>
          <w:marRight w:val="0"/>
          <w:marTop w:val="0"/>
          <w:marBottom w:val="0"/>
          <w:divBdr>
            <w:top w:val="none" w:sz="0" w:space="0" w:color="auto"/>
            <w:left w:val="none" w:sz="0" w:space="0" w:color="auto"/>
            <w:bottom w:val="none" w:sz="0" w:space="0" w:color="auto"/>
            <w:right w:val="none" w:sz="0" w:space="0" w:color="auto"/>
          </w:divBdr>
          <w:divsChild>
            <w:div w:id="462310539">
              <w:marLeft w:val="0"/>
              <w:marRight w:val="0"/>
              <w:marTop w:val="0"/>
              <w:marBottom w:val="0"/>
              <w:divBdr>
                <w:top w:val="none" w:sz="0" w:space="0" w:color="auto"/>
                <w:left w:val="none" w:sz="0" w:space="0" w:color="auto"/>
                <w:bottom w:val="none" w:sz="0" w:space="0" w:color="auto"/>
                <w:right w:val="none" w:sz="0" w:space="0" w:color="auto"/>
              </w:divBdr>
            </w:div>
          </w:divsChild>
        </w:div>
        <w:div w:id="1771656160">
          <w:marLeft w:val="0"/>
          <w:marRight w:val="0"/>
          <w:marTop w:val="0"/>
          <w:marBottom w:val="0"/>
          <w:divBdr>
            <w:top w:val="none" w:sz="0" w:space="0" w:color="auto"/>
            <w:left w:val="none" w:sz="0" w:space="0" w:color="auto"/>
            <w:bottom w:val="none" w:sz="0" w:space="0" w:color="auto"/>
            <w:right w:val="none" w:sz="0" w:space="0" w:color="auto"/>
          </w:divBdr>
          <w:divsChild>
            <w:div w:id="698311927">
              <w:marLeft w:val="0"/>
              <w:marRight w:val="0"/>
              <w:marTop w:val="0"/>
              <w:marBottom w:val="0"/>
              <w:divBdr>
                <w:top w:val="none" w:sz="0" w:space="0" w:color="auto"/>
                <w:left w:val="none" w:sz="0" w:space="0" w:color="auto"/>
                <w:bottom w:val="none" w:sz="0" w:space="0" w:color="auto"/>
                <w:right w:val="none" w:sz="0" w:space="0" w:color="auto"/>
              </w:divBdr>
            </w:div>
            <w:div w:id="2007317762">
              <w:marLeft w:val="0"/>
              <w:marRight w:val="0"/>
              <w:marTop w:val="0"/>
              <w:marBottom w:val="0"/>
              <w:divBdr>
                <w:top w:val="none" w:sz="0" w:space="0" w:color="auto"/>
                <w:left w:val="none" w:sz="0" w:space="0" w:color="auto"/>
                <w:bottom w:val="none" w:sz="0" w:space="0" w:color="auto"/>
                <w:right w:val="none" w:sz="0" w:space="0" w:color="auto"/>
              </w:divBdr>
            </w:div>
            <w:div w:id="1928150100">
              <w:marLeft w:val="0"/>
              <w:marRight w:val="0"/>
              <w:marTop w:val="0"/>
              <w:marBottom w:val="0"/>
              <w:divBdr>
                <w:top w:val="none" w:sz="0" w:space="0" w:color="auto"/>
                <w:left w:val="none" w:sz="0" w:space="0" w:color="auto"/>
                <w:bottom w:val="none" w:sz="0" w:space="0" w:color="auto"/>
                <w:right w:val="none" w:sz="0" w:space="0" w:color="auto"/>
              </w:divBdr>
            </w:div>
            <w:div w:id="11498879">
              <w:marLeft w:val="0"/>
              <w:marRight w:val="0"/>
              <w:marTop w:val="0"/>
              <w:marBottom w:val="0"/>
              <w:divBdr>
                <w:top w:val="none" w:sz="0" w:space="0" w:color="auto"/>
                <w:left w:val="none" w:sz="0" w:space="0" w:color="auto"/>
                <w:bottom w:val="none" w:sz="0" w:space="0" w:color="auto"/>
                <w:right w:val="none" w:sz="0" w:space="0" w:color="auto"/>
              </w:divBdr>
            </w:div>
            <w:div w:id="793524106">
              <w:marLeft w:val="0"/>
              <w:marRight w:val="0"/>
              <w:marTop w:val="0"/>
              <w:marBottom w:val="0"/>
              <w:divBdr>
                <w:top w:val="none" w:sz="0" w:space="0" w:color="auto"/>
                <w:left w:val="none" w:sz="0" w:space="0" w:color="auto"/>
                <w:bottom w:val="none" w:sz="0" w:space="0" w:color="auto"/>
                <w:right w:val="none" w:sz="0" w:space="0" w:color="auto"/>
              </w:divBdr>
            </w:div>
            <w:div w:id="8045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4641">
      <w:bodyDiv w:val="1"/>
      <w:marLeft w:val="0"/>
      <w:marRight w:val="0"/>
      <w:marTop w:val="0"/>
      <w:marBottom w:val="0"/>
      <w:divBdr>
        <w:top w:val="none" w:sz="0" w:space="0" w:color="auto"/>
        <w:left w:val="none" w:sz="0" w:space="0" w:color="auto"/>
        <w:bottom w:val="none" w:sz="0" w:space="0" w:color="auto"/>
        <w:right w:val="none" w:sz="0" w:space="0" w:color="auto"/>
      </w:divBdr>
    </w:div>
    <w:div w:id="1762605676">
      <w:bodyDiv w:val="1"/>
      <w:marLeft w:val="0"/>
      <w:marRight w:val="0"/>
      <w:marTop w:val="0"/>
      <w:marBottom w:val="0"/>
      <w:divBdr>
        <w:top w:val="none" w:sz="0" w:space="0" w:color="auto"/>
        <w:left w:val="none" w:sz="0" w:space="0" w:color="auto"/>
        <w:bottom w:val="none" w:sz="0" w:space="0" w:color="auto"/>
        <w:right w:val="none" w:sz="0" w:space="0" w:color="auto"/>
      </w:divBdr>
    </w:div>
    <w:div w:id="1769766149">
      <w:bodyDiv w:val="1"/>
      <w:marLeft w:val="0"/>
      <w:marRight w:val="0"/>
      <w:marTop w:val="0"/>
      <w:marBottom w:val="0"/>
      <w:divBdr>
        <w:top w:val="none" w:sz="0" w:space="0" w:color="auto"/>
        <w:left w:val="none" w:sz="0" w:space="0" w:color="auto"/>
        <w:bottom w:val="none" w:sz="0" w:space="0" w:color="auto"/>
        <w:right w:val="none" w:sz="0" w:space="0" w:color="auto"/>
      </w:divBdr>
    </w:div>
    <w:div w:id="1770159782">
      <w:bodyDiv w:val="1"/>
      <w:marLeft w:val="0"/>
      <w:marRight w:val="0"/>
      <w:marTop w:val="0"/>
      <w:marBottom w:val="0"/>
      <w:divBdr>
        <w:top w:val="none" w:sz="0" w:space="0" w:color="auto"/>
        <w:left w:val="none" w:sz="0" w:space="0" w:color="auto"/>
        <w:bottom w:val="none" w:sz="0" w:space="0" w:color="auto"/>
        <w:right w:val="none" w:sz="0" w:space="0" w:color="auto"/>
      </w:divBdr>
      <w:divsChild>
        <w:div w:id="826437022">
          <w:marLeft w:val="0"/>
          <w:marRight w:val="0"/>
          <w:marTop w:val="0"/>
          <w:marBottom w:val="0"/>
          <w:divBdr>
            <w:top w:val="none" w:sz="0" w:space="0" w:color="auto"/>
            <w:left w:val="none" w:sz="0" w:space="0" w:color="auto"/>
            <w:bottom w:val="none" w:sz="0" w:space="0" w:color="auto"/>
            <w:right w:val="none" w:sz="0" w:space="0" w:color="auto"/>
          </w:divBdr>
          <w:divsChild>
            <w:div w:id="1615332003">
              <w:marLeft w:val="0"/>
              <w:marRight w:val="0"/>
              <w:marTop w:val="0"/>
              <w:marBottom w:val="0"/>
              <w:divBdr>
                <w:top w:val="none" w:sz="0" w:space="0" w:color="auto"/>
                <w:left w:val="none" w:sz="0" w:space="0" w:color="auto"/>
                <w:bottom w:val="none" w:sz="0" w:space="0" w:color="auto"/>
                <w:right w:val="none" w:sz="0" w:space="0" w:color="auto"/>
              </w:divBdr>
              <w:divsChild>
                <w:div w:id="1249341557">
                  <w:marLeft w:val="0"/>
                  <w:marRight w:val="0"/>
                  <w:marTop w:val="0"/>
                  <w:marBottom w:val="0"/>
                  <w:divBdr>
                    <w:top w:val="none" w:sz="0" w:space="0" w:color="auto"/>
                    <w:left w:val="none" w:sz="0" w:space="0" w:color="auto"/>
                    <w:bottom w:val="none" w:sz="0" w:space="0" w:color="auto"/>
                    <w:right w:val="none" w:sz="0" w:space="0" w:color="auto"/>
                  </w:divBdr>
                  <w:divsChild>
                    <w:div w:id="1457023616">
                      <w:marLeft w:val="0"/>
                      <w:marRight w:val="0"/>
                      <w:marTop w:val="0"/>
                      <w:marBottom w:val="0"/>
                      <w:divBdr>
                        <w:top w:val="none" w:sz="0" w:space="0" w:color="auto"/>
                        <w:left w:val="none" w:sz="0" w:space="0" w:color="auto"/>
                        <w:bottom w:val="none" w:sz="0" w:space="0" w:color="auto"/>
                        <w:right w:val="none" w:sz="0" w:space="0" w:color="auto"/>
                      </w:divBdr>
                      <w:divsChild>
                        <w:div w:id="95525352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9134">
      <w:bodyDiv w:val="1"/>
      <w:marLeft w:val="0"/>
      <w:marRight w:val="0"/>
      <w:marTop w:val="0"/>
      <w:marBottom w:val="0"/>
      <w:divBdr>
        <w:top w:val="none" w:sz="0" w:space="0" w:color="auto"/>
        <w:left w:val="none" w:sz="0" w:space="0" w:color="auto"/>
        <w:bottom w:val="none" w:sz="0" w:space="0" w:color="auto"/>
        <w:right w:val="none" w:sz="0" w:space="0" w:color="auto"/>
      </w:divBdr>
      <w:divsChild>
        <w:div w:id="1475684817">
          <w:marLeft w:val="0"/>
          <w:marRight w:val="0"/>
          <w:marTop w:val="0"/>
          <w:marBottom w:val="0"/>
          <w:divBdr>
            <w:top w:val="none" w:sz="0" w:space="0" w:color="auto"/>
            <w:left w:val="none" w:sz="0" w:space="0" w:color="auto"/>
            <w:bottom w:val="none" w:sz="0" w:space="0" w:color="auto"/>
            <w:right w:val="none" w:sz="0" w:space="0" w:color="auto"/>
          </w:divBdr>
          <w:divsChild>
            <w:div w:id="833449934">
              <w:marLeft w:val="0"/>
              <w:marRight w:val="0"/>
              <w:marTop w:val="0"/>
              <w:marBottom w:val="0"/>
              <w:divBdr>
                <w:top w:val="none" w:sz="0" w:space="0" w:color="auto"/>
                <w:left w:val="none" w:sz="0" w:space="0" w:color="auto"/>
                <w:bottom w:val="none" w:sz="0" w:space="0" w:color="auto"/>
                <w:right w:val="none" w:sz="0" w:space="0" w:color="auto"/>
              </w:divBdr>
            </w:div>
          </w:divsChild>
        </w:div>
        <w:div w:id="1507288139">
          <w:marLeft w:val="0"/>
          <w:marRight w:val="0"/>
          <w:marTop w:val="0"/>
          <w:marBottom w:val="0"/>
          <w:divBdr>
            <w:top w:val="none" w:sz="0" w:space="0" w:color="auto"/>
            <w:left w:val="none" w:sz="0" w:space="0" w:color="auto"/>
            <w:bottom w:val="none" w:sz="0" w:space="0" w:color="auto"/>
            <w:right w:val="none" w:sz="0" w:space="0" w:color="auto"/>
          </w:divBdr>
          <w:divsChild>
            <w:div w:id="1155684133">
              <w:marLeft w:val="0"/>
              <w:marRight w:val="0"/>
              <w:marTop w:val="0"/>
              <w:marBottom w:val="0"/>
              <w:divBdr>
                <w:top w:val="none" w:sz="0" w:space="0" w:color="auto"/>
                <w:left w:val="none" w:sz="0" w:space="0" w:color="auto"/>
                <w:bottom w:val="none" w:sz="0" w:space="0" w:color="auto"/>
                <w:right w:val="none" w:sz="0" w:space="0" w:color="auto"/>
              </w:divBdr>
            </w:div>
          </w:divsChild>
        </w:div>
        <w:div w:id="1509179226">
          <w:marLeft w:val="0"/>
          <w:marRight w:val="0"/>
          <w:marTop w:val="0"/>
          <w:marBottom w:val="0"/>
          <w:divBdr>
            <w:top w:val="none" w:sz="0" w:space="0" w:color="auto"/>
            <w:left w:val="none" w:sz="0" w:space="0" w:color="auto"/>
            <w:bottom w:val="none" w:sz="0" w:space="0" w:color="auto"/>
            <w:right w:val="none" w:sz="0" w:space="0" w:color="auto"/>
          </w:divBdr>
          <w:divsChild>
            <w:div w:id="681080573">
              <w:marLeft w:val="0"/>
              <w:marRight w:val="0"/>
              <w:marTop w:val="0"/>
              <w:marBottom w:val="0"/>
              <w:divBdr>
                <w:top w:val="none" w:sz="0" w:space="0" w:color="auto"/>
                <w:left w:val="none" w:sz="0" w:space="0" w:color="auto"/>
                <w:bottom w:val="none" w:sz="0" w:space="0" w:color="auto"/>
                <w:right w:val="none" w:sz="0" w:space="0" w:color="auto"/>
              </w:divBdr>
            </w:div>
            <w:div w:id="1762680654">
              <w:marLeft w:val="0"/>
              <w:marRight w:val="0"/>
              <w:marTop w:val="0"/>
              <w:marBottom w:val="0"/>
              <w:divBdr>
                <w:top w:val="none" w:sz="0" w:space="0" w:color="auto"/>
                <w:left w:val="none" w:sz="0" w:space="0" w:color="auto"/>
                <w:bottom w:val="none" w:sz="0" w:space="0" w:color="auto"/>
                <w:right w:val="none" w:sz="0" w:space="0" w:color="auto"/>
              </w:divBdr>
            </w:div>
            <w:div w:id="2024355110">
              <w:marLeft w:val="0"/>
              <w:marRight w:val="0"/>
              <w:marTop w:val="0"/>
              <w:marBottom w:val="0"/>
              <w:divBdr>
                <w:top w:val="none" w:sz="0" w:space="0" w:color="auto"/>
                <w:left w:val="none" w:sz="0" w:space="0" w:color="auto"/>
                <w:bottom w:val="none" w:sz="0" w:space="0" w:color="auto"/>
                <w:right w:val="none" w:sz="0" w:space="0" w:color="auto"/>
              </w:divBdr>
            </w:div>
            <w:div w:id="2143771885">
              <w:marLeft w:val="0"/>
              <w:marRight w:val="0"/>
              <w:marTop w:val="0"/>
              <w:marBottom w:val="0"/>
              <w:divBdr>
                <w:top w:val="none" w:sz="0" w:space="0" w:color="auto"/>
                <w:left w:val="none" w:sz="0" w:space="0" w:color="auto"/>
                <w:bottom w:val="none" w:sz="0" w:space="0" w:color="auto"/>
                <w:right w:val="none" w:sz="0" w:space="0" w:color="auto"/>
              </w:divBdr>
            </w:div>
            <w:div w:id="125587158">
              <w:marLeft w:val="0"/>
              <w:marRight w:val="0"/>
              <w:marTop w:val="0"/>
              <w:marBottom w:val="0"/>
              <w:divBdr>
                <w:top w:val="none" w:sz="0" w:space="0" w:color="auto"/>
                <w:left w:val="none" w:sz="0" w:space="0" w:color="auto"/>
                <w:bottom w:val="none" w:sz="0" w:space="0" w:color="auto"/>
                <w:right w:val="none" w:sz="0" w:space="0" w:color="auto"/>
              </w:divBdr>
            </w:div>
            <w:div w:id="20066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1047">
      <w:bodyDiv w:val="1"/>
      <w:marLeft w:val="0"/>
      <w:marRight w:val="0"/>
      <w:marTop w:val="0"/>
      <w:marBottom w:val="0"/>
      <w:divBdr>
        <w:top w:val="none" w:sz="0" w:space="0" w:color="auto"/>
        <w:left w:val="none" w:sz="0" w:space="0" w:color="auto"/>
        <w:bottom w:val="none" w:sz="0" w:space="0" w:color="auto"/>
        <w:right w:val="none" w:sz="0" w:space="0" w:color="auto"/>
      </w:divBdr>
    </w:div>
    <w:div w:id="1826966934">
      <w:bodyDiv w:val="1"/>
      <w:marLeft w:val="0"/>
      <w:marRight w:val="0"/>
      <w:marTop w:val="0"/>
      <w:marBottom w:val="0"/>
      <w:divBdr>
        <w:top w:val="none" w:sz="0" w:space="0" w:color="auto"/>
        <w:left w:val="none" w:sz="0" w:space="0" w:color="auto"/>
        <w:bottom w:val="none" w:sz="0" w:space="0" w:color="auto"/>
        <w:right w:val="none" w:sz="0" w:space="0" w:color="auto"/>
      </w:divBdr>
      <w:divsChild>
        <w:div w:id="543490751">
          <w:marLeft w:val="547"/>
          <w:marRight w:val="0"/>
          <w:marTop w:val="0"/>
          <w:marBottom w:val="0"/>
          <w:divBdr>
            <w:top w:val="none" w:sz="0" w:space="0" w:color="auto"/>
            <w:left w:val="none" w:sz="0" w:space="0" w:color="auto"/>
            <w:bottom w:val="none" w:sz="0" w:space="0" w:color="auto"/>
            <w:right w:val="none" w:sz="0" w:space="0" w:color="auto"/>
          </w:divBdr>
        </w:div>
      </w:divsChild>
    </w:div>
    <w:div w:id="1829124896">
      <w:bodyDiv w:val="1"/>
      <w:marLeft w:val="0"/>
      <w:marRight w:val="0"/>
      <w:marTop w:val="0"/>
      <w:marBottom w:val="0"/>
      <w:divBdr>
        <w:top w:val="none" w:sz="0" w:space="0" w:color="auto"/>
        <w:left w:val="none" w:sz="0" w:space="0" w:color="auto"/>
        <w:bottom w:val="none" w:sz="0" w:space="0" w:color="auto"/>
        <w:right w:val="none" w:sz="0" w:space="0" w:color="auto"/>
      </w:divBdr>
    </w:div>
    <w:div w:id="1831946533">
      <w:bodyDiv w:val="1"/>
      <w:marLeft w:val="0"/>
      <w:marRight w:val="0"/>
      <w:marTop w:val="0"/>
      <w:marBottom w:val="0"/>
      <w:divBdr>
        <w:top w:val="none" w:sz="0" w:space="0" w:color="auto"/>
        <w:left w:val="none" w:sz="0" w:space="0" w:color="auto"/>
        <w:bottom w:val="none" w:sz="0" w:space="0" w:color="auto"/>
        <w:right w:val="none" w:sz="0" w:space="0" w:color="auto"/>
      </w:divBdr>
      <w:divsChild>
        <w:div w:id="2133210124">
          <w:marLeft w:val="0"/>
          <w:marRight w:val="0"/>
          <w:marTop w:val="0"/>
          <w:marBottom w:val="150"/>
          <w:divBdr>
            <w:top w:val="none" w:sz="0" w:space="0" w:color="auto"/>
            <w:left w:val="none" w:sz="0" w:space="0" w:color="auto"/>
            <w:bottom w:val="none" w:sz="0" w:space="0" w:color="auto"/>
            <w:right w:val="none" w:sz="0" w:space="0" w:color="auto"/>
          </w:divBdr>
        </w:div>
      </w:divsChild>
    </w:div>
    <w:div w:id="1835994976">
      <w:bodyDiv w:val="1"/>
      <w:marLeft w:val="0"/>
      <w:marRight w:val="0"/>
      <w:marTop w:val="0"/>
      <w:marBottom w:val="0"/>
      <w:divBdr>
        <w:top w:val="none" w:sz="0" w:space="0" w:color="auto"/>
        <w:left w:val="none" w:sz="0" w:space="0" w:color="auto"/>
        <w:bottom w:val="none" w:sz="0" w:space="0" w:color="auto"/>
        <w:right w:val="none" w:sz="0" w:space="0" w:color="auto"/>
      </w:divBdr>
    </w:div>
    <w:div w:id="1841656015">
      <w:bodyDiv w:val="1"/>
      <w:marLeft w:val="0"/>
      <w:marRight w:val="0"/>
      <w:marTop w:val="0"/>
      <w:marBottom w:val="0"/>
      <w:divBdr>
        <w:top w:val="none" w:sz="0" w:space="0" w:color="auto"/>
        <w:left w:val="none" w:sz="0" w:space="0" w:color="auto"/>
        <w:bottom w:val="none" w:sz="0" w:space="0" w:color="auto"/>
        <w:right w:val="none" w:sz="0" w:space="0" w:color="auto"/>
      </w:divBdr>
      <w:divsChild>
        <w:div w:id="697000684">
          <w:marLeft w:val="0"/>
          <w:marRight w:val="0"/>
          <w:marTop w:val="0"/>
          <w:marBottom w:val="0"/>
          <w:divBdr>
            <w:top w:val="none" w:sz="0" w:space="0" w:color="auto"/>
            <w:left w:val="none" w:sz="0" w:space="0" w:color="auto"/>
            <w:bottom w:val="none" w:sz="0" w:space="0" w:color="auto"/>
            <w:right w:val="none" w:sz="0" w:space="0" w:color="auto"/>
          </w:divBdr>
        </w:div>
        <w:div w:id="218975938">
          <w:marLeft w:val="0"/>
          <w:marRight w:val="0"/>
          <w:marTop w:val="0"/>
          <w:marBottom w:val="0"/>
          <w:divBdr>
            <w:top w:val="none" w:sz="0" w:space="0" w:color="auto"/>
            <w:left w:val="none" w:sz="0" w:space="0" w:color="auto"/>
            <w:bottom w:val="none" w:sz="0" w:space="0" w:color="auto"/>
            <w:right w:val="none" w:sz="0" w:space="0" w:color="auto"/>
          </w:divBdr>
        </w:div>
        <w:div w:id="1974821910">
          <w:marLeft w:val="0"/>
          <w:marRight w:val="0"/>
          <w:marTop w:val="0"/>
          <w:marBottom w:val="0"/>
          <w:divBdr>
            <w:top w:val="none" w:sz="0" w:space="0" w:color="auto"/>
            <w:left w:val="none" w:sz="0" w:space="0" w:color="auto"/>
            <w:bottom w:val="none" w:sz="0" w:space="0" w:color="auto"/>
            <w:right w:val="none" w:sz="0" w:space="0" w:color="auto"/>
          </w:divBdr>
        </w:div>
        <w:div w:id="1471246473">
          <w:marLeft w:val="0"/>
          <w:marRight w:val="0"/>
          <w:marTop w:val="0"/>
          <w:marBottom w:val="0"/>
          <w:divBdr>
            <w:top w:val="none" w:sz="0" w:space="0" w:color="auto"/>
            <w:left w:val="none" w:sz="0" w:space="0" w:color="auto"/>
            <w:bottom w:val="none" w:sz="0" w:space="0" w:color="auto"/>
            <w:right w:val="none" w:sz="0" w:space="0" w:color="auto"/>
          </w:divBdr>
        </w:div>
        <w:div w:id="1914195476">
          <w:marLeft w:val="0"/>
          <w:marRight w:val="0"/>
          <w:marTop w:val="0"/>
          <w:marBottom w:val="0"/>
          <w:divBdr>
            <w:top w:val="none" w:sz="0" w:space="0" w:color="auto"/>
            <w:left w:val="none" w:sz="0" w:space="0" w:color="auto"/>
            <w:bottom w:val="none" w:sz="0" w:space="0" w:color="auto"/>
            <w:right w:val="none" w:sz="0" w:space="0" w:color="auto"/>
          </w:divBdr>
        </w:div>
        <w:div w:id="1801418708">
          <w:marLeft w:val="0"/>
          <w:marRight w:val="0"/>
          <w:marTop w:val="0"/>
          <w:marBottom w:val="0"/>
          <w:divBdr>
            <w:top w:val="none" w:sz="0" w:space="0" w:color="auto"/>
            <w:left w:val="none" w:sz="0" w:space="0" w:color="auto"/>
            <w:bottom w:val="none" w:sz="0" w:space="0" w:color="auto"/>
            <w:right w:val="none" w:sz="0" w:space="0" w:color="auto"/>
          </w:divBdr>
        </w:div>
        <w:div w:id="799347565">
          <w:marLeft w:val="0"/>
          <w:marRight w:val="0"/>
          <w:marTop w:val="0"/>
          <w:marBottom w:val="0"/>
          <w:divBdr>
            <w:top w:val="none" w:sz="0" w:space="0" w:color="auto"/>
            <w:left w:val="none" w:sz="0" w:space="0" w:color="auto"/>
            <w:bottom w:val="none" w:sz="0" w:space="0" w:color="auto"/>
            <w:right w:val="none" w:sz="0" w:space="0" w:color="auto"/>
          </w:divBdr>
        </w:div>
        <w:div w:id="1223174955">
          <w:marLeft w:val="0"/>
          <w:marRight w:val="0"/>
          <w:marTop w:val="0"/>
          <w:marBottom w:val="0"/>
          <w:divBdr>
            <w:top w:val="none" w:sz="0" w:space="0" w:color="auto"/>
            <w:left w:val="none" w:sz="0" w:space="0" w:color="auto"/>
            <w:bottom w:val="none" w:sz="0" w:space="0" w:color="auto"/>
            <w:right w:val="none" w:sz="0" w:space="0" w:color="auto"/>
          </w:divBdr>
        </w:div>
        <w:div w:id="431439529">
          <w:marLeft w:val="0"/>
          <w:marRight w:val="0"/>
          <w:marTop w:val="0"/>
          <w:marBottom w:val="0"/>
          <w:divBdr>
            <w:top w:val="none" w:sz="0" w:space="0" w:color="auto"/>
            <w:left w:val="none" w:sz="0" w:space="0" w:color="auto"/>
            <w:bottom w:val="none" w:sz="0" w:space="0" w:color="auto"/>
            <w:right w:val="none" w:sz="0" w:space="0" w:color="auto"/>
          </w:divBdr>
        </w:div>
        <w:div w:id="1858885321">
          <w:marLeft w:val="0"/>
          <w:marRight w:val="0"/>
          <w:marTop w:val="0"/>
          <w:marBottom w:val="0"/>
          <w:divBdr>
            <w:top w:val="none" w:sz="0" w:space="0" w:color="auto"/>
            <w:left w:val="none" w:sz="0" w:space="0" w:color="auto"/>
            <w:bottom w:val="none" w:sz="0" w:space="0" w:color="auto"/>
            <w:right w:val="none" w:sz="0" w:space="0" w:color="auto"/>
          </w:divBdr>
        </w:div>
        <w:div w:id="2145928629">
          <w:marLeft w:val="0"/>
          <w:marRight w:val="0"/>
          <w:marTop w:val="0"/>
          <w:marBottom w:val="0"/>
          <w:divBdr>
            <w:top w:val="none" w:sz="0" w:space="0" w:color="auto"/>
            <w:left w:val="none" w:sz="0" w:space="0" w:color="auto"/>
            <w:bottom w:val="none" w:sz="0" w:space="0" w:color="auto"/>
            <w:right w:val="none" w:sz="0" w:space="0" w:color="auto"/>
          </w:divBdr>
        </w:div>
        <w:div w:id="1262105413">
          <w:marLeft w:val="0"/>
          <w:marRight w:val="0"/>
          <w:marTop w:val="0"/>
          <w:marBottom w:val="0"/>
          <w:divBdr>
            <w:top w:val="none" w:sz="0" w:space="0" w:color="auto"/>
            <w:left w:val="none" w:sz="0" w:space="0" w:color="auto"/>
            <w:bottom w:val="none" w:sz="0" w:space="0" w:color="auto"/>
            <w:right w:val="none" w:sz="0" w:space="0" w:color="auto"/>
          </w:divBdr>
        </w:div>
        <w:div w:id="1873570197">
          <w:marLeft w:val="0"/>
          <w:marRight w:val="0"/>
          <w:marTop w:val="0"/>
          <w:marBottom w:val="0"/>
          <w:divBdr>
            <w:top w:val="none" w:sz="0" w:space="0" w:color="auto"/>
            <w:left w:val="none" w:sz="0" w:space="0" w:color="auto"/>
            <w:bottom w:val="none" w:sz="0" w:space="0" w:color="auto"/>
            <w:right w:val="none" w:sz="0" w:space="0" w:color="auto"/>
          </w:divBdr>
        </w:div>
        <w:div w:id="295377123">
          <w:marLeft w:val="0"/>
          <w:marRight w:val="0"/>
          <w:marTop w:val="0"/>
          <w:marBottom w:val="0"/>
          <w:divBdr>
            <w:top w:val="none" w:sz="0" w:space="0" w:color="auto"/>
            <w:left w:val="none" w:sz="0" w:space="0" w:color="auto"/>
            <w:bottom w:val="none" w:sz="0" w:space="0" w:color="auto"/>
            <w:right w:val="none" w:sz="0" w:space="0" w:color="auto"/>
          </w:divBdr>
        </w:div>
        <w:div w:id="8870383">
          <w:marLeft w:val="0"/>
          <w:marRight w:val="0"/>
          <w:marTop w:val="0"/>
          <w:marBottom w:val="0"/>
          <w:divBdr>
            <w:top w:val="none" w:sz="0" w:space="0" w:color="auto"/>
            <w:left w:val="none" w:sz="0" w:space="0" w:color="auto"/>
            <w:bottom w:val="none" w:sz="0" w:space="0" w:color="auto"/>
            <w:right w:val="none" w:sz="0" w:space="0" w:color="auto"/>
          </w:divBdr>
          <w:divsChild>
            <w:div w:id="187572800">
              <w:marLeft w:val="-75"/>
              <w:marRight w:val="0"/>
              <w:marTop w:val="30"/>
              <w:marBottom w:val="30"/>
              <w:divBdr>
                <w:top w:val="none" w:sz="0" w:space="0" w:color="auto"/>
                <w:left w:val="none" w:sz="0" w:space="0" w:color="auto"/>
                <w:bottom w:val="none" w:sz="0" w:space="0" w:color="auto"/>
                <w:right w:val="none" w:sz="0" w:space="0" w:color="auto"/>
              </w:divBdr>
              <w:divsChild>
                <w:div w:id="870385501">
                  <w:marLeft w:val="0"/>
                  <w:marRight w:val="0"/>
                  <w:marTop w:val="0"/>
                  <w:marBottom w:val="0"/>
                  <w:divBdr>
                    <w:top w:val="none" w:sz="0" w:space="0" w:color="auto"/>
                    <w:left w:val="none" w:sz="0" w:space="0" w:color="auto"/>
                    <w:bottom w:val="none" w:sz="0" w:space="0" w:color="auto"/>
                    <w:right w:val="none" w:sz="0" w:space="0" w:color="auto"/>
                  </w:divBdr>
                  <w:divsChild>
                    <w:div w:id="1487670814">
                      <w:marLeft w:val="0"/>
                      <w:marRight w:val="0"/>
                      <w:marTop w:val="0"/>
                      <w:marBottom w:val="0"/>
                      <w:divBdr>
                        <w:top w:val="none" w:sz="0" w:space="0" w:color="auto"/>
                        <w:left w:val="none" w:sz="0" w:space="0" w:color="auto"/>
                        <w:bottom w:val="none" w:sz="0" w:space="0" w:color="auto"/>
                        <w:right w:val="none" w:sz="0" w:space="0" w:color="auto"/>
                      </w:divBdr>
                    </w:div>
                  </w:divsChild>
                </w:div>
                <w:div w:id="308097927">
                  <w:marLeft w:val="0"/>
                  <w:marRight w:val="0"/>
                  <w:marTop w:val="0"/>
                  <w:marBottom w:val="0"/>
                  <w:divBdr>
                    <w:top w:val="none" w:sz="0" w:space="0" w:color="auto"/>
                    <w:left w:val="none" w:sz="0" w:space="0" w:color="auto"/>
                    <w:bottom w:val="none" w:sz="0" w:space="0" w:color="auto"/>
                    <w:right w:val="none" w:sz="0" w:space="0" w:color="auto"/>
                  </w:divBdr>
                  <w:divsChild>
                    <w:div w:id="180441448">
                      <w:marLeft w:val="0"/>
                      <w:marRight w:val="0"/>
                      <w:marTop w:val="0"/>
                      <w:marBottom w:val="0"/>
                      <w:divBdr>
                        <w:top w:val="none" w:sz="0" w:space="0" w:color="auto"/>
                        <w:left w:val="none" w:sz="0" w:space="0" w:color="auto"/>
                        <w:bottom w:val="none" w:sz="0" w:space="0" w:color="auto"/>
                        <w:right w:val="none" w:sz="0" w:space="0" w:color="auto"/>
                      </w:divBdr>
                    </w:div>
                  </w:divsChild>
                </w:div>
                <w:div w:id="935285534">
                  <w:marLeft w:val="0"/>
                  <w:marRight w:val="0"/>
                  <w:marTop w:val="0"/>
                  <w:marBottom w:val="0"/>
                  <w:divBdr>
                    <w:top w:val="none" w:sz="0" w:space="0" w:color="auto"/>
                    <w:left w:val="none" w:sz="0" w:space="0" w:color="auto"/>
                    <w:bottom w:val="none" w:sz="0" w:space="0" w:color="auto"/>
                    <w:right w:val="none" w:sz="0" w:space="0" w:color="auto"/>
                  </w:divBdr>
                  <w:divsChild>
                    <w:div w:id="1403680254">
                      <w:marLeft w:val="0"/>
                      <w:marRight w:val="0"/>
                      <w:marTop w:val="0"/>
                      <w:marBottom w:val="0"/>
                      <w:divBdr>
                        <w:top w:val="none" w:sz="0" w:space="0" w:color="auto"/>
                        <w:left w:val="none" w:sz="0" w:space="0" w:color="auto"/>
                        <w:bottom w:val="none" w:sz="0" w:space="0" w:color="auto"/>
                        <w:right w:val="none" w:sz="0" w:space="0" w:color="auto"/>
                      </w:divBdr>
                    </w:div>
                  </w:divsChild>
                </w:div>
                <w:div w:id="930163800">
                  <w:marLeft w:val="0"/>
                  <w:marRight w:val="0"/>
                  <w:marTop w:val="0"/>
                  <w:marBottom w:val="0"/>
                  <w:divBdr>
                    <w:top w:val="none" w:sz="0" w:space="0" w:color="auto"/>
                    <w:left w:val="none" w:sz="0" w:space="0" w:color="auto"/>
                    <w:bottom w:val="none" w:sz="0" w:space="0" w:color="auto"/>
                    <w:right w:val="none" w:sz="0" w:space="0" w:color="auto"/>
                  </w:divBdr>
                  <w:divsChild>
                    <w:div w:id="1068764362">
                      <w:marLeft w:val="0"/>
                      <w:marRight w:val="0"/>
                      <w:marTop w:val="0"/>
                      <w:marBottom w:val="0"/>
                      <w:divBdr>
                        <w:top w:val="none" w:sz="0" w:space="0" w:color="auto"/>
                        <w:left w:val="none" w:sz="0" w:space="0" w:color="auto"/>
                        <w:bottom w:val="none" w:sz="0" w:space="0" w:color="auto"/>
                        <w:right w:val="none" w:sz="0" w:space="0" w:color="auto"/>
                      </w:divBdr>
                    </w:div>
                  </w:divsChild>
                </w:div>
                <w:div w:id="1911110995">
                  <w:marLeft w:val="0"/>
                  <w:marRight w:val="0"/>
                  <w:marTop w:val="0"/>
                  <w:marBottom w:val="0"/>
                  <w:divBdr>
                    <w:top w:val="none" w:sz="0" w:space="0" w:color="auto"/>
                    <w:left w:val="none" w:sz="0" w:space="0" w:color="auto"/>
                    <w:bottom w:val="none" w:sz="0" w:space="0" w:color="auto"/>
                    <w:right w:val="none" w:sz="0" w:space="0" w:color="auto"/>
                  </w:divBdr>
                  <w:divsChild>
                    <w:div w:id="1220046915">
                      <w:marLeft w:val="0"/>
                      <w:marRight w:val="0"/>
                      <w:marTop w:val="0"/>
                      <w:marBottom w:val="0"/>
                      <w:divBdr>
                        <w:top w:val="none" w:sz="0" w:space="0" w:color="auto"/>
                        <w:left w:val="none" w:sz="0" w:space="0" w:color="auto"/>
                        <w:bottom w:val="none" w:sz="0" w:space="0" w:color="auto"/>
                        <w:right w:val="none" w:sz="0" w:space="0" w:color="auto"/>
                      </w:divBdr>
                    </w:div>
                  </w:divsChild>
                </w:div>
                <w:div w:id="1687900969">
                  <w:marLeft w:val="0"/>
                  <w:marRight w:val="0"/>
                  <w:marTop w:val="0"/>
                  <w:marBottom w:val="0"/>
                  <w:divBdr>
                    <w:top w:val="none" w:sz="0" w:space="0" w:color="auto"/>
                    <w:left w:val="none" w:sz="0" w:space="0" w:color="auto"/>
                    <w:bottom w:val="none" w:sz="0" w:space="0" w:color="auto"/>
                    <w:right w:val="none" w:sz="0" w:space="0" w:color="auto"/>
                  </w:divBdr>
                  <w:divsChild>
                    <w:div w:id="926111002">
                      <w:marLeft w:val="0"/>
                      <w:marRight w:val="0"/>
                      <w:marTop w:val="0"/>
                      <w:marBottom w:val="0"/>
                      <w:divBdr>
                        <w:top w:val="none" w:sz="0" w:space="0" w:color="auto"/>
                        <w:left w:val="none" w:sz="0" w:space="0" w:color="auto"/>
                        <w:bottom w:val="none" w:sz="0" w:space="0" w:color="auto"/>
                        <w:right w:val="none" w:sz="0" w:space="0" w:color="auto"/>
                      </w:divBdr>
                    </w:div>
                  </w:divsChild>
                </w:div>
                <w:div w:id="804544025">
                  <w:marLeft w:val="0"/>
                  <w:marRight w:val="0"/>
                  <w:marTop w:val="0"/>
                  <w:marBottom w:val="0"/>
                  <w:divBdr>
                    <w:top w:val="none" w:sz="0" w:space="0" w:color="auto"/>
                    <w:left w:val="none" w:sz="0" w:space="0" w:color="auto"/>
                    <w:bottom w:val="none" w:sz="0" w:space="0" w:color="auto"/>
                    <w:right w:val="none" w:sz="0" w:space="0" w:color="auto"/>
                  </w:divBdr>
                  <w:divsChild>
                    <w:div w:id="1784959300">
                      <w:marLeft w:val="0"/>
                      <w:marRight w:val="0"/>
                      <w:marTop w:val="0"/>
                      <w:marBottom w:val="0"/>
                      <w:divBdr>
                        <w:top w:val="none" w:sz="0" w:space="0" w:color="auto"/>
                        <w:left w:val="none" w:sz="0" w:space="0" w:color="auto"/>
                        <w:bottom w:val="none" w:sz="0" w:space="0" w:color="auto"/>
                        <w:right w:val="none" w:sz="0" w:space="0" w:color="auto"/>
                      </w:divBdr>
                    </w:div>
                  </w:divsChild>
                </w:div>
                <w:div w:id="746877068">
                  <w:marLeft w:val="0"/>
                  <w:marRight w:val="0"/>
                  <w:marTop w:val="0"/>
                  <w:marBottom w:val="0"/>
                  <w:divBdr>
                    <w:top w:val="none" w:sz="0" w:space="0" w:color="auto"/>
                    <w:left w:val="none" w:sz="0" w:space="0" w:color="auto"/>
                    <w:bottom w:val="none" w:sz="0" w:space="0" w:color="auto"/>
                    <w:right w:val="none" w:sz="0" w:space="0" w:color="auto"/>
                  </w:divBdr>
                  <w:divsChild>
                    <w:div w:id="399449742">
                      <w:marLeft w:val="0"/>
                      <w:marRight w:val="0"/>
                      <w:marTop w:val="0"/>
                      <w:marBottom w:val="0"/>
                      <w:divBdr>
                        <w:top w:val="none" w:sz="0" w:space="0" w:color="auto"/>
                        <w:left w:val="none" w:sz="0" w:space="0" w:color="auto"/>
                        <w:bottom w:val="none" w:sz="0" w:space="0" w:color="auto"/>
                        <w:right w:val="none" w:sz="0" w:space="0" w:color="auto"/>
                      </w:divBdr>
                    </w:div>
                  </w:divsChild>
                </w:div>
                <w:div w:id="1466700739">
                  <w:marLeft w:val="0"/>
                  <w:marRight w:val="0"/>
                  <w:marTop w:val="0"/>
                  <w:marBottom w:val="0"/>
                  <w:divBdr>
                    <w:top w:val="none" w:sz="0" w:space="0" w:color="auto"/>
                    <w:left w:val="none" w:sz="0" w:space="0" w:color="auto"/>
                    <w:bottom w:val="none" w:sz="0" w:space="0" w:color="auto"/>
                    <w:right w:val="none" w:sz="0" w:space="0" w:color="auto"/>
                  </w:divBdr>
                  <w:divsChild>
                    <w:div w:id="1503545805">
                      <w:marLeft w:val="0"/>
                      <w:marRight w:val="0"/>
                      <w:marTop w:val="0"/>
                      <w:marBottom w:val="0"/>
                      <w:divBdr>
                        <w:top w:val="none" w:sz="0" w:space="0" w:color="auto"/>
                        <w:left w:val="none" w:sz="0" w:space="0" w:color="auto"/>
                        <w:bottom w:val="none" w:sz="0" w:space="0" w:color="auto"/>
                        <w:right w:val="none" w:sz="0" w:space="0" w:color="auto"/>
                      </w:divBdr>
                    </w:div>
                  </w:divsChild>
                </w:div>
                <w:div w:id="855922298">
                  <w:marLeft w:val="0"/>
                  <w:marRight w:val="0"/>
                  <w:marTop w:val="0"/>
                  <w:marBottom w:val="0"/>
                  <w:divBdr>
                    <w:top w:val="none" w:sz="0" w:space="0" w:color="auto"/>
                    <w:left w:val="none" w:sz="0" w:space="0" w:color="auto"/>
                    <w:bottom w:val="none" w:sz="0" w:space="0" w:color="auto"/>
                    <w:right w:val="none" w:sz="0" w:space="0" w:color="auto"/>
                  </w:divBdr>
                  <w:divsChild>
                    <w:div w:id="587427128">
                      <w:marLeft w:val="0"/>
                      <w:marRight w:val="0"/>
                      <w:marTop w:val="0"/>
                      <w:marBottom w:val="0"/>
                      <w:divBdr>
                        <w:top w:val="none" w:sz="0" w:space="0" w:color="auto"/>
                        <w:left w:val="none" w:sz="0" w:space="0" w:color="auto"/>
                        <w:bottom w:val="none" w:sz="0" w:space="0" w:color="auto"/>
                        <w:right w:val="none" w:sz="0" w:space="0" w:color="auto"/>
                      </w:divBdr>
                    </w:div>
                  </w:divsChild>
                </w:div>
                <w:div w:id="380324938">
                  <w:marLeft w:val="0"/>
                  <w:marRight w:val="0"/>
                  <w:marTop w:val="0"/>
                  <w:marBottom w:val="0"/>
                  <w:divBdr>
                    <w:top w:val="none" w:sz="0" w:space="0" w:color="auto"/>
                    <w:left w:val="none" w:sz="0" w:space="0" w:color="auto"/>
                    <w:bottom w:val="none" w:sz="0" w:space="0" w:color="auto"/>
                    <w:right w:val="none" w:sz="0" w:space="0" w:color="auto"/>
                  </w:divBdr>
                  <w:divsChild>
                    <w:div w:id="795946905">
                      <w:marLeft w:val="0"/>
                      <w:marRight w:val="0"/>
                      <w:marTop w:val="0"/>
                      <w:marBottom w:val="0"/>
                      <w:divBdr>
                        <w:top w:val="none" w:sz="0" w:space="0" w:color="auto"/>
                        <w:left w:val="none" w:sz="0" w:space="0" w:color="auto"/>
                        <w:bottom w:val="none" w:sz="0" w:space="0" w:color="auto"/>
                        <w:right w:val="none" w:sz="0" w:space="0" w:color="auto"/>
                      </w:divBdr>
                    </w:div>
                  </w:divsChild>
                </w:div>
                <w:div w:id="62994728">
                  <w:marLeft w:val="0"/>
                  <w:marRight w:val="0"/>
                  <w:marTop w:val="0"/>
                  <w:marBottom w:val="0"/>
                  <w:divBdr>
                    <w:top w:val="none" w:sz="0" w:space="0" w:color="auto"/>
                    <w:left w:val="none" w:sz="0" w:space="0" w:color="auto"/>
                    <w:bottom w:val="none" w:sz="0" w:space="0" w:color="auto"/>
                    <w:right w:val="none" w:sz="0" w:space="0" w:color="auto"/>
                  </w:divBdr>
                  <w:divsChild>
                    <w:div w:id="15441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97886">
          <w:marLeft w:val="0"/>
          <w:marRight w:val="0"/>
          <w:marTop w:val="0"/>
          <w:marBottom w:val="0"/>
          <w:divBdr>
            <w:top w:val="none" w:sz="0" w:space="0" w:color="auto"/>
            <w:left w:val="none" w:sz="0" w:space="0" w:color="auto"/>
            <w:bottom w:val="none" w:sz="0" w:space="0" w:color="auto"/>
            <w:right w:val="none" w:sz="0" w:space="0" w:color="auto"/>
          </w:divBdr>
        </w:div>
        <w:div w:id="1141727109">
          <w:marLeft w:val="0"/>
          <w:marRight w:val="0"/>
          <w:marTop w:val="0"/>
          <w:marBottom w:val="0"/>
          <w:divBdr>
            <w:top w:val="none" w:sz="0" w:space="0" w:color="auto"/>
            <w:left w:val="none" w:sz="0" w:space="0" w:color="auto"/>
            <w:bottom w:val="none" w:sz="0" w:space="0" w:color="auto"/>
            <w:right w:val="none" w:sz="0" w:space="0" w:color="auto"/>
          </w:divBdr>
        </w:div>
        <w:div w:id="216672759">
          <w:marLeft w:val="0"/>
          <w:marRight w:val="0"/>
          <w:marTop w:val="0"/>
          <w:marBottom w:val="0"/>
          <w:divBdr>
            <w:top w:val="none" w:sz="0" w:space="0" w:color="auto"/>
            <w:left w:val="none" w:sz="0" w:space="0" w:color="auto"/>
            <w:bottom w:val="none" w:sz="0" w:space="0" w:color="auto"/>
            <w:right w:val="none" w:sz="0" w:space="0" w:color="auto"/>
          </w:divBdr>
        </w:div>
        <w:div w:id="2096977204">
          <w:marLeft w:val="0"/>
          <w:marRight w:val="0"/>
          <w:marTop w:val="0"/>
          <w:marBottom w:val="0"/>
          <w:divBdr>
            <w:top w:val="none" w:sz="0" w:space="0" w:color="auto"/>
            <w:left w:val="none" w:sz="0" w:space="0" w:color="auto"/>
            <w:bottom w:val="none" w:sz="0" w:space="0" w:color="auto"/>
            <w:right w:val="none" w:sz="0" w:space="0" w:color="auto"/>
          </w:divBdr>
        </w:div>
        <w:div w:id="1301769113">
          <w:marLeft w:val="0"/>
          <w:marRight w:val="0"/>
          <w:marTop w:val="0"/>
          <w:marBottom w:val="0"/>
          <w:divBdr>
            <w:top w:val="none" w:sz="0" w:space="0" w:color="auto"/>
            <w:left w:val="none" w:sz="0" w:space="0" w:color="auto"/>
            <w:bottom w:val="none" w:sz="0" w:space="0" w:color="auto"/>
            <w:right w:val="none" w:sz="0" w:space="0" w:color="auto"/>
          </w:divBdr>
        </w:div>
        <w:div w:id="27728516">
          <w:marLeft w:val="0"/>
          <w:marRight w:val="0"/>
          <w:marTop w:val="0"/>
          <w:marBottom w:val="0"/>
          <w:divBdr>
            <w:top w:val="none" w:sz="0" w:space="0" w:color="auto"/>
            <w:left w:val="none" w:sz="0" w:space="0" w:color="auto"/>
            <w:bottom w:val="none" w:sz="0" w:space="0" w:color="auto"/>
            <w:right w:val="none" w:sz="0" w:space="0" w:color="auto"/>
          </w:divBdr>
          <w:divsChild>
            <w:div w:id="1540631665">
              <w:marLeft w:val="-75"/>
              <w:marRight w:val="0"/>
              <w:marTop w:val="30"/>
              <w:marBottom w:val="30"/>
              <w:divBdr>
                <w:top w:val="none" w:sz="0" w:space="0" w:color="auto"/>
                <w:left w:val="none" w:sz="0" w:space="0" w:color="auto"/>
                <w:bottom w:val="none" w:sz="0" w:space="0" w:color="auto"/>
                <w:right w:val="none" w:sz="0" w:space="0" w:color="auto"/>
              </w:divBdr>
              <w:divsChild>
                <w:div w:id="1874996492">
                  <w:marLeft w:val="0"/>
                  <w:marRight w:val="0"/>
                  <w:marTop w:val="0"/>
                  <w:marBottom w:val="0"/>
                  <w:divBdr>
                    <w:top w:val="none" w:sz="0" w:space="0" w:color="auto"/>
                    <w:left w:val="none" w:sz="0" w:space="0" w:color="auto"/>
                    <w:bottom w:val="none" w:sz="0" w:space="0" w:color="auto"/>
                    <w:right w:val="none" w:sz="0" w:space="0" w:color="auto"/>
                  </w:divBdr>
                  <w:divsChild>
                    <w:div w:id="1904759206">
                      <w:marLeft w:val="0"/>
                      <w:marRight w:val="0"/>
                      <w:marTop w:val="0"/>
                      <w:marBottom w:val="0"/>
                      <w:divBdr>
                        <w:top w:val="none" w:sz="0" w:space="0" w:color="auto"/>
                        <w:left w:val="none" w:sz="0" w:space="0" w:color="auto"/>
                        <w:bottom w:val="none" w:sz="0" w:space="0" w:color="auto"/>
                        <w:right w:val="none" w:sz="0" w:space="0" w:color="auto"/>
                      </w:divBdr>
                    </w:div>
                  </w:divsChild>
                </w:div>
                <w:div w:id="1662394127">
                  <w:marLeft w:val="0"/>
                  <w:marRight w:val="0"/>
                  <w:marTop w:val="0"/>
                  <w:marBottom w:val="0"/>
                  <w:divBdr>
                    <w:top w:val="none" w:sz="0" w:space="0" w:color="auto"/>
                    <w:left w:val="none" w:sz="0" w:space="0" w:color="auto"/>
                    <w:bottom w:val="none" w:sz="0" w:space="0" w:color="auto"/>
                    <w:right w:val="none" w:sz="0" w:space="0" w:color="auto"/>
                  </w:divBdr>
                  <w:divsChild>
                    <w:div w:id="1305040948">
                      <w:marLeft w:val="0"/>
                      <w:marRight w:val="0"/>
                      <w:marTop w:val="0"/>
                      <w:marBottom w:val="0"/>
                      <w:divBdr>
                        <w:top w:val="none" w:sz="0" w:space="0" w:color="auto"/>
                        <w:left w:val="none" w:sz="0" w:space="0" w:color="auto"/>
                        <w:bottom w:val="none" w:sz="0" w:space="0" w:color="auto"/>
                        <w:right w:val="none" w:sz="0" w:space="0" w:color="auto"/>
                      </w:divBdr>
                    </w:div>
                  </w:divsChild>
                </w:div>
                <w:div w:id="1040856286">
                  <w:marLeft w:val="0"/>
                  <w:marRight w:val="0"/>
                  <w:marTop w:val="0"/>
                  <w:marBottom w:val="0"/>
                  <w:divBdr>
                    <w:top w:val="none" w:sz="0" w:space="0" w:color="auto"/>
                    <w:left w:val="none" w:sz="0" w:space="0" w:color="auto"/>
                    <w:bottom w:val="none" w:sz="0" w:space="0" w:color="auto"/>
                    <w:right w:val="none" w:sz="0" w:space="0" w:color="auto"/>
                  </w:divBdr>
                  <w:divsChild>
                    <w:div w:id="45689377">
                      <w:marLeft w:val="0"/>
                      <w:marRight w:val="0"/>
                      <w:marTop w:val="0"/>
                      <w:marBottom w:val="0"/>
                      <w:divBdr>
                        <w:top w:val="none" w:sz="0" w:space="0" w:color="auto"/>
                        <w:left w:val="none" w:sz="0" w:space="0" w:color="auto"/>
                        <w:bottom w:val="none" w:sz="0" w:space="0" w:color="auto"/>
                        <w:right w:val="none" w:sz="0" w:space="0" w:color="auto"/>
                      </w:divBdr>
                    </w:div>
                  </w:divsChild>
                </w:div>
                <w:div w:id="495614958">
                  <w:marLeft w:val="0"/>
                  <w:marRight w:val="0"/>
                  <w:marTop w:val="0"/>
                  <w:marBottom w:val="0"/>
                  <w:divBdr>
                    <w:top w:val="none" w:sz="0" w:space="0" w:color="auto"/>
                    <w:left w:val="none" w:sz="0" w:space="0" w:color="auto"/>
                    <w:bottom w:val="none" w:sz="0" w:space="0" w:color="auto"/>
                    <w:right w:val="none" w:sz="0" w:space="0" w:color="auto"/>
                  </w:divBdr>
                  <w:divsChild>
                    <w:div w:id="863129469">
                      <w:marLeft w:val="0"/>
                      <w:marRight w:val="0"/>
                      <w:marTop w:val="0"/>
                      <w:marBottom w:val="0"/>
                      <w:divBdr>
                        <w:top w:val="none" w:sz="0" w:space="0" w:color="auto"/>
                        <w:left w:val="none" w:sz="0" w:space="0" w:color="auto"/>
                        <w:bottom w:val="none" w:sz="0" w:space="0" w:color="auto"/>
                        <w:right w:val="none" w:sz="0" w:space="0" w:color="auto"/>
                      </w:divBdr>
                    </w:div>
                  </w:divsChild>
                </w:div>
                <w:div w:id="1549564679">
                  <w:marLeft w:val="0"/>
                  <w:marRight w:val="0"/>
                  <w:marTop w:val="0"/>
                  <w:marBottom w:val="0"/>
                  <w:divBdr>
                    <w:top w:val="none" w:sz="0" w:space="0" w:color="auto"/>
                    <w:left w:val="none" w:sz="0" w:space="0" w:color="auto"/>
                    <w:bottom w:val="none" w:sz="0" w:space="0" w:color="auto"/>
                    <w:right w:val="none" w:sz="0" w:space="0" w:color="auto"/>
                  </w:divBdr>
                  <w:divsChild>
                    <w:div w:id="1950693656">
                      <w:marLeft w:val="0"/>
                      <w:marRight w:val="0"/>
                      <w:marTop w:val="0"/>
                      <w:marBottom w:val="0"/>
                      <w:divBdr>
                        <w:top w:val="none" w:sz="0" w:space="0" w:color="auto"/>
                        <w:left w:val="none" w:sz="0" w:space="0" w:color="auto"/>
                        <w:bottom w:val="none" w:sz="0" w:space="0" w:color="auto"/>
                        <w:right w:val="none" w:sz="0" w:space="0" w:color="auto"/>
                      </w:divBdr>
                    </w:div>
                  </w:divsChild>
                </w:div>
                <w:div w:id="171996506">
                  <w:marLeft w:val="0"/>
                  <w:marRight w:val="0"/>
                  <w:marTop w:val="0"/>
                  <w:marBottom w:val="0"/>
                  <w:divBdr>
                    <w:top w:val="none" w:sz="0" w:space="0" w:color="auto"/>
                    <w:left w:val="none" w:sz="0" w:space="0" w:color="auto"/>
                    <w:bottom w:val="none" w:sz="0" w:space="0" w:color="auto"/>
                    <w:right w:val="none" w:sz="0" w:space="0" w:color="auto"/>
                  </w:divBdr>
                  <w:divsChild>
                    <w:div w:id="1572077805">
                      <w:marLeft w:val="0"/>
                      <w:marRight w:val="0"/>
                      <w:marTop w:val="0"/>
                      <w:marBottom w:val="0"/>
                      <w:divBdr>
                        <w:top w:val="none" w:sz="0" w:space="0" w:color="auto"/>
                        <w:left w:val="none" w:sz="0" w:space="0" w:color="auto"/>
                        <w:bottom w:val="none" w:sz="0" w:space="0" w:color="auto"/>
                        <w:right w:val="none" w:sz="0" w:space="0" w:color="auto"/>
                      </w:divBdr>
                    </w:div>
                  </w:divsChild>
                </w:div>
                <w:div w:id="1331055113">
                  <w:marLeft w:val="0"/>
                  <w:marRight w:val="0"/>
                  <w:marTop w:val="0"/>
                  <w:marBottom w:val="0"/>
                  <w:divBdr>
                    <w:top w:val="none" w:sz="0" w:space="0" w:color="auto"/>
                    <w:left w:val="none" w:sz="0" w:space="0" w:color="auto"/>
                    <w:bottom w:val="none" w:sz="0" w:space="0" w:color="auto"/>
                    <w:right w:val="none" w:sz="0" w:space="0" w:color="auto"/>
                  </w:divBdr>
                  <w:divsChild>
                    <w:div w:id="463934080">
                      <w:marLeft w:val="0"/>
                      <w:marRight w:val="0"/>
                      <w:marTop w:val="0"/>
                      <w:marBottom w:val="0"/>
                      <w:divBdr>
                        <w:top w:val="none" w:sz="0" w:space="0" w:color="auto"/>
                        <w:left w:val="none" w:sz="0" w:space="0" w:color="auto"/>
                        <w:bottom w:val="none" w:sz="0" w:space="0" w:color="auto"/>
                        <w:right w:val="none" w:sz="0" w:space="0" w:color="auto"/>
                      </w:divBdr>
                    </w:div>
                  </w:divsChild>
                </w:div>
                <w:div w:id="1442918751">
                  <w:marLeft w:val="0"/>
                  <w:marRight w:val="0"/>
                  <w:marTop w:val="0"/>
                  <w:marBottom w:val="0"/>
                  <w:divBdr>
                    <w:top w:val="none" w:sz="0" w:space="0" w:color="auto"/>
                    <w:left w:val="none" w:sz="0" w:space="0" w:color="auto"/>
                    <w:bottom w:val="none" w:sz="0" w:space="0" w:color="auto"/>
                    <w:right w:val="none" w:sz="0" w:space="0" w:color="auto"/>
                  </w:divBdr>
                  <w:divsChild>
                    <w:div w:id="1270351174">
                      <w:marLeft w:val="0"/>
                      <w:marRight w:val="0"/>
                      <w:marTop w:val="0"/>
                      <w:marBottom w:val="0"/>
                      <w:divBdr>
                        <w:top w:val="none" w:sz="0" w:space="0" w:color="auto"/>
                        <w:left w:val="none" w:sz="0" w:space="0" w:color="auto"/>
                        <w:bottom w:val="none" w:sz="0" w:space="0" w:color="auto"/>
                        <w:right w:val="none" w:sz="0" w:space="0" w:color="auto"/>
                      </w:divBdr>
                    </w:div>
                  </w:divsChild>
                </w:div>
                <w:div w:id="535125548">
                  <w:marLeft w:val="0"/>
                  <w:marRight w:val="0"/>
                  <w:marTop w:val="0"/>
                  <w:marBottom w:val="0"/>
                  <w:divBdr>
                    <w:top w:val="none" w:sz="0" w:space="0" w:color="auto"/>
                    <w:left w:val="none" w:sz="0" w:space="0" w:color="auto"/>
                    <w:bottom w:val="none" w:sz="0" w:space="0" w:color="auto"/>
                    <w:right w:val="none" w:sz="0" w:space="0" w:color="auto"/>
                  </w:divBdr>
                  <w:divsChild>
                    <w:div w:id="325675406">
                      <w:marLeft w:val="0"/>
                      <w:marRight w:val="0"/>
                      <w:marTop w:val="0"/>
                      <w:marBottom w:val="0"/>
                      <w:divBdr>
                        <w:top w:val="none" w:sz="0" w:space="0" w:color="auto"/>
                        <w:left w:val="none" w:sz="0" w:space="0" w:color="auto"/>
                        <w:bottom w:val="none" w:sz="0" w:space="0" w:color="auto"/>
                        <w:right w:val="none" w:sz="0" w:space="0" w:color="auto"/>
                      </w:divBdr>
                    </w:div>
                  </w:divsChild>
                </w:div>
                <w:div w:id="2104104847">
                  <w:marLeft w:val="0"/>
                  <w:marRight w:val="0"/>
                  <w:marTop w:val="0"/>
                  <w:marBottom w:val="0"/>
                  <w:divBdr>
                    <w:top w:val="none" w:sz="0" w:space="0" w:color="auto"/>
                    <w:left w:val="none" w:sz="0" w:space="0" w:color="auto"/>
                    <w:bottom w:val="none" w:sz="0" w:space="0" w:color="auto"/>
                    <w:right w:val="none" w:sz="0" w:space="0" w:color="auto"/>
                  </w:divBdr>
                  <w:divsChild>
                    <w:div w:id="1458648051">
                      <w:marLeft w:val="0"/>
                      <w:marRight w:val="0"/>
                      <w:marTop w:val="0"/>
                      <w:marBottom w:val="0"/>
                      <w:divBdr>
                        <w:top w:val="none" w:sz="0" w:space="0" w:color="auto"/>
                        <w:left w:val="none" w:sz="0" w:space="0" w:color="auto"/>
                        <w:bottom w:val="none" w:sz="0" w:space="0" w:color="auto"/>
                        <w:right w:val="none" w:sz="0" w:space="0" w:color="auto"/>
                      </w:divBdr>
                    </w:div>
                  </w:divsChild>
                </w:div>
                <w:div w:id="1798600896">
                  <w:marLeft w:val="0"/>
                  <w:marRight w:val="0"/>
                  <w:marTop w:val="0"/>
                  <w:marBottom w:val="0"/>
                  <w:divBdr>
                    <w:top w:val="none" w:sz="0" w:space="0" w:color="auto"/>
                    <w:left w:val="none" w:sz="0" w:space="0" w:color="auto"/>
                    <w:bottom w:val="none" w:sz="0" w:space="0" w:color="auto"/>
                    <w:right w:val="none" w:sz="0" w:space="0" w:color="auto"/>
                  </w:divBdr>
                  <w:divsChild>
                    <w:div w:id="1441797184">
                      <w:marLeft w:val="0"/>
                      <w:marRight w:val="0"/>
                      <w:marTop w:val="0"/>
                      <w:marBottom w:val="0"/>
                      <w:divBdr>
                        <w:top w:val="none" w:sz="0" w:space="0" w:color="auto"/>
                        <w:left w:val="none" w:sz="0" w:space="0" w:color="auto"/>
                        <w:bottom w:val="none" w:sz="0" w:space="0" w:color="auto"/>
                        <w:right w:val="none" w:sz="0" w:space="0" w:color="auto"/>
                      </w:divBdr>
                    </w:div>
                  </w:divsChild>
                </w:div>
                <w:div w:id="577635015">
                  <w:marLeft w:val="0"/>
                  <w:marRight w:val="0"/>
                  <w:marTop w:val="0"/>
                  <w:marBottom w:val="0"/>
                  <w:divBdr>
                    <w:top w:val="none" w:sz="0" w:space="0" w:color="auto"/>
                    <w:left w:val="none" w:sz="0" w:space="0" w:color="auto"/>
                    <w:bottom w:val="none" w:sz="0" w:space="0" w:color="auto"/>
                    <w:right w:val="none" w:sz="0" w:space="0" w:color="auto"/>
                  </w:divBdr>
                  <w:divsChild>
                    <w:div w:id="255410963">
                      <w:marLeft w:val="0"/>
                      <w:marRight w:val="0"/>
                      <w:marTop w:val="0"/>
                      <w:marBottom w:val="0"/>
                      <w:divBdr>
                        <w:top w:val="none" w:sz="0" w:space="0" w:color="auto"/>
                        <w:left w:val="none" w:sz="0" w:space="0" w:color="auto"/>
                        <w:bottom w:val="none" w:sz="0" w:space="0" w:color="auto"/>
                        <w:right w:val="none" w:sz="0" w:space="0" w:color="auto"/>
                      </w:divBdr>
                    </w:div>
                    <w:div w:id="1255046881">
                      <w:marLeft w:val="0"/>
                      <w:marRight w:val="0"/>
                      <w:marTop w:val="0"/>
                      <w:marBottom w:val="0"/>
                      <w:divBdr>
                        <w:top w:val="none" w:sz="0" w:space="0" w:color="auto"/>
                        <w:left w:val="none" w:sz="0" w:space="0" w:color="auto"/>
                        <w:bottom w:val="none" w:sz="0" w:space="0" w:color="auto"/>
                        <w:right w:val="none" w:sz="0" w:space="0" w:color="auto"/>
                      </w:divBdr>
                    </w:div>
                  </w:divsChild>
                </w:div>
                <w:div w:id="445009737">
                  <w:marLeft w:val="0"/>
                  <w:marRight w:val="0"/>
                  <w:marTop w:val="0"/>
                  <w:marBottom w:val="0"/>
                  <w:divBdr>
                    <w:top w:val="none" w:sz="0" w:space="0" w:color="auto"/>
                    <w:left w:val="none" w:sz="0" w:space="0" w:color="auto"/>
                    <w:bottom w:val="none" w:sz="0" w:space="0" w:color="auto"/>
                    <w:right w:val="none" w:sz="0" w:space="0" w:color="auto"/>
                  </w:divBdr>
                  <w:divsChild>
                    <w:div w:id="294676114">
                      <w:marLeft w:val="0"/>
                      <w:marRight w:val="0"/>
                      <w:marTop w:val="0"/>
                      <w:marBottom w:val="0"/>
                      <w:divBdr>
                        <w:top w:val="none" w:sz="0" w:space="0" w:color="auto"/>
                        <w:left w:val="none" w:sz="0" w:space="0" w:color="auto"/>
                        <w:bottom w:val="none" w:sz="0" w:space="0" w:color="auto"/>
                        <w:right w:val="none" w:sz="0" w:space="0" w:color="auto"/>
                      </w:divBdr>
                    </w:div>
                  </w:divsChild>
                </w:div>
                <w:div w:id="575169020">
                  <w:marLeft w:val="0"/>
                  <w:marRight w:val="0"/>
                  <w:marTop w:val="0"/>
                  <w:marBottom w:val="0"/>
                  <w:divBdr>
                    <w:top w:val="none" w:sz="0" w:space="0" w:color="auto"/>
                    <w:left w:val="none" w:sz="0" w:space="0" w:color="auto"/>
                    <w:bottom w:val="none" w:sz="0" w:space="0" w:color="auto"/>
                    <w:right w:val="none" w:sz="0" w:space="0" w:color="auto"/>
                  </w:divBdr>
                  <w:divsChild>
                    <w:div w:id="921715798">
                      <w:marLeft w:val="0"/>
                      <w:marRight w:val="0"/>
                      <w:marTop w:val="0"/>
                      <w:marBottom w:val="0"/>
                      <w:divBdr>
                        <w:top w:val="none" w:sz="0" w:space="0" w:color="auto"/>
                        <w:left w:val="none" w:sz="0" w:space="0" w:color="auto"/>
                        <w:bottom w:val="none" w:sz="0" w:space="0" w:color="auto"/>
                        <w:right w:val="none" w:sz="0" w:space="0" w:color="auto"/>
                      </w:divBdr>
                    </w:div>
                    <w:div w:id="556403239">
                      <w:marLeft w:val="0"/>
                      <w:marRight w:val="0"/>
                      <w:marTop w:val="0"/>
                      <w:marBottom w:val="0"/>
                      <w:divBdr>
                        <w:top w:val="none" w:sz="0" w:space="0" w:color="auto"/>
                        <w:left w:val="none" w:sz="0" w:space="0" w:color="auto"/>
                        <w:bottom w:val="none" w:sz="0" w:space="0" w:color="auto"/>
                        <w:right w:val="none" w:sz="0" w:space="0" w:color="auto"/>
                      </w:divBdr>
                    </w:div>
                    <w:div w:id="2088182967">
                      <w:marLeft w:val="0"/>
                      <w:marRight w:val="0"/>
                      <w:marTop w:val="0"/>
                      <w:marBottom w:val="0"/>
                      <w:divBdr>
                        <w:top w:val="none" w:sz="0" w:space="0" w:color="auto"/>
                        <w:left w:val="none" w:sz="0" w:space="0" w:color="auto"/>
                        <w:bottom w:val="none" w:sz="0" w:space="0" w:color="auto"/>
                        <w:right w:val="none" w:sz="0" w:space="0" w:color="auto"/>
                      </w:divBdr>
                    </w:div>
                  </w:divsChild>
                </w:div>
                <w:div w:id="1781873596">
                  <w:marLeft w:val="0"/>
                  <w:marRight w:val="0"/>
                  <w:marTop w:val="0"/>
                  <w:marBottom w:val="0"/>
                  <w:divBdr>
                    <w:top w:val="none" w:sz="0" w:space="0" w:color="auto"/>
                    <w:left w:val="none" w:sz="0" w:space="0" w:color="auto"/>
                    <w:bottom w:val="none" w:sz="0" w:space="0" w:color="auto"/>
                    <w:right w:val="none" w:sz="0" w:space="0" w:color="auto"/>
                  </w:divBdr>
                  <w:divsChild>
                    <w:div w:id="481166972">
                      <w:marLeft w:val="0"/>
                      <w:marRight w:val="0"/>
                      <w:marTop w:val="0"/>
                      <w:marBottom w:val="0"/>
                      <w:divBdr>
                        <w:top w:val="none" w:sz="0" w:space="0" w:color="auto"/>
                        <w:left w:val="none" w:sz="0" w:space="0" w:color="auto"/>
                        <w:bottom w:val="none" w:sz="0" w:space="0" w:color="auto"/>
                        <w:right w:val="none" w:sz="0" w:space="0" w:color="auto"/>
                      </w:divBdr>
                    </w:div>
                    <w:div w:id="1432312475">
                      <w:marLeft w:val="0"/>
                      <w:marRight w:val="0"/>
                      <w:marTop w:val="0"/>
                      <w:marBottom w:val="0"/>
                      <w:divBdr>
                        <w:top w:val="none" w:sz="0" w:space="0" w:color="auto"/>
                        <w:left w:val="none" w:sz="0" w:space="0" w:color="auto"/>
                        <w:bottom w:val="none" w:sz="0" w:space="0" w:color="auto"/>
                        <w:right w:val="none" w:sz="0" w:space="0" w:color="auto"/>
                      </w:divBdr>
                    </w:div>
                    <w:div w:id="94400616">
                      <w:marLeft w:val="0"/>
                      <w:marRight w:val="0"/>
                      <w:marTop w:val="0"/>
                      <w:marBottom w:val="0"/>
                      <w:divBdr>
                        <w:top w:val="none" w:sz="0" w:space="0" w:color="auto"/>
                        <w:left w:val="none" w:sz="0" w:space="0" w:color="auto"/>
                        <w:bottom w:val="none" w:sz="0" w:space="0" w:color="auto"/>
                        <w:right w:val="none" w:sz="0" w:space="0" w:color="auto"/>
                      </w:divBdr>
                    </w:div>
                  </w:divsChild>
                </w:div>
                <w:div w:id="2127190689">
                  <w:marLeft w:val="0"/>
                  <w:marRight w:val="0"/>
                  <w:marTop w:val="0"/>
                  <w:marBottom w:val="0"/>
                  <w:divBdr>
                    <w:top w:val="none" w:sz="0" w:space="0" w:color="auto"/>
                    <w:left w:val="none" w:sz="0" w:space="0" w:color="auto"/>
                    <w:bottom w:val="none" w:sz="0" w:space="0" w:color="auto"/>
                    <w:right w:val="none" w:sz="0" w:space="0" w:color="auto"/>
                  </w:divBdr>
                  <w:divsChild>
                    <w:div w:id="706178965">
                      <w:marLeft w:val="0"/>
                      <w:marRight w:val="0"/>
                      <w:marTop w:val="0"/>
                      <w:marBottom w:val="0"/>
                      <w:divBdr>
                        <w:top w:val="none" w:sz="0" w:space="0" w:color="auto"/>
                        <w:left w:val="none" w:sz="0" w:space="0" w:color="auto"/>
                        <w:bottom w:val="none" w:sz="0" w:space="0" w:color="auto"/>
                        <w:right w:val="none" w:sz="0" w:space="0" w:color="auto"/>
                      </w:divBdr>
                    </w:div>
                    <w:div w:id="10868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98437">
          <w:marLeft w:val="0"/>
          <w:marRight w:val="0"/>
          <w:marTop w:val="0"/>
          <w:marBottom w:val="0"/>
          <w:divBdr>
            <w:top w:val="none" w:sz="0" w:space="0" w:color="auto"/>
            <w:left w:val="none" w:sz="0" w:space="0" w:color="auto"/>
            <w:bottom w:val="none" w:sz="0" w:space="0" w:color="auto"/>
            <w:right w:val="none" w:sz="0" w:space="0" w:color="auto"/>
          </w:divBdr>
          <w:divsChild>
            <w:div w:id="1198205452">
              <w:marLeft w:val="0"/>
              <w:marRight w:val="0"/>
              <w:marTop w:val="0"/>
              <w:marBottom w:val="0"/>
              <w:divBdr>
                <w:top w:val="none" w:sz="0" w:space="0" w:color="auto"/>
                <w:left w:val="none" w:sz="0" w:space="0" w:color="auto"/>
                <w:bottom w:val="none" w:sz="0" w:space="0" w:color="auto"/>
                <w:right w:val="none" w:sz="0" w:space="0" w:color="auto"/>
              </w:divBdr>
            </w:div>
            <w:div w:id="781194857">
              <w:marLeft w:val="0"/>
              <w:marRight w:val="0"/>
              <w:marTop w:val="0"/>
              <w:marBottom w:val="0"/>
              <w:divBdr>
                <w:top w:val="none" w:sz="0" w:space="0" w:color="auto"/>
                <w:left w:val="none" w:sz="0" w:space="0" w:color="auto"/>
                <w:bottom w:val="none" w:sz="0" w:space="0" w:color="auto"/>
                <w:right w:val="none" w:sz="0" w:space="0" w:color="auto"/>
              </w:divBdr>
            </w:div>
            <w:div w:id="1393651203">
              <w:marLeft w:val="0"/>
              <w:marRight w:val="0"/>
              <w:marTop w:val="0"/>
              <w:marBottom w:val="0"/>
              <w:divBdr>
                <w:top w:val="none" w:sz="0" w:space="0" w:color="auto"/>
                <w:left w:val="none" w:sz="0" w:space="0" w:color="auto"/>
                <w:bottom w:val="none" w:sz="0" w:space="0" w:color="auto"/>
                <w:right w:val="none" w:sz="0" w:space="0" w:color="auto"/>
              </w:divBdr>
            </w:div>
          </w:divsChild>
        </w:div>
        <w:div w:id="1480877734">
          <w:marLeft w:val="0"/>
          <w:marRight w:val="0"/>
          <w:marTop w:val="0"/>
          <w:marBottom w:val="0"/>
          <w:divBdr>
            <w:top w:val="none" w:sz="0" w:space="0" w:color="auto"/>
            <w:left w:val="none" w:sz="0" w:space="0" w:color="auto"/>
            <w:bottom w:val="none" w:sz="0" w:space="0" w:color="auto"/>
            <w:right w:val="none" w:sz="0" w:space="0" w:color="auto"/>
          </w:divBdr>
        </w:div>
        <w:div w:id="211506150">
          <w:marLeft w:val="0"/>
          <w:marRight w:val="0"/>
          <w:marTop w:val="0"/>
          <w:marBottom w:val="0"/>
          <w:divBdr>
            <w:top w:val="none" w:sz="0" w:space="0" w:color="auto"/>
            <w:left w:val="none" w:sz="0" w:space="0" w:color="auto"/>
            <w:bottom w:val="none" w:sz="0" w:space="0" w:color="auto"/>
            <w:right w:val="none" w:sz="0" w:space="0" w:color="auto"/>
          </w:divBdr>
        </w:div>
        <w:div w:id="1227570751">
          <w:marLeft w:val="0"/>
          <w:marRight w:val="0"/>
          <w:marTop w:val="0"/>
          <w:marBottom w:val="0"/>
          <w:divBdr>
            <w:top w:val="none" w:sz="0" w:space="0" w:color="auto"/>
            <w:left w:val="none" w:sz="0" w:space="0" w:color="auto"/>
            <w:bottom w:val="none" w:sz="0" w:space="0" w:color="auto"/>
            <w:right w:val="none" w:sz="0" w:space="0" w:color="auto"/>
          </w:divBdr>
        </w:div>
        <w:div w:id="537163496">
          <w:marLeft w:val="0"/>
          <w:marRight w:val="0"/>
          <w:marTop w:val="0"/>
          <w:marBottom w:val="0"/>
          <w:divBdr>
            <w:top w:val="none" w:sz="0" w:space="0" w:color="auto"/>
            <w:left w:val="none" w:sz="0" w:space="0" w:color="auto"/>
            <w:bottom w:val="none" w:sz="0" w:space="0" w:color="auto"/>
            <w:right w:val="none" w:sz="0" w:space="0" w:color="auto"/>
          </w:divBdr>
        </w:div>
        <w:div w:id="1320423536">
          <w:marLeft w:val="0"/>
          <w:marRight w:val="0"/>
          <w:marTop w:val="0"/>
          <w:marBottom w:val="0"/>
          <w:divBdr>
            <w:top w:val="none" w:sz="0" w:space="0" w:color="auto"/>
            <w:left w:val="none" w:sz="0" w:space="0" w:color="auto"/>
            <w:bottom w:val="none" w:sz="0" w:space="0" w:color="auto"/>
            <w:right w:val="none" w:sz="0" w:space="0" w:color="auto"/>
          </w:divBdr>
        </w:div>
        <w:div w:id="885877176">
          <w:marLeft w:val="0"/>
          <w:marRight w:val="0"/>
          <w:marTop w:val="0"/>
          <w:marBottom w:val="0"/>
          <w:divBdr>
            <w:top w:val="none" w:sz="0" w:space="0" w:color="auto"/>
            <w:left w:val="none" w:sz="0" w:space="0" w:color="auto"/>
            <w:bottom w:val="none" w:sz="0" w:space="0" w:color="auto"/>
            <w:right w:val="none" w:sz="0" w:space="0" w:color="auto"/>
          </w:divBdr>
        </w:div>
        <w:div w:id="1396390010">
          <w:marLeft w:val="0"/>
          <w:marRight w:val="0"/>
          <w:marTop w:val="0"/>
          <w:marBottom w:val="0"/>
          <w:divBdr>
            <w:top w:val="none" w:sz="0" w:space="0" w:color="auto"/>
            <w:left w:val="none" w:sz="0" w:space="0" w:color="auto"/>
            <w:bottom w:val="none" w:sz="0" w:space="0" w:color="auto"/>
            <w:right w:val="none" w:sz="0" w:space="0" w:color="auto"/>
          </w:divBdr>
        </w:div>
        <w:div w:id="775908940">
          <w:marLeft w:val="0"/>
          <w:marRight w:val="0"/>
          <w:marTop w:val="0"/>
          <w:marBottom w:val="0"/>
          <w:divBdr>
            <w:top w:val="none" w:sz="0" w:space="0" w:color="auto"/>
            <w:left w:val="none" w:sz="0" w:space="0" w:color="auto"/>
            <w:bottom w:val="none" w:sz="0" w:space="0" w:color="auto"/>
            <w:right w:val="none" w:sz="0" w:space="0" w:color="auto"/>
          </w:divBdr>
        </w:div>
        <w:div w:id="187068474">
          <w:marLeft w:val="0"/>
          <w:marRight w:val="0"/>
          <w:marTop w:val="0"/>
          <w:marBottom w:val="0"/>
          <w:divBdr>
            <w:top w:val="none" w:sz="0" w:space="0" w:color="auto"/>
            <w:left w:val="none" w:sz="0" w:space="0" w:color="auto"/>
            <w:bottom w:val="none" w:sz="0" w:space="0" w:color="auto"/>
            <w:right w:val="none" w:sz="0" w:space="0" w:color="auto"/>
          </w:divBdr>
        </w:div>
        <w:div w:id="447435618">
          <w:marLeft w:val="0"/>
          <w:marRight w:val="0"/>
          <w:marTop w:val="0"/>
          <w:marBottom w:val="0"/>
          <w:divBdr>
            <w:top w:val="none" w:sz="0" w:space="0" w:color="auto"/>
            <w:left w:val="none" w:sz="0" w:space="0" w:color="auto"/>
            <w:bottom w:val="none" w:sz="0" w:space="0" w:color="auto"/>
            <w:right w:val="none" w:sz="0" w:space="0" w:color="auto"/>
          </w:divBdr>
        </w:div>
        <w:div w:id="1736780134">
          <w:marLeft w:val="0"/>
          <w:marRight w:val="0"/>
          <w:marTop w:val="0"/>
          <w:marBottom w:val="0"/>
          <w:divBdr>
            <w:top w:val="none" w:sz="0" w:space="0" w:color="auto"/>
            <w:left w:val="none" w:sz="0" w:space="0" w:color="auto"/>
            <w:bottom w:val="none" w:sz="0" w:space="0" w:color="auto"/>
            <w:right w:val="none" w:sz="0" w:space="0" w:color="auto"/>
          </w:divBdr>
        </w:div>
        <w:div w:id="1280378087">
          <w:marLeft w:val="0"/>
          <w:marRight w:val="0"/>
          <w:marTop w:val="0"/>
          <w:marBottom w:val="0"/>
          <w:divBdr>
            <w:top w:val="none" w:sz="0" w:space="0" w:color="auto"/>
            <w:left w:val="none" w:sz="0" w:space="0" w:color="auto"/>
            <w:bottom w:val="none" w:sz="0" w:space="0" w:color="auto"/>
            <w:right w:val="none" w:sz="0" w:space="0" w:color="auto"/>
          </w:divBdr>
        </w:div>
        <w:div w:id="311057771">
          <w:marLeft w:val="0"/>
          <w:marRight w:val="0"/>
          <w:marTop w:val="0"/>
          <w:marBottom w:val="0"/>
          <w:divBdr>
            <w:top w:val="none" w:sz="0" w:space="0" w:color="auto"/>
            <w:left w:val="none" w:sz="0" w:space="0" w:color="auto"/>
            <w:bottom w:val="none" w:sz="0" w:space="0" w:color="auto"/>
            <w:right w:val="none" w:sz="0" w:space="0" w:color="auto"/>
          </w:divBdr>
        </w:div>
        <w:div w:id="1564439724">
          <w:marLeft w:val="0"/>
          <w:marRight w:val="0"/>
          <w:marTop w:val="0"/>
          <w:marBottom w:val="0"/>
          <w:divBdr>
            <w:top w:val="none" w:sz="0" w:space="0" w:color="auto"/>
            <w:left w:val="none" w:sz="0" w:space="0" w:color="auto"/>
            <w:bottom w:val="none" w:sz="0" w:space="0" w:color="auto"/>
            <w:right w:val="none" w:sz="0" w:space="0" w:color="auto"/>
          </w:divBdr>
          <w:divsChild>
            <w:div w:id="1069155988">
              <w:marLeft w:val="-75"/>
              <w:marRight w:val="0"/>
              <w:marTop w:val="30"/>
              <w:marBottom w:val="30"/>
              <w:divBdr>
                <w:top w:val="none" w:sz="0" w:space="0" w:color="auto"/>
                <w:left w:val="none" w:sz="0" w:space="0" w:color="auto"/>
                <w:bottom w:val="none" w:sz="0" w:space="0" w:color="auto"/>
                <w:right w:val="none" w:sz="0" w:space="0" w:color="auto"/>
              </w:divBdr>
              <w:divsChild>
                <w:div w:id="133571103">
                  <w:marLeft w:val="0"/>
                  <w:marRight w:val="0"/>
                  <w:marTop w:val="0"/>
                  <w:marBottom w:val="0"/>
                  <w:divBdr>
                    <w:top w:val="none" w:sz="0" w:space="0" w:color="auto"/>
                    <w:left w:val="none" w:sz="0" w:space="0" w:color="auto"/>
                    <w:bottom w:val="none" w:sz="0" w:space="0" w:color="auto"/>
                    <w:right w:val="none" w:sz="0" w:space="0" w:color="auto"/>
                  </w:divBdr>
                  <w:divsChild>
                    <w:div w:id="2060125231">
                      <w:marLeft w:val="0"/>
                      <w:marRight w:val="0"/>
                      <w:marTop w:val="0"/>
                      <w:marBottom w:val="0"/>
                      <w:divBdr>
                        <w:top w:val="none" w:sz="0" w:space="0" w:color="auto"/>
                        <w:left w:val="none" w:sz="0" w:space="0" w:color="auto"/>
                        <w:bottom w:val="none" w:sz="0" w:space="0" w:color="auto"/>
                        <w:right w:val="none" w:sz="0" w:space="0" w:color="auto"/>
                      </w:divBdr>
                    </w:div>
                  </w:divsChild>
                </w:div>
                <w:div w:id="2028480339">
                  <w:marLeft w:val="0"/>
                  <w:marRight w:val="0"/>
                  <w:marTop w:val="0"/>
                  <w:marBottom w:val="0"/>
                  <w:divBdr>
                    <w:top w:val="none" w:sz="0" w:space="0" w:color="auto"/>
                    <w:left w:val="none" w:sz="0" w:space="0" w:color="auto"/>
                    <w:bottom w:val="none" w:sz="0" w:space="0" w:color="auto"/>
                    <w:right w:val="none" w:sz="0" w:space="0" w:color="auto"/>
                  </w:divBdr>
                  <w:divsChild>
                    <w:div w:id="190270823">
                      <w:marLeft w:val="0"/>
                      <w:marRight w:val="0"/>
                      <w:marTop w:val="0"/>
                      <w:marBottom w:val="0"/>
                      <w:divBdr>
                        <w:top w:val="none" w:sz="0" w:space="0" w:color="auto"/>
                        <w:left w:val="none" w:sz="0" w:space="0" w:color="auto"/>
                        <w:bottom w:val="none" w:sz="0" w:space="0" w:color="auto"/>
                        <w:right w:val="none" w:sz="0" w:space="0" w:color="auto"/>
                      </w:divBdr>
                    </w:div>
                  </w:divsChild>
                </w:div>
                <w:div w:id="659383370">
                  <w:marLeft w:val="0"/>
                  <w:marRight w:val="0"/>
                  <w:marTop w:val="0"/>
                  <w:marBottom w:val="0"/>
                  <w:divBdr>
                    <w:top w:val="none" w:sz="0" w:space="0" w:color="auto"/>
                    <w:left w:val="none" w:sz="0" w:space="0" w:color="auto"/>
                    <w:bottom w:val="none" w:sz="0" w:space="0" w:color="auto"/>
                    <w:right w:val="none" w:sz="0" w:space="0" w:color="auto"/>
                  </w:divBdr>
                  <w:divsChild>
                    <w:div w:id="616564194">
                      <w:marLeft w:val="0"/>
                      <w:marRight w:val="0"/>
                      <w:marTop w:val="0"/>
                      <w:marBottom w:val="0"/>
                      <w:divBdr>
                        <w:top w:val="none" w:sz="0" w:space="0" w:color="auto"/>
                        <w:left w:val="none" w:sz="0" w:space="0" w:color="auto"/>
                        <w:bottom w:val="none" w:sz="0" w:space="0" w:color="auto"/>
                        <w:right w:val="none" w:sz="0" w:space="0" w:color="auto"/>
                      </w:divBdr>
                    </w:div>
                  </w:divsChild>
                </w:div>
                <w:div w:id="1666855112">
                  <w:marLeft w:val="0"/>
                  <w:marRight w:val="0"/>
                  <w:marTop w:val="0"/>
                  <w:marBottom w:val="0"/>
                  <w:divBdr>
                    <w:top w:val="none" w:sz="0" w:space="0" w:color="auto"/>
                    <w:left w:val="none" w:sz="0" w:space="0" w:color="auto"/>
                    <w:bottom w:val="none" w:sz="0" w:space="0" w:color="auto"/>
                    <w:right w:val="none" w:sz="0" w:space="0" w:color="auto"/>
                  </w:divBdr>
                  <w:divsChild>
                    <w:div w:id="280574189">
                      <w:marLeft w:val="0"/>
                      <w:marRight w:val="0"/>
                      <w:marTop w:val="0"/>
                      <w:marBottom w:val="0"/>
                      <w:divBdr>
                        <w:top w:val="none" w:sz="0" w:space="0" w:color="auto"/>
                        <w:left w:val="none" w:sz="0" w:space="0" w:color="auto"/>
                        <w:bottom w:val="none" w:sz="0" w:space="0" w:color="auto"/>
                        <w:right w:val="none" w:sz="0" w:space="0" w:color="auto"/>
                      </w:divBdr>
                    </w:div>
                  </w:divsChild>
                </w:div>
                <w:div w:id="55059042">
                  <w:marLeft w:val="0"/>
                  <w:marRight w:val="0"/>
                  <w:marTop w:val="0"/>
                  <w:marBottom w:val="0"/>
                  <w:divBdr>
                    <w:top w:val="none" w:sz="0" w:space="0" w:color="auto"/>
                    <w:left w:val="none" w:sz="0" w:space="0" w:color="auto"/>
                    <w:bottom w:val="none" w:sz="0" w:space="0" w:color="auto"/>
                    <w:right w:val="none" w:sz="0" w:space="0" w:color="auto"/>
                  </w:divBdr>
                  <w:divsChild>
                    <w:div w:id="175383177">
                      <w:marLeft w:val="0"/>
                      <w:marRight w:val="0"/>
                      <w:marTop w:val="0"/>
                      <w:marBottom w:val="0"/>
                      <w:divBdr>
                        <w:top w:val="none" w:sz="0" w:space="0" w:color="auto"/>
                        <w:left w:val="none" w:sz="0" w:space="0" w:color="auto"/>
                        <w:bottom w:val="none" w:sz="0" w:space="0" w:color="auto"/>
                        <w:right w:val="none" w:sz="0" w:space="0" w:color="auto"/>
                      </w:divBdr>
                    </w:div>
                  </w:divsChild>
                </w:div>
                <w:div w:id="899483884">
                  <w:marLeft w:val="0"/>
                  <w:marRight w:val="0"/>
                  <w:marTop w:val="0"/>
                  <w:marBottom w:val="0"/>
                  <w:divBdr>
                    <w:top w:val="none" w:sz="0" w:space="0" w:color="auto"/>
                    <w:left w:val="none" w:sz="0" w:space="0" w:color="auto"/>
                    <w:bottom w:val="none" w:sz="0" w:space="0" w:color="auto"/>
                    <w:right w:val="none" w:sz="0" w:space="0" w:color="auto"/>
                  </w:divBdr>
                  <w:divsChild>
                    <w:div w:id="196044091">
                      <w:marLeft w:val="0"/>
                      <w:marRight w:val="0"/>
                      <w:marTop w:val="0"/>
                      <w:marBottom w:val="0"/>
                      <w:divBdr>
                        <w:top w:val="none" w:sz="0" w:space="0" w:color="auto"/>
                        <w:left w:val="none" w:sz="0" w:space="0" w:color="auto"/>
                        <w:bottom w:val="none" w:sz="0" w:space="0" w:color="auto"/>
                        <w:right w:val="none" w:sz="0" w:space="0" w:color="auto"/>
                      </w:divBdr>
                    </w:div>
                  </w:divsChild>
                </w:div>
                <w:div w:id="392318145">
                  <w:marLeft w:val="0"/>
                  <w:marRight w:val="0"/>
                  <w:marTop w:val="0"/>
                  <w:marBottom w:val="0"/>
                  <w:divBdr>
                    <w:top w:val="none" w:sz="0" w:space="0" w:color="auto"/>
                    <w:left w:val="none" w:sz="0" w:space="0" w:color="auto"/>
                    <w:bottom w:val="none" w:sz="0" w:space="0" w:color="auto"/>
                    <w:right w:val="none" w:sz="0" w:space="0" w:color="auto"/>
                  </w:divBdr>
                  <w:divsChild>
                    <w:div w:id="1264194458">
                      <w:marLeft w:val="0"/>
                      <w:marRight w:val="0"/>
                      <w:marTop w:val="0"/>
                      <w:marBottom w:val="0"/>
                      <w:divBdr>
                        <w:top w:val="none" w:sz="0" w:space="0" w:color="auto"/>
                        <w:left w:val="none" w:sz="0" w:space="0" w:color="auto"/>
                        <w:bottom w:val="none" w:sz="0" w:space="0" w:color="auto"/>
                        <w:right w:val="none" w:sz="0" w:space="0" w:color="auto"/>
                      </w:divBdr>
                    </w:div>
                  </w:divsChild>
                </w:div>
                <w:div w:id="864829530">
                  <w:marLeft w:val="0"/>
                  <w:marRight w:val="0"/>
                  <w:marTop w:val="0"/>
                  <w:marBottom w:val="0"/>
                  <w:divBdr>
                    <w:top w:val="none" w:sz="0" w:space="0" w:color="auto"/>
                    <w:left w:val="none" w:sz="0" w:space="0" w:color="auto"/>
                    <w:bottom w:val="none" w:sz="0" w:space="0" w:color="auto"/>
                    <w:right w:val="none" w:sz="0" w:space="0" w:color="auto"/>
                  </w:divBdr>
                  <w:divsChild>
                    <w:div w:id="911891841">
                      <w:marLeft w:val="0"/>
                      <w:marRight w:val="0"/>
                      <w:marTop w:val="0"/>
                      <w:marBottom w:val="0"/>
                      <w:divBdr>
                        <w:top w:val="none" w:sz="0" w:space="0" w:color="auto"/>
                        <w:left w:val="none" w:sz="0" w:space="0" w:color="auto"/>
                        <w:bottom w:val="none" w:sz="0" w:space="0" w:color="auto"/>
                        <w:right w:val="none" w:sz="0" w:space="0" w:color="auto"/>
                      </w:divBdr>
                    </w:div>
                  </w:divsChild>
                </w:div>
                <w:div w:id="2027363384">
                  <w:marLeft w:val="0"/>
                  <w:marRight w:val="0"/>
                  <w:marTop w:val="0"/>
                  <w:marBottom w:val="0"/>
                  <w:divBdr>
                    <w:top w:val="none" w:sz="0" w:space="0" w:color="auto"/>
                    <w:left w:val="none" w:sz="0" w:space="0" w:color="auto"/>
                    <w:bottom w:val="none" w:sz="0" w:space="0" w:color="auto"/>
                    <w:right w:val="none" w:sz="0" w:space="0" w:color="auto"/>
                  </w:divBdr>
                  <w:divsChild>
                    <w:div w:id="1736539978">
                      <w:marLeft w:val="0"/>
                      <w:marRight w:val="0"/>
                      <w:marTop w:val="0"/>
                      <w:marBottom w:val="0"/>
                      <w:divBdr>
                        <w:top w:val="none" w:sz="0" w:space="0" w:color="auto"/>
                        <w:left w:val="none" w:sz="0" w:space="0" w:color="auto"/>
                        <w:bottom w:val="none" w:sz="0" w:space="0" w:color="auto"/>
                        <w:right w:val="none" w:sz="0" w:space="0" w:color="auto"/>
                      </w:divBdr>
                    </w:div>
                  </w:divsChild>
                </w:div>
                <w:div w:id="1818185995">
                  <w:marLeft w:val="0"/>
                  <w:marRight w:val="0"/>
                  <w:marTop w:val="0"/>
                  <w:marBottom w:val="0"/>
                  <w:divBdr>
                    <w:top w:val="none" w:sz="0" w:space="0" w:color="auto"/>
                    <w:left w:val="none" w:sz="0" w:space="0" w:color="auto"/>
                    <w:bottom w:val="none" w:sz="0" w:space="0" w:color="auto"/>
                    <w:right w:val="none" w:sz="0" w:space="0" w:color="auto"/>
                  </w:divBdr>
                  <w:divsChild>
                    <w:div w:id="362247079">
                      <w:marLeft w:val="0"/>
                      <w:marRight w:val="0"/>
                      <w:marTop w:val="0"/>
                      <w:marBottom w:val="0"/>
                      <w:divBdr>
                        <w:top w:val="none" w:sz="0" w:space="0" w:color="auto"/>
                        <w:left w:val="none" w:sz="0" w:space="0" w:color="auto"/>
                        <w:bottom w:val="none" w:sz="0" w:space="0" w:color="auto"/>
                        <w:right w:val="none" w:sz="0" w:space="0" w:color="auto"/>
                      </w:divBdr>
                    </w:div>
                  </w:divsChild>
                </w:div>
                <w:div w:id="83843492">
                  <w:marLeft w:val="0"/>
                  <w:marRight w:val="0"/>
                  <w:marTop w:val="0"/>
                  <w:marBottom w:val="0"/>
                  <w:divBdr>
                    <w:top w:val="none" w:sz="0" w:space="0" w:color="auto"/>
                    <w:left w:val="none" w:sz="0" w:space="0" w:color="auto"/>
                    <w:bottom w:val="none" w:sz="0" w:space="0" w:color="auto"/>
                    <w:right w:val="none" w:sz="0" w:space="0" w:color="auto"/>
                  </w:divBdr>
                  <w:divsChild>
                    <w:div w:id="638342000">
                      <w:marLeft w:val="0"/>
                      <w:marRight w:val="0"/>
                      <w:marTop w:val="0"/>
                      <w:marBottom w:val="0"/>
                      <w:divBdr>
                        <w:top w:val="none" w:sz="0" w:space="0" w:color="auto"/>
                        <w:left w:val="none" w:sz="0" w:space="0" w:color="auto"/>
                        <w:bottom w:val="none" w:sz="0" w:space="0" w:color="auto"/>
                        <w:right w:val="none" w:sz="0" w:space="0" w:color="auto"/>
                      </w:divBdr>
                    </w:div>
                  </w:divsChild>
                </w:div>
                <w:div w:id="546452926">
                  <w:marLeft w:val="0"/>
                  <w:marRight w:val="0"/>
                  <w:marTop w:val="0"/>
                  <w:marBottom w:val="0"/>
                  <w:divBdr>
                    <w:top w:val="none" w:sz="0" w:space="0" w:color="auto"/>
                    <w:left w:val="none" w:sz="0" w:space="0" w:color="auto"/>
                    <w:bottom w:val="none" w:sz="0" w:space="0" w:color="auto"/>
                    <w:right w:val="none" w:sz="0" w:space="0" w:color="auto"/>
                  </w:divBdr>
                  <w:divsChild>
                    <w:div w:id="336465848">
                      <w:marLeft w:val="0"/>
                      <w:marRight w:val="0"/>
                      <w:marTop w:val="0"/>
                      <w:marBottom w:val="0"/>
                      <w:divBdr>
                        <w:top w:val="none" w:sz="0" w:space="0" w:color="auto"/>
                        <w:left w:val="none" w:sz="0" w:space="0" w:color="auto"/>
                        <w:bottom w:val="none" w:sz="0" w:space="0" w:color="auto"/>
                        <w:right w:val="none" w:sz="0" w:space="0" w:color="auto"/>
                      </w:divBdr>
                    </w:div>
                  </w:divsChild>
                </w:div>
                <w:div w:id="1618175693">
                  <w:marLeft w:val="0"/>
                  <w:marRight w:val="0"/>
                  <w:marTop w:val="0"/>
                  <w:marBottom w:val="0"/>
                  <w:divBdr>
                    <w:top w:val="none" w:sz="0" w:space="0" w:color="auto"/>
                    <w:left w:val="none" w:sz="0" w:space="0" w:color="auto"/>
                    <w:bottom w:val="none" w:sz="0" w:space="0" w:color="auto"/>
                    <w:right w:val="none" w:sz="0" w:space="0" w:color="auto"/>
                  </w:divBdr>
                  <w:divsChild>
                    <w:div w:id="1244757931">
                      <w:marLeft w:val="0"/>
                      <w:marRight w:val="0"/>
                      <w:marTop w:val="0"/>
                      <w:marBottom w:val="0"/>
                      <w:divBdr>
                        <w:top w:val="none" w:sz="0" w:space="0" w:color="auto"/>
                        <w:left w:val="none" w:sz="0" w:space="0" w:color="auto"/>
                        <w:bottom w:val="none" w:sz="0" w:space="0" w:color="auto"/>
                        <w:right w:val="none" w:sz="0" w:space="0" w:color="auto"/>
                      </w:divBdr>
                    </w:div>
                  </w:divsChild>
                </w:div>
                <w:div w:id="2055347286">
                  <w:marLeft w:val="0"/>
                  <w:marRight w:val="0"/>
                  <w:marTop w:val="0"/>
                  <w:marBottom w:val="0"/>
                  <w:divBdr>
                    <w:top w:val="none" w:sz="0" w:space="0" w:color="auto"/>
                    <w:left w:val="none" w:sz="0" w:space="0" w:color="auto"/>
                    <w:bottom w:val="none" w:sz="0" w:space="0" w:color="auto"/>
                    <w:right w:val="none" w:sz="0" w:space="0" w:color="auto"/>
                  </w:divBdr>
                  <w:divsChild>
                    <w:div w:id="2086296485">
                      <w:marLeft w:val="0"/>
                      <w:marRight w:val="0"/>
                      <w:marTop w:val="0"/>
                      <w:marBottom w:val="0"/>
                      <w:divBdr>
                        <w:top w:val="none" w:sz="0" w:space="0" w:color="auto"/>
                        <w:left w:val="none" w:sz="0" w:space="0" w:color="auto"/>
                        <w:bottom w:val="none" w:sz="0" w:space="0" w:color="auto"/>
                        <w:right w:val="none" w:sz="0" w:space="0" w:color="auto"/>
                      </w:divBdr>
                    </w:div>
                  </w:divsChild>
                </w:div>
                <w:div w:id="1689522696">
                  <w:marLeft w:val="0"/>
                  <w:marRight w:val="0"/>
                  <w:marTop w:val="0"/>
                  <w:marBottom w:val="0"/>
                  <w:divBdr>
                    <w:top w:val="none" w:sz="0" w:space="0" w:color="auto"/>
                    <w:left w:val="none" w:sz="0" w:space="0" w:color="auto"/>
                    <w:bottom w:val="none" w:sz="0" w:space="0" w:color="auto"/>
                    <w:right w:val="none" w:sz="0" w:space="0" w:color="auto"/>
                  </w:divBdr>
                  <w:divsChild>
                    <w:div w:id="634717394">
                      <w:marLeft w:val="0"/>
                      <w:marRight w:val="0"/>
                      <w:marTop w:val="0"/>
                      <w:marBottom w:val="0"/>
                      <w:divBdr>
                        <w:top w:val="none" w:sz="0" w:space="0" w:color="auto"/>
                        <w:left w:val="none" w:sz="0" w:space="0" w:color="auto"/>
                        <w:bottom w:val="none" w:sz="0" w:space="0" w:color="auto"/>
                        <w:right w:val="none" w:sz="0" w:space="0" w:color="auto"/>
                      </w:divBdr>
                    </w:div>
                  </w:divsChild>
                </w:div>
                <w:div w:id="936404024">
                  <w:marLeft w:val="0"/>
                  <w:marRight w:val="0"/>
                  <w:marTop w:val="0"/>
                  <w:marBottom w:val="0"/>
                  <w:divBdr>
                    <w:top w:val="none" w:sz="0" w:space="0" w:color="auto"/>
                    <w:left w:val="none" w:sz="0" w:space="0" w:color="auto"/>
                    <w:bottom w:val="none" w:sz="0" w:space="0" w:color="auto"/>
                    <w:right w:val="none" w:sz="0" w:space="0" w:color="auto"/>
                  </w:divBdr>
                  <w:divsChild>
                    <w:div w:id="1406225815">
                      <w:marLeft w:val="0"/>
                      <w:marRight w:val="0"/>
                      <w:marTop w:val="0"/>
                      <w:marBottom w:val="0"/>
                      <w:divBdr>
                        <w:top w:val="none" w:sz="0" w:space="0" w:color="auto"/>
                        <w:left w:val="none" w:sz="0" w:space="0" w:color="auto"/>
                        <w:bottom w:val="none" w:sz="0" w:space="0" w:color="auto"/>
                        <w:right w:val="none" w:sz="0" w:space="0" w:color="auto"/>
                      </w:divBdr>
                    </w:div>
                  </w:divsChild>
                </w:div>
                <w:div w:id="1840806214">
                  <w:marLeft w:val="0"/>
                  <w:marRight w:val="0"/>
                  <w:marTop w:val="0"/>
                  <w:marBottom w:val="0"/>
                  <w:divBdr>
                    <w:top w:val="none" w:sz="0" w:space="0" w:color="auto"/>
                    <w:left w:val="none" w:sz="0" w:space="0" w:color="auto"/>
                    <w:bottom w:val="none" w:sz="0" w:space="0" w:color="auto"/>
                    <w:right w:val="none" w:sz="0" w:space="0" w:color="auto"/>
                  </w:divBdr>
                  <w:divsChild>
                    <w:div w:id="1505516059">
                      <w:marLeft w:val="0"/>
                      <w:marRight w:val="0"/>
                      <w:marTop w:val="0"/>
                      <w:marBottom w:val="0"/>
                      <w:divBdr>
                        <w:top w:val="none" w:sz="0" w:space="0" w:color="auto"/>
                        <w:left w:val="none" w:sz="0" w:space="0" w:color="auto"/>
                        <w:bottom w:val="none" w:sz="0" w:space="0" w:color="auto"/>
                        <w:right w:val="none" w:sz="0" w:space="0" w:color="auto"/>
                      </w:divBdr>
                    </w:div>
                  </w:divsChild>
                </w:div>
                <w:div w:id="2052681542">
                  <w:marLeft w:val="0"/>
                  <w:marRight w:val="0"/>
                  <w:marTop w:val="0"/>
                  <w:marBottom w:val="0"/>
                  <w:divBdr>
                    <w:top w:val="none" w:sz="0" w:space="0" w:color="auto"/>
                    <w:left w:val="none" w:sz="0" w:space="0" w:color="auto"/>
                    <w:bottom w:val="none" w:sz="0" w:space="0" w:color="auto"/>
                    <w:right w:val="none" w:sz="0" w:space="0" w:color="auto"/>
                  </w:divBdr>
                  <w:divsChild>
                    <w:div w:id="407189297">
                      <w:marLeft w:val="0"/>
                      <w:marRight w:val="0"/>
                      <w:marTop w:val="0"/>
                      <w:marBottom w:val="0"/>
                      <w:divBdr>
                        <w:top w:val="none" w:sz="0" w:space="0" w:color="auto"/>
                        <w:left w:val="none" w:sz="0" w:space="0" w:color="auto"/>
                        <w:bottom w:val="none" w:sz="0" w:space="0" w:color="auto"/>
                        <w:right w:val="none" w:sz="0" w:space="0" w:color="auto"/>
                      </w:divBdr>
                    </w:div>
                  </w:divsChild>
                </w:div>
                <w:div w:id="869805088">
                  <w:marLeft w:val="0"/>
                  <w:marRight w:val="0"/>
                  <w:marTop w:val="0"/>
                  <w:marBottom w:val="0"/>
                  <w:divBdr>
                    <w:top w:val="none" w:sz="0" w:space="0" w:color="auto"/>
                    <w:left w:val="none" w:sz="0" w:space="0" w:color="auto"/>
                    <w:bottom w:val="none" w:sz="0" w:space="0" w:color="auto"/>
                    <w:right w:val="none" w:sz="0" w:space="0" w:color="auto"/>
                  </w:divBdr>
                  <w:divsChild>
                    <w:div w:id="173230016">
                      <w:marLeft w:val="0"/>
                      <w:marRight w:val="0"/>
                      <w:marTop w:val="0"/>
                      <w:marBottom w:val="0"/>
                      <w:divBdr>
                        <w:top w:val="none" w:sz="0" w:space="0" w:color="auto"/>
                        <w:left w:val="none" w:sz="0" w:space="0" w:color="auto"/>
                        <w:bottom w:val="none" w:sz="0" w:space="0" w:color="auto"/>
                        <w:right w:val="none" w:sz="0" w:space="0" w:color="auto"/>
                      </w:divBdr>
                    </w:div>
                  </w:divsChild>
                </w:div>
                <w:div w:id="307706363">
                  <w:marLeft w:val="0"/>
                  <w:marRight w:val="0"/>
                  <w:marTop w:val="0"/>
                  <w:marBottom w:val="0"/>
                  <w:divBdr>
                    <w:top w:val="none" w:sz="0" w:space="0" w:color="auto"/>
                    <w:left w:val="none" w:sz="0" w:space="0" w:color="auto"/>
                    <w:bottom w:val="none" w:sz="0" w:space="0" w:color="auto"/>
                    <w:right w:val="none" w:sz="0" w:space="0" w:color="auto"/>
                  </w:divBdr>
                  <w:divsChild>
                    <w:div w:id="1785228179">
                      <w:marLeft w:val="0"/>
                      <w:marRight w:val="0"/>
                      <w:marTop w:val="0"/>
                      <w:marBottom w:val="0"/>
                      <w:divBdr>
                        <w:top w:val="none" w:sz="0" w:space="0" w:color="auto"/>
                        <w:left w:val="none" w:sz="0" w:space="0" w:color="auto"/>
                        <w:bottom w:val="none" w:sz="0" w:space="0" w:color="auto"/>
                        <w:right w:val="none" w:sz="0" w:space="0" w:color="auto"/>
                      </w:divBdr>
                    </w:div>
                  </w:divsChild>
                </w:div>
                <w:div w:id="530655502">
                  <w:marLeft w:val="0"/>
                  <w:marRight w:val="0"/>
                  <w:marTop w:val="0"/>
                  <w:marBottom w:val="0"/>
                  <w:divBdr>
                    <w:top w:val="none" w:sz="0" w:space="0" w:color="auto"/>
                    <w:left w:val="none" w:sz="0" w:space="0" w:color="auto"/>
                    <w:bottom w:val="none" w:sz="0" w:space="0" w:color="auto"/>
                    <w:right w:val="none" w:sz="0" w:space="0" w:color="auto"/>
                  </w:divBdr>
                  <w:divsChild>
                    <w:div w:id="1511287693">
                      <w:marLeft w:val="0"/>
                      <w:marRight w:val="0"/>
                      <w:marTop w:val="0"/>
                      <w:marBottom w:val="0"/>
                      <w:divBdr>
                        <w:top w:val="none" w:sz="0" w:space="0" w:color="auto"/>
                        <w:left w:val="none" w:sz="0" w:space="0" w:color="auto"/>
                        <w:bottom w:val="none" w:sz="0" w:space="0" w:color="auto"/>
                        <w:right w:val="none" w:sz="0" w:space="0" w:color="auto"/>
                      </w:divBdr>
                    </w:div>
                  </w:divsChild>
                </w:div>
                <w:div w:id="1555118239">
                  <w:marLeft w:val="0"/>
                  <w:marRight w:val="0"/>
                  <w:marTop w:val="0"/>
                  <w:marBottom w:val="0"/>
                  <w:divBdr>
                    <w:top w:val="none" w:sz="0" w:space="0" w:color="auto"/>
                    <w:left w:val="none" w:sz="0" w:space="0" w:color="auto"/>
                    <w:bottom w:val="none" w:sz="0" w:space="0" w:color="auto"/>
                    <w:right w:val="none" w:sz="0" w:space="0" w:color="auto"/>
                  </w:divBdr>
                  <w:divsChild>
                    <w:div w:id="158077599">
                      <w:marLeft w:val="0"/>
                      <w:marRight w:val="0"/>
                      <w:marTop w:val="0"/>
                      <w:marBottom w:val="0"/>
                      <w:divBdr>
                        <w:top w:val="none" w:sz="0" w:space="0" w:color="auto"/>
                        <w:left w:val="none" w:sz="0" w:space="0" w:color="auto"/>
                        <w:bottom w:val="none" w:sz="0" w:space="0" w:color="auto"/>
                        <w:right w:val="none" w:sz="0" w:space="0" w:color="auto"/>
                      </w:divBdr>
                    </w:div>
                  </w:divsChild>
                </w:div>
                <w:div w:id="411973198">
                  <w:marLeft w:val="0"/>
                  <w:marRight w:val="0"/>
                  <w:marTop w:val="0"/>
                  <w:marBottom w:val="0"/>
                  <w:divBdr>
                    <w:top w:val="none" w:sz="0" w:space="0" w:color="auto"/>
                    <w:left w:val="none" w:sz="0" w:space="0" w:color="auto"/>
                    <w:bottom w:val="none" w:sz="0" w:space="0" w:color="auto"/>
                    <w:right w:val="none" w:sz="0" w:space="0" w:color="auto"/>
                  </w:divBdr>
                  <w:divsChild>
                    <w:div w:id="1176069791">
                      <w:marLeft w:val="0"/>
                      <w:marRight w:val="0"/>
                      <w:marTop w:val="0"/>
                      <w:marBottom w:val="0"/>
                      <w:divBdr>
                        <w:top w:val="none" w:sz="0" w:space="0" w:color="auto"/>
                        <w:left w:val="none" w:sz="0" w:space="0" w:color="auto"/>
                        <w:bottom w:val="none" w:sz="0" w:space="0" w:color="auto"/>
                        <w:right w:val="none" w:sz="0" w:space="0" w:color="auto"/>
                      </w:divBdr>
                    </w:div>
                  </w:divsChild>
                </w:div>
                <w:div w:id="910623078">
                  <w:marLeft w:val="0"/>
                  <w:marRight w:val="0"/>
                  <w:marTop w:val="0"/>
                  <w:marBottom w:val="0"/>
                  <w:divBdr>
                    <w:top w:val="none" w:sz="0" w:space="0" w:color="auto"/>
                    <w:left w:val="none" w:sz="0" w:space="0" w:color="auto"/>
                    <w:bottom w:val="none" w:sz="0" w:space="0" w:color="auto"/>
                    <w:right w:val="none" w:sz="0" w:space="0" w:color="auto"/>
                  </w:divBdr>
                  <w:divsChild>
                    <w:div w:id="1590655633">
                      <w:marLeft w:val="0"/>
                      <w:marRight w:val="0"/>
                      <w:marTop w:val="0"/>
                      <w:marBottom w:val="0"/>
                      <w:divBdr>
                        <w:top w:val="none" w:sz="0" w:space="0" w:color="auto"/>
                        <w:left w:val="none" w:sz="0" w:space="0" w:color="auto"/>
                        <w:bottom w:val="none" w:sz="0" w:space="0" w:color="auto"/>
                        <w:right w:val="none" w:sz="0" w:space="0" w:color="auto"/>
                      </w:divBdr>
                    </w:div>
                  </w:divsChild>
                </w:div>
                <w:div w:id="400913126">
                  <w:marLeft w:val="0"/>
                  <w:marRight w:val="0"/>
                  <w:marTop w:val="0"/>
                  <w:marBottom w:val="0"/>
                  <w:divBdr>
                    <w:top w:val="none" w:sz="0" w:space="0" w:color="auto"/>
                    <w:left w:val="none" w:sz="0" w:space="0" w:color="auto"/>
                    <w:bottom w:val="none" w:sz="0" w:space="0" w:color="auto"/>
                    <w:right w:val="none" w:sz="0" w:space="0" w:color="auto"/>
                  </w:divBdr>
                  <w:divsChild>
                    <w:div w:id="777407244">
                      <w:marLeft w:val="0"/>
                      <w:marRight w:val="0"/>
                      <w:marTop w:val="0"/>
                      <w:marBottom w:val="0"/>
                      <w:divBdr>
                        <w:top w:val="none" w:sz="0" w:space="0" w:color="auto"/>
                        <w:left w:val="none" w:sz="0" w:space="0" w:color="auto"/>
                        <w:bottom w:val="none" w:sz="0" w:space="0" w:color="auto"/>
                        <w:right w:val="none" w:sz="0" w:space="0" w:color="auto"/>
                      </w:divBdr>
                    </w:div>
                  </w:divsChild>
                </w:div>
                <w:div w:id="1091463264">
                  <w:marLeft w:val="0"/>
                  <w:marRight w:val="0"/>
                  <w:marTop w:val="0"/>
                  <w:marBottom w:val="0"/>
                  <w:divBdr>
                    <w:top w:val="none" w:sz="0" w:space="0" w:color="auto"/>
                    <w:left w:val="none" w:sz="0" w:space="0" w:color="auto"/>
                    <w:bottom w:val="none" w:sz="0" w:space="0" w:color="auto"/>
                    <w:right w:val="none" w:sz="0" w:space="0" w:color="auto"/>
                  </w:divBdr>
                  <w:divsChild>
                    <w:div w:id="29694876">
                      <w:marLeft w:val="0"/>
                      <w:marRight w:val="0"/>
                      <w:marTop w:val="0"/>
                      <w:marBottom w:val="0"/>
                      <w:divBdr>
                        <w:top w:val="none" w:sz="0" w:space="0" w:color="auto"/>
                        <w:left w:val="none" w:sz="0" w:space="0" w:color="auto"/>
                        <w:bottom w:val="none" w:sz="0" w:space="0" w:color="auto"/>
                        <w:right w:val="none" w:sz="0" w:space="0" w:color="auto"/>
                      </w:divBdr>
                    </w:div>
                  </w:divsChild>
                </w:div>
                <w:div w:id="996496386">
                  <w:marLeft w:val="0"/>
                  <w:marRight w:val="0"/>
                  <w:marTop w:val="0"/>
                  <w:marBottom w:val="0"/>
                  <w:divBdr>
                    <w:top w:val="none" w:sz="0" w:space="0" w:color="auto"/>
                    <w:left w:val="none" w:sz="0" w:space="0" w:color="auto"/>
                    <w:bottom w:val="none" w:sz="0" w:space="0" w:color="auto"/>
                    <w:right w:val="none" w:sz="0" w:space="0" w:color="auto"/>
                  </w:divBdr>
                  <w:divsChild>
                    <w:div w:id="1089888091">
                      <w:marLeft w:val="0"/>
                      <w:marRight w:val="0"/>
                      <w:marTop w:val="0"/>
                      <w:marBottom w:val="0"/>
                      <w:divBdr>
                        <w:top w:val="none" w:sz="0" w:space="0" w:color="auto"/>
                        <w:left w:val="none" w:sz="0" w:space="0" w:color="auto"/>
                        <w:bottom w:val="none" w:sz="0" w:space="0" w:color="auto"/>
                        <w:right w:val="none" w:sz="0" w:space="0" w:color="auto"/>
                      </w:divBdr>
                    </w:div>
                  </w:divsChild>
                </w:div>
                <w:div w:id="2145349684">
                  <w:marLeft w:val="0"/>
                  <w:marRight w:val="0"/>
                  <w:marTop w:val="0"/>
                  <w:marBottom w:val="0"/>
                  <w:divBdr>
                    <w:top w:val="none" w:sz="0" w:space="0" w:color="auto"/>
                    <w:left w:val="none" w:sz="0" w:space="0" w:color="auto"/>
                    <w:bottom w:val="none" w:sz="0" w:space="0" w:color="auto"/>
                    <w:right w:val="none" w:sz="0" w:space="0" w:color="auto"/>
                  </w:divBdr>
                  <w:divsChild>
                    <w:div w:id="17935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934422">
          <w:marLeft w:val="0"/>
          <w:marRight w:val="0"/>
          <w:marTop w:val="0"/>
          <w:marBottom w:val="0"/>
          <w:divBdr>
            <w:top w:val="none" w:sz="0" w:space="0" w:color="auto"/>
            <w:left w:val="none" w:sz="0" w:space="0" w:color="auto"/>
            <w:bottom w:val="none" w:sz="0" w:space="0" w:color="auto"/>
            <w:right w:val="none" w:sz="0" w:space="0" w:color="auto"/>
          </w:divBdr>
        </w:div>
        <w:div w:id="1257135348">
          <w:marLeft w:val="0"/>
          <w:marRight w:val="0"/>
          <w:marTop w:val="0"/>
          <w:marBottom w:val="0"/>
          <w:divBdr>
            <w:top w:val="none" w:sz="0" w:space="0" w:color="auto"/>
            <w:left w:val="none" w:sz="0" w:space="0" w:color="auto"/>
            <w:bottom w:val="none" w:sz="0" w:space="0" w:color="auto"/>
            <w:right w:val="none" w:sz="0" w:space="0" w:color="auto"/>
          </w:divBdr>
        </w:div>
        <w:div w:id="628632118">
          <w:marLeft w:val="0"/>
          <w:marRight w:val="0"/>
          <w:marTop w:val="0"/>
          <w:marBottom w:val="0"/>
          <w:divBdr>
            <w:top w:val="none" w:sz="0" w:space="0" w:color="auto"/>
            <w:left w:val="none" w:sz="0" w:space="0" w:color="auto"/>
            <w:bottom w:val="none" w:sz="0" w:space="0" w:color="auto"/>
            <w:right w:val="none" w:sz="0" w:space="0" w:color="auto"/>
          </w:divBdr>
        </w:div>
        <w:div w:id="1537235493">
          <w:marLeft w:val="0"/>
          <w:marRight w:val="0"/>
          <w:marTop w:val="0"/>
          <w:marBottom w:val="0"/>
          <w:divBdr>
            <w:top w:val="none" w:sz="0" w:space="0" w:color="auto"/>
            <w:left w:val="none" w:sz="0" w:space="0" w:color="auto"/>
            <w:bottom w:val="none" w:sz="0" w:space="0" w:color="auto"/>
            <w:right w:val="none" w:sz="0" w:space="0" w:color="auto"/>
          </w:divBdr>
        </w:div>
        <w:div w:id="1591239095">
          <w:marLeft w:val="0"/>
          <w:marRight w:val="0"/>
          <w:marTop w:val="0"/>
          <w:marBottom w:val="0"/>
          <w:divBdr>
            <w:top w:val="none" w:sz="0" w:space="0" w:color="auto"/>
            <w:left w:val="none" w:sz="0" w:space="0" w:color="auto"/>
            <w:bottom w:val="none" w:sz="0" w:space="0" w:color="auto"/>
            <w:right w:val="none" w:sz="0" w:space="0" w:color="auto"/>
          </w:divBdr>
        </w:div>
        <w:div w:id="1498038022">
          <w:marLeft w:val="0"/>
          <w:marRight w:val="0"/>
          <w:marTop w:val="0"/>
          <w:marBottom w:val="0"/>
          <w:divBdr>
            <w:top w:val="none" w:sz="0" w:space="0" w:color="auto"/>
            <w:left w:val="none" w:sz="0" w:space="0" w:color="auto"/>
            <w:bottom w:val="none" w:sz="0" w:space="0" w:color="auto"/>
            <w:right w:val="none" w:sz="0" w:space="0" w:color="auto"/>
          </w:divBdr>
        </w:div>
        <w:div w:id="545873919">
          <w:marLeft w:val="0"/>
          <w:marRight w:val="0"/>
          <w:marTop w:val="0"/>
          <w:marBottom w:val="0"/>
          <w:divBdr>
            <w:top w:val="none" w:sz="0" w:space="0" w:color="auto"/>
            <w:left w:val="none" w:sz="0" w:space="0" w:color="auto"/>
            <w:bottom w:val="none" w:sz="0" w:space="0" w:color="auto"/>
            <w:right w:val="none" w:sz="0" w:space="0" w:color="auto"/>
          </w:divBdr>
          <w:divsChild>
            <w:div w:id="516847612">
              <w:marLeft w:val="-75"/>
              <w:marRight w:val="0"/>
              <w:marTop w:val="30"/>
              <w:marBottom w:val="30"/>
              <w:divBdr>
                <w:top w:val="none" w:sz="0" w:space="0" w:color="auto"/>
                <w:left w:val="none" w:sz="0" w:space="0" w:color="auto"/>
                <w:bottom w:val="none" w:sz="0" w:space="0" w:color="auto"/>
                <w:right w:val="none" w:sz="0" w:space="0" w:color="auto"/>
              </w:divBdr>
              <w:divsChild>
                <w:div w:id="1067537890">
                  <w:marLeft w:val="0"/>
                  <w:marRight w:val="0"/>
                  <w:marTop w:val="0"/>
                  <w:marBottom w:val="0"/>
                  <w:divBdr>
                    <w:top w:val="none" w:sz="0" w:space="0" w:color="auto"/>
                    <w:left w:val="none" w:sz="0" w:space="0" w:color="auto"/>
                    <w:bottom w:val="none" w:sz="0" w:space="0" w:color="auto"/>
                    <w:right w:val="none" w:sz="0" w:space="0" w:color="auto"/>
                  </w:divBdr>
                  <w:divsChild>
                    <w:div w:id="1858621330">
                      <w:marLeft w:val="0"/>
                      <w:marRight w:val="0"/>
                      <w:marTop w:val="0"/>
                      <w:marBottom w:val="0"/>
                      <w:divBdr>
                        <w:top w:val="none" w:sz="0" w:space="0" w:color="auto"/>
                        <w:left w:val="none" w:sz="0" w:space="0" w:color="auto"/>
                        <w:bottom w:val="none" w:sz="0" w:space="0" w:color="auto"/>
                        <w:right w:val="none" w:sz="0" w:space="0" w:color="auto"/>
                      </w:divBdr>
                    </w:div>
                  </w:divsChild>
                </w:div>
                <w:div w:id="1613633720">
                  <w:marLeft w:val="0"/>
                  <w:marRight w:val="0"/>
                  <w:marTop w:val="0"/>
                  <w:marBottom w:val="0"/>
                  <w:divBdr>
                    <w:top w:val="none" w:sz="0" w:space="0" w:color="auto"/>
                    <w:left w:val="none" w:sz="0" w:space="0" w:color="auto"/>
                    <w:bottom w:val="none" w:sz="0" w:space="0" w:color="auto"/>
                    <w:right w:val="none" w:sz="0" w:space="0" w:color="auto"/>
                  </w:divBdr>
                  <w:divsChild>
                    <w:div w:id="1357196363">
                      <w:marLeft w:val="0"/>
                      <w:marRight w:val="0"/>
                      <w:marTop w:val="0"/>
                      <w:marBottom w:val="0"/>
                      <w:divBdr>
                        <w:top w:val="none" w:sz="0" w:space="0" w:color="auto"/>
                        <w:left w:val="none" w:sz="0" w:space="0" w:color="auto"/>
                        <w:bottom w:val="none" w:sz="0" w:space="0" w:color="auto"/>
                        <w:right w:val="none" w:sz="0" w:space="0" w:color="auto"/>
                      </w:divBdr>
                    </w:div>
                  </w:divsChild>
                </w:div>
                <w:div w:id="1724711622">
                  <w:marLeft w:val="0"/>
                  <w:marRight w:val="0"/>
                  <w:marTop w:val="0"/>
                  <w:marBottom w:val="0"/>
                  <w:divBdr>
                    <w:top w:val="none" w:sz="0" w:space="0" w:color="auto"/>
                    <w:left w:val="none" w:sz="0" w:space="0" w:color="auto"/>
                    <w:bottom w:val="none" w:sz="0" w:space="0" w:color="auto"/>
                    <w:right w:val="none" w:sz="0" w:space="0" w:color="auto"/>
                  </w:divBdr>
                  <w:divsChild>
                    <w:div w:id="1434399660">
                      <w:marLeft w:val="0"/>
                      <w:marRight w:val="0"/>
                      <w:marTop w:val="0"/>
                      <w:marBottom w:val="0"/>
                      <w:divBdr>
                        <w:top w:val="none" w:sz="0" w:space="0" w:color="auto"/>
                        <w:left w:val="none" w:sz="0" w:space="0" w:color="auto"/>
                        <w:bottom w:val="none" w:sz="0" w:space="0" w:color="auto"/>
                        <w:right w:val="none" w:sz="0" w:space="0" w:color="auto"/>
                      </w:divBdr>
                    </w:div>
                  </w:divsChild>
                </w:div>
                <w:div w:id="785271377">
                  <w:marLeft w:val="0"/>
                  <w:marRight w:val="0"/>
                  <w:marTop w:val="0"/>
                  <w:marBottom w:val="0"/>
                  <w:divBdr>
                    <w:top w:val="none" w:sz="0" w:space="0" w:color="auto"/>
                    <w:left w:val="none" w:sz="0" w:space="0" w:color="auto"/>
                    <w:bottom w:val="none" w:sz="0" w:space="0" w:color="auto"/>
                    <w:right w:val="none" w:sz="0" w:space="0" w:color="auto"/>
                  </w:divBdr>
                  <w:divsChild>
                    <w:div w:id="2137404087">
                      <w:marLeft w:val="0"/>
                      <w:marRight w:val="0"/>
                      <w:marTop w:val="0"/>
                      <w:marBottom w:val="0"/>
                      <w:divBdr>
                        <w:top w:val="none" w:sz="0" w:space="0" w:color="auto"/>
                        <w:left w:val="none" w:sz="0" w:space="0" w:color="auto"/>
                        <w:bottom w:val="none" w:sz="0" w:space="0" w:color="auto"/>
                        <w:right w:val="none" w:sz="0" w:space="0" w:color="auto"/>
                      </w:divBdr>
                    </w:div>
                  </w:divsChild>
                </w:div>
                <w:div w:id="1562135465">
                  <w:marLeft w:val="0"/>
                  <w:marRight w:val="0"/>
                  <w:marTop w:val="0"/>
                  <w:marBottom w:val="0"/>
                  <w:divBdr>
                    <w:top w:val="none" w:sz="0" w:space="0" w:color="auto"/>
                    <w:left w:val="none" w:sz="0" w:space="0" w:color="auto"/>
                    <w:bottom w:val="none" w:sz="0" w:space="0" w:color="auto"/>
                    <w:right w:val="none" w:sz="0" w:space="0" w:color="auto"/>
                  </w:divBdr>
                  <w:divsChild>
                    <w:div w:id="331563916">
                      <w:marLeft w:val="0"/>
                      <w:marRight w:val="0"/>
                      <w:marTop w:val="0"/>
                      <w:marBottom w:val="0"/>
                      <w:divBdr>
                        <w:top w:val="none" w:sz="0" w:space="0" w:color="auto"/>
                        <w:left w:val="none" w:sz="0" w:space="0" w:color="auto"/>
                        <w:bottom w:val="none" w:sz="0" w:space="0" w:color="auto"/>
                        <w:right w:val="none" w:sz="0" w:space="0" w:color="auto"/>
                      </w:divBdr>
                    </w:div>
                  </w:divsChild>
                </w:div>
                <w:div w:id="889541125">
                  <w:marLeft w:val="0"/>
                  <w:marRight w:val="0"/>
                  <w:marTop w:val="0"/>
                  <w:marBottom w:val="0"/>
                  <w:divBdr>
                    <w:top w:val="none" w:sz="0" w:space="0" w:color="auto"/>
                    <w:left w:val="none" w:sz="0" w:space="0" w:color="auto"/>
                    <w:bottom w:val="none" w:sz="0" w:space="0" w:color="auto"/>
                    <w:right w:val="none" w:sz="0" w:space="0" w:color="auto"/>
                  </w:divBdr>
                  <w:divsChild>
                    <w:div w:id="672147970">
                      <w:marLeft w:val="0"/>
                      <w:marRight w:val="0"/>
                      <w:marTop w:val="0"/>
                      <w:marBottom w:val="0"/>
                      <w:divBdr>
                        <w:top w:val="none" w:sz="0" w:space="0" w:color="auto"/>
                        <w:left w:val="none" w:sz="0" w:space="0" w:color="auto"/>
                        <w:bottom w:val="none" w:sz="0" w:space="0" w:color="auto"/>
                        <w:right w:val="none" w:sz="0" w:space="0" w:color="auto"/>
                      </w:divBdr>
                    </w:div>
                  </w:divsChild>
                </w:div>
                <w:div w:id="2105959537">
                  <w:marLeft w:val="0"/>
                  <w:marRight w:val="0"/>
                  <w:marTop w:val="0"/>
                  <w:marBottom w:val="0"/>
                  <w:divBdr>
                    <w:top w:val="none" w:sz="0" w:space="0" w:color="auto"/>
                    <w:left w:val="none" w:sz="0" w:space="0" w:color="auto"/>
                    <w:bottom w:val="none" w:sz="0" w:space="0" w:color="auto"/>
                    <w:right w:val="none" w:sz="0" w:space="0" w:color="auto"/>
                  </w:divBdr>
                  <w:divsChild>
                    <w:div w:id="787087677">
                      <w:marLeft w:val="0"/>
                      <w:marRight w:val="0"/>
                      <w:marTop w:val="0"/>
                      <w:marBottom w:val="0"/>
                      <w:divBdr>
                        <w:top w:val="none" w:sz="0" w:space="0" w:color="auto"/>
                        <w:left w:val="none" w:sz="0" w:space="0" w:color="auto"/>
                        <w:bottom w:val="none" w:sz="0" w:space="0" w:color="auto"/>
                        <w:right w:val="none" w:sz="0" w:space="0" w:color="auto"/>
                      </w:divBdr>
                    </w:div>
                  </w:divsChild>
                </w:div>
                <w:div w:id="1381515009">
                  <w:marLeft w:val="0"/>
                  <w:marRight w:val="0"/>
                  <w:marTop w:val="0"/>
                  <w:marBottom w:val="0"/>
                  <w:divBdr>
                    <w:top w:val="none" w:sz="0" w:space="0" w:color="auto"/>
                    <w:left w:val="none" w:sz="0" w:space="0" w:color="auto"/>
                    <w:bottom w:val="none" w:sz="0" w:space="0" w:color="auto"/>
                    <w:right w:val="none" w:sz="0" w:space="0" w:color="auto"/>
                  </w:divBdr>
                  <w:divsChild>
                    <w:div w:id="1981416293">
                      <w:marLeft w:val="0"/>
                      <w:marRight w:val="0"/>
                      <w:marTop w:val="0"/>
                      <w:marBottom w:val="0"/>
                      <w:divBdr>
                        <w:top w:val="none" w:sz="0" w:space="0" w:color="auto"/>
                        <w:left w:val="none" w:sz="0" w:space="0" w:color="auto"/>
                        <w:bottom w:val="none" w:sz="0" w:space="0" w:color="auto"/>
                        <w:right w:val="none" w:sz="0" w:space="0" w:color="auto"/>
                      </w:divBdr>
                    </w:div>
                  </w:divsChild>
                </w:div>
                <w:div w:id="2137286776">
                  <w:marLeft w:val="0"/>
                  <w:marRight w:val="0"/>
                  <w:marTop w:val="0"/>
                  <w:marBottom w:val="0"/>
                  <w:divBdr>
                    <w:top w:val="none" w:sz="0" w:space="0" w:color="auto"/>
                    <w:left w:val="none" w:sz="0" w:space="0" w:color="auto"/>
                    <w:bottom w:val="none" w:sz="0" w:space="0" w:color="auto"/>
                    <w:right w:val="none" w:sz="0" w:space="0" w:color="auto"/>
                  </w:divBdr>
                  <w:divsChild>
                    <w:div w:id="923034964">
                      <w:marLeft w:val="0"/>
                      <w:marRight w:val="0"/>
                      <w:marTop w:val="0"/>
                      <w:marBottom w:val="0"/>
                      <w:divBdr>
                        <w:top w:val="none" w:sz="0" w:space="0" w:color="auto"/>
                        <w:left w:val="none" w:sz="0" w:space="0" w:color="auto"/>
                        <w:bottom w:val="none" w:sz="0" w:space="0" w:color="auto"/>
                        <w:right w:val="none" w:sz="0" w:space="0" w:color="auto"/>
                      </w:divBdr>
                    </w:div>
                  </w:divsChild>
                </w:div>
                <w:div w:id="776486354">
                  <w:marLeft w:val="0"/>
                  <w:marRight w:val="0"/>
                  <w:marTop w:val="0"/>
                  <w:marBottom w:val="0"/>
                  <w:divBdr>
                    <w:top w:val="none" w:sz="0" w:space="0" w:color="auto"/>
                    <w:left w:val="none" w:sz="0" w:space="0" w:color="auto"/>
                    <w:bottom w:val="none" w:sz="0" w:space="0" w:color="auto"/>
                    <w:right w:val="none" w:sz="0" w:space="0" w:color="auto"/>
                  </w:divBdr>
                  <w:divsChild>
                    <w:div w:id="1536230822">
                      <w:marLeft w:val="0"/>
                      <w:marRight w:val="0"/>
                      <w:marTop w:val="0"/>
                      <w:marBottom w:val="0"/>
                      <w:divBdr>
                        <w:top w:val="none" w:sz="0" w:space="0" w:color="auto"/>
                        <w:left w:val="none" w:sz="0" w:space="0" w:color="auto"/>
                        <w:bottom w:val="none" w:sz="0" w:space="0" w:color="auto"/>
                        <w:right w:val="none" w:sz="0" w:space="0" w:color="auto"/>
                      </w:divBdr>
                    </w:div>
                  </w:divsChild>
                </w:div>
                <w:div w:id="1714428724">
                  <w:marLeft w:val="0"/>
                  <w:marRight w:val="0"/>
                  <w:marTop w:val="0"/>
                  <w:marBottom w:val="0"/>
                  <w:divBdr>
                    <w:top w:val="none" w:sz="0" w:space="0" w:color="auto"/>
                    <w:left w:val="none" w:sz="0" w:space="0" w:color="auto"/>
                    <w:bottom w:val="none" w:sz="0" w:space="0" w:color="auto"/>
                    <w:right w:val="none" w:sz="0" w:space="0" w:color="auto"/>
                  </w:divBdr>
                  <w:divsChild>
                    <w:div w:id="1168986964">
                      <w:marLeft w:val="0"/>
                      <w:marRight w:val="0"/>
                      <w:marTop w:val="0"/>
                      <w:marBottom w:val="0"/>
                      <w:divBdr>
                        <w:top w:val="none" w:sz="0" w:space="0" w:color="auto"/>
                        <w:left w:val="none" w:sz="0" w:space="0" w:color="auto"/>
                        <w:bottom w:val="none" w:sz="0" w:space="0" w:color="auto"/>
                        <w:right w:val="none" w:sz="0" w:space="0" w:color="auto"/>
                      </w:divBdr>
                    </w:div>
                  </w:divsChild>
                </w:div>
                <w:div w:id="42945038">
                  <w:marLeft w:val="0"/>
                  <w:marRight w:val="0"/>
                  <w:marTop w:val="0"/>
                  <w:marBottom w:val="0"/>
                  <w:divBdr>
                    <w:top w:val="none" w:sz="0" w:space="0" w:color="auto"/>
                    <w:left w:val="none" w:sz="0" w:space="0" w:color="auto"/>
                    <w:bottom w:val="none" w:sz="0" w:space="0" w:color="auto"/>
                    <w:right w:val="none" w:sz="0" w:space="0" w:color="auto"/>
                  </w:divBdr>
                  <w:divsChild>
                    <w:div w:id="505678475">
                      <w:marLeft w:val="0"/>
                      <w:marRight w:val="0"/>
                      <w:marTop w:val="0"/>
                      <w:marBottom w:val="0"/>
                      <w:divBdr>
                        <w:top w:val="none" w:sz="0" w:space="0" w:color="auto"/>
                        <w:left w:val="none" w:sz="0" w:space="0" w:color="auto"/>
                        <w:bottom w:val="none" w:sz="0" w:space="0" w:color="auto"/>
                        <w:right w:val="none" w:sz="0" w:space="0" w:color="auto"/>
                      </w:divBdr>
                    </w:div>
                  </w:divsChild>
                </w:div>
                <w:div w:id="1285386629">
                  <w:marLeft w:val="0"/>
                  <w:marRight w:val="0"/>
                  <w:marTop w:val="0"/>
                  <w:marBottom w:val="0"/>
                  <w:divBdr>
                    <w:top w:val="none" w:sz="0" w:space="0" w:color="auto"/>
                    <w:left w:val="none" w:sz="0" w:space="0" w:color="auto"/>
                    <w:bottom w:val="none" w:sz="0" w:space="0" w:color="auto"/>
                    <w:right w:val="none" w:sz="0" w:space="0" w:color="auto"/>
                  </w:divBdr>
                  <w:divsChild>
                    <w:div w:id="171605133">
                      <w:marLeft w:val="0"/>
                      <w:marRight w:val="0"/>
                      <w:marTop w:val="0"/>
                      <w:marBottom w:val="0"/>
                      <w:divBdr>
                        <w:top w:val="none" w:sz="0" w:space="0" w:color="auto"/>
                        <w:left w:val="none" w:sz="0" w:space="0" w:color="auto"/>
                        <w:bottom w:val="none" w:sz="0" w:space="0" w:color="auto"/>
                        <w:right w:val="none" w:sz="0" w:space="0" w:color="auto"/>
                      </w:divBdr>
                    </w:div>
                  </w:divsChild>
                </w:div>
                <w:div w:id="1382705239">
                  <w:marLeft w:val="0"/>
                  <w:marRight w:val="0"/>
                  <w:marTop w:val="0"/>
                  <w:marBottom w:val="0"/>
                  <w:divBdr>
                    <w:top w:val="none" w:sz="0" w:space="0" w:color="auto"/>
                    <w:left w:val="none" w:sz="0" w:space="0" w:color="auto"/>
                    <w:bottom w:val="none" w:sz="0" w:space="0" w:color="auto"/>
                    <w:right w:val="none" w:sz="0" w:space="0" w:color="auto"/>
                  </w:divBdr>
                  <w:divsChild>
                    <w:div w:id="435101310">
                      <w:marLeft w:val="0"/>
                      <w:marRight w:val="0"/>
                      <w:marTop w:val="0"/>
                      <w:marBottom w:val="0"/>
                      <w:divBdr>
                        <w:top w:val="none" w:sz="0" w:space="0" w:color="auto"/>
                        <w:left w:val="none" w:sz="0" w:space="0" w:color="auto"/>
                        <w:bottom w:val="none" w:sz="0" w:space="0" w:color="auto"/>
                        <w:right w:val="none" w:sz="0" w:space="0" w:color="auto"/>
                      </w:divBdr>
                    </w:div>
                  </w:divsChild>
                </w:div>
                <w:div w:id="2002198966">
                  <w:marLeft w:val="0"/>
                  <w:marRight w:val="0"/>
                  <w:marTop w:val="0"/>
                  <w:marBottom w:val="0"/>
                  <w:divBdr>
                    <w:top w:val="none" w:sz="0" w:space="0" w:color="auto"/>
                    <w:left w:val="none" w:sz="0" w:space="0" w:color="auto"/>
                    <w:bottom w:val="none" w:sz="0" w:space="0" w:color="auto"/>
                    <w:right w:val="none" w:sz="0" w:space="0" w:color="auto"/>
                  </w:divBdr>
                  <w:divsChild>
                    <w:div w:id="106199218">
                      <w:marLeft w:val="0"/>
                      <w:marRight w:val="0"/>
                      <w:marTop w:val="0"/>
                      <w:marBottom w:val="0"/>
                      <w:divBdr>
                        <w:top w:val="none" w:sz="0" w:space="0" w:color="auto"/>
                        <w:left w:val="none" w:sz="0" w:space="0" w:color="auto"/>
                        <w:bottom w:val="none" w:sz="0" w:space="0" w:color="auto"/>
                        <w:right w:val="none" w:sz="0" w:space="0" w:color="auto"/>
                      </w:divBdr>
                    </w:div>
                  </w:divsChild>
                </w:div>
                <w:div w:id="856429330">
                  <w:marLeft w:val="0"/>
                  <w:marRight w:val="0"/>
                  <w:marTop w:val="0"/>
                  <w:marBottom w:val="0"/>
                  <w:divBdr>
                    <w:top w:val="none" w:sz="0" w:space="0" w:color="auto"/>
                    <w:left w:val="none" w:sz="0" w:space="0" w:color="auto"/>
                    <w:bottom w:val="none" w:sz="0" w:space="0" w:color="auto"/>
                    <w:right w:val="none" w:sz="0" w:space="0" w:color="auto"/>
                  </w:divBdr>
                  <w:divsChild>
                    <w:div w:id="1545675816">
                      <w:marLeft w:val="0"/>
                      <w:marRight w:val="0"/>
                      <w:marTop w:val="0"/>
                      <w:marBottom w:val="0"/>
                      <w:divBdr>
                        <w:top w:val="none" w:sz="0" w:space="0" w:color="auto"/>
                        <w:left w:val="none" w:sz="0" w:space="0" w:color="auto"/>
                        <w:bottom w:val="none" w:sz="0" w:space="0" w:color="auto"/>
                        <w:right w:val="none" w:sz="0" w:space="0" w:color="auto"/>
                      </w:divBdr>
                    </w:div>
                  </w:divsChild>
                </w:div>
                <w:div w:id="970012603">
                  <w:marLeft w:val="0"/>
                  <w:marRight w:val="0"/>
                  <w:marTop w:val="0"/>
                  <w:marBottom w:val="0"/>
                  <w:divBdr>
                    <w:top w:val="none" w:sz="0" w:space="0" w:color="auto"/>
                    <w:left w:val="none" w:sz="0" w:space="0" w:color="auto"/>
                    <w:bottom w:val="none" w:sz="0" w:space="0" w:color="auto"/>
                    <w:right w:val="none" w:sz="0" w:space="0" w:color="auto"/>
                  </w:divBdr>
                  <w:divsChild>
                    <w:div w:id="590163786">
                      <w:marLeft w:val="0"/>
                      <w:marRight w:val="0"/>
                      <w:marTop w:val="0"/>
                      <w:marBottom w:val="0"/>
                      <w:divBdr>
                        <w:top w:val="none" w:sz="0" w:space="0" w:color="auto"/>
                        <w:left w:val="none" w:sz="0" w:space="0" w:color="auto"/>
                        <w:bottom w:val="none" w:sz="0" w:space="0" w:color="auto"/>
                        <w:right w:val="none" w:sz="0" w:space="0" w:color="auto"/>
                      </w:divBdr>
                    </w:div>
                  </w:divsChild>
                </w:div>
                <w:div w:id="203325256">
                  <w:marLeft w:val="0"/>
                  <w:marRight w:val="0"/>
                  <w:marTop w:val="0"/>
                  <w:marBottom w:val="0"/>
                  <w:divBdr>
                    <w:top w:val="none" w:sz="0" w:space="0" w:color="auto"/>
                    <w:left w:val="none" w:sz="0" w:space="0" w:color="auto"/>
                    <w:bottom w:val="none" w:sz="0" w:space="0" w:color="auto"/>
                    <w:right w:val="none" w:sz="0" w:space="0" w:color="auto"/>
                  </w:divBdr>
                  <w:divsChild>
                    <w:div w:id="190728654">
                      <w:marLeft w:val="0"/>
                      <w:marRight w:val="0"/>
                      <w:marTop w:val="0"/>
                      <w:marBottom w:val="0"/>
                      <w:divBdr>
                        <w:top w:val="none" w:sz="0" w:space="0" w:color="auto"/>
                        <w:left w:val="none" w:sz="0" w:space="0" w:color="auto"/>
                        <w:bottom w:val="none" w:sz="0" w:space="0" w:color="auto"/>
                        <w:right w:val="none" w:sz="0" w:space="0" w:color="auto"/>
                      </w:divBdr>
                    </w:div>
                  </w:divsChild>
                </w:div>
                <w:div w:id="1787042087">
                  <w:marLeft w:val="0"/>
                  <w:marRight w:val="0"/>
                  <w:marTop w:val="0"/>
                  <w:marBottom w:val="0"/>
                  <w:divBdr>
                    <w:top w:val="none" w:sz="0" w:space="0" w:color="auto"/>
                    <w:left w:val="none" w:sz="0" w:space="0" w:color="auto"/>
                    <w:bottom w:val="none" w:sz="0" w:space="0" w:color="auto"/>
                    <w:right w:val="none" w:sz="0" w:space="0" w:color="auto"/>
                  </w:divBdr>
                  <w:divsChild>
                    <w:div w:id="457450364">
                      <w:marLeft w:val="0"/>
                      <w:marRight w:val="0"/>
                      <w:marTop w:val="0"/>
                      <w:marBottom w:val="0"/>
                      <w:divBdr>
                        <w:top w:val="none" w:sz="0" w:space="0" w:color="auto"/>
                        <w:left w:val="none" w:sz="0" w:space="0" w:color="auto"/>
                        <w:bottom w:val="none" w:sz="0" w:space="0" w:color="auto"/>
                        <w:right w:val="none" w:sz="0" w:space="0" w:color="auto"/>
                      </w:divBdr>
                    </w:div>
                  </w:divsChild>
                </w:div>
                <w:div w:id="257296433">
                  <w:marLeft w:val="0"/>
                  <w:marRight w:val="0"/>
                  <w:marTop w:val="0"/>
                  <w:marBottom w:val="0"/>
                  <w:divBdr>
                    <w:top w:val="none" w:sz="0" w:space="0" w:color="auto"/>
                    <w:left w:val="none" w:sz="0" w:space="0" w:color="auto"/>
                    <w:bottom w:val="none" w:sz="0" w:space="0" w:color="auto"/>
                    <w:right w:val="none" w:sz="0" w:space="0" w:color="auto"/>
                  </w:divBdr>
                  <w:divsChild>
                    <w:div w:id="2316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7094">
          <w:marLeft w:val="0"/>
          <w:marRight w:val="0"/>
          <w:marTop w:val="0"/>
          <w:marBottom w:val="0"/>
          <w:divBdr>
            <w:top w:val="none" w:sz="0" w:space="0" w:color="auto"/>
            <w:left w:val="none" w:sz="0" w:space="0" w:color="auto"/>
            <w:bottom w:val="none" w:sz="0" w:space="0" w:color="auto"/>
            <w:right w:val="none" w:sz="0" w:space="0" w:color="auto"/>
          </w:divBdr>
        </w:div>
        <w:div w:id="1528299936">
          <w:marLeft w:val="0"/>
          <w:marRight w:val="0"/>
          <w:marTop w:val="0"/>
          <w:marBottom w:val="0"/>
          <w:divBdr>
            <w:top w:val="none" w:sz="0" w:space="0" w:color="auto"/>
            <w:left w:val="none" w:sz="0" w:space="0" w:color="auto"/>
            <w:bottom w:val="none" w:sz="0" w:space="0" w:color="auto"/>
            <w:right w:val="none" w:sz="0" w:space="0" w:color="auto"/>
          </w:divBdr>
        </w:div>
        <w:div w:id="1616407359">
          <w:marLeft w:val="0"/>
          <w:marRight w:val="0"/>
          <w:marTop w:val="0"/>
          <w:marBottom w:val="0"/>
          <w:divBdr>
            <w:top w:val="none" w:sz="0" w:space="0" w:color="auto"/>
            <w:left w:val="none" w:sz="0" w:space="0" w:color="auto"/>
            <w:bottom w:val="none" w:sz="0" w:space="0" w:color="auto"/>
            <w:right w:val="none" w:sz="0" w:space="0" w:color="auto"/>
          </w:divBdr>
        </w:div>
        <w:div w:id="140121003">
          <w:marLeft w:val="0"/>
          <w:marRight w:val="0"/>
          <w:marTop w:val="0"/>
          <w:marBottom w:val="0"/>
          <w:divBdr>
            <w:top w:val="none" w:sz="0" w:space="0" w:color="auto"/>
            <w:left w:val="none" w:sz="0" w:space="0" w:color="auto"/>
            <w:bottom w:val="none" w:sz="0" w:space="0" w:color="auto"/>
            <w:right w:val="none" w:sz="0" w:space="0" w:color="auto"/>
          </w:divBdr>
        </w:div>
        <w:div w:id="1981839325">
          <w:marLeft w:val="0"/>
          <w:marRight w:val="0"/>
          <w:marTop w:val="0"/>
          <w:marBottom w:val="0"/>
          <w:divBdr>
            <w:top w:val="none" w:sz="0" w:space="0" w:color="auto"/>
            <w:left w:val="none" w:sz="0" w:space="0" w:color="auto"/>
            <w:bottom w:val="none" w:sz="0" w:space="0" w:color="auto"/>
            <w:right w:val="none" w:sz="0" w:space="0" w:color="auto"/>
          </w:divBdr>
          <w:divsChild>
            <w:div w:id="1246526836">
              <w:marLeft w:val="-75"/>
              <w:marRight w:val="0"/>
              <w:marTop w:val="30"/>
              <w:marBottom w:val="30"/>
              <w:divBdr>
                <w:top w:val="none" w:sz="0" w:space="0" w:color="auto"/>
                <w:left w:val="none" w:sz="0" w:space="0" w:color="auto"/>
                <w:bottom w:val="none" w:sz="0" w:space="0" w:color="auto"/>
                <w:right w:val="none" w:sz="0" w:space="0" w:color="auto"/>
              </w:divBdr>
              <w:divsChild>
                <w:div w:id="1146511886">
                  <w:marLeft w:val="0"/>
                  <w:marRight w:val="0"/>
                  <w:marTop w:val="0"/>
                  <w:marBottom w:val="0"/>
                  <w:divBdr>
                    <w:top w:val="none" w:sz="0" w:space="0" w:color="auto"/>
                    <w:left w:val="none" w:sz="0" w:space="0" w:color="auto"/>
                    <w:bottom w:val="none" w:sz="0" w:space="0" w:color="auto"/>
                    <w:right w:val="none" w:sz="0" w:space="0" w:color="auto"/>
                  </w:divBdr>
                  <w:divsChild>
                    <w:div w:id="233592356">
                      <w:marLeft w:val="0"/>
                      <w:marRight w:val="0"/>
                      <w:marTop w:val="0"/>
                      <w:marBottom w:val="0"/>
                      <w:divBdr>
                        <w:top w:val="none" w:sz="0" w:space="0" w:color="auto"/>
                        <w:left w:val="none" w:sz="0" w:space="0" w:color="auto"/>
                        <w:bottom w:val="none" w:sz="0" w:space="0" w:color="auto"/>
                        <w:right w:val="none" w:sz="0" w:space="0" w:color="auto"/>
                      </w:divBdr>
                    </w:div>
                  </w:divsChild>
                </w:div>
                <w:div w:id="1711802990">
                  <w:marLeft w:val="0"/>
                  <w:marRight w:val="0"/>
                  <w:marTop w:val="0"/>
                  <w:marBottom w:val="0"/>
                  <w:divBdr>
                    <w:top w:val="none" w:sz="0" w:space="0" w:color="auto"/>
                    <w:left w:val="none" w:sz="0" w:space="0" w:color="auto"/>
                    <w:bottom w:val="none" w:sz="0" w:space="0" w:color="auto"/>
                    <w:right w:val="none" w:sz="0" w:space="0" w:color="auto"/>
                  </w:divBdr>
                  <w:divsChild>
                    <w:div w:id="1460489694">
                      <w:marLeft w:val="0"/>
                      <w:marRight w:val="0"/>
                      <w:marTop w:val="0"/>
                      <w:marBottom w:val="0"/>
                      <w:divBdr>
                        <w:top w:val="none" w:sz="0" w:space="0" w:color="auto"/>
                        <w:left w:val="none" w:sz="0" w:space="0" w:color="auto"/>
                        <w:bottom w:val="none" w:sz="0" w:space="0" w:color="auto"/>
                        <w:right w:val="none" w:sz="0" w:space="0" w:color="auto"/>
                      </w:divBdr>
                    </w:div>
                  </w:divsChild>
                </w:div>
                <w:div w:id="285044259">
                  <w:marLeft w:val="0"/>
                  <w:marRight w:val="0"/>
                  <w:marTop w:val="0"/>
                  <w:marBottom w:val="0"/>
                  <w:divBdr>
                    <w:top w:val="none" w:sz="0" w:space="0" w:color="auto"/>
                    <w:left w:val="none" w:sz="0" w:space="0" w:color="auto"/>
                    <w:bottom w:val="none" w:sz="0" w:space="0" w:color="auto"/>
                    <w:right w:val="none" w:sz="0" w:space="0" w:color="auto"/>
                  </w:divBdr>
                  <w:divsChild>
                    <w:div w:id="682979346">
                      <w:marLeft w:val="0"/>
                      <w:marRight w:val="0"/>
                      <w:marTop w:val="0"/>
                      <w:marBottom w:val="0"/>
                      <w:divBdr>
                        <w:top w:val="none" w:sz="0" w:space="0" w:color="auto"/>
                        <w:left w:val="none" w:sz="0" w:space="0" w:color="auto"/>
                        <w:bottom w:val="none" w:sz="0" w:space="0" w:color="auto"/>
                        <w:right w:val="none" w:sz="0" w:space="0" w:color="auto"/>
                      </w:divBdr>
                    </w:div>
                  </w:divsChild>
                </w:div>
                <w:div w:id="1716349628">
                  <w:marLeft w:val="0"/>
                  <w:marRight w:val="0"/>
                  <w:marTop w:val="0"/>
                  <w:marBottom w:val="0"/>
                  <w:divBdr>
                    <w:top w:val="none" w:sz="0" w:space="0" w:color="auto"/>
                    <w:left w:val="none" w:sz="0" w:space="0" w:color="auto"/>
                    <w:bottom w:val="none" w:sz="0" w:space="0" w:color="auto"/>
                    <w:right w:val="none" w:sz="0" w:space="0" w:color="auto"/>
                  </w:divBdr>
                  <w:divsChild>
                    <w:div w:id="1700157846">
                      <w:marLeft w:val="0"/>
                      <w:marRight w:val="0"/>
                      <w:marTop w:val="0"/>
                      <w:marBottom w:val="0"/>
                      <w:divBdr>
                        <w:top w:val="none" w:sz="0" w:space="0" w:color="auto"/>
                        <w:left w:val="none" w:sz="0" w:space="0" w:color="auto"/>
                        <w:bottom w:val="none" w:sz="0" w:space="0" w:color="auto"/>
                        <w:right w:val="none" w:sz="0" w:space="0" w:color="auto"/>
                      </w:divBdr>
                    </w:div>
                  </w:divsChild>
                </w:div>
                <w:div w:id="2081902279">
                  <w:marLeft w:val="0"/>
                  <w:marRight w:val="0"/>
                  <w:marTop w:val="0"/>
                  <w:marBottom w:val="0"/>
                  <w:divBdr>
                    <w:top w:val="none" w:sz="0" w:space="0" w:color="auto"/>
                    <w:left w:val="none" w:sz="0" w:space="0" w:color="auto"/>
                    <w:bottom w:val="none" w:sz="0" w:space="0" w:color="auto"/>
                    <w:right w:val="none" w:sz="0" w:space="0" w:color="auto"/>
                  </w:divBdr>
                  <w:divsChild>
                    <w:div w:id="1334989583">
                      <w:marLeft w:val="0"/>
                      <w:marRight w:val="0"/>
                      <w:marTop w:val="0"/>
                      <w:marBottom w:val="0"/>
                      <w:divBdr>
                        <w:top w:val="none" w:sz="0" w:space="0" w:color="auto"/>
                        <w:left w:val="none" w:sz="0" w:space="0" w:color="auto"/>
                        <w:bottom w:val="none" w:sz="0" w:space="0" w:color="auto"/>
                        <w:right w:val="none" w:sz="0" w:space="0" w:color="auto"/>
                      </w:divBdr>
                    </w:div>
                  </w:divsChild>
                </w:div>
                <w:div w:id="1175536505">
                  <w:marLeft w:val="0"/>
                  <w:marRight w:val="0"/>
                  <w:marTop w:val="0"/>
                  <w:marBottom w:val="0"/>
                  <w:divBdr>
                    <w:top w:val="none" w:sz="0" w:space="0" w:color="auto"/>
                    <w:left w:val="none" w:sz="0" w:space="0" w:color="auto"/>
                    <w:bottom w:val="none" w:sz="0" w:space="0" w:color="auto"/>
                    <w:right w:val="none" w:sz="0" w:space="0" w:color="auto"/>
                  </w:divBdr>
                  <w:divsChild>
                    <w:div w:id="1026981081">
                      <w:marLeft w:val="0"/>
                      <w:marRight w:val="0"/>
                      <w:marTop w:val="0"/>
                      <w:marBottom w:val="0"/>
                      <w:divBdr>
                        <w:top w:val="none" w:sz="0" w:space="0" w:color="auto"/>
                        <w:left w:val="none" w:sz="0" w:space="0" w:color="auto"/>
                        <w:bottom w:val="none" w:sz="0" w:space="0" w:color="auto"/>
                        <w:right w:val="none" w:sz="0" w:space="0" w:color="auto"/>
                      </w:divBdr>
                    </w:div>
                  </w:divsChild>
                </w:div>
                <w:div w:id="2783615">
                  <w:marLeft w:val="0"/>
                  <w:marRight w:val="0"/>
                  <w:marTop w:val="0"/>
                  <w:marBottom w:val="0"/>
                  <w:divBdr>
                    <w:top w:val="none" w:sz="0" w:space="0" w:color="auto"/>
                    <w:left w:val="none" w:sz="0" w:space="0" w:color="auto"/>
                    <w:bottom w:val="none" w:sz="0" w:space="0" w:color="auto"/>
                    <w:right w:val="none" w:sz="0" w:space="0" w:color="auto"/>
                  </w:divBdr>
                  <w:divsChild>
                    <w:div w:id="133564189">
                      <w:marLeft w:val="0"/>
                      <w:marRight w:val="0"/>
                      <w:marTop w:val="0"/>
                      <w:marBottom w:val="0"/>
                      <w:divBdr>
                        <w:top w:val="none" w:sz="0" w:space="0" w:color="auto"/>
                        <w:left w:val="none" w:sz="0" w:space="0" w:color="auto"/>
                        <w:bottom w:val="none" w:sz="0" w:space="0" w:color="auto"/>
                        <w:right w:val="none" w:sz="0" w:space="0" w:color="auto"/>
                      </w:divBdr>
                    </w:div>
                  </w:divsChild>
                </w:div>
                <w:div w:id="257057599">
                  <w:marLeft w:val="0"/>
                  <w:marRight w:val="0"/>
                  <w:marTop w:val="0"/>
                  <w:marBottom w:val="0"/>
                  <w:divBdr>
                    <w:top w:val="none" w:sz="0" w:space="0" w:color="auto"/>
                    <w:left w:val="none" w:sz="0" w:space="0" w:color="auto"/>
                    <w:bottom w:val="none" w:sz="0" w:space="0" w:color="auto"/>
                    <w:right w:val="none" w:sz="0" w:space="0" w:color="auto"/>
                  </w:divBdr>
                  <w:divsChild>
                    <w:div w:id="935090569">
                      <w:marLeft w:val="0"/>
                      <w:marRight w:val="0"/>
                      <w:marTop w:val="0"/>
                      <w:marBottom w:val="0"/>
                      <w:divBdr>
                        <w:top w:val="none" w:sz="0" w:space="0" w:color="auto"/>
                        <w:left w:val="none" w:sz="0" w:space="0" w:color="auto"/>
                        <w:bottom w:val="none" w:sz="0" w:space="0" w:color="auto"/>
                        <w:right w:val="none" w:sz="0" w:space="0" w:color="auto"/>
                      </w:divBdr>
                    </w:div>
                  </w:divsChild>
                </w:div>
                <w:div w:id="3098152">
                  <w:marLeft w:val="0"/>
                  <w:marRight w:val="0"/>
                  <w:marTop w:val="0"/>
                  <w:marBottom w:val="0"/>
                  <w:divBdr>
                    <w:top w:val="none" w:sz="0" w:space="0" w:color="auto"/>
                    <w:left w:val="none" w:sz="0" w:space="0" w:color="auto"/>
                    <w:bottom w:val="none" w:sz="0" w:space="0" w:color="auto"/>
                    <w:right w:val="none" w:sz="0" w:space="0" w:color="auto"/>
                  </w:divBdr>
                  <w:divsChild>
                    <w:div w:id="298195926">
                      <w:marLeft w:val="0"/>
                      <w:marRight w:val="0"/>
                      <w:marTop w:val="0"/>
                      <w:marBottom w:val="0"/>
                      <w:divBdr>
                        <w:top w:val="none" w:sz="0" w:space="0" w:color="auto"/>
                        <w:left w:val="none" w:sz="0" w:space="0" w:color="auto"/>
                        <w:bottom w:val="none" w:sz="0" w:space="0" w:color="auto"/>
                        <w:right w:val="none" w:sz="0" w:space="0" w:color="auto"/>
                      </w:divBdr>
                    </w:div>
                  </w:divsChild>
                </w:div>
                <w:div w:id="728382160">
                  <w:marLeft w:val="0"/>
                  <w:marRight w:val="0"/>
                  <w:marTop w:val="0"/>
                  <w:marBottom w:val="0"/>
                  <w:divBdr>
                    <w:top w:val="none" w:sz="0" w:space="0" w:color="auto"/>
                    <w:left w:val="none" w:sz="0" w:space="0" w:color="auto"/>
                    <w:bottom w:val="none" w:sz="0" w:space="0" w:color="auto"/>
                    <w:right w:val="none" w:sz="0" w:space="0" w:color="auto"/>
                  </w:divBdr>
                  <w:divsChild>
                    <w:div w:id="466976084">
                      <w:marLeft w:val="0"/>
                      <w:marRight w:val="0"/>
                      <w:marTop w:val="0"/>
                      <w:marBottom w:val="0"/>
                      <w:divBdr>
                        <w:top w:val="none" w:sz="0" w:space="0" w:color="auto"/>
                        <w:left w:val="none" w:sz="0" w:space="0" w:color="auto"/>
                        <w:bottom w:val="none" w:sz="0" w:space="0" w:color="auto"/>
                        <w:right w:val="none" w:sz="0" w:space="0" w:color="auto"/>
                      </w:divBdr>
                    </w:div>
                  </w:divsChild>
                </w:div>
                <w:div w:id="1418790526">
                  <w:marLeft w:val="0"/>
                  <w:marRight w:val="0"/>
                  <w:marTop w:val="0"/>
                  <w:marBottom w:val="0"/>
                  <w:divBdr>
                    <w:top w:val="none" w:sz="0" w:space="0" w:color="auto"/>
                    <w:left w:val="none" w:sz="0" w:space="0" w:color="auto"/>
                    <w:bottom w:val="none" w:sz="0" w:space="0" w:color="auto"/>
                    <w:right w:val="none" w:sz="0" w:space="0" w:color="auto"/>
                  </w:divBdr>
                  <w:divsChild>
                    <w:div w:id="1428037343">
                      <w:marLeft w:val="0"/>
                      <w:marRight w:val="0"/>
                      <w:marTop w:val="0"/>
                      <w:marBottom w:val="0"/>
                      <w:divBdr>
                        <w:top w:val="none" w:sz="0" w:space="0" w:color="auto"/>
                        <w:left w:val="none" w:sz="0" w:space="0" w:color="auto"/>
                        <w:bottom w:val="none" w:sz="0" w:space="0" w:color="auto"/>
                        <w:right w:val="none" w:sz="0" w:space="0" w:color="auto"/>
                      </w:divBdr>
                    </w:div>
                  </w:divsChild>
                </w:div>
                <w:div w:id="361440465">
                  <w:marLeft w:val="0"/>
                  <w:marRight w:val="0"/>
                  <w:marTop w:val="0"/>
                  <w:marBottom w:val="0"/>
                  <w:divBdr>
                    <w:top w:val="none" w:sz="0" w:space="0" w:color="auto"/>
                    <w:left w:val="none" w:sz="0" w:space="0" w:color="auto"/>
                    <w:bottom w:val="none" w:sz="0" w:space="0" w:color="auto"/>
                    <w:right w:val="none" w:sz="0" w:space="0" w:color="auto"/>
                  </w:divBdr>
                  <w:divsChild>
                    <w:div w:id="612708396">
                      <w:marLeft w:val="0"/>
                      <w:marRight w:val="0"/>
                      <w:marTop w:val="0"/>
                      <w:marBottom w:val="0"/>
                      <w:divBdr>
                        <w:top w:val="none" w:sz="0" w:space="0" w:color="auto"/>
                        <w:left w:val="none" w:sz="0" w:space="0" w:color="auto"/>
                        <w:bottom w:val="none" w:sz="0" w:space="0" w:color="auto"/>
                        <w:right w:val="none" w:sz="0" w:space="0" w:color="auto"/>
                      </w:divBdr>
                    </w:div>
                  </w:divsChild>
                </w:div>
                <w:div w:id="767383670">
                  <w:marLeft w:val="0"/>
                  <w:marRight w:val="0"/>
                  <w:marTop w:val="0"/>
                  <w:marBottom w:val="0"/>
                  <w:divBdr>
                    <w:top w:val="none" w:sz="0" w:space="0" w:color="auto"/>
                    <w:left w:val="none" w:sz="0" w:space="0" w:color="auto"/>
                    <w:bottom w:val="none" w:sz="0" w:space="0" w:color="auto"/>
                    <w:right w:val="none" w:sz="0" w:space="0" w:color="auto"/>
                  </w:divBdr>
                  <w:divsChild>
                    <w:div w:id="121769836">
                      <w:marLeft w:val="0"/>
                      <w:marRight w:val="0"/>
                      <w:marTop w:val="0"/>
                      <w:marBottom w:val="0"/>
                      <w:divBdr>
                        <w:top w:val="none" w:sz="0" w:space="0" w:color="auto"/>
                        <w:left w:val="none" w:sz="0" w:space="0" w:color="auto"/>
                        <w:bottom w:val="none" w:sz="0" w:space="0" w:color="auto"/>
                        <w:right w:val="none" w:sz="0" w:space="0" w:color="auto"/>
                      </w:divBdr>
                    </w:div>
                  </w:divsChild>
                </w:div>
                <w:div w:id="769930430">
                  <w:marLeft w:val="0"/>
                  <w:marRight w:val="0"/>
                  <w:marTop w:val="0"/>
                  <w:marBottom w:val="0"/>
                  <w:divBdr>
                    <w:top w:val="none" w:sz="0" w:space="0" w:color="auto"/>
                    <w:left w:val="none" w:sz="0" w:space="0" w:color="auto"/>
                    <w:bottom w:val="none" w:sz="0" w:space="0" w:color="auto"/>
                    <w:right w:val="none" w:sz="0" w:space="0" w:color="auto"/>
                  </w:divBdr>
                  <w:divsChild>
                    <w:div w:id="1524588802">
                      <w:marLeft w:val="0"/>
                      <w:marRight w:val="0"/>
                      <w:marTop w:val="0"/>
                      <w:marBottom w:val="0"/>
                      <w:divBdr>
                        <w:top w:val="none" w:sz="0" w:space="0" w:color="auto"/>
                        <w:left w:val="none" w:sz="0" w:space="0" w:color="auto"/>
                        <w:bottom w:val="none" w:sz="0" w:space="0" w:color="auto"/>
                        <w:right w:val="none" w:sz="0" w:space="0" w:color="auto"/>
                      </w:divBdr>
                    </w:div>
                  </w:divsChild>
                </w:div>
                <w:div w:id="1292053575">
                  <w:marLeft w:val="0"/>
                  <w:marRight w:val="0"/>
                  <w:marTop w:val="0"/>
                  <w:marBottom w:val="0"/>
                  <w:divBdr>
                    <w:top w:val="none" w:sz="0" w:space="0" w:color="auto"/>
                    <w:left w:val="none" w:sz="0" w:space="0" w:color="auto"/>
                    <w:bottom w:val="none" w:sz="0" w:space="0" w:color="auto"/>
                    <w:right w:val="none" w:sz="0" w:space="0" w:color="auto"/>
                  </w:divBdr>
                  <w:divsChild>
                    <w:div w:id="1858157551">
                      <w:marLeft w:val="0"/>
                      <w:marRight w:val="0"/>
                      <w:marTop w:val="0"/>
                      <w:marBottom w:val="0"/>
                      <w:divBdr>
                        <w:top w:val="none" w:sz="0" w:space="0" w:color="auto"/>
                        <w:left w:val="none" w:sz="0" w:space="0" w:color="auto"/>
                        <w:bottom w:val="none" w:sz="0" w:space="0" w:color="auto"/>
                        <w:right w:val="none" w:sz="0" w:space="0" w:color="auto"/>
                      </w:divBdr>
                    </w:div>
                  </w:divsChild>
                </w:div>
                <w:div w:id="1269659515">
                  <w:marLeft w:val="0"/>
                  <w:marRight w:val="0"/>
                  <w:marTop w:val="0"/>
                  <w:marBottom w:val="0"/>
                  <w:divBdr>
                    <w:top w:val="none" w:sz="0" w:space="0" w:color="auto"/>
                    <w:left w:val="none" w:sz="0" w:space="0" w:color="auto"/>
                    <w:bottom w:val="none" w:sz="0" w:space="0" w:color="auto"/>
                    <w:right w:val="none" w:sz="0" w:space="0" w:color="auto"/>
                  </w:divBdr>
                  <w:divsChild>
                    <w:div w:id="825975130">
                      <w:marLeft w:val="0"/>
                      <w:marRight w:val="0"/>
                      <w:marTop w:val="0"/>
                      <w:marBottom w:val="0"/>
                      <w:divBdr>
                        <w:top w:val="none" w:sz="0" w:space="0" w:color="auto"/>
                        <w:left w:val="none" w:sz="0" w:space="0" w:color="auto"/>
                        <w:bottom w:val="none" w:sz="0" w:space="0" w:color="auto"/>
                        <w:right w:val="none" w:sz="0" w:space="0" w:color="auto"/>
                      </w:divBdr>
                    </w:div>
                  </w:divsChild>
                </w:div>
                <w:div w:id="1982929260">
                  <w:marLeft w:val="0"/>
                  <w:marRight w:val="0"/>
                  <w:marTop w:val="0"/>
                  <w:marBottom w:val="0"/>
                  <w:divBdr>
                    <w:top w:val="none" w:sz="0" w:space="0" w:color="auto"/>
                    <w:left w:val="none" w:sz="0" w:space="0" w:color="auto"/>
                    <w:bottom w:val="none" w:sz="0" w:space="0" w:color="auto"/>
                    <w:right w:val="none" w:sz="0" w:space="0" w:color="auto"/>
                  </w:divBdr>
                  <w:divsChild>
                    <w:div w:id="1113401089">
                      <w:marLeft w:val="0"/>
                      <w:marRight w:val="0"/>
                      <w:marTop w:val="0"/>
                      <w:marBottom w:val="0"/>
                      <w:divBdr>
                        <w:top w:val="none" w:sz="0" w:space="0" w:color="auto"/>
                        <w:left w:val="none" w:sz="0" w:space="0" w:color="auto"/>
                        <w:bottom w:val="none" w:sz="0" w:space="0" w:color="auto"/>
                        <w:right w:val="none" w:sz="0" w:space="0" w:color="auto"/>
                      </w:divBdr>
                    </w:div>
                  </w:divsChild>
                </w:div>
                <w:div w:id="942759847">
                  <w:marLeft w:val="0"/>
                  <w:marRight w:val="0"/>
                  <w:marTop w:val="0"/>
                  <w:marBottom w:val="0"/>
                  <w:divBdr>
                    <w:top w:val="none" w:sz="0" w:space="0" w:color="auto"/>
                    <w:left w:val="none" w:sz="0" w:space="0" w:color="auto"/>
                    <w:bottom w:val="none" w:sz="0" w:space="0" w:color="auto"/>
                    <w:right w:val="none" w:sz="0" w:space="0" w:color="auto"/>
                  </w:divBdr>
                  <w:divsChild>
                    <w:div w:id="1474101423">
                      <w:marLeft w:val="0"/>
                      <w:marRight w:val="0"/>
                      <w:marTop w:val="0"/>
                      <w:marBottom w:val="0"/>
                      <w:divBdr>
                        <w:top w:val="none" w:sz="0" w:space="0" w:color="auto"/>
                        <w:left w:val="none" w:sz="0" w:space="0" w:color="auto"/>
                        <w:bottom w:val="none" w:sz="0" w:space="0" w:color="auto"/>
                        <w:right w:val="none" w:sz="0" w:space="0" w:color="auto"/>
                      </w:divBdr>
                    </w:div>
                  </w:divsChild>
                </w:div>
                <w:div w:id="1711605758">
                  <w:marLeft w:val="0"/>
                  <w:marRight w:val="0"/>
                  <w:marTop w:val="0"/>
                  <w:marBottom w:val="0"/>
                  <w:divBdr>
                    <w:top w:val="none" w:sz="0" w:space="0" w:color="auto"/>
                    <w:left w:val="none" w:sz="0" w:space="0" w:color="auto"/>
                    <w:bottom w:val="none" w:sz="0" w:space="0" w:color="auto"/>
                    <w:right w:val="none" w:sz="0" w:space="0" w:color="auto"/>
                  </w:divBdr>
                  <w:divsChild>
                    <w:div w:id="742724905">
                      <w:marLeft w:val="0"/>
                      <w:marRight w:val="0"/>
                      <w:marTop w:val="0"/>
                      <w:marBottom w:val="0"/>
                      <w:divBdr>
                        <w:top w:val="none" w:sz="0" w:space="0" w:color="auto"/>
                        <w:left w:val="none" w:sz="0" w:space="0" w:color="auto"/>
                        <w:bottom w:val="none" w:sz="0" w:space="0" w:color="auto"/>
                        <w:right w:val="none" w:sz="0" w:space="0" w:color="auto"/>
                      </w:divBdr>
                    </w:div>
                  </w:divsChild>
                </w:div>
                <w:div w:id="599139567">
                  <w:marLeft w:val="0"/>
                  <w:marRight w:val="0"/>
                  <w:marTop w:val="0"/>
                  <w:marBottom w:val="0"/>
                  <w:divBdr>
                    <w:top w:val="none" w:sz="0" w:space="0" w:color="auto"/>
                    <w:left w:val="none" w:sz="0" w:space="0" w:color="auto"/>
                    <w:bottom w:val="none" w:sz="0" w:space="0" w:color="auto"/>
                    <w:right w:val="none" w:sz="0" w:space="0" w:color="auto"/>
                  </w:divBdr>
                  <w:divsChild>
                    <w:div w:id="602231221">
                      <w:marLeft w:val="0"/>
                      <w:marRight w:val="0"/>
                      <w:marTop w:val="0"/>
                      <w:marBottom w:val="0"/>
                      <w:divBdr>
                        <w:top w:val="none" w:sz="0" w:space="0" w:color="auto"/>
                        <w:left w:val="none" w:sz="0" w:space="0" w:color="auto"/>
                        <w:bottom w:val="none" w:sz="0" w:space="0" w:color="auto"/>
                        <w:right w:val="none" w:sz="0" w:space="0" w:color="auto"/>
                      </w:divBdr>
                    </w:div>
                  </w:divsChild>
                </w:div>
                <w:div w:id="2023819257">
                  <w:marLeft w:val="0"/>
                  <w:marRight w:val="0"/>
                  <w:marTop w:val="0"/>
                  <w:marBottom w:val="0"/>
                  <w:divBdr>
                    <w:top w:val="none" w:sz="0" w:space="0" w:color="auto"/>
                    <w:left w:val="none" w:sz="0" w:space="0" w:color="auto"/>
                    <w:bottom w:val="none" w:sz="0" w:space="0" w:color="auto"/>
                    <w:right w:val="none" w:sz="0" w:space="0" w:color="auto"/>
                  </w:divBdr>
                  <w:divsChild>
                    <w:div w:id="1988704667">
                      <w:marLeft w:val="0"/>
                      <w:marRight w:val="0"/>
                      <w:marTop w:val="0"/>
                      <w:marBottom w:val="0"/>
                      <w:divBdr>
                        <w:top w:val="none" w:sz="0" w:space="0" w:color="auto"/>
                        <w:left w:val="none" w:sz="0" w:space="0" w:color="auto"/>
                        <w:bottom w:val="none" w:sz="0" w:space="0" w:color="auto"/>
                        <w:right w:val="none" w:sz="0" w:space="0" w:color="auto"/>
                      </w:divBdr>
                    </w:div>
                  </w:divsChild>
                </w:div>
                <w:div w:id="449591206">
                  <w:marLeft w:val="0"/>
                  <w:marRight w:val="0"/>
                  <w:marTop w:val="0"/>
                  <w:marBottom w:val="0"/>
                  <w:divBdr>
                    <w:top w:val="none" w:sz="0" w:space="0" w:color="auto"/>
                    <w:left w:val="none" w:sz="0" w:space="0" w:color="auto"/>
                    <w:bottom w:val="none" w:sz="0" w:space="0" w:color="auto"/>
                    <w:right w:val="none" w:sz="0" w:space="0" w:color="auto"/>
                  </w:divBdr>
                  <w:divsChild>
                    <w:div w:id="1857235271">
                      <w:marLeft w:val="0"/>
                      <w:marRight w:val="0"/>
                      <w:marTop w:val="0"/>
                      <w:marBottom w:val="0"/>
                      <w:divBdr>
                        <w:top w:val="none" w:sz="0" w:space="0" w:color="auto"/>
                        <w:left w:val="none" w:sz="0" w:space="0" w:color="auto"/>
                        <w:bottom w:val="none" w:sz="0" w:space="0" w:color="auto"/>
                        <w:right w:val="none" w:sz="0" w:space="0" w:color="auto"/>
                      </w:divBdr>
                    </w:div>
                  </w:divsChild>
                </w:div>
                <w:div w:id="1344894195">
                  <w:marLeft w:val="0"/>
                  <w:marRight w:val="0"/>
                  <w:marTop w:val="0"/>
                  <w:marBottom w:val="0"/>
                  <w:divBdr>
                    <w:top w:val="none" w:sz="0" w:space="0" w:color="auto"/>
                    <w:left w:val="none" w:sz="0" w:space="0" w:color="auto"/>
                    <w:bottom w:val="none" w:sz="0" w:space="0" w:color="auto"/>
                    <w:right w:val="none" w:sz="0" w:space="0" w:color="auto"/>
                  </w:divBdr>
                  <w:divsChild>
                    <w:div w:id="106049485">
                      <w:marLeft w:val="0"/>
                      <w:marRight w:val="0"/>
                      <w:marTop w:val="0"/>
                      <w:marBottom w:val="0"/>
                      <w:divBdr>
                        <w:top w:val="none" w:sz="0" w:space="0" w:color="auto"/>
                        <w:left w:val="none" w:sz="0" w:space="0" w:color="auto"/>
                        <w:bottom w:val="none" w:sz="0" w:space="0" w:color="auto"/>
                        <w:right w:val="none" w:sz="0" w:space="0" w:color="auto"/>
                      </w:divBdr>
                    </w:div>
                  </w:divsChild>
                </w:div>
                <w:div w:id="211037004">
                  <w:marLeft w:val="0"/>
                  <w:marRight w:val="0"/>
                  <w:marTop w:val="0"/>
                  <w:marBottom w:val="0"/>
                  <w:divBdr>
                    <w:top w:val="none" w:sz="0" w:space="0" w:color="auto"/>
                    <w:left w:val="none" w:sz="0" w:space="0" w:color="auto"/>
                    <w:bottom w:val="none" w:sz="0" w:space="0" w:color="auto"/>
                    <w:right w:val="none" w:sz="0" w:space="0" w:color="auto"/>
                  </w:divBdr>
                  <w:divsChild>
                    <w:div w:id="867907571">
                      <w:marLeft w:val="0"/>
                      <w:marRight w:val="0"/>
                      <w:marTop w:val="0"/>
                      <w:marBottom w:val="0"/>
                      <w:divBdr>
                        <w:top w:val="none" w:sz="0" w:space="0" w:color="auto"/>
                        <w:left w:val="none" w:sz="0" w:space="0" w:color="auto"/>
                        <w:bottom w:val="none" w:sz="0" w:space="0" w:color="auto"/>
                        <w:right w:val="none" w:sz="0" w:space="0" w:color="auto"/>
                      </w:divBdr>
                    </w:div>
                  </w:divsChild>
                </w:div>
                <w:div w:id="328944813">
                  <w:marLeft w:val="0"/>
                  <w:marRight w:val="0"/>
                  <w:marTop w:val="0"/>
                  <w:marBottom w:val="0"/>
                  <w:divBdr>
                    <w:top w:val="none" w:sz="0" w:space="0" w:color="auto"/>
                    <w:left w:val="none" w:sz="0" w:space="0" w:color="auto"/>
                    <w:bottom w:val="none" w:sz="0" w:space="0" w:color="auto"/>
                    <w:right w:val="none" w:sz="0" w:space="0" w:color="auto"/>
                  </w:divBdr>
                  <w:divsChild>
                    <w:div w:id="159807560">
                      <w:marLeft w:val="0"/>
                      <w:marRight w:val="0"/>
                      <w:marTop w:val="0"/>
                      <w:marBottom w:val="0"/>
                      <w:divBdr>
                        <w:top w:val="none" w:sz="0" w:space="0" w:color="auto"/>
                        <w:left w:val="none" w:sz="0" w:space="0" w:color="auto"/>
                        <w:bottom w:val="none" w:sz="0" w:space="0" w:color="auto"/>
                        <w:right w:val="none" w:sz="0" w:space="0" w:color="auto"/>
                      </w:divBdr>
                    </w:div>
                  </w:divsChild>
                </w:div>
                <w:div w:id="1471094473">
                  <w:marLeft w:val="0"/>
                  <w:marRight w:val="0"/>
                  <w:marTop w:val="0"/>
                  <w:marBottom w:val="0"/>
                  <w:divBdr>
                    <w:top w:val="none" w:sz="0" w:space="0" w:color="auto"/>
                    <w:left w:val="none" w:sz="0" w:space="0" w:color="auto"/>
                    <w:bottom w:val="none" w:sz="0" w:space="0" w:color="auto"/>
                    <w:right w:val="none" w:sz="0" w:space="0" w:color="auto"/>
                  </w:divBdr>
                  <w:divsChild>
                    <w:div w:id="857503875">
                      <w:marLeft w:val="0"/>
                      <w:marRight w:val="0"/>
                      <w:marTop w:val="0"/>
                      <w:marBottom w:val="0"/>
                      <w:divBdr>
                        <w:top w:val="none" w:sz="0" w:space="0" w:color="auto"/>
                        <w:left w:val="none" w:sz="0" w:space="0" w:color="auto"/>
                        <w:bottom w:val="none" w:sz="0" w:space="0" w:color="auto"/>
                        <w:right w:val="none" w:sz="0" w:space="0" w:color="auto"/>
                      </w:divBdr>
                    </w:div>
                  </w:divsChild>
                </w:div>
                <w:div w:id="364599437">
                  <w:marLeft w:val="0"/>
                  <w:marRight w:val="0"/>
                  <w:marTop w:val="0"/>
                  <w:marBottom w:val="0"/>
                  <w:divBdr>
                    <w:top w:val="none" w:sz="0" w:space="0" w:color="auto"/>
                    <w:left w:val="none" w:sz="0" w:space="0" w:color="auto"/>
                    <w:bottom w:val="none" w:sz="0" w:space="0" w:color="auto"/>
                    <w:right w:val="none" w:sz="0" w:space="0" w:color="auto"/>
                  </w:divBdr>
                  <w:divsChild>
                    <w:div w:id="419452417">
                      <w:marLeft w:val="0"/>
                      <w:marRight w:val="0"/>
                      <w:marTop w:val="0"/>
                      <w:marBottom w:val="0"/>
                      <w:divBdr>
                        <w:top w:val="none" w:sz="0" w:space="0" w:color="auto"/>
                        <w:left w:val="none" w:sz="0" w:space="0" w:color="auto"/>
                        <w:bottom w:val="none" w:sz="0" w:space="0" w:color="auto"/>
                        <w:right w:val="none" w:sz="0" w:space="0" w:color="auto"/>
                      </w:divBdr>
                    </w:div>
                  </w:divsChild>
                </w:div>
                <w:div w:id="788545436">
                  <w:marLeft w:val="0"/>
                  <w:marRight w:val="0"/>
                  <w:marTop w:val="0"/>
                  <w:marBottom w:val="0"/>
                  <w:divBdr>
                    <w:top w:val="none" w:sz="0" w:space="0" w:color="auto"/>
                    <w:left w:val="none" w:sz="0" w:space="0" w:color="auto"/>
                    <w:bottom w:val="none" w:sz="0" w:space="0" w:color="auto"/>
                    <w:right w:val="none" w:sz="0" w:space="0" w:color="auto"/>
                  </w:divBdr>
                  <w:divsChild>
                    <w:div w:id="1109474636">
                      <w:marLeft w:val="0"/>
                      <w:marRight w:val="0"/>
                      <w:marTop w:val="0"/>
                      <w:marBottom w:val="0"/>
                      <w:divBdr>
                        <w:top w:val="none" w:sz="0" w:space="0" w:color="auto"/>
                        <w:left w:val="none" w:sz="0" w:space="0" w:color="auto"/>
                        <w:bottom w:val="none" w:sz="0" w:space="0" w:color="auto"/>
                        <w:right w:val="none" w:sz="0" w:space="0" w:color="auto"/>
                      </w:divBdr>
                    </w:div>
                  </w:divsChild>
                </w:div>
                <w:div w:id="114251719">
                  <w:marLeft w:val="0"/>
                  <w:marRight w:val="0"/>
                  <w:marTop w:val="0"/>
                  <w:marBottom w:val="0"/>
                  <w:divBdr>
                    <w:top w:val="none" w:sz="0" w:space="0" w:color="auto"/>
                    <w:left w:val="none" w:sz="0" w:space="0" w:color="auto"/>
                    <w:bottom w:val="none" w:sz="0" w:space="0" w:color="auto"/>
                    <w:right w:val="none" w:sz="0" w:space="0" w:color="auto"/>
                  </w:divBdr>
                  <w:divsChild>
                    <w:div w:id="1301303322">
                      <w:marLeft w:val="0"/>
                      <w:marRight w:val="0"/>
                      <w:marTop w:val="0"/>
                      <w:marBottom w:val="0"/>
                      <w:divBdr>
                        <w:top w:val="none" w:sz="0" w:space="0" w:color="auto"/>
                        <w:left w:val="none" w:sz="0" w:space="0" w:color="auto"/>
                        <w:bottom w:val="none" w:sz="0" w:space="0" w:color="auto"/>
                        <w:right w:val="none" w:sz="0" w:space="0" w:color="auto"/>
                      </w:divBdr>
                    </w:div>
                  </w:divsChild>
                </w:div>
                <w:div w:id="2069844414">
                  <w:marLeft w:val="0"/>
                  <w:marRight w:val="0"/>
                  <w:marTop w:val="0"/>
                  <w:marBottom w:val="0"/>
                  <w:divBdr>
                    <w:top w:val="none" w:sz="0" w:space="0" w:color="auto"/>
                    <w:left w:val="none" w:sz="0" w:space="0" w:color="auto"/>
                    <w:bottom w:val="none" w:sz="0" w:space="0" w:color="auto"/>
                    <w:right w:val="none" w:sz="0" w:space="0" w:color="auto"/>
                  </w:divBdr>
                  <w:divsChild>
                    <w:div w:id="1577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69905">
          <w:marLeft w:val="0"/>
          <w:marRight w:val="0"/>
          <w:marTop w:val="0"/>
          <w:marBottom w:val="0"/>
          <w:divBdr>
            <w:top w:val="none" w:sz="0" w:space="0" w:color="auto"/>
            <w:left w:val="none" w:sz="0" w:space="0" w:color="auto"/>
            <w:bottom w:val="none" w:sz="0" w:space="0" w:color="auto"/>
            <w:right w:val="none" w:sz="0" w:space="0" w:color="auto"/>
          </w:divBdr>
        </w:div>
        <w:div w:id="449397548">
          <w:marLeft w:val="0"/>
          <w:marRight w:val="0"/>
          <w:marTop w:val="0"/>
          <w:marBottom w:val="0"/>
          <w:divBdr>
            <w:top w:val="none" w:sz="0" w:space="0" w:color="auto"/>
            <w:left w:val="none" w:sz="0" w:space="0" w:color="auto"/>
            <w:bottom w:val="none" w:sz="0" w:space="0" w:color="auto"/>
            <w:right w:val="none" w:sz="0" w:space="0" w:color="auto"/>
          </w:divBdr>
        </w:div>
        <w:div w:id="197938591">
          <w:marLeft w:val="0"/>
          <w:marRight w:val="0"/>
          <w:marTop w:val="0"/>
          <w:marBottom w:val="0"/>
          <w:divBdr>
            <w:top w:val="none" w:sz="0" w:space="0" w:color="auto"/>
            <w:left w:val="none" w:sz="0" w:space="0" w:color="auto"/>
            <w:bottom w:val="none" w:sz="0" w:space="0" w:color="auto"/>
            <w:right w:val="none" w:sz="0" w:space="0" w:color="auto"/>
          </w:divBdr>
        </w:div>
        <w:div w:id="1538003808">
          <w:marLeft w:val="0"/>
          <w:marRight w:val="0"/>
          <w:marTop w:val="0"/>
          <w:marBottom w:val="0"/>
          <w:divBdr>
            <w:top w:val="none" w:sz="0" w:space="0" w:color="auto"/>
            <w:left w:val="none" w:sz="0" w:space="0" w:color="auto"/>
            <w:bottom w:val="none" w:sz="0" w:space="0" w:color="auto"/>
            <w:right w:val="none" w:sz="0" w:space="0" w:color="auto"/>
          </w:divBdr>
        </w:div>
        <w:div w:id="1171218597">
          <w:marLeft w:val="0"/>
          <w:marRight w:val="0"/>
          <w:marTop w:val="0"/>
          <w:marBottom w:val="0"/>
          <w:divBdr>
            <w:top w:val="none" w:sz="0" w:space="0" w:color="auto"/>
            <w:left w:val="none" w:sz="0" w:space="0" w:color="auto"/>
            <w:bottom w:val="none" w:sz="0" w:space="0" w:color="auto"/>
            <w:right w:val="none" w:sz="0" w:space="0" w:color="auto"/>
          </w:divBdr>
        </w:div>
        <w:div w:id="1964069964">
          <w:marLeft w:val="0"/>
          <w:marRight w:val="0"/>
          <w:marTop w:val="0"/>
          <w:marBottom w:val="0"/>
          <w:divBdr>
            <w:top w:val="none" w:sz="0" w:space="0" w:color="auto"/>
            <w:left w:val="none" w:sz="0" w:space="0" w:color="auto"/>
            <w:bottom w:val="none" w:sz="0" w:space="0" w:color="auto"/>
            <w:right w:val="none" w:sz="0" w:space="0" w:color="auto"/>
          </w:divBdr>
          <w:divsChild>
            <w:div w:id="961575023">
              <w:marLeft w:val="-75"/>
              <w:marRight w:val="0"/>
              <w:marTop w:val="30"/>
              <w:marBottom w:val="30"/>
              <w:divBdr>
                <w:top w:val="none" w:sz="0" w:space="0" w:color="auto"/>
                <w:left w:val="none" w:sz="0" w:space="0" w:color="auto"/>
                <w:bottom w:val="none" w:sz="0" w:space="0" w:color="auto"/>
                <w:right w:val="none" w:sz="0" w:space="0" w:color="auto"/>
              </w:divBdr>
              <w:divsChild>
                <w:div w:id="1669937716">
                  <w:marLeft w:val="0"/>
                  <w:marRight w:val="0"/>
                  <w:marTop w:val="0"/>
                  <w:marBottom w:val="0"/>
                  <w:divBdr>
                    <w:top w:val="none" w:sz="0" w:space="0" w:color="auto"/>
                    <w:left w:val="none" w:sz="0" w:space="0" w:color="auto"/>
                    <w:bottom w:val="none" w:sz="0" w:space="0" w:color="auto"/>
                    <w:right w:val="none" w:sz="0" w:space="0" w:color="auto"/>
                  </w:divBdr>
                  <w:divsChild>
                    <w:div w:id="1055854632">
                      <w:marLeft w:val="0"/>
                      <w:marRight w:val="0"/>
                      <w:marTop w:val="0"/>
                      <w:marBottom w:val="0"/>
                      <w:divBdr>
                        <w:top w:val="none" w:sz="0" w:space="0" w:color="auto"/>
                        <w:left w:val="none" w:sz="0" w:space="0" w:color="auto"/>
                        <w:bottom w:val="none" w:sz="0" w:space="0" w:color="auto"/>
                        <w:right w:val="none" w:sz="0" w:space="0" w:color="auto"/>
                      </w:divBdr>
                    </w:div>
                  </w:divsChild>
                </w:div>
                <w:div w:id="457648190">
                  <w:marLeft w:val="0"/>
                  <w:marRight w:val="0"/>
                  <w:marTop w:val="0"/>
                  <w:marBottom w:val="0"/>
                  <w:divBdr>
                    <w:top w:val="none" w:sz="0" w:space="0" w:color="auto"/>
                    <w:left w:val="none" w:sz="0" w:space="0" w:color="auto"/>
                    <w:bottom w:val="none" w:sz="0" w:space="0" w:color="auto"/>
                    <w:right w:val="none" w:sz="0" w:space="0" w:color="auto"/>
                  </w:divBdr>
                  <w:divsChild>
                    <w:div w:id="2010062360">
                      <w:marLeft w:val="0"/>
                      <w:marRight w:val="0"/>
                      <w:marTop w:val="0"/>
                      <w:marBottom w:val="0"/>
                      <w:divBdr>
                        <w:top w:val="none" w:sz="0" w:space="0" w:color="auto"/>
                        <w:left w:val="none" w:sz="0" w:space="0" w:color="auto"/>
                        <w:bottom w:val="none" w:sz="0" w:space="0" w:color="auto"/>
                        <w:right w:val="none" w:sz="0" w:space="0" w:color="auto"/>
                      </w:divBdr>
                    </w:div>
                  </w:divsChild>
                </w:div>
                <w:div w:id="1978294044">
                  <w:marLeft w:val="0"/>
                  <w:marRight w:val="0"/>
                  <w:marTop w:val="0"/>
                  <w:marBottom w:val="0"/>
                  <w:divBdr>
                    <w:top w:val="none" w:sz="0" w:space="0" w:color="auto"/>
                    <w:left w:val="none" w:sz="0" w:space="0" w:color="auto"/>
                    <w:bottom w:val="none" w:sz="0" w:space="0" w:color="auto"/>
                    <w:right w:val="none" w:sz="0" w:space="0" w:color="auto"/>
                  </w:divBdr>
                  <w:divsChild>
                    <w:div w:id="1639452943">
                      <w:marLeft w:val="0"/>
                      <w:marRight w:val="0"/>
                      <w:marTop w:val="0"/>
                      <w:marBottom w:val="0"/>
                      <w:divBdr>
                        <w:top w:val="none" w:sz="0" w:space="0" w:color="auto"/>
                        <w:left w:val="none" w:sz="0" w:space="0" w:color="auto"/>
                        <w:bottom w:val="none" w:sz="0" w:space="0" w:color="auto"/>
                        <w:right w:val="none" w:sz="0" w:space="0" w:color="auto"/>
                      </w:divBdr>
                    </w:div>
                  </w:divsChild>
                </w:div>
                <w:div w:id="884491521">
                  <w:marLeft w:val="0"/>
                  <w:marRight w:val="0"/>
                  <w:marTop w:val="0"/>
                  <w:marBottom w:val="0"/>
                  <w:divBdr>
                    <w:top w:val="none" w:sz="0" w:space="0" w:color="auto"/>
                    <w:left w:val="none" w:sz="0" w:space="0" w:color="auto"/>
                    <w:bottom w:val="none" w:sz="0" w:space="0" w:color="auto"/>
                    <w:right w:val="none" w:sz="0" w:space="0" w:color="auto"/>
                  </w:divBdr>
                  <w:divsChild>
                    <w:div w:id="1211964843">
                      <w:marLeft w:val="0"/>
                      <w:marRight w:val="0"/>
                      <w:marTop w:val="0"/>
                      <w:marBottom w:val="0"/>
                      <w:divBdr>
                        <w:top w:val="none" w:sz="0" w:space="0" w:color="auto"/>
                        <w:left w:val="none" w:sz="0" w:space="0" w:color="auto"/>
                        <w:bottom w:val="none" w:sz="0" w:space="0" w:color="auto"/>
                        <w:right w:val="none" w:sz="0" w:space="0" w:color="auto"/>
                      </w:divBdr>
                    </w:div>
                  </w:divsChild>
                </w:div>
                <w:div w:id="1936860554">
                  <w:marLeft w:val="0"/>
                  <w:marRight w:val="0"/>
                  <w:marTop w:val="0"/>
                  <w:marBottom w:val="0"/>
                  <w:divBdr>
                    <w:top w:val="none" w:sz="0" w:space="0" w:color="auto"/>
                    <w:left w:val="none" w:sz="0" w:space="0" w:color="auto"/>
                    <w:bottom w:val="none" w:sz="0" w:space="0" w:color="auto"/>
                    <w:right w:val="none" w:sz="0" w:space="0" w:color="auto"/>
                  </w:divBdr>
                  <w:divsChild>
                    <w:div w:id="1125779354">
                      <w:marLeft w:val="0"/>
                      <w:marRight w:val="0"/>
                      <w:marTop w:val="0"/>
                      <w:marBottom w:val="0"/>
                      <w:divBdr>
                        <w:top w:val="none" w:sz="0" w:space="0" w:color="auto"/>
                        <w:left w:val="none" w:sz="0" w:space="0" w:color="auto"/>
                        <w:bottom w:val="none" w:sz="0" w:space="0" w:color="auto"/>
                        <w:right w:val="none" w:sz="0" w:space="0" w:color="auto"/>
                      </w:divBdr>
                    </w:div>
                    <w:div w:id="554854009">
                      <w:marLeft w:val="0"/>
                      <w:marRight w:val="0"/>
                      <w:marTop w:val="0"/>
                      <w:marBottom w:val="0"/>
                      <w:divBdr>
                        <w:top w:val="none" w:sz="0" w:space="0" w:color="auto"/>
                        <w:left w:val="none" w:sz="0" w:space="0" w:color="auto"/>
                        <w:bottom w:val="none" w:sz="0" w:space="0" w:color="auto"/>
                        <w:right w:val="none" w:sz="0" w:space="0" w:color="auto"/>
                      </w:divBdr>
                    </w:div>
                    <w:div w:id="1698852711">
                      <w:marLeft w:val="0"/>
                      <w:marRight w:val="0"/>
                      <w:marTop w:val="0"/>
                      <w:marBottom w:val="0"/>
                      <w:divBdr>
                        <w:top w:val="none" w:sz="0" w:space="0" w:color="auto"/>
                        <w:left w:val="none" w:sz="0" w:space="0" w:color="auto"/>
                        <w:bottom w:val="none" w:sz="0" w:space="0" w:color="auto"/>
                        <w:right w:val="none" w:sz="0" w:space="0" w:color="auto"/>
                      </w:divBdr>
                    </w:div>
                  </w:divsChild>
                </w:div>
                <w:div w:id="313417714">
                  <w:marLeft w:val="0"/>
                  <w:marRight w:val="0"/>
                  <w:marTop w:val="0"/>
                  <w:marBottom w:val="0"/>
                  <w:divBdr>
                    <w:top w:val="none" w:sz="0" w:space="0" w:color="auto"/>
                    <w:left w:val="none" w:sz="0" w:space="0" w:color="auto"/>
                    <w:bottom w:val="none" w:sz="0" w:space="0" w:color="auto"/>
                    <w:right w:val="none" w:sz="0" w:space="0" w:color="auto"/>
                  </w:divBdr>
                  <w:divsChild>
                    <w:div w:id="551842995">
                      <w:marLeft w:val="0"/>
                      <w:marRight w:val="0"/>
                      <w:marTop w:val="0"/>
                      <w:marBottom w:val="0"/>
                      <w:divBdr>
                        <w:top w:val="none" w:sz="0" w:space="0" w:color="auto"/>
                        <w:left w:val="none" w:sz="0" w:space="0" w:color="auto"/>
                        <w:bottom w:val="none" w:sz="0" w:space="0" w:color="auto"/>
                        <w:right w:val="none" w:sz="0" w:space="0" w:color="auto"/>
                      </w:divBdr>
                    </w:div>
                  </w:divsChild>
                </w:div>
                <w:div w:id="2117823571">
                  <w:marLeft w:val="0"/>
                  <w:marRight w:val="0"/>
                  <w:marTop w:val="0"/>
                  <w:marBottom w:val="0"/>
                  <w:divBdr>
                    <w:top w:val="none" w:sz="0" w:space="0" w:color="auto"/>
                    <w:left w:val="none" w:sz="0" w:space="0" w:color="auto"/>
                    <w:bottom w:val="none" w:sz="0" w:space="0" w:color="auto"/>
                    <w:right w:val="none" w:sz="0" w:space="0" w:color="auto"/>
                  </w:divBdr>
                  <w:divsChild>
                    <w:div w:id="1659268407">
                      <w:marLeft w:val="0"/>
                      <w:marRight w:val="0"/>
                      <w:marTop w:val="0"/>
                      <w:marBottom w:val="0"/>
                      <w:divBdr>
                        <w:top w:val="none" w:sz="0" w:space="0" w:color="auto"/>
                        <w:left w:val="none" w:sz="0" w:space="0" w:color="auto"/>
                        <w:bottom w:val="none" w:sz="0" w:space="0" w:color="auto"/>
                        <w:right w:val="none" w:sz="0" w:space="0" w:color="auto"/>
                      </w:divBdr>
                    </w:div>
                  </w:divsChild>
                </w:div>
                <w:div w:id="1512599899">
                  <w:marLeft w:val="0"/>
                  <w:marRight w:val="0"/>
                  <w:marTop w:val="0"/>
                  <w:marBottom w:val="0"/>
                  <w:divBdr>
                    <w:top w:val="none" w:sz="0" w:space="0" w:color="auto"/>
                    <w:left w:val="none" w:sz="0" w:space="0" w:color="auto"/>
                    <w:bottom w:val="none" w:sz="0" w:space="0" w:color="auto"/>
                    <w:right w:val="none" w:sz="0" w:space="0" w:color="auto"/>
                  </w:divBdr>
                  <w:divsChild>
                    <w:div w:id="1112286406">
                      <w:marLeft w:val="0"/>
                      <w:marRight w:val="0"/>
                      <w:marTop w:val="0"/>
                      <w:marBottom w:val="0"/>
                      <w:divBdr>
                        <w:top w:val="none" w:sz="0" w:space="0" w:color="auto"/>
                        <w:left w:val="none" w:sz="0" w:space="0" w:color="auto"/>
                        <w:bottom w:val="none" w:sz="0" w:space="0" w:color="auto"/>
                        <w:right w:val="none" w:sz="0" w:space="0" w:color="auto"/>
                      </w:divBdr>
                    </w:div>
                  </w:divsChild>
                </w:div>
                <w:div w:id="961038031">
                  <w:marLeft w:val="0"/>
                  <w:marRight w:val="0"/>
                  <w:marTop w:val="0"/>
                  <w:marBottom w:val="0"/>
                  <w:divBdr>
                    <w:top w:val="none" w:sz="0" w:space="0" w:color="auto"/>
                    <w:left w:val="none" w:sz="0" w:space="0" w:color="auto"/>
                    <w:bottom w:val="none" w:sz="0" w:space="0" w:color="auto"/>
                    <w:right w:val="none" w:sz="0" w:space="0" w:color="auto"/>
                  </w:divBdr>
                  <w:divsChild>
                    <w:div w:id="1725568765">
                      <w:marLeft w:val="0"/>
                      <w:marRight w:val="0"/>
                      <w:marTop w:val="0"/>
                      <w:marBottom w:val="0"/>
                      <w:divBdr>
                        <w:top w:val="none" w:sz="0" w:space="0" w:color="auto"/>
                        <w:left w:val="none" w:sz="0" w:space="0" w:color="auto"/>
                        <w:bottom w:val="none" w:sz="0" w:space="0" w:color="auto"/>
                        <w:right w:val="none" w:sz="0" w:space="0" w:color="auto"/>
                      </w:divBdr>
                    </w:div>
                    <w:div w:id="27998064">
                      <w:marLeft w:val="0"/>
                      <w:marRight w:val="0"/>
                      <w:marTop w:val="0"/>
                      <w:marBottom w:val="0"/>
                      <w:divBdr>
                        <w:top w:val="none" w:sz="0" w:space="0" w:color="auto"/>
                        <w:left w:val="none" w:sz="0" w:space="0" w:color="auto"/>
                        <w:bottom w:val="none" w:sz="0" w:space="0" w:color="auto"/>
                        <w:right w:val="none" w:sz="0" w:space="0" w:color="auto"/>
                      </w:divBdr>
                    </w:div>
                    <w:div w:id="1354922975">
                      <w:marLeft w:val="0"/>
                      <w:marRight w:val="0"/>
                      <w:marTop w:val="0"/>
                      <w:marBottom w:val="0"/>
                      <w:divBdr>
                        <w:top w:val="none" w:sz="0" w:space="0" w:color="auto"/>
                        <w:left w:val="none" w:sz="0" w:space="0" w:color="auto"/>
                        <w:bottom w:val="none" w:sz="0" w:space="0" w:color="auto"/>
                        <w:right w:val="none" w:sz="0" w:space="0" w:color="auto"/>
                      </w:divBdr>
                    </w:div>
                  </w:divsChild>
                </w:div>
                <w:div w:id="1537888747">
                  <w:marLeft w:val="0"/>
                  <w:marRight w:val="0"/>
                  <w:marTop w:val="0"/>
                  <w:marBottom w:val="0"/>
                  <w:divBdr>
                    <w:top w:val="none" w:sz="0" w:space="0" w:color="auto"/>
                    <w:left w:val="none" w:sz="0" w:space="0" w:color="auto"/>
                    <w:bottom w:val="none" w:sz="0" w:space="0" w:color="auto"/>
                    <w:right w:val="none" w:sz="0" w:space="0" w:color="auto"/>
                  </w:divBdr>
                  <w:divsChild>
                    <w:div w:id="420225365">
                      <w:marLeft w:val="0"/>
                      <w:marRight w:val="0"/>
                      <w:marTop w:val="0"/>
                      <w:marBottom w:val="0"/>
                      <w:divBdr>
                        <w:top w:val="none" w:sz="0" w:space="0" w:color="auto"/>
                        <w:left w:val="none" w:sz="0" w:space="0" w:color="auto"/>
                        <w:bottom w:val="none" w:sz="0" w:space="0" w:color="auto"/>
                        <w:right w:val="none" w:sz="0" w:space="0" w:color="auto"/>
                      </w:divBdr>
                    </w:div>
                  </w:divsChild>
                </w:div>
                <w:div w:id="91053591">
                  <w:marLeft w:val="0"/>
                  <w:marRight w:val="0"/>
                  <w:marTop w:val="0"/>
                  <w:marBottom w:val="0"/>
                  <w:divBdr>
                    <w:top w:val="none" w:sz="0" w:space="0" w:color="auto"/>
                    <w:left w:val="none" w:sz="0" w:space="0" w:color="auto"/>
                    <w:bottom w:val="none" w:sz="0" w:space="0" w:color="auto"/>
                    <w:right w:val="none" w:sz="0" w:space="0" w:color="auto"/>
                  </w:divBdr>
                  <w:divsChild>
                    <w:div w:id="1416316272">
                      <w:marLeft w:val="0"/>
                      <w:marRight w:val="0"/>
                      <w:marTop w:val="0"/>
                      <w:marBottom w:val="0"/>
                      <w:divBdr>
                        <w:top w:val="none" w:sz="0" w:space="0" w:color="auto"/>
                        <w:left w:val="none" w:sz="0" w:space="0" w:color="auto"/>
                        <w:bottom w:val="none" w:sz="0" w:space="0" w:color="auto"/>
                        <w:right w:val="none" w:sz="0" w:space="0" w:color="auto"/>
                      </w:divBdr>
                    </w:div>
                  </w:divsChild>
                </w:div>
                <w:div w:id="173960289">
                  <w:marLeft w:val="0"/>
                  <w:marRight w:val="0"/>
                  <w:marTop w:val="0"/>
                  <w:marBottom w:val="0"/>
                  <w:divBdr>
                    <w:top w:val="none" w:sz="0" w:space="0" w:color="auto"/>
                    <w:left w:val="none" w:sz="0" w:space="0" w:color="auto"/>
                    <w:bottom w:val="none" w:sz="0" w:space="0" w:color="auto"/>
                    <w:right w:val="none" w:sz="0" w:space="0" w:color="auto"/>
                  </w:divBdr>
                  <w:divsChild>
                    <w:div w:id="866483649">
                      <w:marLeft w:val="0"/>
                      <w:marRight w:val="0"/>
                      <w:marTop w:val="0"/>
                      <w:marBottom w:val="0"/>
                      <w:divBdr>
                        <w:top w:val="none" w:sz="0" w:space="0" w:color="auto"/>
                        <w:left w:val="none" w:sz="0" w:space="0" w:color="auto"/>
                        <w:bottom w:val="none" w:sz="0" w:space="0" w:color="auto"/>
                        <w:right w:val="none" w:sz="0" w:space="0" w:color="auto"/>
                      </w:divBdr>
                    </w:div>
                  </w:divsChild>
                </w:div>
                <w:div w:id="1166244417">
                  <w:marLeft w:val="0"/>
                  <w:marRight w:val="0"/>
                  <w:marTop w:val="0"/>
                  <w:marBottom w:val="0"/>
                  <w:divBdr>
                    <w:top w:val="none" w:sz="0" w:space="0" w:color="auto"/>
                    <w:left w:val="none" w:sz="0" w:space="0" w:color="auto"/>
                    <w:bottom w:val="none" w:sz="0" w:space="0" w:color="auto"/>
                    <w:right w:val="none" w:sz="0" w:space="0" w:color="auto"/>
                  </w:divBdr>
                  <w:divsChild>
                    <w:div w:id="1698460923">
                      <w:marLeft w:val="0"/>
                      <w:marRight w:val="0"/>
                      <w:marTop w:val="0"/>
                      <w:marBottom w:val="0"/>
                      <w:divBdr>
                        <w:top w:val="none" w:sz="0" w:space="0" w:color="auto"/>
                        <w:left w:val="none" w:sz="0" w:space="0" w:color="auto"/>
                        <w:bottom w:val="none" w:sz="0" w:space="0" w:color="auto"/>
                        <w:right w:val="none" w:sz="0" w:space="0" w:color="auto"/>
                      </w:divBdr>
                    </w:div>
                    <w:div w:id="1990010342">
                      <w:marLeft w:val="0"/>
                      <w:marRight w:val="0"/>
                      <w:marTop w:val="0"/>
                      <w:marBottom w:val="0"/>
                      <w:divBdr>
                        <w:top w:val="none" w:sz="0" w:space="0" w:color="auto"/>
                        <w:left w:val="none" w:sz="0" w:space="0" w:color="auto"/>
                        <w:bottom w:val="none" w:sz="0" w:space="0" w:color="auto"/>
                        <w:right w:val="none" w:sz="0" w:space="0" w:color="auto"/>
                      </w:divBdr>
                    </w:div>
                    <w:div w:id="2137677952">
                      <w:marLeft w:val="0"/>
                      <w:marRight w:val="0"/>
                      <w:marTop w:val="0"/>
                      <w:marBottom w:val="0"/>
                      <w:divBdr>
                        <w:top w:val="none" w:sz="0" w:space="0" w:color="auto"/>
                        <w:left w:val="none" w:sz="0" w:space="0" w:color="auto"/>
                        <w:bottom w:val="none" w:sz="0" w:space="0" w:color="auto"/>
                        <w:right w:val="none" w:sz="0" w:space="0" w:color="auto"/>
                      </w:divBdr>
                    </w:div>
                  </w:divsChild>
                </w:div>
                <w:div w:id="934217166">
                  <w:marLeft w:val="0"/>
                  <w:marRight w:val="0"/>
                  <w:marTop w:val="0"/>
                  <w:marBottom w:val="0"/>
                  <w:divBdr>
                    <w:top w:val="none" w:sz="0" w:space="0" w:color="auto"/>
                    <w:left w:val="none" w:sz="0" w:space="0" w:color="auto"/>
                    <w:bottom w:val="none" w:sz="0" w:space="0" w:color="auto"/>
                    <w:right w:val="none" w:sz="0" w:space="0" w:color="auto"/>
                  </w:divBdr>
                  <w:divsChild>
                    <w:div w:id="993223765">
                      <w:marLeft w:val="0"/>
                      <w:marRight w:val="0"/>
                      <w:marTop w:val="0"/>
                      <w:marBottom w:val="0"/>
                      <w:divBdr>
                        <w:top w:val="none" w:sz="0" w:space="0" w:color="auto"/>
                        <w:left w:val="none" w:sz="0" w:space="0" w:color="auto"/>
                        <w:bottom w:val="none" w:sz="0" w:space="0" w:color="auto"/>
                        <w:right w:val="none" w:sz="0" w:space="0" w:color="auto"/>
                      </w:divBdr>
                    </w:div>
                  </w:divsChild>
                </w:div>
                <w:div w:id="2094625522">
                  <w:marLeft w:val="0"/>
                  <w:marRight w:val="0"/>
                  <w:marTop w:val="0"/>
                  <w:marBottom w:val="0"/>
                  <w:divBdr>
                    <w:top w:val="none" w:sz="0" w:space="0" w:color="auto"/>
                    <w:left w:val="none" w:sz="0" w:space="0" w:color="auto"/>
                    <w:bottom w:val="none" w:sz="0" w:space="0" w:color="auto"/>
                    <w:right w:val="none" w:sz="0" w:space="0" w:color="auto"/>
                  </w:divBdr>
                  <w:divsChild>
                    <w:div w:id="1275870506">
                      <w:marLeft w:val="0"/>
                      <w:marRight w:val="0"/>
                      <w:marTop w:val="0"/>
                      <w:marBottom w:val="0"/>
                      <w:divBdr>
                        <w:top w:val="none" w:sz="0" w:space="0" w:color="auto"/>
                        <w:left w:val="none" w:sz="0" w:space="0" w:color="auto"/>
                        <w:bottom w:val="none" w:sz="0" w:space="0" w:color="auto"/>
                        <w:right w:val="none" w:sz="0" w:space="0" w:color="auto"/>
                      </w:divBdr>
                    </w:div>
                  </w:divsChild>
                </w:div>
                <w:div w:id="1982804298">
                  <w:marLeft w:val="0"/>
                  <w:marRight w:val="0"/>
                  <w:marTop w:val="0"/>
                  <w:marBottom w:val="0"/>
                  <w:divBdr>
                    <w:top w:val="none" w:sz="0" w:space="0" w:color="auto"/>
                    <w:left w:val="none" w:sz="0" w:space="0" w:color="auto"/>
                    <w:bottom w:val="none" w:sz="0" w:space="0" w:color="auto"/>
                    <w:right w:val="none" w:sz="0" w:space="0" w:color="auto"/>
                  </w:divBdr>
                  <w:divsChild>
                    <w:div w:id="1445878033">
                      <w:marLeft w:val="0"/>
                      <w:marRight w:val="0"/>
                      <w:marTop w:val="0"/>
                      <w:marBottom w:val="0"/>
                      <w:divBdr>
                        <w:top w:val="none" w:sz="0" w:space="0" w:color="auto"/>
                        <w:left w:val="none" w:sz="0" w:space="0" w:color="auto"/>
                        <w:bottom w:val="none" w:sz="0" w:space="0" w:color="auto"/>
                        <w:right w:val="none" w:sz="0" w:space="0" w:color="auto"/>
                      </w:divBdr>
                    </w:div>
                  </w:divsChild>
                </w:div>
                <w:div w:id="602422450">
                  <w:marLeft w:val="0"/>
                  <w:marRight w:val="0"/>
                  <w:marTop w:val="0"/>
                  <w:marBottom w:val="0"/>
                  <w:divBdr>
                    <w:top w:val="none" w:sz="0" w:space="0" w:color="auto"/>
                    <w:left w:val="none" w:sz="0" w:space="0" w:color="auto"/>
                    <w:bottom w:val="none" w:sz="0" w:space="0" w:color="auto"/>
                    <w:right w:val="none" w:sz="0" w:space="0" w:color="auto"/>
                  </w:divBdr>
                  <w:divsChild>
                    <w:div w:id="188420651">
                      <w:marLeft w:val="0"/>
                      <w:marRight w:val="0"/>
                      <w:marTop w:val="0"/>
                      <w:marBottom w:val="0"/>
                      <w:divBdr>
                        <w:top w:val="none" w:sz="0" w:space="0" w:color="auto"/>
                        <w:left w:val="none" w:sz="0" w:space="0" w:color="auto"/>
                        <w:bottom w:val="none" w:sz="0" w:space="0" w:color="auto"/>
                        <w:right w:val="none" w:sz="0" w:space="0" w:color="auto"/>
                      </w:divBdr>
                    </w:div>
                    <w:div w:id="354045395">
                      <w:marLeft w:val="0"/>
                      <w:marRight w:val="0"/>
                      <w:marTop w:val="0"/>
                      <w:marBottom w:val="0"/>
                      <w:divBdr>
                        <w:top w:val="none" w:sz="0" w:space="0" w:color="auto"/>
                        <w:left w:val="none" w:sz="0" w:space="0" w:color="auto"/>
                        <w:bottom w:val="none" w:sz="0" w:space="0" w:color="auto"/>
                        <w:right w:val="none" w:sz="0" w:space="0" w:color="auto"/>
                      </w:divBdr>
                    </w:div>
                    <w:div w:id="1152211943">
                      <w:marLeft w:val="0"/>
                      <w:marRight w:val="0"/>
                      <w:marTop w:val="0"/>
                      <w:marBottom w:val="0"/>
                      <w:divBdr>
                        <w:top w:val="none" w:sz="0" w:space="0" w:color="auto"/>
                        <w:left w:val="none" w:sz="0" w:space="0" w:color="auto"/>
                        <w:bottom w:val="none" w:sz="0" w:space="0" w:color="auto"/>
                        <w:right w:val="none" w:sz="0" w:space="0" w:color="auto"/>
                      </w:divBdr>
                    </w:div>
                    <w:div w:id="1605452956">
                      <w:marLeft w:val="0"/>
                      <w:marRight w:val="0"/>
                      <w:marTop w:val="0"/>
                      <w:marBottom w:val="0"/>
                      <w:divBdr>
                        <w:top w:val="none" w:sz="0" w:space="0" w:color="auto"/>
                        <w:left w:val="none" w:sz="0" w:space="0" w:color="auto"/>
                        <w:bottom w:val="none" w:sz="0" w:space="0" w:color="auto"/>
                        <w:right w:val="none" w:sz="0" w:space="0" w:color="auto"/>
                      </w:divBdr>
                    </w:div>
                  </w:divsChild>
                </w:div>
                <w:div w:id="681204201">
                  <w:marLeft w:val="0"/>
                  <w:marRight w:val="0"/>
                  <w:marTop w:val="0"/>
                  <w:marBottom w:val="0"/>
                  <w:divBdr>
                    <w:top w:val="none" w:sz="0" w:space="0" w:color="auto"/>
                    <w:left w:val="none" w:sz="0" w:space="0" w:color="auto"/>
                    <w:bottom w:val="none" w:sz="0" w:space="0" w:color="auto"/>
                    <w:right w:val="none" w:sz="0" w:space="0" w:color="auto"/>
                  </w:divBdr>
                  <w:divsChild>
                    <w:div w:id="506216463">
                      <w:marLeft w:val="0"/>
                      <w:marRight w:val="0"/>
                      <w:marTop w:val="0"/>
                      <w:marBottom w:val="0"/>
                      <w:divBdr>
                        <w:top w:val="none" w:sz="0" w:space="0" w:color="auto"/>
                        <w:left w:val="none" w:sz="0" w:space="0" w:color="auto"/>
                        <w:bottom w:val="none" w:sz="0" w:space="0" w:color="auto"/>
                        <w:right w:val="none" w:sz="0" w:space="0" w:color="auto"/>
                      </w:divBdr>
                    </w:div>
                  </w:divsChild>
                </w:div>
                <w:div w:id="343675227">
                  <w:marLeft w:val="0"/>
                  <w:marRight w:val="0"/>
                  <w:marTop w:val="0"/>
                  <w:marBottom w:val="0"/>
                  <w:divBdr>
                    <w:top w:val="none" w:sz="0" w:space="0" w:color="auto"/>
                    <w:left w:val="none" w:sz="0" w:space="0" w:color="auto"/>
                    <w:bottom w:val="none" w:sz="0" w:space="0" w:color="auto"/>
                    <w:right w:val="none" w:sz="0" w:space="0" w:color="auto"/>
                  </w:divBdr>
                  <w:divsChild>
                    <w:div w:id="1488743088">
                      <w:marLeft w:val="0"/>
                      <w:marRight w:val="0"/>
                      <w:marTop w:val="0"/>
                      <w:marBottom w:val="0"/>
                      <w:divBdr>
                        <w:top w:val="none" w:sz="0" w:space="0" w:color="auto"/>
                        <w:left w:val="none" w:sz="0" w:space="0" w:color="auto"/>
                        <w:bottom w:val="none" w:sz="0" w:space="0" w:color="auto"/>
                        <w:right w:val="none" w:sz="0" w:space="0" w:color="auto"/>
                      </w:divBdr>
                    </w:div>
                  </w:divsChild>
                </w:div>
                <w:div w:id="929657128">
                  <w:marLeft w:val="0"/>
                  <w:marRight w:val="0"/>
                  <w:marTop w:val="0"/>
                  <w:marBottom w:val="0"/>
                  <w:divBdr>
                    <w:top w:val="none" w:sz="0" w:space="0" w:color="auto"/>
                    <w:left w:val="none" w:sz="0" w:space="0" w:color="auto"/>
                    <w:bottom w:val="none" w:sz="0" w:space="0" w:color="auto"/>
                    <w:right w:val="none" w:sz="0" w:space="0" w:color="auto"/>
                  </w:divBdr>
                  <w:divsChild>
                    <w:div w:id="1594049549">
                      <w:marLeft w:val="0"/>
                      <w:marRight w:val="0"/>
                      <w:marTop w:val="0"/>
                      <w:marBottom w:val="0"/>
                      <w:divBdr>
                        <w:top w:val="none" w:sz="0" w:space="0" w:color="auto"/>
                        <w:left w:val="none" w:sz="0" w:space="0" w:color="auto"/>
                        <w:bottom w:val="none" w:sz="0" w:space="0" w:color="auto"/>
                        <w:right w:val="none" w:sz="0" w:space="0" w:color="auto"/>
                      </w:divBdr>
                    </w:div>
                  </w:divsChild>
                </w:div>
                <w:div w:id="62922017">
                  <w:marLeft w:val="0"/>
                  <w:marRight w:val="0"/>
                  <w:marTop w:val="0"/>
                  <w:marBottom w:val="0"/>
                  <w:divBdr>
                    <w:top w:val="none" w:sz="0" w:space="0" w:color="auto"/>
                    <w:left w:val="none" w:sz="0" w:space="0" w:color="auto"/>
                    <w:bottom w:val="none" w:sz="0" w:space="0" w:color="auto"/>
                    <w:right w:val="none" w:sz="0" w:space="0" w:color="auto"/>
                  </w:divBdr>
                  <w:divsChild>
                    <w:div w:id="670137852">
                      <w:marLeft w:val="0"/>
                      <w:marRight w:val="0"/>
                      <w:marTop w:val="0"/>
                      <w:marBottom w:val="0"/>
                      <w:divBdr>
                        <w:top w:val="none" w:sz="0" w:space="0" w:color="auto"/>
                        <w:left w:val="none" w:sz="0" w:space="0" w:color="auto"/>
                        <w:bottom w:val="none" w:sz="0" w:space="0" w:color="auto"/>
                        <w:right w:val="none" w:sz="0" w:space="0" w:color="auto"/>
                      </w:divBdr>
                    </w:div>
                    <w:div w:id="1381243042">
                      <w:marLeft w:val="0"/>
                      <w:marRight w:val="0"/>
                      <w:marTop w:val="0"/>
                      <w:marBottom w:val="0"/>
                      <w:divBdr>
                        <w:top w:val="none" w:sz="0" w:space="0" w:color="auto"/>
                        <w:left w:val="none" w:sz="0" w:space="0" w:color="auto"/>
                        <w:bottom w:val="none" w:sz="0" w:space="0" w:color="auto"/>
                        <w:right w:val="none" w:sz="0" w:space="0" w:color="auto"/>
                      </w:divBdr>
                    </w:div>
                    <w:div w:id="191039582">
                      <w:marLeft w:val="0"/>
                      <w:marRight w:val="0"/>
                      <w:marTop w:val="0"/>
                      <w:marBottom w:val="0"/>
                      <w:divBdr>
                        <w:top w:val="none" w:sz="0" w:space="0" w:color="auto"/>
                        <w:left w:val="none" w:sz="0" w:space="0" w:color="auto"/>
                        <w:bottom w:val="none" w:sz="0" w:space="0" w:color="auto"/>
                        <w:right w:val="none" w:sz="0" w:space="0" w:color="auto"/>
                      </w:divBdr>
                    </w:div>
                  </w:divsChild>
                </w:div>
                <w:div w:id="1339574114">
                  <w:marLeft w:val="0"/>
                  <w:marRight w:val="0"/>
                  <w:marTop w:val="0"/>
                  <w:marBottom w:val="0"/>
                  <w:divBdr>
                    <w:top w:val="none" w:sz="0" w:space="0" w:color="auto"/>
                    <w:left w:val="none" w:sz="0" w:space="0" w:color="auto"/>
                    <w:bottom w:val="none" w:sz="0" w:space="0" w:color="auto"/>
                    <w:right w:val="none" w:sz="0" w:space="0" w:color="auto"/>
                  </w:divBdr>
                  <w:divsChild>
                    <w:div w:id="2033722930">
                      <w:marLeft w:val="0"/>
                      <w:marRight w:val="0"/>
                      <w:marTop w:val="0"/>
                      <w:marBottom w:val="0"/>
                      <w:divBdr>
                        <w:top w:val="none" w:sz="0" w:space="0" w:color="auto"/>
                        <w:left w:val="none" w:sz="0" w:space="0" w:color="auto"/>
                        <w:bottom w:val="none" w:sz="0" w:space="0" w:color="auto"/>
                        <w:right w:val="none" w:sz="0" w:space="0" w:color="auto"/>
                      </w:divBdr>
                    </w:div>
                  </w:divsChild>
                </w:div>
                <w:div w:id="1359966303">
                  <w:marLeft w:val="0"/>
                  <w:marRight w:val="0"/>
                  <w:marTop w:val="0"/>
                  <w:marBottom w:val="0"/>
                  <w:divBdr>
                    <w:top w:val="none" w:sz="0" w:space="0" w:color="auto"/>
                    <w:left w:val="none" w:sz="0" w:space="0" w:color="auto"/>
                    <w:bottom w:val="none" w:sz="0" w:space="0" w:color="auto"/>
                    <w:right w:val="none" w:sz="0" w:space="0" w:color="auto"/>
                  </w:divBdr>
                  <w:divsChild>
                    <w:div w:id="546180916">
                      <w:marLeft w:val="0"/>
                      <w:marRight w:val="0"/>
                      <w:marTop w:val="0"/>
                      <w:marBottom w:val="0"/>
                      <w:divBdr>
                        <w:top w:val="none" w:sz="0" w:space="0" w:color="auto"/>
                        <w:left w:val="none" w:sz="0" w:space="0" w:color="auto"/>
                        <w:bottom w:val="none" w:sz="0" w:space="0" w:color="auto"/>
                        <w:right w:val="none" w:sz="0" w:space="0" w:color="auto"/>
                      </w:divBdr>
                    </w:div>
                  </w:divsChild>
                </w:div>
                <w:div w:id="420024720">
                  <w:marLeft w:val="0"/>
                  <w:marRight w:val="0"/>
                  <w:marTop w:val="0"/>
                  <w:marBottom w:val="0"/>
                  <w:divBdr>
                    <w:top w:val="none" w:sz="0" w:space="0" w:color="auto"/>
                    <w:left w:val="none" w:sz="0" w:space="0" w:color="auto"/>
                    <w:bottom w:val="none" w:sz="0" w:space="0" w:color="auto"/>
                    <w:right w:val="none" w:sz="0" w:space="0" w:color="auto"/>
                  </w:divBdr>
                  <w:divsChild>
                    <w:div w:id="501746332">
                      <w:marLeft w:val="0"/>
                      <w:marRight w:val="0"/>
                      <w:marTop w:val="0"/>
                      <w:marBottom w:val="0"/>
                      <w:divBdr>
                        <w:top w:val="none" w:sz="0" w:space="0" w:color="auto"/>
                        <w:left w:val="none" w:sz="0" w:space="0" w:color="auto"/>
                        <w:bottom w:val="none" w:sz="0" w:space="0" w:color="auto"/>
                        <w:right w:val="none" w:sz="0" w:space="0" w:color="auto"/>
                      </w:divBdr>
                    </w:div>
                  </w:divsChild>
                </w:div>
                <w:div w:id="2114595342">
                  <w:marLeft w:val="0"/>
                  <w:marRight w:val="0"/>
                  <w:marTop w:val="0"/>
                  <w:marBottom w:val="0"/>
                  <w:divBdr>
                    <w:top w:val="none" w:sz="0" w:space="0" w:color="auto"/>
                    <w:left w:val="none" w:sz="0" w:space="0" w:color="auto"/>
                    <w:bottom w:val="none" w:sz="0" w:space="0" w:color="auto"/>
                    <w:right w:val="none" w:sz="0" w:space="0" w:color="auto"/>
                  </w:divBdr>
                  <w:divsChild>
                    <w:div w:id="1589076863">
                      <w:marLeft w:val="0"/>
                      <w:marRight w:val="0"/>
                      <w:marTop w:val="0"/>
                      <w:marBottom w:val="0"/>
                      <w:divBdr>
                        <w:top w:val="none" w:sz="0" w:space="0" w:color="auto"/>
                        <w:left w:val="none" w:sz="0" w:space="0" w:color="auto"/>
                        <w:bottom w:val="none" w:sz="0" w:space="0" w:color="auto"/>
                        <w:right w:val="none" w:sz="0" w:space="0" w:color="auto"/>
                      </w:divBdr>
                    </w:div>
                    <w:div w:id="768040345">
                      <w:marLeft w:val="0"/>
                      <w:marRight w:val="0"/>
                      <w:marTop w:val="0"/>
                      <w:marBottom w:val="0"/>
                      <w:divBdr>
                        <w:top w:val="none" w:sz="0" w:space="0" w:color="auto"/>
                        <w:left w:val="none" w:sz="0" w:space="0" w:color="auto"/>
                        <w:bottom w:val="none" w:sz="0" w:space="0" w:color="auto"/>
                        <w:right w:val="none" w:sz="0" w:space="0" w:color="auto"/>
                      </w:divBdr>
                    </w:div>
                    <w:div w:id="1256983863">
                      <w:marLeft w:val="0"/>
                      <w:marRight w:val="0"/>
                      <w:marTop w:val="0"/>
                      <w:marBottom w:val="0"/>
                      <w:divBdr>
                        <w:top w:val="none" w:sz="0" w:space="0" w:color="auto"/>
                        <w:left w:val="none" w:sz="0" w:space="0" w:color="auto"/>
                        <w:bottom w:val="none" w:sz="0" w:space="0" w:color="auto"/>
                        <w:right w:val="none" w:sz="0" w:space="0" w:color="auto"/>
                      </w:divBdr>
                    </w:div>
                  </w:divsChild>
                </w:div>
                <w:div w:id="1859006650">
                  <w:marLeft w:val="0"/>
                  <w:marRight w:val="0"/>
                  <w:marTop w:val="0"/>
                  <w:marBottom w:val="0"/>
                  <w:divBdr>
                    <w:top w:val="none" w:sz="0" w:space="0" w:color="auto"/>
                    <w:left w:val="none" w:sz="0" w:space="0" w:color="auto"/>
                    <w:bottom w:val="none" w:sz="0" w:space="0" w:color="auto"/>
                    <w:right w:val="none" w:sz="0" w:space="0" w:color="auto"/>
                  </w:divBdr>
                  <w:divsChild>
                    <w:div w:id="1712194556">
                      <w:marLeft w:val="0"/>
                      <w:marRight w:val="0"/>
                      <w:marTop w:val="0"/>
                      <w:marBottom w:val="0"/>
                      <w:divBdr>
                        <w:top w:val="none" w:sz="0" w:space="0" w:color="auto"/>
                        <w:left w:val="none" w:sz="0" w:space="0" w:color="auto"/>
                        <w:bottom w:val="none" w:sz="0" w:space="0" w:color="auto"/>
                        <w:right w:val="none" w:sz="0" w:space="0" w:color="auto"/>
                      </w:divBdr>
                    </w:div>
                  </w:divsChild>
                </w:div>
                <w:div w:id="168984172">
                  <w:marLeft w:val="0"/>
                  <w:marRight w:val="0"/>
                  <w:marTop w:val="0"/>
                  <w:marBottom w:val="0"/>
                  <w:divBdr>
                    <w:top w:val="none" w:sz="0" w:space="0" w:color="auto"/>
                    <w:left w:val="none" w:sz="0" w:space="0" w:color="auto"/>
                    <w:bottom w:val="none" w:sz="0" w:space="0" w:color="auto"/>
                    <w:right w:val="none" w:sz="0" w:space="0" w:color="auto"/>
                  </w:divBdr>
                  <w:divsChild>
                    <w:div w:id="1918436703">
                      <w:marLeft w:val="0"/>
                      <w:marRight w:val="0"/>
                      <w:marTop w:val="0"/>
                      <w:marBottom w:val="0"/>
                      <w:divBdr>
                        <w:top w:val="none" w:sz="0" w:space="0" w:color="auto"/>
                        <w:left w:val="none" w:sz="0" w:space="0" w:color="auto"/>
                        <w:bottom w:val="none" w:sz="0" w:space="0" w:color="auto"/>
                        <w:right w:val="none" w:sz="0" w:space="0" w:color="auto"/>
                      </w:divBdr>
                    </w:div>
                  </w:divsChild>
                </w:div>
                <w:div w:id="2064405066">
                  <w:marLeft w:val="0"/>
                  <w:marRight w:val="0"/>
                  <w:marTop w:val="0"/>
                  <w:marBottom w:val="0"/>
                  <w:divBdr>
                    <w:top w:val="none" w:sz="0" w:space="0" w:color="auto"/>
                    <w:left w:val="none" w:sz="0" w:space="0" w:color="auto"/>
                    <w:bottom w:val="none" w:sz="0" w:space="0" w:color="auto"/>
                    <w:right w:val="none" w:sz="0" w:space="0" w:color="auto"/>
                  </w:divBdr>
                  <w:divsChild>
                    <w:div w:id="315034458">
                      <w:marLeft w:val="0"/>
                      <w:marRight w:val="0"/>
                      <w:marTop w:val="0"/>
                      <w:marBottom w:val="0"/>
                      <w:divBdr>
                        <w:top w:val="none" w:sz="0" w:space="0" w:color="auto"/>
                        <w:left w:val="none" w:sz="0" w:space="0" w:color="auto"/>
                        <w:bottom w:val="none" w:sz="0" w:space="0" w:color="auto"/>
                        <w:right w:val="none" w:sz="0" w:space="0" w:color="auto"/>
                      </w:divBdr>
                    </w:div>
                  </w:divsChild>
                </w:div>
                <w:div w:id="525753872">
                  <w:marLeft w:val="0"/>
                  <w:marRight w:val="0"/>
                  <w:marTop w:val="0"/>
                  <w:marBottom w:val="0"/>
                  <w:divBdr>
                    <w:top w:val="none" w:sz="0" w:space="0" w:color="auto"/>
                    <w:left w:val="none" w:sz="0" w:space="0" w:color="auto"/>
                    <w:bottom w:val="none" w:sz="0" w:space="0" w:color="auto"/>
                    <w:right w:val="none" w:sz="0" w:space="0" w:color="auto"/>
                  </w:divBdr>
                  <w:divsChild>
                    <w:div w:id="1967657360">
                      <w:marLeft w:val="0"/>
                      <w:marRight w:val="0"/>
                      <w:marTop w:val="0"/>
                      <w:marBottom w:val="0"/>
                      <w:divBdr>
                        <w:top w:val="none" w:sz="0" w:space="0" w:color="auto"/>
                        <w:left w:val="none" w:sz="0" w:space="0" w:color="auto"/>
                        <w:bottom w:val="none" w:sz="0" w:space="0" w:color="auto"/>
                        <w:right w:val="none" w:sz="0" w:space="0" w:color="auto"/>
                      </w:divBdr>
                    </w:div>
                    <w:div w:id="1248610315">
                      <w:marLeft w:val="0"/>
                      <w:marRight w:val="0"/>
                      <w:marTop w:val="0"/>
                      <w:marBottom w:val="0"/>
                      <w:divBdr>
                        <w:top w:val="none" w:sz="0" w:space="0" w:color="auto"/>
                        <w:left w:val="none" w:sz="0" w:space="0" w:color="auto"/>
                        <w:bottom w:val="none" w:sz="0" w:space="0" w:color="auto"/>
                        <w:right w:val="none" w:sz="0" w:space="0" w:color="auto"/>
                      </w:divBdr>
                    </w:div>
                    <w:div w:id="1672565770">
                      <w:marLeft w:val="0"/>
                      <w:marRight w:val="0"/>
                      <w:marTop w:val="0"/>
                      <w:marBottom w:val="0"/>
                      <w:divBdr>
                        <w:top w:val="none" w:sz="0" w:space="0" w:color="auto"/>
                        <w:left w:val="none" w:sz="0" w:space="0" w:color="auto"/>
                        <w:bottom w:val="none" w:sz="0" w:space="0" w:color="auto"/>
                        <w:right w:val="none" w:sz="0" w:space="0" w:color="auto"/>
                      </w:divBdr>
                    </w:div>
                  </w:divsChild>
                </w:div>
                <w:div w:id="2042515267">
                  <w:marLeft w:val="0"/>
                  <w:marRight w:val="0"/>
                  <w:marTop w:val="0"/>
                  <w:marBottom w:val="0"/>
                  <w:divBdr>
                    <w:top w:val="none" w:sz="0" w:space="0" w:color="auto"/>
                    <w:left w:val="none" w:sz="0" w:space="0" w:color="auto"/>
                    <w:bottom w:val="none" w:sz="0" w:space="0" w:color="auto"/>
                    <w:right w:val="none" w:sz="0" w:space="0" w:color="auto"/>
                  </w:divBdr>
                  <w:divsChild>
                    <w:div w:id="1023477907">
                      <w:marLeft w:val="0"/>
                      <w:marRight w:val="0"/>
                      <w:marTop w:val="0"/>
                      <w:marBottom w:val="0"/>
                      <w:divBdr>
                        <w:top w:val="none" w:sz="0" w:space="0" w:color="auto"/>
                        <w:left w:val="none" w:sz="0" w:space="0" w:color="auto"/>
                        <w:bottom w:val="none" w:sz="0" w:space="0" w:color="auto"/>
                        <w:right w:val="none" w:sz="0" w:space="0" w:color="auto"/>
                      </w:divBdr>
                    </w:div>
                  </w:divsChild>
                </w:div>
                <w:div w:id="668757563">
                  <w:marLeft w:val="0"/>
                  <w:marRight w:val="0"/>
                  <w:marTop w:val="0"/>
                  <w:marBottom w:val="0"/>
                  <w:divBdr>
                    <w:top w:val="none" w:sz="0" w:space="0" w:color="auto"/>
                    <w:left w:val="none" w:sz="0" w:space="0" w:color="auto"/>
                    <w:bottom w:val="none" w:sz="0" w:space="0" w:color="auto"/>
                    <w:right w:val="none" w:sz="0" w:space="0" w:color="auto"/>
                  </w:divBdr>
                  <w:divsChild>
                    <w:div w:id="1652172697">
                      <w:marLeft w:val="0"/>
                      <w:marRight w:val="0"/>
                      <w:marTop w:val="0"/>
                      <w:marBottom w:val="0"/>
                      <w:divBdr>
                        <w:top w:val="none" w:sz="0" w:space="0" w:color="auto"/>
                        <w:left w:val="none" w:sz="0" w:space="0" w:color="auto"/>
                        <w:bottom w:val="none" w:sz="0" w:space="0" w:color="auto"/>
                        <w:right w:val="none" w:sz="0" w:space="0" w:color="auto"/>
                      </w:divBdr>
                    </w:div>
                  </w:divsChild>
                </w:div>
                <w:div w:id="2134640553">
                  <w:marLeft w:val="0"/>
                  <w:marRight w:val="0"/>
                  <w:marTop w:val="0"/>
                  <w:marBottom w:val="0"/>
                  <w:divBdr>
                    <w:top w:val="none" w:sz="0" w:space="0" w:color="auto"/>
                    <w:left w:val="none" w:sz="0" w:space="0" w:color="auto"/>
                    <w:bottom w:val="none" w:sz="0" w:space="0" w:color="auto"/>
                    <w:right w:val="none" w:sz="0" w:space="0" w:color="auto"/>
                  </w:divBdr>
                  <w:divsChild>
                    <w:div w:id="1470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52918">
          <w:marLeft w:val="0"/>
          <w:marRight w:val="0"/>
          <w:marTop w:val="0"/>
          <w:marBottom w:val="0"/>
          <w:divBdr>
            <w:top w:val="none" w:sz="0" w:space="0" w:color="auto"/>
            <w:left w:val="none" w:sz="0" w:space="0" w:color="auto"/>
            <w:bottom w:val="none" w:sz="0" w:space="0" w:color="auto"/>
            <w:right w:val="none" w:sz="0" w:space="0" w:color="auto"/>
          </w:divBdr>
        </w:div>
        <w:div w:id="130827282">
          <w:marLeft w:val="0"/>
          <w:marRight w:val="0"/>
          <w:marTop w:val="0"/>
          <w:marBottom w:val="0"/>
          <w:divBdr>
            <w:top w:val="none" w:sz="0" w:space="0" w:color="auto"/>
            <w:left w:val="none" w:sz="0" w:space="0" w:color="auto"/>
            <w:bottom w:val="none" w:sz="0" w:space="0" w:color="auto"/>
            <w:right w:val="none" w:sz="0" w:space="0" w:color="auto"/>
          </w:divBdr>
        </w:div>
        <w:div w:id="2001958585">
          <w:marLeft w:val="0"/>
          <w:marRight w:val="0"/>
          <w:marTop w:val="0"/>
          <w:marBottom w:val="0"/>
          <w:divBdr>
            <w:top w:val="none" w:sz="0" w:space="0" w:color="auto"/>
            <w:left w:val="none" w:sz="0" w:space="0" w:color="auto"/>
            <w:bottom w:val="none" w:sz="0" w:space="0" w:color="auto"/>
            <w:right w:val="none" w:sz="0" w:space="0" w:color="auto"/>
          </w:divBdr>
        </w:div>
        <w:div w:id="429592379">
          <w:marLeft w:val="0"/>
          <w:marRight w:val="0"/>
          <w:marTop w:val="0"/>
          <w:marBottom w:val="0"/>
          <w:divBdr>
            <w:top w:val="none" w:sz="0" w:space="0" w:color="auto"/>
            <w:left w:val="none" w:sz="0" w:space="0" w:color="auto"/>
            <w:bottom w:val="none" w:sz="0" w:space="0" w:color="auto"/>
            <w:right w:val="none" w:sz="0" w:space="0" w:color="auto"/>
          </w:divBdr>
          <w:divsChild>
            <w:div w:id="155003497">
              <w:marLeft w:val="-75"/>
              <w:marRight w:val="0"/>
              <w:marTop w:val="30"/>
              <w:marBottom w:val="30"/>
              <w:divBdr>
                <w:top w:val="none" w:sz="0" w:space="0" w:color="auto"/>
                <w:left w:val="none" w:sz="0" w:space="0" w:color="auto"/>
                <w:bottom w:val="none" w:sz="0" w:space="0" w:color="auto"/>
                <w:right w:val="none" w:sz="0" w:space="0" w:color="auto"/>
              </w:divBdr>
              <w:divsChild>
                <w:div w:id="1487478349">
                  <w:marLeft w:val="0"/>
                  <w:marRight w:val="0"/>
                  <w:marTop w:val="0"/>
                  <w:marBottom w:val="0"/>
                  <w:divBdr>
                    <w:top w:val="none" w:sz="0" w:space="0" w:color="auto"/>
                    <w:left w:val="none" w:sz="0" w:space="0" w:color="auto"/>
                    <w:bottom w:val="none" w:sz="0" w:space="0" w:color="auto"/>
                    <w:right w:val="none" w:sz="0" w:space="0" w:color="auto"/>
                  </w:divBdr>
                  <w:divsChild>
                    <w:div w:id="1306859114">
                      <w:marLeft w:val="0"/>
                      <w:marRight w:val="0"/>
                      <w:marTop w:val="0"/>
                      <w:marBottom w:val="0"/>
                      <w:divBdr>
                        <w:top w:val="none" w:sz="0" w:space="0" w:color="auto"/>
                        <w:left w:val="none" w:sz="0" w:space="0" w:color="auto"/>
                        <w:bottom w:val="none" w:sz="0" w:space="0" w:color="auto"/>
                        <w:right w:val="none" w:sz="0" w:space="0" w:color="auto"/>
                      </w:divBdr>
                    </w:div>
                    <w:div w:id="2062630121">
                      <w:marLeft w:val="0"/>
                      <w:marRight w:val="0"/>
                      <w:marTop w:val="0"/>
                      <w:marBottom w:val="0"/>
                      <w:divBdr>
                        <w:top w:val="none" w:sz="0" w:space="0" w:color="auto"/>
                        <w:left w:val="none" w:sz="0" w:space="0" w:color="auto"/>
                        <w:bottom w:val="none" w:sz="0" w:space="0" w:color="auto"/>
                        <w:right w:val="none" w:sz="0" w:space="0" w:color="auto"/>
                      </w:divBdr>
                    </w:div>
                  </w:divsChild>
                </w:div>
                <w:div w:id="1914465465">
                  <w:marLeft w:val="0"/>
                  <w:marRight w:val="0"/>
                  <w:marTop w:val="0"/>
                  <w:marBottom w:val="0"/>
                  <w:divBdr>
                    <w:top w:val="none" w:sz="0" w:space="0" w:color="auto"/>
                    <w:left w:val="none" w:sz="0" w:space="0" w:color="auto"/>
                    <w:bottom w:val="none" w:sz="0" w:space="0" w:color="auto"/>
                    <w:right w:val="none" w:sz="0" w:space="0" w:color="auto"/>
                  </w:divBdr>
                  <w:divsChild>
                    <w:div w:id="1946451833">
                      <w:marLeft w:val="0"/>
                      <w:marRight w:val="0"/>
                      <w:marTop w:val="0"/>
                      <w:marBottom w:val="0"/>
                      <w:divBdr>
                        <w:top w:val="none" w:sz="0" w:space="0" w:color="auto"/>
                        <w:left w:val="none" w:sz="0" w:space="0" w:color="auto"/>
                        <w:bottom w:val="none" w:sz="0" w:space="0" w:color="auto"/>
                        <w:right w:val="none" w:sz="0" w:space="0" w:color="auto"/>
                      </w:divBdr>
                    </w:div>
                  </w:divsChild>
                </w:div>
                <w:div w:id="1085999312">
                  <w:marLeft w:val="0"/>
                  <w:marRight w:val="0"/>
                  <w:marTop w:val="0"/>
                  <w:marBottom w:val="0"/>
                  <w:divBdr>
                    <w:top w:val="none" w:sz="0" w:space="0" w:color="auto"/>
                    <w:left w:val="none" w:sz="0" w:space="0" w:color="auto"/>
                    <w:bottom w:val="none" w:sz="0" w:space="0" w:color="auto"/>
                    <w:right w:val="none" w:sz="0" w:space="0" w:color="auto"/>
                  </w:divBdr>
                  <w:divsChild>
                    <w:div w:id="236600326">
                      <w:marLeft w:val="0"/>
                      <w:marRight w:val="0"/>
                      <w:marTop w:val="0"/>
                      <w:marBottom w:val="0"/>
                      <w:divBdr>
                        <w:top w:val="none" w:sz="0" w:space="0" w:color="auto"/>
                        <w:left w:val="none" w:sz="0" w:space="0" w:color="auto"/>
                        <w:bottom w:val="none" w:sz="0" w:space="0" w:color="auto"/>
                        <w:right w:val="none" w:sz="0" w:space="0" w:color="auto"/>
                      </w:divBdr>
                    </w:div>
                  </w:divsChild>
                </w:div>
                <w:div w:id="501819651">
                  <w:marLeft w:val="0"/>
                  <w:marRight w:val="0"/>
                  <w:marTop w:val="0"/>
                  <w:marBottom w:val="0"/>
                  <w:divBdr>
                    <w:top w:val="none" w:sz="0" w:space="0" w:color="auto"/>
                    <w:left w:val="none" w:sz="0" w:space="0" w:color="auto"/>
                    <w:bottom w:val="none" w:sz="0" w:space="0" w:color="auto"/>
                    <w:right w:val="none" w:sz="0" w:space="0" w:color="auto"/>
                  </w:divBdr>
                  <w:divsChild>
                    <w:div w:id="222831255">
                      <w:marLeft w:val="0"/>
                      <w:marRight w:val="0"/>
                      <w:marTop w:val="0"/>
                      <w:marBottom w:val="0"/>
                      <w:divBdr>
                        <w:top w:val="none" w:sz="0" w:space="0" w:color="auto"/>
                        <w:left w:val="none" w:sz="0" w:space="0" w:color="auto"/>
                        <w:bottom w:val="none" w:sz="0" w:space="0" w:color="auto"/>
                        <w:right w:val="none" w:sz="0" w:space="0" w:color="auto"/>
                      </w:divBdr>
                    </w:div>
                  </w:divsChild>
                </w:div>
                <w:div w:id="361828727">
                  <w:marLeft w:val="0"/>
                  <w:marRight w:val="0"/>
                  <w:marTop w:val="0"/>
                  <w:marBottom w:val="0"/>
                  <w:divBdr>
                    <w:top w:val="none" w:sz="0" w:space="0" w:color="auto"/>
                    <w:left w:val="none" w:sz="0" w:space="0" w:color="auto"/>
                    <w:bottom w:val="none" w:sz="0" w:space="0" w:color="auto"/>
                    <w:right w:val="none" w:sz="0" w:space="0" w:color="auto"/>
                  </w:divBdr>
                  <w:divsChild>
                    <w:div w:id="1603146800">
                      <w:marLeft w:val="0"/>
                      <w:marRight w:val="0"/>
                      <w:marTop w:val="0"/>
                      <w:marBottom w:val="0"/>
                      <w:divBdr>
                        <w:top w:val="none" w:sz="0" w:space="0" w:color="auto"/>
                        <w:left w:val="none" w:sz="0" w:space="0" w:color="auto"/>
                        <w:bottom w:val="none" w:sz="0" w:space="0" w:color="auto"/>
                        <w:right w:val="none" w:sz="0" w:space="0" w:color="auto"/>
                      </w:divBdr>
                    </w:div>
                    <w:div w:id="298533354">
                      <w:marLeft w:val="0"/>
                      <w:marRight w:val="0"/>
                      <w:marTop w:val="0"/>
                      <w:marBottom w:val="0"/>
                      <w:divBdr>
                        <w:top w:val="none" w:sz="0" w:space="0" w:color="auto"/>
                        <w:left w:val="none" w:sz="0" w:space="0" w:color="auto"/>
                        <w:bottom w:val="none" w:sz="0" w:space="0" w:color="auto"/>
                        <w:right w:val="none" w:sz="0" w:space="0" w:color="auto"/>
                      </w:divBdr>
                    </w:div>
                    <w:div w:id="981347432">
                      <w:marLeft w:val="0"/>
                      <w:marRight w:val="0"/>
                      <w:marTop w:val="0"/>
                      <w:marBottom w:val="0"/>
                      <w:divBdr>
                        <w:top w:val="none" w:sz="0" w:space="0" w:color="auto"/>
                        <w:left w:val="none" w:sz="0" w:space="0" w:color="auto"/>
                        <w:bottom w:val="none" w:sz="0" w:space="0" w:color="auto"/>
                        <w:right w:val="none" w:sz="0" w:space="0" w:color="auto"/>
                      </w:divBdr>
                    </w:div>
                  </w:divsChild>
                </w:div>
                <w:div w:id="1716125823">
                  <w:marLeft w:val="0"/>
                  <w:marRight w:val="0"/>
                  <w:marTop w:val="0"/>
                  <w:marBottom w:val="0"/>
                  <w:divBdr>
                    <w:top w:val="none" w:sz="0" w:space="0" w:color="auto"/>
                    <w:left w:val="none" w:sz="0" w:space="0" w:color="auto"/>
                    <w:bottom w:val="none" w:sz="0" w:space="0" w:color="auto"/>
                    <w:right w:val="none" w:sz="0" w:space="0" w:color="auto"/>
                  </w:divBdr>
                  <w:divsChild>
                    <w:div w:id="531769863">
                      <w:marLeft w:val="0"/>
                      <w:marRight w:val="0"/>
                      <w:marTop w:val="0"/>
                      <w:marBottom w:val="0"/>
                      <w:divBdr>
                        <w:top w:val="none" w:sz="0" w:space="0" w:color="auto"/>
                        <w:left w:val="none" w:sz="0" w:space="0" w:color="auto"/>
                        <w:bottom w:val="none" w:sz="0" w:space="0" w:color="auto"/>
                        <w:right w:val="none" w:sz="0" w:space="0" w:color="auto"/>
                      </w:divBdr>
                    </w:div>
                  </w:divsChild>
                </w:div>
                <w:div w:id="679236565">
                  <w:marLeft w:val="0"/>
                  <w:marRight w:val="0"/>
                  <w:marTop w:val="0"/>
                  <w:marBottom w:val="0"/>
                  <w:divBdr>
                    <w:top w:val="none" w:sz="0" w:space="0" w:color="auto"/>
                    <w:left w:val="none" w:sz="0" w:space="0" w:color="auto"/>
                    <w:bottom w:val="none" w:sz="0" w:space="0" w:color="auto"/>
                    <w:right w:val="none" w:sz="0" w:space="0" w:color="auto"/>
                  </w:divBdr>
                  <w:divsChild>
                    <w:div w:id="2110464373">
                      <w:marLeft w:val="0"/>
                      <w:marRight w:val="0"/>
                      <w:marTop w:val="0"/>
                      <w:marBottom w:val="0"/>
                      <w:divBdr>
                        <w:top w:val="none" w:sz="0" w:space="0" w:color="auto"/>
                        <w:left w:val="none" w:sz="0" w:space="0" w:color="auto"/>
                        <w:bottom w:val="none" w:sz="0" w:space="0" w:color="auto"/>
                        <w:right w:val="none" w:sz="0" w:space="0" w:color="auto"/>
                      </w:divBdr>
                    </w:div>
                  </w:divsChild>
                </w:div>
                <w:div w:id="222758165">
                  <w:marLeft w:val="0"/>
                  <w:marRight w:val="0"/>
                  <w:marTop w:val="0"/>
                  <w:marBottom w:val="0"/>
                  <w:divBdr>
                    <w:top w:val="none" w:sz="0" w:space="0" w:color="auto"/>
                    <w:left w:val="none" w:sz="0" w:space="0" w:color="auto"/>
                    <w:bottom w:val="none" w:sz="0" w:space="0" w:color="auto"/>
                    <w:right w:val="none" w:sz="0" w:space="0" w:color="auto"/>
                  </w:divBdr>
                  <w:divsChild>
                    <w:div w:id="6621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6424">
          <w:marLeft w:val="0"/>
          <w:marRight w:val="0"/>
          <w:marTop w:val="0"/>
          <w:marBottom w:val="0"/>
          <w:divBdr>
            <w:top w:val="none" w:sz="0" w:space="0" w:color="auto"/>
            <w:left w:val="none" w:sz="0" w:space="0" w:color="auto"/>
            <w:bottom w:val="none" w:sz="0" w:space="0" w:color="auto"/>
            <w:right w:val="none" w:sz="0" w:space="0" w:color="auto"/>
          </w:divBdr>
        </w:div>
        <w:div w:id="1064330668">
          <w:marLeft w:val="0"/>
          <w:marRight w:val="0"/>
          <w:marTop w:val="0"/>
          <w:marBottom w:val="0"/>
          <w:divBdr>
            <w:top w:val="none" w:sz="0" w:space="0" w:color="auto"/>
            <w:left w:val="none" w:sz="0" w:space="0" w:color="auto"/>
            <w:bottom w:val="none" w:sz="0" w:space="0" w:color="auto"/>
            <w:right w:val="none" w:sz="0" w:space="0" w:color="auto"/>
          </w:divBdr>
        </w:div>
        <w:div w:id="628823727">
          <w:marLeft w:val="0"/>
          <w:marRight w:val="0"/>
          <w:marTop w:val="0"/>
          <w:marBottom w:val="0"/>
          <w:divBdr>
            <w:top w:val="none" w:sz="0" w:space="0" w:color="auto"/>
            <w:left w:val="none" w:sz="0" w:space="0" w:color="auto"/>
            <w:bottom w:val="none" w:sz="0" w:space="0" w:color="auto"/>
            <w:right w:val="none" w:sz="0" w:space="0" w:color="auto"/>
          </w:divBdr>
        </w:div>
        <w:div w:id="1082527396">
          <w:marLeft w:val="0"/>
          <w:marRight w:val="0"/>
          <w:marTop w:val="0"/>
          <w:marBottom w:val="0"/>
          <w:divBdr>
            <w:top w:val="none" w:sz="0" w:space="0" w:color="auto"/>
            <w:left w:val="none" w:sz="0" w:space="0" w:color="auto"/>
            <w:bottom w:val="none" w:sz="0" w:space="0" w:color="auto"/>
            <w:right w:val="none" w:sz="0" w:space="0" w:color="auto"/>
          </w:divBdr>
        </w:div>
        <w:div w:id="819620130">
          <w:marLeft w:val="0"/>
          <w:marRight w:val="0"/>
          <w:marTop w:val="0"/>
          <w:marBottom w:val="0"/>
          <w:divBdr>
            <w:top w:val="none" w:sz="0" w:space="0" w:color="auto"/>
            <w:left w:val="none" w:sz="0" w:space="0" w:color="auto"/>
            <w:bottom w:val="none" w:sz="0" w:space="0" w:color="auto"/>
            <w:right w:val="none" w:sz="0" w:space="0" w:color="auto"/>
          </w:divBdr>
        </w:div>
        <w:div w:id="1990011343">
          <w:marLeft w:val="0"/>
          <w:marRight w:val="0"/>
          <w:marTop w:val="0"/>
          <w:marBottom w:val="0"/>
          <w:divBdr>
            <w:top w:val="none" w:sz="0" w:space="0" w:color="auto"/>
            <w:left w:val="none" w:sz="0" w:space="0" w:color="auto"/>
            <w:bottom w:val="none" w:sz="0" w:space="0" w:color="auto"/>
            <w:right w:val="none" w:sz="0" w:space="0" w:color="auto"/>
          </w:divBdr>
        </w:div>
      </w:divsChild>
    </w:div>
    <w:div w:id="1861971222">
      <w:bodyDiv w:val="1"/>
      <w:marLeft w:val="0"/>
      <w:marRight w:val="0"/>
      <w:marTop w:val="0"/>
      <w:marBottom w:val="0"/>
      <w:divBdr>
        <w:top w:val="none" w:sz="0" w:space="0" w:color="auto"/>
        <w:left w:val="none" w:sz="0" w:space="0" w:color="auto"/>
        <w:bottom w:val="none" w:sz="0" w:space="0" w:color="auto"/>
        <w:right w:val="none" w:sz="0" w:space="0" w:color="auto"/>
      </w:divBdr>
    </w:div>
    <w:div w:id="1864368367">
      <w:bodyDiv w:val="1"/>
      <w:marLeft w:val="0"/>
      <w:marRight w:val="0"/>
      <w:marTop w:val="0"/>
      <w:marBottom w:val="0"/>
      <w:divBdr>
        <w:top w:val="none" w:sz="0" w:space="0" w:color="auto"/>
        <w:left w:val="none" w:sz="0" w:space="0" w:color="auto"/>
        <w:bottom w:val="none" w:sz="0" w:space="0" w:color="auto"/>
        <w:right w:val="none" w:sz="0" w:space="0" w:color="auto"/>
      </w:divBdr>
    </w:div>
    <w:div w:id="1873036288">
      <w:bodyDiv w:val="1"/>
      <w:marLeft w:val="0"/>
      <w:marRight w:val="0"/>
      <w:marTop w:val="0"/>
      <w:marBottom w:val="0"/>
      <w:divBdr>
        <w:top w:val="none" w:sz="0" w:space="0" w:color="auto"/>
        <w:left w:val="none" w:sz="0" w:space="0" w:color="auto"/>
        <w:bottom w:val="none" w:sz="0" w:space="0" w:color="auto"/>
        <w:right w:val="none" w:sz="0" w:space="0" w:color="auto"/>
      </w:divBdr>
    </w:div>
    <w:div w:id="1875927111">
      <w:bodyDiv w:val="1"/>
      <w:marLeft w:val="0"/>
      <w:marRight w:val="0"/>
      <w:marTop w:val="0"/>
      <w:marBottom w:val="0"/>
      <w:divBdr>
        <w:top w:val="none" w:sz="0" w:space="0" w:color="auto"/>
        <w:left w:val="none" w:sz="0" w:space="0" w:color="auto"/>
        <w:bottom w:val="none" w:sz="0" w:space="0" w:color="auto"/>
        <w:right w:val="none" w:sz="0" w:space="0" w:color="auto"/>
      </w:divBdr>
      <w:divsChild>
        <w:div w:id="543371502">
          <w:marLeft w:val="274"/>
          <w:marRight w:val="0"/>
          <w:marTop w:val="0"/>
          <w:marBottom w:val="0"/>
          <w:divBdr>
            <w:top w:val="none" w:sz="0" w:space="0" w:color="auto"/>
            <w:left w:val="none" w:sz="0" w:space="0" w:color="auto"/>
            <w:bottom w:val="none" w:sz="0" w:space="0" w:color="auto"/>
            <w:right w:val="none" w:sz="0" w:space="0" w:color="auto"/>
          </w:divBdr>
        </w:div>
        <w:div w:id="386992509">
          <w:marLeft w:val="274"/>
          <w:marRight w:val="0"/>
          <w:marTop w:val="0"/>
          <w:marBottom w:val="0"/>
          <w:divBdr>
            <w:top w:val="none" w:sz="0" w:space="0" w:color="auto"/>
            <w:left w:val="none" w:sz="0" w:space="0" w:color="auto"/>
            <w:bottom w:val="none" w:sz="0" w:space="0" w:color="auto"/>
            <w:right w:val="none" w:sz="0" w:space="0" w:color="auto"/>
          </w:divBdr>
        </w:div>
        <w:div w:id="1498768017">
          <w:marLeft w:val="274"/>
          <w:marRight w:val="0"/>
          <w:marTop w:val="0"/>
          <w:marBottom w:val="0"/>
          <w:divBdr>
            <w:top w:val="none" w:sz="0" w:space="0" w:color="auto"/>
            <w:left w:val="none" w:sz="0" w:space="0" w:color="auto"/>
            <w:bottom w:val="none" w:sz="0" w:space="0" w:color="auto"/>
            <w:right w:val="none" w:sz="0" w:space="0" w:color="auto"/>
          </w:divBdr>
        </w:div>
      </w:divsChild>
    </w:div>
    <w:div w:id="1884171262">
      <w:bodyDiv w:val="1"/>
      <w:marLeft w:val="0"/>
      <w:marRight w:val="0"/>
      <w:marTop w:val="0"/>
      <w:marBottom w:val="0"/>
      <w:divBdr>
        <w:top w:val="none" w:sz="0" w:space="0" w:color="auto"/>
        <w:left w:val="none" w:sz="0" w:space="0" w:color="auto"/>
        <w:bottom w:val="none" w:sz="0" w:space="0" w:color="auto"/>
        <w:right w:val="none" w:sz="0" w:space="0" w:color="auto"/>
      </w:divBdr>
      <w:divsChild>
        <w:div w:id="85394443">
          <w:marLeft w:val="274"/>
          <w:marRight w:val="0"/>
          <w:marTop w:val="0"/>
          <w:marBottom w:val="0"/>
          <w:divBdr>
            <w:top w:val="none" w:sz="0" w:space="0" w:color="auto"/>
            <w:left w:val="none" w:sz="0" w:space="0" w:color="auto"/>
            <w:bottom w:val="none" w:sz="0" w:space="0" w:color="auto"/>
            <w:right w:val="none" w:sz="0" w:space="0" w:color="auto"/>
          </w:divBdr>
        </w:div>
        <w:div w:id="1241869256">
          <w:marLeft w:val="274"/>
          <w:marRight w:val="0"/>
          <w:marTop w:val="0"/>
          <w:marBottom w:val="0"/>
          <w:divBdr>
            <w:top w:val="none" w:sz="0" w:space="0" w:color="auto"/>
            <w:left w:val="none" w:sz="0" w:space="0" w:color="auto"/>
            <w:bottom w:val="none" w:sz="0" w:space="0" w:color="auto"/>
            <w:right w:val="none" w:sz="0" w:space="0" w:color="auto"/>
          </w:divBdr>
        </w:div>
      </w:divsChild>
    </w:div>
    <w:div w:id="1937978801">
      <w:bodyDiv w:val="1"/>
      <w:marLeft w:val="0"/>
      <w:marRight w:val="0"/>
      <w:marTop w:val="0"/>
      <w:marBottom w:val="0"/>
      <w:divBdr>
        <w:top w:val="none" w:sz="0" w:space="0" w:color="auto"/>
        <w:left w:val="none" w:sz="0" w:space="0" w:color="auto"/>
        <w:bottom w:val="none" w:sz="0" w:space="0" w:color="auto"/>
        <w:right w:val="none" w:sz="0" w:space="0" w:color="auto"/>
      </w:divBdr>
    </w:div>
    <w:div w:id="1954285765">
      <w:bodyDiv w:val="1"/>
      <w:marLeft w:val="0"/>
      <w:marRight w:val="0"/>
      <w:marTop w:val="0"/>
      <w:marBottom w:val="0"/>
      <w:divBdr>
        <w:top w:val="none" w:sz="0" w:space="0" w:color="auto"/>
        <w:left w:val="none" w:sz="0" w:space="0" w:color="auto"/>
        <w:bottom w:val="none" w:sz="0" w:space="0" w:color="auto"/>
        <w:right w:val="none" w:sz="0" w:space="0" w:color="auto"/>
      </w:divBdr>
    </w:div>
    <w:div w:id="1963262153">
      <w:bodyDiv w:val="1"/>
      <w:marLeft w:val="0"/>
      <w:marRight w:val="0"/>
      <w:marTop w:val="0"/>
      <w:marBottom w:val="0"/>
      <w:divBdr>
        <w:top w:val="none" w:sz="0" w:space="0" w:color="auto"/>
        <w:left w:val="none" w:sz="0" w:space="0" w:color="auto"/>
        <w:bottom w:val="none" w:sz="0" w:space="0" w:color="auto"/>
        <w:right w:val="none" w:sz="0" w:space="0" w:color="auto"/>
      </w:divBdr>
    </w:div>
    <w:div w:id="1963344385">
      <w:bodyDiv w:val="1"/>
      <w:marLeft w:val="0"/>
      <w:marRight w:val="0"/>
      <w:marTop w:val="0"/>
      <w:marBottom w:val="0"/>
      <w:divBdr>
        <w:top w:val="none" w:sz="0" w:space="0" w:color="auto"/>
        <w:left w:val="none" w:sz="0" w:space="0" w:color="auto"/>
        <w:bottom w:val="none" w:sz="0" w:space="0" w:color="auto"/>
        <w:right w:val="none" w:sz="0" w:space="0" w:color="auto"/>
      </w:divBdr>
    </w:div>
    <w:div w:id="1983540722">
      <w:bodyDiv w:val="1"/>
      <w:marLeft w:val="0"/>
      <w:marRight w:val="0"/>
      <w:marTop w:val="0"/>
      <w:marBottom w:val="0"/>
      <w:divBdr>
        <w:top w:val="none" w:sz="0" w:space="0" w:color="auto"/>
        <w:left w:val="none" w:sz="0" w:space="0" w:color="auto"/>
        <w:bottom w:val="none" w:sz="0" w:space="0" w:color="auto"/>
        <w:right w:val="none" w:sz="0" w:space="0" w:color="auto"/>
      </w:divBdr>
      <w:divsChild>
        <w:div w:id="1424496264">
          <w:marLeft w:val="274"/>
          <w:marRight w:val="0"/>
          <w:marTop w:val="0"/>
          <w:marBottom w:val="0"/>
          <w:divBdr>
            <w:top w:val="none" w:sz="0" w:space="0" w:color="auto"/>
            <w:left w:val="none" w:sz="0" w:space="0" w:color="auto"/>
            <w:bottom w:val="none" w:sz="0" w:space="0" w:color="auto"/>
            <w:right w:val="none" w:sz="0" w:space="0" w:color="auto"/>
          </w:divBdr>
        </w:div>
        <w:div w:id="1883059623">
          <w:marLeft w:val="274"/>
          <w:marRight w:val="0"/>
          <w:marTop w:val="0"/>
          <w:marBottom w:val="0"/>
          <w:divBdr>
            <w:top w:val="none" w:sz="0" w:space="0" w:color="auto"/>
            <w:left w:val="none" w:sz="0" w:space="0" w:color="auto"/>
            <w:bottom w:val="none" w:sz="0" w:space="0" w:color="auto"/>
            <w:right w:val="none" w:sz="0" w:space="0" w:color="auto"/>
          </w:divBdr>
        </w:div>
        <w:div w:id="2015649169">
          <w:marLeft w:val="274"/>
          <w:marRight w:val="0"/>
          <w:marTop w:val="0"/>
          <w:marBottom w:val="0"/>
          <w:divBdr>
            <w:top w:val="none" w:sz="0" w:space="0" w:color="auto"/>
            <w:left w:val="none" w:sz="0" w:space="0" w:color="auto"/>
            <w:bottom w:val="none" w:sz="0" w:space="0" w:color="auto"/>
            <w:right w:val="none" w:sz="0" w:space="0" w:color="auto"/>
          </w:divBdr>
        </w:div>
        <w:div w:id="1557350130">
          <w:marLeft w:val="274"/>
          <w:marRight w:val="0"/>
          <w:marTop w:val="0"/>
          <w:marBottom w:val="0"/>
          <w:divBdr>
            <w:top w:val="none" w:sz="0" w:space="0" w:color="auto"/>
            <w:left w:val="none" w:sz="0" w:space="0" w:color="auto"/>
            <w:bottom w:val="none" w:sz="0" w:space="0" w:color="auto"/>
            <w:right w:val="none" w:sz="0" w:space="0" w:color="auto"/>
          </w:divBdr>
        </w:div>
      </w:divsChild>
    </w:div>
    <w:div w:id="2025743919">
      <w:bodyDiv w:val="1"/>
      <w:marLeft w:val="0"/>
      <w:marRight w:val="0"/>
      <w:marTop w:val="0"/>
      <w:marBottom w:val="0"/>
      <w:divBdr>
        <w:top w:val="none" w:sz="0" w:space="0" w:color="auto"/>
        <w:left w:val="none" w:sz="0" w:space="0" w:color="auto"/>
        <w:bottom w:val="none" w:sz="0" w:space="0" w:color="auto"/>
        <w:right w:val="none" w:sz="0" w:space="0" w:color="auto"/>
      </w:divBdr>
    </w:div>
    <w:div w:id="2027291458">
      <w:bodyDiv w:val="1"/>
      <w:marLeft w:val="0"/>
      <w:marRight w:val="0"/>
      <w:marTop w:val="0"/>
      <w:marBottom w:val="0"/>
      <w:divBdr>
        <w:top w:val="none" w:sz="0" w:space="0" w:color="auto"/>
        <w:left w:val="none" w:sz="0" w:space="0" w:color="auto"/>
        <w:bottom w:val="none" w:sz="0" w:space="0" w:color="auto"/>
        <w:right w:val="none" w:sz="0" w:space="0" w:color="auto"/>
      </w:divBdr>
      <w:divsChild>
        <w:div w:id="1104762569">
          <w:marLeft w:val="274"/>
          <w:marRight w:val="0"/>
          <w:marTop w:val="0"/>
          <w:marBottom w:val="0"/>
          <w:divBdr>
            <w:top w:val="none" w:sz="0" w:space="0" w:color="auto"/>
            <w:left w:val="none" w:sz="0" w:space="0" w:color="auto"/>
            <w:bottom w:val="none" w:sz="0" w:space="0" w:color="auto"/>
            <w:right w:val="none" w:sz="0" w:space="0" w:color="auto"/>
          </w:divBdr>
        </w:div>
      </w:divsChild>
    </w:div>
    <w:div w:id="2029410538">
      <w:bodyDiv w:val="1"/>
      <w:marLeft w:val="0"/>
      <w:marRight w:val="0"/>
      <w:marTop w:val="0"/>
      <w:marBottom w:val="0"/>
      <w:divBdr>
        <w:top w:val="none" w:sz="0" w:space="0" w:color="auto"/>
        <w:left w:val="none" w:sz="0" w:space="0" w:color="auto"/>
        <w:bottom w:val="none" w:sz="0" w:space="0" w:color="auto"/>
        <w:right w:val="none" w:sz="0" w:space="0" w:color="auto"/>
      </w:divBdr>
      <w:divsChild>
        <w:div w:id="1083648894">
          <w:marLeft w:val="274"/>
          <w:marRight w:val="0"/>
          <w:marTop w:val="0"/>
          <w:marBottom w:val="0"/>
          <w:divBdr>
            <w:top w:val="none" w:sz="0" w:space="0" w:color="auto"/>
            <w:left w:val="none" w:sz="0" w:space="0" w:color="auto"/>
            <w:bottom w:val="none" w:sz="0" w:space="0" w:color="auto"/>
            <w:right w:val="none" w:sz="0" w:space="0" w:color="auto"/>
          </w:divBdr>
        </w:div>
        <w:div w:id="1099981950">
          <w:marLeft w:val="274"/>
          <w:marRight w:val="0"/>
          <w:marTop w:val="0"/>
          <w:marBottom w:val="0"/>
          <w:divBdr>
            <w:top w:val="none" w:sz="0" w:space="0" w:color="auto"/>
            <w:left w:val="none" w:sz="0" w:space="0" w:color="auto"/>
            <w:bottom w:val="none" w:sz="0" w:space="0" w:color="auto"/>
            <w:right w:val="none" w:sz="0" w:space="0" w:color="auto"/>
          </w:divBdr>
        </w:div>
        <w:div w:id="822816316">
          <w:marLeft w:val="274"/>
          <w:marRight w:val="0"/>
          <w:marTop w:val="0"/>
          <w:marBottom w:val="0"/>
          <w:divBdr>
            <w:top w:val="none" w:sz="0" w:space="0" w:color="auto"/>
            <w:left w:val="none" w:sz="0" w:space="0" w:color="auto"/>
            <w:bottom w:val="none" w:sz="0" w:space="0" w:color="auto"/>
            <w:right w:val="none" w:sz="0" w:space="0" w:color="auto"/>
          </w:divBdr>
        </w:div>
        <w:div w:id="386536726">
          <w:marLeft w:val="274"/>
          <w:marRight w:val="0"/>
          <w:marTop w:val="0"/>
          <w:marBottom w:val="0"/>
          <w:divBdr>
            <w:top w:val="none" w:sz="0" w:space="0" w:color="auto"/>
            <w:left w:val="none" w:sz="0" w:space="0" w:color="auto"/>
            <w:bottom w:val="none" w:sz="0" w:space="0" w:color="auto"/>
            <w:right w:val="none" w:sz="0" w:space="0" w:color="auto"/>
          </w:divBdr>
        </w:div>
      </w:divsChild>
    </w:div>
    <w:div w:id="2045860139">
      <w:bodyDiv w:val="1"/>
      <w:marLeft w:val="0"/>
      <w:marRight w:val="0"/>
      <w:marTop w:val="0"/>
      <w:marBottom w:val="0"/>
      <w:divBdr>
        <w:top w:val="none" w:sz="0" w:space="0" w:color="auto"/>
        <w:left w:val="none" w:sz="0" w:space="0" w:color="auto"/>
        <w:bottom w:val="none" w:sz="0" w:space="0" w:color="auto"/>
        <w:right w:val="none" w:sz="0" w:space="0" w:color="auto"/>
      </w:divBdr>
    </w:div>
    <w:div w:id="2086295395">
      <w:bodyDiv w:val="1"/>
      <w:marLeft w:val="0"/>
      <w:marRight w:val="0"/>
      <w:marTop w:val="0"/>
      <w:marBottom w:val="0"/>
      <w:divBdr>
        <w:top w:val="none" w:sz="0" w:space="0" w:color="auto"/>
        <w:left w:val="none" w:sz="0" w:space="0" w:color="auto"/>
        <w:bottom w:val="none" w:sz="0" w:space="0" w:color="auto"/>
        <w:right w:val="none" w:sz="0" w:space="0" w:color="auto"/>
      </w:divBdr>
      <w:divsChild>
        <w:div w:id="377825910">
          <w:marLeft w:val="245"/>
          <w:marRight w:val="0"/>
          <w:marTop w:val="0"/>
          <w:marBottom w:val="111"/>
          <w:divBdr>
            <w:top w:val="none" w:sz="0" w:space="0" w:color="auto"/>
            <w:left w:val="none" w:sz="0" w:space="0" w:color="auto"/>
            <w:bottom w:val="none" w:sz="0" w:space="0" w:color="auto"/>
            <w:right w:val="none" w:sz="0" w:space="0" w:color="auto"/>
          </w:divBdr>
        </w:div>
      </w:divsChild>
    </w:div>
    <w:div w:id="2107722740">
      <w:bodyDiv w:val="1"/>
      <w:marLeft w:val="0"/>
      <w:marRight w:val="0"/>
      <w:marTop w:val="0"/>
      <w:marBottom w:val="0"/>
      <w:divBdr>
        <w:top w:val="none" w:sz="0" w:space="0" w:color="auto"/>
        <w:left w:val="none" w:sz="0" w:space="0" w:color="auto"/>
        <w:bottom w:val="none" w:sz="0" w:space="0" w:color="auto"/>
        <w:right w:val="none" w:sz="0" w:space="0" w:color="auto"/>
      </w:divBdr>
    </w:div>
    <w:div w:id="2114859758">
      <w:bodyDiv w:val="1"/>
      <w:marLeft w:val="0"/>
      <w:marRight w:val="0"/>
      <w:marTop w:val="0"/>
      <w:marBottom w:val="0"/>
      <w:divBdr>
        <w:top w:val="none" w:sz="0" w:space="0" w:color="auto"/>
        <w:left w:val="none" w:sz="0" w:space="0" w:color="auto"/>
        <w:bottom w:val="none" w:sz="0" w:space="0" w:color="auto"/>
        <w:right w:val="none" w:sz="0" w:space="0" w:color="auto"/>
      </w:divBdr>
      <w:divsChild>
        <w:div w:id="1889995241">
          <w:marLeft w:val="274"/>
          <w:marRight w:val="0"/>
          <w:marTop w:val="0"/>
          <w:marBottom w:val="0"/>
          <w:divBdr>
            <w:top w:val="none" w:sz="0" w:space="0" w:color="auto"/>
            <w:left w:val="none" w:sz="0" w:space="0" w:color="auto"/>
            <w:bottom w:val="none" w:sz="0" w:space="0" w:color="auto"/>
            <w:right w:val="none" w:sz="0" w:space="0" w:color="auto"/>
          </w:divBdr>
        </w:div>
        <w:div w:id="967246712">
          <w:marLeft w:val="274"/>
          <w:marRight w:val="0"/>
          <w:marTop w:val="0"/>
          <w:marBottom w:val="0"/>
          <w:divBdr>
            <w:top w:val="none" w:sz="0" w:space="0" w:color="auto"/>
            <w:left w:val="none" w:sz="0" w:space="0" w:color="auto"/>
            <w:bottom w:val="none" w:sz="0" w:space="0" w:color="auto"/>
            <w:right w:val="none" w:sz="0" w:space="0" w:color="auto"/>
          </w:divBdr>
        </w:div>
        <w:div w:id="602151423">
          <w:marLeft w:val="274"/>
          <w:marRight w:val="0"/>
          <w:marTop w:val="0"/>
          <w:marBottom w:val="0"/>
          <w:divBdr>
            <w:top w:val="none" w:sz="0" w:space="0" w:color="auto"/>
            <w:left w:val="none" w:sz="0" w:space="0" w:color="auto"/>
            <w:bottom w:val="none" w:sz="0" w:space="0" w:color="auto"/>
            <w:right w:val="none" w:sz="0" w:space="0" w:color="auto"/>
          </w:divBdr>
        </w:div>
        <w:div w:id="1320302466">
          <w:marLeft w:val="274"/>
          <w:marRight w:val="0"/>
          <w:marTop w:val="0"/>
          <w:marBottom w:val="0"/>
          <w:divBdr>
            <w:top w:val="none" w:sz="0" w:space="0" w:color="auto"/>
            <w:left w:val="none" w:sz="0" w:space="0" w:color="auto"/>
            <w:bottom w:val="none" w:sz="0" w:space="0" w:color="auto"/>
            <w:right w:val="none" w:sz="0" w:space="0" w:color="auto"/>
          </w:divBdr>
        </w:div>
      </w:divsChild>
    </w:div>
    <w:div w:id="2121411094">
      <w:bodyDiv w:val="1"/>
      <w:marLeft w:val="0"/>
      <w:marRight w:val="0"/>
      <w:marTop w:val="0"/>
      <w:marBottom w:val="0"/>
      <w:divBdr>
        <w:top w:val="none" w:sz="0" w:space="0" w:color="auto"/>
        <w:left w:val="none" w:sz="0" w:space="0" w:color="auto"/>
        <w:bottom w:val="none" w:sz="0" w:space="0" w:color="auto"/>
        <w:right w:val="none" w:sz="0" w:space="0" w:color="auto"/>
      </w:divBdr>
    </w:div>
    <w:div w:id="2133860675">
      <w:bodyDiv w:val="1"/>
      <w:marLeft w:val="0"/>
      <w:marRight w:val="0"/>
      <w:marTop w:val="0"/>
      <w:marBottom w:val="0"/>
      <w:divBdr>
        <w:top w:val="none" w:sz="0" w:space="0" w:color="auto"/>
        <w:left w:val="none" w:sz="0" w:space="0" w:color="auto"/>
        <w:bottom w:val="none" w:sz="0" w:space="0" w:color="auto"/>
        <w:right w:val="none" w:sz="0" w:space="0" w:color="auto"/>
      </w:divBdr>
    </w:div>
    <w:div w:id="213439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yperlink" Target="mailto:jon.taylor@keoghbay.com.au"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keoghbay.sharepoint.com/sites/Through-CareEvaluation/Shared%20Documents/Data%20Analysis/Completed%20Worksheets/ATC/Analysis%20ATC%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keoghbay.sharepoint.com/sites/Through-CareEvaluation/Shared%20Documents/Data%20Analysis/Whole%20of%20YTC%20Analysis%20-%20revised%2010%20apri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'[Analysis ATC Summary.xlsx]Analysis'!$C$17</c:f>
              <c:strCache>
                <c:ptCount val="1"/>
                <c:pt idx="0">
                  <c:v>No.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101-D04C-9061-1FC8FD810E2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101-D04C-9061-1FC8FD810E2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101-D04C-9061-1FC8FD810E2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101-D04C-9061-1FC8FD810E2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A101-D04C-9061-1FC8FD810E2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 ATC Summary.xlsx]Analysis'!$B$18:$B$22</c:f>
              <c:strCache>
                <c:ptCount val="5"/>
                <c:pt idx="0">
                  <c:v>Non-contactable</c:v>
                </c:pt>
                <c:pt idx="1">
                  <c:v>Client goals met</c:v>
                </c:pt>
                <c:pt idx="2">
                  <c:v>Re-offended</c:v>
                </c:pt>
                <c:pt idx="3">
                  <c:v>Client moved away</c:v>
                </c:pt>
                <c:pt idx="4">
                  <c:v>Referred to another service</c:v>
                </c:pt>
              </c:strCache>
            </c:strRef>
          </c:cat>
          <c:val>
            <c:numRef>
              <c:f>'[Analysis ATC Summary.xlsx]Analysis'!$C$18:$C$22</c:f>
              <c:numCache>
                <c:formatCode>General</c:formatCode>
                <c:ptCount val="5"/>
                <c:pt idx="0">
                  <c:v>279</c:v>
                </c:pt>
                <c:pt idx="1">
                  <c:v>178</c:v>
                </c:pt>
                <c:pt idx="2">
                  <c:v>131</c:v>
                </c:pt>
                <c:pt idx="3">
                  <c:v>124</c:v>
                </c:pt>
                <c:pt idx="4">
                  <c:v>82</c:v>
                </c:pt>
              </c:numCache>
            </c:numRef>
          </c:val>
          <c:extLst>
            <c:ext xmlns:c16="http://schemas.microsoft.com/office/drawing/2014/chart" uri="{C3380CC4-5D6E-409C-BE32-E72D297353CC}">
              <c16:uniqueId val="{0000000A-A101-D04C-9061-1FC8FD810E2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'Analysis-Service activities'!$C$17</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3EC2-8F4C-B765-6A357228A2C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3EC2-8F4C-B765-6A357228A2C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3EC2-8F4C-B765-6A357228A2C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3EC2-8F4C-B765-6A357228A2C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3EC2-8F4C-B765-6A357228A2C9}"/>
              </c:ext>
            </c:extLst>
          </c:dPt>
          <c:dLbls>
            <c:dLbl>
              <c:idx val="0"/>
              <c:layout>
                <c:manualLayout>
                  <c:x val="3.9944075777748896E-2"/>
                  <c:y val="-9.1111155186206876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C2-8F4C-B765-6A357228A2C9}"/>
                </c:ext>
              </c:extLst>
            </c:dLbl>
            <c:dLbl>
              <c:idx val="1"/>
              <c:layout>
                <c:manualLayout>
                  <c:x val="-9.3181522798184618E-2"/>
                  <c:y val="6.038392064109857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C2-8F4C-B765-6A357228A2C9}"/>
                </c:ext>
              </c:extLst>
            </c:dLbl>
            <c:dLbl>
              <c:idx val="2"/>
              <c:layout>
                <c:manualLayout>
                  <c:x val="-5.2726180026628544E-2"/>
                  <c:y val="8.658008658008657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EC2-8F4C-B765-6A357228A2C9}"/>
                </c:ext>
              </c:extLst>
            </c:dLbl>
            <c:dLbl>
              <c:idx val="3"/>
              <c:layout>
                <c:manualLayout>
                  <c:x val="-0.14220090976878613"/>
                  <c:y val="-4.4052176097635152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C2-8F4C-B765-6A357228A2C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'Analysis-Service activities'!$B$18:$B$22</c:f>
              <c:strCache>
                <c:ptCount val="5"/>
                <c:pt idx="0">
                  <c:v>Client not contactable</c:v>
                </c:pt>
                <c:pt idx="1">
                  <c:v>Client goals were met</c:v>
                </c:pt>
                <c:pt idx="2">
                  <c:v>Client was referred to another service</c:v>
                </c:pt>
                <c:pt idx="3">
                  <c:v>Client moved away</c:v>
                </c:pt>
                <c:pt idx="4">
                  <c:v>Re-offending</c:v>
                </c:pt>
              </c:strCache>
            </c:strRef>
          </c:cat>
          <c:val>
            <c:numRef>
              <c:f>'Analysis-Service activities'!$C$18:$C$22</c:f>
              <c:numCache>
                <c:formatCode>General</c:formatCode>
                <c:ptCount val="5"/>
                <c:pt idx="0">
                  <c:v>53</c:v>
                </c:pt>
                <c:pt idx="1">
                  <c:v>31</c:v>
                </c:pt>
                <c:pt idx="2">
                  <c:v>10</c:v>
                </c:pt>
                <c:pt idx="3">
                  <c:v>9</c:v>
                </c:pt>
                <c:pt idx="4">
                  <c:v>8</c:v>
                </c:pt>
              </c:numCache>
            </c:numRef>
          </c:val>
          <c:extLst>
            <c:ext xmlns:c16="http://schemas.microsoft.com/office/drawing/2014/chart" uri="{C3380CC4-5D6E-409C-BE32-E72D297353CC}">
              <c16:uniqueId val="{0000000A-3EC2-8F4C-B765-6A357228A2C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52FA95-F7C7-4021-A351-3BEBE3CE8FF3}">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51637</Words>
  <Characters>294333</Characters>
  <Application>Microsoft Office Word</Application>
  <DocSecurity>4</DocSecurity>
  <Lines>2452</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2025-05-21T00:09:00Z</dcterms:created>
  <dcterms:modified xsi:type="dcterms:W3CDTF">2025-05-21T00:09:00Z</dcterms:modified>
</cp:coreProperties>
</file>